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1424305</wp:posOffset>
            </wp:positionH>
            <wp:positionV relativeFrom="page">
              <wp:posOffset>3072765</wp:posOffset>
            </wp:positionV>
            <wp:extent cx="4924425" cy="2800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924425" cy="2800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5"/>
          <w:szCs w:val="35"/>
          <w:b w:val="1"/>
          <w:bCs w:val="1"/>
          <w:color w:val="1E1E1E"/>
        </w:rPr>
        <w:t>2025 Annual Report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6"/>
        </w:trPr>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3"/>
          </w:tcPr>
          <w:p>
            <w:pPr>
              <w:jc w:val="center"/>
              <w:ind w:right="660"/>
              <w:spacing w:after="0"/>
              <w:rPr>
                <w:sz w:val="20"/>
                <w:szCs w:val="20"/>
                <w:color w:val="auto"/>
              </w:rPr>
            </w:pPr>
            <w:r>
              <w:rPr>
                <w:rFonts w:ascii="Times New Roman" w:cs="Times New Roman" w:eastAsia="Times New Roman" w:hAnsi="Times New Roman"/>
                <w:sz w:val="24"/>
                <w:szCs w:val="24"/>
                <w:b w:val="1"/>
                <w:bCs w:val="1"/>
                <w:color w:val="231F20"/>
              </w:rPr>
              <w:t>UNITED STATES</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20" w:type="dxa"/>
            <w:vAlign w:val="bottom"/>
          </w:tcPr>
          <w:p>
            <w:pPr>
              <w:spacing w:after="0"/>
              <w:rPr>
                <w:sz w:val="24"/>
                <w:szCs w:val="24"/>
                <w:color w:val="auto"/>
              </w:rPr>
            </w:pPr>
          </w:p>
        </w:tc>
        <w:tc>
          <w:tcPr>
            <w:tcW w:w="9980" w:type="dxa"/>
            <w:vAlign w:val="bottom"/>
            <w:gridSpan w:val="7"/>
          </w:tcPr>
          <w:p>
            <w:pPr>
              <w:jc w:val="center"/>
              <w:ind w:left="96"/>
              <w:spacing w:after="0"/>
              <w:rPr>
                <w:sz w:val="20"/>
                <w:szCs w:val="20"/>
                <w:color w:val="auto"/>
              </w:rPr>
            </w:pPr>
            <w:r>
              <w:rPr>
                <w:rFonts w:ascii="Times New Roman" w:cs="Times New Roman" w:eastAsia="Times New Roman" w:hAnsi="Times New Roman"/>
                <w:sz w:val="24"/>
                <w:szCs w:val="24"/>
                <w:b w:val="1"/>
                <w:bCs w:val="1"/>
                <w:color w:val="231F20"/>
                <w:w w:val="99"/>
              </w:rPr>
              <w:t>SECURITIES AND EXCHANGE COMMISSION</w:t>
            </w:r>
          </w:p>
        </w:tc>
        <w:tc>
          <w:tcPr>
            <w:tcW w:w="0" w:type="dxa"/>
            <w:vAlign w:val="bottom"/>
          </w:tcPr>
          <w:p>
            <w:pPr>
              <w:spacing w:after="0"/>
              <w:rPr>
                <w:sz w:val="1"/>
                <w:szCs w:val="1"/>
                <w:color w:val="auto"/>
              </w:rPr>
            </w:pPr>
          </w:p>
        </w:tc>
      </w:tr>
      <w:tr>
        <w:trPr>
          <w:trHeight w:val="274"/>
        </w:trPr>
        <w:tc>
          <w:tcPr>
            <w:tcW w:w="3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60" w:type="dxa"/>
            <w:vAlign w:val="bottom"/>
            <w:gridSpan w:val="3"/>
          </w:tcPr>
          <w:p>
            <w:pPr>
              <w:jc w:val="center"/>
              <w:ind w:right="660"/>
              <w:spacing w:after="0"/>
              <w:rPr>
                <w:sz w:val="20"/>
                <w:szCs w:val="20"/>
                <w:color w:val="auto"/>
              </w:rPr>
            </w:pPr>
            <w:r>
              <w:rPr>
                <w:rFonts w:ascii="Times New Roman" w:cs="Times New Roman" w:eastAsia="Times New Roman" w:hAnsi="Times New Roman"/>
                <w:sz w:val="20"/>
                <w:szCs w:val="20"/>
                <w:b w:val="1"/>
                <w:bCs w:val="1"/>
                <w:color w:val="231F20"/>
              </w:rPr>
              <w:t>Washington, D.C. 20549</w:t>
            </w: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3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0" w:type="dxa"/>
            <w:vAlign w:val="bottom"/>
            <w:tcBorders>
              <w:bottom w:val="single" w:sz="8" w:color="231F20"/>
            </w:tcBorders>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320" w:type="dxa"/>
            <w:vAlign w:val="bottom"/>
            <w:vMerge w:val="restart"/>
          </w:tcPr>
          <w:p>
            <w:pPr>
              <w:spacing w:after="0"/>
              <w:rPr>
                <w:sz w:val="20"/>
                <w:szCs w:val="20"/>
                <w:color w:val="auto"/>
              </w:rPr>
            </w:pPr>
            <w:r>
              <w:rPr>
                <w:rFonts w:ascii="Segoe UI Symbol" w:cs="Segoe UI Symbol" w:eastAsia="Segoe UI Symbol" w:hAnsi="Segoe UI Symbol"/>
                <w:sz w:val="16"/>
                <w:szCs w:val="16"/>
                <w:b w:val="1"/>
                <w:bCs w:val="1"/>
                <w:color w:val="231F20"/>
              </w:rPr>
              <w:t>☒</w:t>
            </w: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3"/>
          </w:tcPr>
          <w:p>
            <w:pPr>
              <w:jc w:val="center"/>
              <w:ind w:right="640"/>
              <w:spacing w:after="0"/>
              <w:rPr>
                <w:sz w:val="20"/>
                <w:szCs w:val="20"/>
                <w:color w:val="auto"/>
              </w:rPr>
            </w:pPr>
            <w:r>
              <w:rPr>
                <w:rFonts w:ascii="Times New Roman" w:cs="Times New Roman" w:eastAsia="Times New Roman" w:hAnsi="Times New Roman"/>
                <w:sz w:val="24"/>
                <w:szCs w:val="24"/>
                <w:b w:val="1"/>
                <w:bCs w:val="1"/>
                <w:color w:val="231F20"/>
                <w:w w:val="99"/>
              </w:rPr>
              <w:t>FORM 10-K</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vMerge w:val="continue"/>
          </w:tcPr>
          <w:p>
            <w:pPr>
              <w:spacing w:after="0"/>
              <w:rPr>
                <w:sz w:val="20"/>
                <w:szCs w:val="20"/>
                <w:color w:val="auto"/>
              </w:rPr>
            </w:pPr>
          </w:p>
        </w:tc>
        <w:tc>
          <w:tcPr>
            <w:tcW w:w="9980" w:type="dxa"/>
            <w:vAlign w:val="bottom"/>
            <w:gridSpan w:val="7"/>
          </w:tcPr>
          <w:p>
            <w:pPr>
              <w:jc w:val="center"/>
              <w:ind w:left="516"/>
              <w:spacing w:after="0"/>
              <w:rPr>
                <w:sz w:val="20"/>
                <w:szCs w:val="20"/>
                <w:color w:val="auto"/>
              </w:rPr>
            </w:pPr>
            <w:r>
              <w:rPr>
                <w:rFonts w:ascii="Times New Roman" w:cs="Times New Roman" w:eastAsia="Times New Roman" w:hAnsi="Times New Roman"/>
                <w:sz w:val="16"/>
                <w:szCs w:val="16"/>
                <w:b w:val="1"/>
                <w:bCs w:val="1"/>
                <w:color w:val="231F20"/>
                <w:w w:val="99"/>
              </w:rPr>
              <w:t>ANNUAL REPORT PURSUANT TO SECTION 13 OR 15(d) OF THE SECURITIES EXCHANGE ACT OF 1934</w:t>
            </w: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6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rPr>
              <w:t>For the fiscal year ended December 31, 2025</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231F20"/>
                <w:w w:val="99"/>
              </w:rPr>
              <w:t>OR</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320" w:type="dxa"/>
            <w:vAlign w:val="bottom"/>
          </w:tcPr>
          <w:p>
            <w:pPr>
              <w:spacing w:after="0"/>
              <w:rPr>
                <w:sz w:val="20"/>
                <w:szCs w:val="20"/>
                <w:color w:val="auto"/>
              </w:rPr>
            </w:pPr>
            <w:r>
              <w:rPr>
                <w:rFonts w:ascii="Segoe UI Symbol" w:cs="Segoe UI Symbol" w:eastAsia="Segoe UI Symbol" w:hAnsi="Segoe UI Symbol"/>
                <w:sz w:val="16"/>
                <w:szCs w:val="16"/>
                <w:b w:val="1"/>
                <w:bCs w:val="1"/>
                <w:color w:val="231F20"/>
              </w:rPr>
              <w:t>☐</w:t>
            </w:r>
          </w:p>
        </w:tc>
        <w:tc>
          <w:tcPr>
            <w:tcW w:w="9980" w:type="dxa"/>
            <w:vAlign w:val="bottom"/>
            <w:gridSpan w:val="7"/>
          </w:tcPr>
          <w:p>
            <w:pPr>
              <w:jc w:val="center"/>
              <w:ind w:left="536"/>
              <w:spacing w:after="0"/>
              <w:rPr>
                <w:sz w:val="20"/>
                <w:szCs w:val="20"/>
                <w:color w:val="auto"/>
              </w:rPr>
            </w:pPr>
            <w:r>
              <w:rPr>
                <w:rFonts w:ascii="Times New Roman" w:cs="Times New Roman" w:eastAsia="Times New Roman" w:hAnsi="Times New Roman"/>
                <w:sz w:val="16"/>
                <w:szCs w:val="16"/>
                <w:b w:val="1"/>
                <w:bCs w:val="1"/>
                <w:color w:val="231F20"/>
              </w:rPr>
              <w:t>TRANSITION REPORT PURSUANT TO SECTION 13 OR 15(d) OF THE SECURITIES EXCHANGE ACT OF 1934</w:t>
            </w:r>
          </w:p>
        </w:tc>
        <w:tc>
          <w:tcPr>
            <w:tcW w:w="0" w:type="dxa"/>
            <w:vAlign w:val="bottom"/>
          </w:tcPr>
          <w:p>
            <w:pPr>
              <w:spacing w:after="0"/>
              <w:rPr>
                <w:sz w:val="1"/>
                <w:szCs w:val="1"/>
                <w:color w:val="auto"/>
              </w:rPr>
            </w:pPr>
          </w:p>
        </w:tc>
      </w:tr>
      <w:tr>
        <w:trPr>
          <w:trHeight w:val="278"/>
        </w:trPr>
        <w:tc>
          <w:tcPr>
            <w:tcW w:w="320" w:type="dxa"/>
            <w:vAlign w:val="bottom"/>
          </w:tcPr>
          <w:p>
            <w:pPr>
              <w:spacing w:after="0"/>
              <w:rPr>
                <w:sz w:val="24"/>
                <w:szCs w:val="24"/>
                <w:color w:val="auto"/>
              </w:rPr>
            </w:pPr>
          </w:p>
        </w:tc>
        <w:tc>
          <w:tcPr>
            <w:tcW w:w="7040" w:type="dxa"/>
            <w:vAlign w:val="bottom"/>
            <w:gridSpan w:val="6"/>
          </w:tcPr>
          <w:p>
            <w:pPr>
              <w:jc w:val="center"/>
              <w:ind w:left="3036"/>
              <w:spacing w:after="0"/>
              <w:rPr>
                <w:sz w:val="20"/>
                <w:szCs w:val="20"/>
                <w:color w:val="auto"/>
              </w:rPr>
            </w:pPr>
            <w:r>
              <w:rPr>
                <w:rFonts w:ascii="Times New Roman" w:cs="Times New Roman" w:eastAsia="Times New Roman" w:hAnsi="Times New Roman"/>
                <w:sz w:val="16"/>
                <w:szCs w:val="16"/>
                <w:b w:val="1"/>
                <w:bCs w:val="1"/>
                <w:color w:val="231F20"/>
                <w:w w:val="99"/>
              </w:rPr>
              <w:t>For the transition period from ________ to ________</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0" w:type="dxa"/>
            <w:vAlign w:val="bottom"/>
            <w:gridSpan w:val="5"/>
          </w:tcPr>
          <w:p>
            <w:pPr>
              <w:jc w:val="center"/>
              <w:ind w:right="320"/>
              <w:spacing w:after="0"/>
              <w:rPr>
                <w:sz w:val="20"/>
                <w:szCs w:val="20"/>
                <w:color w:val="auto"/>
              </w:rPr>
            </w:pPr>
            <w:r>
              <w:rPr>
                <w:rFonts w:ascii="Times New Roman" w:cs="Times New Roman" w:eastAsia="Times New Roman" w:hAnsi="Times New Roman"/>
                <w:sz w:val="20"/>
                <w:szCs w:val="20"/>
                <w:b w:val="1"/>
                <w:bCs w:val="1"/>
                <w:color w:val="231F20"/>
              </w:rPr>
              <w:t>Commission File Number 001-37635</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60" w:type="dxa"/>
            <w:vAlign w:val="bottom"/>
            <w:tcBorders>
              <w:bottom w:val="single" w:sz="8" w:color="231F20"/>
            </w:tcBorders>
            <w:gridSpan w:val="3"/>
          </w:tcPr>
          <w:p>
            <w:pPr>
              <w:spacing w:after="0"/>
              <w:rPr>
                <w:sz w:val="3"/>
                <w:szCs w:val="3"/>
                <w:color w:val="auto"/>
              </w:rPr>
            </w:pPr>
          </w:p>
        </w:tc>
        <w:tc>
          <w:tcPr>
            <w:tcW w:w="4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7"/>
        </w:trPr>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0" w:type="dxa"/>
            <w:vAlign w:val="bottom"/>
            <w:gridSpan w:val="5"/>
          </w:tcPr>
          <w:p>
            <w:pPr>
              <w:jc w:val="center"/>
              <w:ind w:right="320"/>
              <w:spacing w:after="0"/>
              <w:rPr>
                <w:sz w:val="20"/>
                <w:szCs w:val="20"/>
                <w:color w:val="auto"/>
              </w:rPr>
            </w:pPr>
            <w:r>
              <w:rPr>
                <w:rFonts w:ascii="Times New Roman" w:cs="Times New Roman" w:eastAsia="Times New Roman" w:hAnsi="Times New Roman"/>
                <w:sz w:val="20"/>
                <w:szCs w:val="20"/>
                <w:b w:val="1"/>
                <w:bCs w:val="1"/>
                <w:color w:val="231F20"/>
              </w:rPr>
              <w:t>AXSOME THERAPEUTICS, INC.</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20" w:type="dxa"/>
            <w:vAlign w:val="bottom"/>
          </w:tcPr>
          <w:p>
            <w:pPr>
              <w:spacing w:after="0"/>
              <w:rPr>
                <w:sz w:val="19"/>
                <w:szCs w:val="19"/>
                <w:color w:val="auto"/>
              </w:rPr>
            </w:pPr>
          </w:p>
        </w:tc>
        <w:tc>
          <w:tcPr>
            <w:tcW w:w="7040" w:type="dxa"/>
            <w:vAlign w:val="bottom"/>
            <w:gridSpan w:val="6"/>
          </w:tcPr>
          <w:p>
            <w:pPr>
              <w:jc w:val="center"/>
              <w:ind w:left="3036"/>
              <w:spacing w:after="0"/>
              <w:rPr>
                <w:sz w:val="20"/>
                <w:szCs w:val="20"/>
                <w:color w:val="auto"/>
              </w:rPr>
            </w:pPr>
            <w:r>
              <w:rPr>
                <w:rFonts w:ascii="Times New Roman" w:cs="Times New Roman" w:eastAsia="Times New Roman" w:hAnsi="Times New Roman"/>
                <w:sz w:val="16"/>
                <w:szCs w:val="16"/>
                <w:b w:val="1"/>
                <w:bCs w:val="1"/>
                <w:color w:val="231F20"/>
                <w:w w:val="99"/>
              </w:rPr>
              <w:t>(Exact name of registrant as specified in its charter)</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320" w:type="dxa"/>
            <w:vAlign w:val="bottom"/>
          </w:tcPr>
          <w:p>
            <w:pPr>
              <w:spacing w:after="0"/>
              <w:rPr>
                <w:sz w:val="24"/>
                <w:szCs w:val="24"/>
                <w:color w:val="auto"/>
              </w:rPr>
            </w:pPr>
          </w:p>
        </w:tc>
        <w:tc>
          <w:tcPr>
            <w:tcW w:w="3440" w:type="dxa"/>
            <w:vAlign w:val="bottom"/>
          </w:tcPr>
          <w:p>
            <w:pPr>
              <w:jc w:val="center"/>
              <w:ind w:left="1236"/>
              <w:spacing w:after="0"/>
              <w:rPr>
                <w:sz w:val="20"/>
                <w:szCs w:val="20"/>
                <w:color w:val="auto"/>
              </w:rPr>
            </w:pPr>
            <w:r>
              <w:rPr>
                <w:rFonts w:ascii="Times New Roman" w:cs="Times New Roman" w:eastAsia="Times New Roman" w:hAnsi="Times New Roman"/>
                <w:sz w:val="18"/>
                <w:szCs w:val="18"/>
                <w:b w:val="1"/>
                <w:bCs w:val="1"/>
                <w:color w:val="231F20"/>
                <w:w w:val="98"/>
              </w:rPr>
              <w:t>Delaware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tcPr>
          <w:p>
            <w:pPr>
              <w:jc w:val="right"/>
              <w:ind w:right="1680"/>
              <w:spacing w:after="0"/>
              <w:rPr>
                <w:sz w:val="20"/>
                <w:szCs w:val="20"/>
                <w:color w:val="auto"/>
              </w:rPr>
            </w:pPr>
            <w:r>
              <w:rPr>
                <w:rFonts w:ascii="Times New Roman" w:cs="Times New Roman" w:eastAsia="Times New Roman" w:hAnsi="Times New Roman"/>
                <w:sz w:val="18"/>
                <w:szCs w:val="18"/>
                <w:b w:val="1"/>
                <w:bCs w:val="1"/>
                <w:color w:val="231F20"/>
              </w:rPr>
              <w:t>45-4241907</w:t>
            </w: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3440" w:type="dxa"/>
            <w:vAlign w:val="bottom"/>
          </w:tcPr>
          <w:p>
            <w:pPr>
              <w:jc w:val="center"/>
              <w:ind w:left="1236"/>
              <w:spacing w:after="0"/>
              <w:rPr>
                <w:sz w:val="20"/>
                <w:szCs w:val="20"/>
                <w:color w:val="auto"/>
              </w:rPr>
            </w:pPr>
            <w:r>
              <w:rPr>
                <w:rFonts w:ascii="Times New Roman" w:cs="Times New Roman" w:eastAsia="Times New Roman" w:hAnsi="Times New Roman"/>
                <w:sz w:val="16"/>
                <w:szCs w:val="16"/>
                <w:color w:val="231F20"/>
                <w:w w:val="99"/>
              </w:rPr>
              <w:t>(State or other jurisdiction of</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tcPr>
          <w:p>
            <w:pPr>
              <w:jc w:val="center"/>
              <w:ind w:right="1380"/>
              <w:spacing w:after="0"/>
              <w:rPr>
                <w:sz w:val="20"/>
                <w:szCs w:val="20"/>
                <w:color w:val="auto"/>
              </w:rPr>
            </w:pPr>
            <w:r>
              <w:rPr>
                <w:rFonts w:ascii="Times New Roman" w:cs="Times New Roman" w:eastAsia="Times New Roman" w:hAnsi="Times New Roman"/>
                <w:sz w:val="16"/>
                <w:szCs w:val="16"/>
                <w:color w:val="231F20"/>
                <w:w w:val="98"/>
              </w:rPr>
              <w:t>(I.R.S. Employer</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3440" w:type="dxa"/>
            <w:vAlign w:val="bottom"/>
          </w:tcPr>
          <w:p>
            <w:pPr>
              <w:jc w:val="center"/>
              <w:ind w:left="1236"/>
              <w:spacing w:after="0"/>
              <w:rPr>
                <w:sz w:val="20"/>
                <w:szCs w:val="20"/>
                <w:color w:val="auto"/>
              </w:rPr>
            </w:pPr>
            <w:r>
              <w:rPr>
                <w:rFonts w:ascii="Times New Roman" w:cs="Times New Roman" w:eastAsia="Times New Roman" w:hAnsi="Times New Roman"/>
                <w:sz w:val="16"/>
                <w:szCs w:val="16"/>
                <w:color w:val="231F20"/>
                <w:w w:val="99"/>
              </w:rPr>
              <w:t>incorporation or organization)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40" w:type="dxa"/>
            <w:vAlign w:val="bottom"/>
          </w:tcPr>
          <w:p>
            <w:pPr>
              <w:jc w:val="center"/>
              <w:ind w:right="1380"/>
              <w:spacing w:after="0"/>
              <w:rPr>
                <w:sz w:val="20"/>
                <w:szCs w:val="20"/>
                <w:color w:val="auto"/>
              </w:rPr>
            </w:pPr>
            <w:r>
              <w:rPr>
                <w:rFonts w:ascii="Times New Roman" w:cs="Times New Roman" w:eastAsia="Times New Roman" w:hAnsi="Times New Roman"/>
                <w:sz w:val="16"/>
                <w:szCs w:val="16"/>
                <w:color w:val="231F20"/>
              </w:rPr>
              <w:t>Identification No.)</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440" w:type="dxa"/>
            <w:vAlign w:val="bottom"/>
          </w:tcPr>
          <w:p>
            <w:pPr>
              <w:jc w:val="center"/>
              <w:ind w:left="1236"/>
              <w:spacing w:after="0"/>
              <w:rPr>
                <w:sz w:val="20"/>
                <w:szCs w:val="20"/>
                <w:color w:val="auto"/>
              </w:rPr>
            </w:pPr>
            <w:r>
              <w:rPr>
                <w:rFonts w:ascii="Times New Roman" w:cs="Times New Roman" w:eastAsia="Times New Roman" w:hAnsi="Times New Roman"/>
                <w:sz w:val="18"/>
                <w:szCs w:val="18"/>
                <w:b w:val="1"/>
                <w:bCs w:val="1"/>
                <w:color w:val="231F20"/>
              </w:rPr>
              <w:t>One World Trade Center</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3440" w:type="dxa"/>
            <w:vAlign w:val="bottom"/>
          </w:tcPr>
          <w:p>
            <w:pPr>
              <w:jc w:val="center"/>
              <w:ind w:left="1236"/>
              <w:spacing w:after="0"/>
              <w:rPr>
                <w:sz w:val="20"/>
                <w:szCs w:val="20"/>
                <w:color w:val="auto"/>
              </w:rPr>
            </w:pPr>
            <w:r>
              <w:rPr>
                <w:rFonts w:ascii="Times New Roman" w:cs="Times New Roman" w:eastAsia="Times New Roman" w:hAnsi="Times New Roman"/>
                <w:sz w:val="18"/>
                <w:szCs w:val="18"/>
                <w:b w:val="1"/>
                <w:bCs w:val="1"/>
                <w:color w:val="231F20"/>
                <w:w w:val="99"/>
              </w:rPr>
              <w:t>29th Floor</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40" w:type="dxa"/>
            <w:vAlign w:val="bottom"/>
          </w:tcPr>
          <w:p>
            <w:pPr>
              <w:jc w:val="right"/>
              <w:ind w:right="1900"/>
              <w:spacing w:after="0"/>
              <w:rPr>
                <w:sz w:val="20"/>
                <w:szCs w:val="20"/>
                <w:color w:val="auto"/>
              </w:rPr>
            </w:pPr>
            <w:r>
              <w:rPr>
                <w:rFonts w:ascii="Times New Roman" w:cs="Times New Roman" w:eastAsia="Times New Roman" w:hAnsi="Times New Roman"/>
                <w:sz w:val="18"/>
                <w:szCs w:val="18"/>
                <w:b w:val="1"/>
                <w:bCs w:val="1"/>
                <w:color w:val="231F20"/>
              </w:rPr>
              <w:t>10007</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3440" w:type="dxa"/>
            <w:vAlign w:val="bottom"/>
          </w:tcPr>
          <w:p>
            <w:pPr>
              <w:jc w:val="center"/>
              <w:ind w:left="1236"/>
              <w:spacing w:after="0"/>
              <w:rPr>
                <w:sz w:val="20"/>
                <w:szCs w:val="20"/>
                <w:color w:val="auto"/>
              </w:rPr>
            </w:pPr>
            <w:r>
              <w:rPr>
                <w:rFonts w:ascii="Times New Roman" w:cs="Times New Roman" w:eastAsia="Times New Roman" w:hAnsi="Times New Roman"/>
                <w:sz w:val="18"/>
                <w:szCs w:val="18"/>
                <w:b w:val="1"/>
                <w:bCs w:val="1"/>
                <w:color w:val="231F20"/>
                <w:w w:val="98"/>
              </w:rPr>
              <w:t>New York, New York</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40" w:type="dxa"/>
            <w:vAlign w:val="bottom"/>
          </w:tcPr>
          <w:p>
            <w:pPr>
              <w:jc w:val="center"/>
              <w:ind w:right="1380"/>
              <w:spacing w:after="0"/>
              <w:rPr>
                <w:sz w:val="20"/>
                <w:szCs w:val="20"/>
                <w:color w:val="auto"/>
              </w:rPr>
            </w:pPr>
            <w:r>
              <w:rPr>
                <w:rFonts w:ascii="Times New Roman" w:cs="Times New Roman" w:eastAsia="Times New Roman" w:hAnsi="Times New Roman"/>
                <w:sz w:val="16"/>
                <w:szCs w:val="16"/>
                <w:color w:val="231F20"/>
              </w:rPr>
              <w:t>(Zip Code)</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7040" w:type="dxa"/>
            <w:vAlign w:val="bottom"/>
            <w:gridSpan w:val="6"/>
          </w:tcPr>
          <w:p>
            <w:pPr>
              <w:jc w:val="center"/>
              <w:ind w:right="2280"/>
              <w:spacing w:after="0"/>
              <w:rPr>
                <w:sz w:val="20"/>
                <w:szCs w:val="20"/>
                <w:color w:val="auto"/>
              </w:rPr>
            </w:pPr>
            <w:r>
              <w:rPr>
                <w:rFonts w:ascii="Times New Roman" w:cs="Times New Roman" w:eastAsia="Times New Roman" w:hAnsi="Times New Roman"/>
                <w:sz w:val="16"/>
                <w:szCs w:val="16"/>
                <w:color w:val="231F20"/>
              </w:rPr>
              <w:t>(Address of principal executive offices)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20" w:type="dxa"/>
            <w:vAlign w:val="bottom"/>
          </w:tcPr>
          <w:p>
            <w:pPr>
              <w:spacing w:after="0"/>
              <w:rPr>
                <w:sz w:val="22"/>
                <w:szCs w:val="22"/>
                <w:color w:val="auto"/>
              </w:rPr>
            </w:pPr>
          </w:p>
        </w:tc>
        <w:tc>
          <w:tcPr>
            <w:tcW w:w="9980" w:type="dxa"/>
            <w:vAlign w:val="bottom"/>
            <w:gridSpan w:val="7"/>
          </w:tcPr>
          <w:p>
            <w:pPr>
              <w:jc w:val="center"/>
              <w:ind w:left="96"/>
              <w:spacing w:after="0"/>
              <w:rPr>
                <w:sz w:val="20"/>
                <w:szCs w:val="20"/>
                <w:color w:val="auto"/>
              </w:rPr>
            </w:pPr>
            <w:r>
              <w:rPr>
                <w:rFonts w:ascii="Times New Roman" w:cs="Times New Roman" w:eastAsia="Times New Roman" w:hAnsi="Times New Roman"/>
                <w:sz w:val="18"/>
                <w:szCs w:val="18"/>
                <w:b w:val="1"/>
                <w:bCs w:val="1"/>
                <w:color w:val="231F20"/>
              </w:rPr>
              <w:t>Registrant’s telephone number, including area code: (212) 332-3241</w:t>
            </w:r>
          </w:p>
        </w:tc>
        <w:tc>
          <w:tcPr>
            <w:tcW w:w="0" w:type="dxa"/>
            <w:vAlign w:val="bottom"/>
          </w:tcPr>
          <w:p>
            <w:pPr>
              <w:spacing w:after="0"/>
              <w:rPr>
                <w:sz w:val="1"/>
                <w:szCs w:val="1"/>
                <w:color w:val="auto"/>
              </w:rPr>
            </w:pPr>
          </w:p>
        </w:tc>
      </w:tr>
      <w:tr>
        <w:trPr>
          <w:trHeight w:val="253"/>
        </w:trPr>
        <w:tc>
          <w:tcPr>
            <w:tcW w:w="320" w:type="dxa"/>
            <w:vAlign w:val="bottom"/>
          </w:tcPr>
          <w:p>
            <w:pPr>
              <w:spacing w:after="0"/>
              <w:rPr>
                <w:sz w:val="21"/>
                <w:szCs w:val="21"/>
                <w:color w:val="auto"/>
              </w:rPr>
            </w:pPr>
          </w:p>
        </w:tc>
        <w:tc>
          <w:tcPr>
            <w:tcW w:w="9980" w:type="dxa"/>
            <w:vAlign w:val="bottom"/>
            <w:gridSpan w:val="7"/>
          </w:tcPr>
          <w:p>
            <w:pPr>
              <w:jc w:val="center"/>
              <w:ind w:left="96"/>
              <w:spacing w:after="0"/>
              <w:rPr>
                <w:sz w:val="20"/>
                <w:szCs w:val="20"/>
                <w:color w:val="auto"/>
              </w:rPr>
            </w:pPr>
            <w:r>
              <w:rPr>
                <w:rFonts w:ascii="Times New Roman" w:cs="Times New Roman" w:eastAsia="Times New Roman" w:hAnsi="Times New Roman"/>
                <w:sz w:val="18"/>
                <w:szCs w:val="18"/>
                <w:b w:val="1"/>
                <w:bCs w:val="1"/>
                <w:color w:val="231F20"/>
                <w:w w:val="99"/>
              </w:rPr>
              <w:t>Securities registered pursuant to Section 12(b) of the Act:</w:t>
            </w:r>
          </w:p>
        </w:tc>
        <w:tc>
          <w:tcPr>
            <w:tcW w:w="0" w:type="dxa"/>
            <w:vAlign w:val="bottom"/>
          </w:tcPr>
          <w:p>
            <w:pPr>
              <w:spacing w:after="0"/>
              <w:rPr>
                <w:sz w:val="1"/>
                <w:szCs w:val="1"/>
                <w:color w:val="auto"/>
              </w:rPr>
            </w:pPr>
          </w:p>
        </w:tc>
      </w:tr>
      <w:tr>
        <w:trPr>
          <w:trHeight w:val="246"/>
        </w:trPr>
        <w:tc>
          <w:tcPr>
            <w:tcW w:w="320" w:type="dxa"/>
            <w:vAlign w:val="bottom"/>
          </w:tcPr>
          <w:p>
            <w:pPr>
              <w:spacing w:after="0"/>
              <w:rPr>
                <w:sz w:val="21"/>
                <w:szCs w:val="21"/>
                <w:color w:val="auto"/>
              </w:rPr>
            </w:pPr>
          </w:p>
        </w:tc>
        <w:tc>
          <w:tcPr>
            <w:tcW w:w="3440" w:type="dxa"/>
            <w:vAlign w:val="bottom"/>
          </w:tcPr>
          <w:p>
            <w:pPr>
              <w:jc w:val="center"/>
              <w:ind w:right="396"/>
              <w:spacing w:after="0"/>
              <w:rPr>
                <w:sz w:val="20"/>
                <w:szCs w:val="20"/>
                <w:color w:val="auto"/>
              </w:rPr>
            </w:pPr>
            <w:r>
              <w:rPr>
                <w:rFonts w:ascii="Times New Roman" w:cs="Times New Roman" w:eastAsia="Times New Roman" w:hAnsi="Times New Roman"/>
                <w:sz w:val="14"/>
                <w:szCs w:val="14"/>
                <w:color w:val="231F20"/>
                <w:w w:val="98"/>
              </w:rPr>
              <w:t>Title of each class: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color w:val="231F20"/>
              </w:rPr>
              <w:t>Trading Symbol(s)</w:t>
            </w:r>
          </w:p>
        </w:tc>
        <w:tc>
          <w:tcPr>
            <w:tcW w:w="2940" w:type="dxa"/>
            <w:vAlign w:val="bottom"/>
          </w:tcPr>
          <w:p>
            <w:pPr>
              <w:jc w:val="center"/>
              <w:ind w:left="260"/>
              <w:spacing w:after="0"/>
              <w:rPr>
                <w:sz w:val="20"/>
                <w:szCs w:val="20"/>
                <w:color w:val="auto"/>
              </w:rPr>
            </w:pPr>
            <w:r>
              <w:rPr>
                <w:rFonts w:ascii="Times New Roman" w:cs="Times New Roman" w:eastAsia="Times New Roman" w:hAnsi="Times New Roman"/>
                <w:sz w:val="14"/>
                <w:szCs w:val="14"/>
                <w:color w:val="231F20"/>
                <w:w w:val="99"/>
              </w:rPr>
              <w:t>Name of Each Exchange on Which Registered</w:t>
            </w:r>
          </w:p>
        </w:tc>
        <w:tc>
          <w:tcPr>
            <w:tcW w:w="0" w:type="dxa"/>
            <w:vAlign w:val="bottom"/>
          </w:tcPr>
          <w:p>
            <w:pPr>
              <w:spacing w:after="0"/>
              <w:rPr>
                <w:sz w:val="1"/>
                <w:szCs w:val="1"/>
                <w:color w:val="auto"/>
              </w:rPr>
            </w:pPr>
          </w:p>
        </w:tc>
      </w:tr>
      <w:tr>
        <w:trPr>
          <w:trHeight w:val="273"/>
        </w:trPr>
        <w:tc>
          <w:tcPr>
            <w:tcW w:w="320" w:type="dxa"/>
            <w:vAlign w:val="bottom"/>
          </w:tcPr>
          <w:p>
            <w:pPr>
              <w:spacing w:after="0"/>
              <w:rPr>
                <w:sz w:val="23"/>
                <w:szCs w:val="23"/>
                <w:color w:val="auto"/>
              </w:rPr>
            </w:pPr>
          </w:p>
        </w:tc>
        <w:tc>
          <w:tcPr>
            <w:tcW w:w="3440" w:type="dxa"/>
            <w:vAlign w:val="bottom"/>
          </w:tcPr>
          <w:p>
            <w:pPr>
              <w:jc w:val="center"/>
              <w:ind w:right="396"/>
              <w:spacing w:after="0"/>
              <w:rPr>
                <w:sz w:val="20"/>
                <w:szCs w:val="20"/>
                <w:color w:val="auto"/>
              </w:rPr>
            </w:pPr>
            <w:r>
              <w:rPr>
                <w:rFonts w:ascii="Times New Roman" w:cs="Times New Roman" w:eastAsia="Times New Roman" w:hAnsi="Times New Roman"/>
                <w:sz w:val="14"/>
                <w:szCs w:val="14"/>
                <w:color w:val="231F20"/>
                <w:w w:val="99"/>
              </w:rPr>
              <w:t>Common Stock, Par Value $0.0001 Per Share</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color w:val="231F20"/>
                <w:w w:val="98"/>
              </w:rPr>
              <w:t>AXSM</w:t>
            </w:r>
          </w:p>
        </w:tc>
        <w:tc>
          <w:tcPr>
            <w:tcW w:w="2940" w:type="dxa"/>
            <w:vAlign w:val="bottom"/>
          </w:tcPr>
          <w:p>
            <w:pPr>
              <w:jc w:val="center"/>
              <w:ind w:left="260"/>
              <w:spacing w:after="0"/>
              <w:rPr>
                <w:sz w:val="20"/>
                <w:szCs w:val="20"/>
                <w:color w:val="auto"/>
              </w:rPr>
            </w:pPr>
            <w:r>
              <w:rPr>
                <w:rFonts w:ascii="Times New Roman" w:cs="Times New Roman" w:eastAsia="Times New Roman" w:hAnsi="Times New Roman"/>
                <w:sz w:val="14"/>
                <w:szCs w:val="14"/>
                <w:color w:val="231F20"/>
                <w:w w:val="99"/>
              </w:rPr>
              <w:t>The Nasdaq Global Market</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440" w:type="dxa"/>
            <w:vAlign w:val="bottom"/>
          </w:tcPr>
          <w:p>
            <w:pPr>
              <w:jc w:val="center"/>
              <w:ind w:right="396"/>
              <w:spacing w:after="0"/>
              <w:rPr>
                <w:sz w:val="20"/>
                <w:szCs w:val="20"/>
                <w:color w:val="auto"/>
              </w:rPr>
            </w:pPr>
            <w:r>
              <w:rPr>
                <w:rFonts w:ascii="Times New Roman" w:cs="Times New Roman" w:eastAsia="Times New Roman" w:hAnsi="Times New Roman"/>
                <w:sz w:val="14"/>
                <w:szCs w:val="14"/>
                <w:color w:val="231F20"/>
                <w:w w:val="99"/>
              </w:rPr>
              <w:t>(Title of Class)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683895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53.85pt" to="585pt,53.85pt" o:allowincell="f" strokecolor="#231F2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571500</wp:posOffset>
                </wp:positionH>
                <wp:positionV relativeFrom="page">
                  <wp:posOffset>702945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55.35pt" to="585pt,55.35pt" o:allowincell="f" strokecolor="#231F20" strokeweight="0.75pt">
                <w10:wrap anchorx="page" anchory="page"/>
              </v:line>
            </w:pict>
          </mc:Fallback>
        </mc:AlternateContent>
      </w: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Securities registered pursuant to Section 12(g) of the Act:</w:t>
      </w:r>
    </w:p>
    <w:p>
      <w:pPr>
        <w:spacing w:after="0" w:line="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231F20"/>
        </w:rPr>
        <w:t>None</w:t>
      </w:r>
    </w:p>
    <w:p>
      <w:pPr>
        <w:spacing w:after="0" w:line="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231F20"/>
        </w:rPr>
        <w:t>Indicate by check mark if the registrant is a well-known seasoned issuer, as defined in Rule 405 of the Securities Act.</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231F20"/>
        </w:rPr>
        <w:t xml:space="preserve">Yes </w:t>
      </w:r>
      <w:r>
        <w:rPr>
          <w:rFonts w:ascii="Segoe UI Symbol" w:cs="Segoe UI Symbol" w:eastAsia="Segoe UI Symbol" w:hAnsi="Segoe UI Symbol"/>
          <w:sz w:val="14"/>
          <w:szCs w:val="14"/>
          <w:color w:val="231F20"/>
        </w:rPr>
        <w:t>☒</w:t>
      </w:r>
      <w:r>
        <w:rPr>
          <w:rFonts w:ascii="Times New Roman" w:cs="Times New Roman" w:eastAsia="Times New Roman" w:hAnsi="Times New Roman"/>
          <w:sz w:val="14"/>
          <w:szCs w:val="14"/>
          <w:color w:val="231F20"/>
        </w:rPr>
        <w:t xml:space="preserve"> No </w:t>
      </w:r>
      <w:r>
        <w:rPr>
          <w:rFonts w:ascii="Segoe UI Symbol" w:cs="Segoe UI Symbol" w:eastAsia="Segoe UI Symbol" w:hAnsi="Segoe UI Symbol"/>
          <w:sz w:val="14"/>
          <w:szCs w:val="14"/>
          <w:color w:val="231F20"/>
        </w:rPr>
        <w:t>☐</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231F20"/>
        </w:rPr>
        <w:t>Indicate by check mark if the registrant is not required to file reports pursuant to Section 13 or Section 15(d) of the Act.</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231F20"/>
        </w:rPr>
        <w:t xml:space="preserve">Yes </w:t>
      </w:r>
      <w:r>
        <w:rPr>
          <w:rFonts w:ascii="Segoe UI Symbol" w:cs="Segoe UI Symbol" w:eastAsia="Segoe UI Symbol" w:hAnsi="Segoe UI Symbol"/>
          <w:sz w:val="14"/>
          <w:szCs w:val="14"/>
          <w:color w:val="231F20"/>
        </w:rPr>
        <w:t>☐</w:t>
      </w:r>
      <w:r>
        <w:rPr>
          <w:rFonts w:ascii="Times New Roman" w:cs="Times New Roman" w:eastAsia="Times New Roman" w:hAnsi="Times New Roman"/>
          <w:sz w:val="14"/>
          <w:szCs w:val="14"/>
          <w:color w:val="231F20"/>
        </w:rPr>
        <w:t xml:space="preserve"> No </w:t>
      </w:r>
      <w:r>
        <w:rPr>
          <w:rFonts w:ascii="Segoe UI Symbol" w:cs="Segoe UI Symbol" w:eastAsia="Segoe UI Symbol" w:hAnsi="Segoe UI Symbol"/>
          <w:sz w:val="14"/>
          <w:szCs w:val="14"/>
          <w:color w:val="231F20"/>
        </w:rPr>
        <w:t>☒</w:t>
      </w:r>
    </w:p>
    <w:p>
      <w:pPr>
        <w:spacing w:after="0" w:line="7" w:lineRule="exact"/>
        <w:rPr>
          <w:sz w:val="20"/>
          <w:szCs w:val="20"/>
          <w:color w:val="auto"/>
        </w:rPr>
      </w:pPr>
    </w:p>
    <w:p>
      <w:pPr>
        <w:ind w:right="120" w:firstLine="720"/>
        <w:spacing w:after="0" w:line="234" w:lineRule="auto"/>
        <w:rPr>
          <w:sz w:val="20"/>
          <w:szCs w:val="20"/>
          <w:color w:val="auto"/>
        </w:rPr>
      </w:pPr>
      <w:r>
        <w:rPr>
          <w:rFonts w:ascii="Times New Roman" w:cs="Times New Roman" w:eastAsia="Times New Roman" w:hAnsi="Times New Roman"/>
          <w:sz w:val="14"/>
          <w:szCs w:val="14"/>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4"/>
          <w:szCs w:val="14"/>
          <w:color w:val="231F20"/>
        </w:rPr>
        <w:t>☒</w:t>
      </w:r>
      <w:r>
        <w:rPr>
          <w:rFonts w:ascii="Times New Roman" w:cs="Times New Roman" w:eastAsia="Times New Roman" w:hAnsi="Times New Roman"/>
          <w:sz w:val="14"/>
          <w:szCs w:val="14"/>
          <w:color w:val="231F20"/>
        </w:rPr>
        <w:t xml:space="preserve"> No </w:t>
      </w:r>
      <w:r>
        <w:rPr>
          <w:rFonts w:ascii="Segoe UI Symbol" w:cs="Segoe UI Symbol" w:eastAsia="Segoe UI Symbol" w:hAnsi="Segoe UI Symbol"/>
          <w:sz w:val="14"/>
          <w:szCs w:val="14"/>
          <w:color w:val="231F20"/>
        </w:rPr>
        <w:t>☐</w:t>
      </w:r>
    </w:p>
    <w:p>
      <w:pPr>
        <w:spacing w:after="0" w:line="1" w:lineRule="exact"/>
        <w:rPr>
          <w:sz w:val="20"/>
          <w:szCs w:val="20"/>
          <w:color w:val="auto"/>
        </w:rPr>
      </w:pPr>
    </w:p>
    <w:p>
      <w:pPr>
        <w:ind w:right="80" w:firstLine="720"/>
        <w:spacing w:after="0" w:line="234" w:lineRule="auto"/>
        <w:rPr>
          <w:sz w:val="20"/>
          <w:szCs w:val="20"/>
          <w:color w:val="auto"/>
        </w:rPr>
      </w:pPr>
      <w:r>
        <w:rPr>
          <w:rFonts w:ascii="Times New Roman" w:cs="Times New Roman" w:eastAsia="Times New Roman" w:hAnsi="Times New Roman"/>
          <w:sz w:val="14"/>
          <w:szCs w:val="14"/>
          <w:color w:val="231F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Segoe UI Symbol" w:cs="Segoe UI Symbol" w:eastAsia="Segoe UI Symbol" w:hAnsi="Segoe UI Symbol"/>
          <w:sz w:val="14"/>
          <w:szCs w:val="14"/>
          <w:color w:val="231F20"/>
        </w:rPr>
        <w:t>☒</w:t>
      </w:r>
      <w:r>
        <w:rPr>
          <w:rFonts w:ascii="Times New Roman" w:cs="Times New Roman" w:eastAsia="Times New Roman" w:hAnsi="Times New Roman"/>
          <w:sz w:val="14"/>
          <w:szCs w:val="14"/>
          <w:color w:val="231F20"/>
        </w:rPr>
        <w:t xml:space="preserve"> No </w:t>
      </w:r>
      <w:r>
        <w:rPr>
          <w:rFonts w:ascii="Segoe UI Symbol" w:cs="Segoe UI Symbol" w:eastAsia="Segoe UI Symbol" w:hAnsi="Segoe UI Symbol"/>
          <w:sz w:val="14"/>
          <w:szCs w:val="14"/>
          <w:color w:val="231F20"/>
        </w:rPr>
        <w:t>☐</w:t>
      </w:r>
    </w:p>
    <w:p>
      <w:pPr>
        <w:spacing w:after="0" w:line="1" w:lineRule="exact"/>
        <w:rPr>
          <w:sz w:val="20"/>
          <w:szCs w:val="20"/>
          <w:color w:val="auto"/>
        </w:rPr>
      </w:pPr>
    </w:p>
    <w:p>
      <w:pPr>
        <w:ind w:right="540" w:firstLine="720"/>
        <w:spacing w:after="0" w:line="234" w:lineRule="auto"/>
        <w:rPr>
          <w:sz w:val="20"/>
          <w:szCs w:val="20"/>
          <w:color w:val="auto"/>
        </w:rPr>
      </w:pPr>
      <w:r>
        <w:rPr>
          <w:rFonts w:ascii="Times New Roman" w:cs="Times New Roman" w:eastAsia="Times New Roman" w:hAnsi="Times New Roman"/>
          <w:sz w:val="14"/>
          <w:szCs w:val="14"/>
          <w:color w:val="231F20"/>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93" w:lineRule="exact"/>
        <w:rPr>
          <w:sz w:val="20"/>
          <w:szCs w:val="20"/>
          <w:color w:val="auto"/>
        </w:rPr>
      </w:pPr>
    </w:p>
    <w:tbl>
      <w:tblPr>
        <w:tblLayout w:type="fixed"/>
        <w:tblInd w:w="760" w:type="dxa"/>
        <w:tblCellMar>
          <w:top w:w="0" w:type="dxa"/>
          <w:left w:w="0" w:type="dxa"/>
          <w:bottom w:w="0" w:type="dxa"/>
          <w:right w:w="0" w:type="dxa"/>
        </w:tblCellMar>
      </w:tblPr>
      <w:tr>
        <w:trPr>
          <w:trHeight w:val="186"/>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231F20"/>
              </w:rPr>
              <w:t>Large accelerated filer</w:t>
            </w:r>
          </w:p>
        </w:tc>
        <w:tc>
          <w:tcPr>
            <w:tcW w:w="2440" w:type="dxa"/>
            <w:vAlign w:val="bottom"/>
          </w:tcPr>
          <w:p>
            <w:pPr>
              <w:ind w:left="1280"/>
              <w:spacing w:after="0"/>
              <w:rPr>
                <w:sz w:val="20"/>
                <w:szCs w:val="20"/>
                <w:color w:val="auto"/>
              </w:rPr>
            </w:pPr>
            <w:r>
              <w:rPr>
                <w:rFonts w:ascii="Segoe UI Symbol" w:cs="Segoe UI Symbol" w:eastAsia="Segoe UI Symbol" w:hAnsi="Segoe UI Symbol"/>
                <w:sz w:val="14"/>
                <w:szCs w:val="14"/>
                <w:color w:val="231F20"/>
              </w:rPr>
              <w:t>☒</w:t>
            </w:r>
          </w:p>
        </w:tc>
        <w:tc>
          <w:tcPr>
            <w:tcW w:w="3720" w:type="dxa"/>
            <w:vAlign w:val="bottom"/>
          </w:tcPr>
          <w:p>
            <w:pPr>
              <w:ind w:left="1040"/>
              <w:spacing w:after="0"/>
              <w:rPr>
                <w:sz w:val="20"/>
                <w:szCs w:val="20"/>
                <w:color w:val="auto"/>
              </w:rPr>
            </w:pPr>
            <w:r>
              <w:rPr>
                <w:rFonts w:ascii="Times New Roman" w:cs="Times New Roman" w:eastAsia="Times New Roman" w:hAnsi="Times New Roman"/>
                <w:sz w:val="14"/>
                <w:szCs w:val="14"/>
                <w:color w:val="231F20"/>
              </w:rPr>
              <w:t>Accelerated Filer</w:t>
            </w:r>
          </w:p>
        </w:tc>
        <w:tc>
          <w:tcPr>
            <w:tcW w:w="1260" w:type="dxa"/>
            <w:vAlign w:val="bottom"/>
          </w:tcPr>
          <w:p>
            <w:pPr>
              <w:ind w:left="1140"/>
              <w:spacing w:after="0"/>
              <w:rPr>
                <w:sz w:val="20"/>
                <w:szCs w:val="20"/>
                <w:color w:val="auto"/>
              </w:rPr>
            </w:pPr>
            <w:r>
              <w:rPr>
                <w:rFonts w:ascii="Segoe UI Symbol" w:cs="Segoe UI Symbol" w:eastAsia="Segoe UI Symbol" w:hAnsi="Segoe UI Symbol"/>
                <w:sz w:val="14"/>
                <w:szCs w:val="14"/>
                <w:color w:val="231F20"/>
                <w:w w:val="82"/>
              </w:rPr>
              <w:t>☐</w:t>
            </w:r>
          </w:p>
        </w:tc>
      </w:tr>
      <w:tr>
        <w:trPr>
          <w:trHeight w:val="186"/>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231F20"/>
              </w:rPr>
              <w:t>Non-accelerated filer</w:t>
            </w:r>
          </w:p>
        </w:tc>
        <w:tc>
          <w:tcPr>
            <w:tcW w:w="2440" w:type="dxa"/>
            <w:vAlign w:val="bottom"/>
          </w:tcPr>
          <w:p>
            <w:pPr>
              <w:ind w:left="1280"/>
              <w:spacing w:after="0"/>
              <w:rPr>
                <w:sz w:val="20"/>
                <w:szCs w:val="20"/>
                <w:color w:val="auto"/>
              </w:rPr>
            </w:pPr>
            <w:r>
              <w:rPr>
                <w:rFonts w:ascii="Segoe UI Symbol" w:cs="Segoe UI Symbol" w:eastAsia="Segoe UI Symbol" w:hAnsi="Segoe UI Symbol"/>
                <w:sz w:val="14"/>
                <w:szCs w:val="14"/>
                <w:color w:val="231F20"/>
              </w:rPr>
              <w:t>☐</w:t>
            </w:r>
          </w:p>
        </w:tc>
        <w:tc>
          <w:tcPr>
            <w:tcW w:w="3720" w:type="dxa"/>
            <w:vAlign w:val="bottom"/>
          </w:tcPr>
          <w:p>
            <w:pPr>
              <w:ind w:left="1040"/>
              <w:spacing w:after="0"/>
              <w:rPr>
                <w:sz w:val="20"/>
                <w:szCs w:val="20"/>
                <w:color w:val="auto"/>
              </w:rPr>
            </w:pPr>
            <w:r>
              <w:rPr>
                <w:rFonts w:ascii="Times New Roman" w:cs="Times New Roman" w:eastAsia="Times New Roman" w:hAnsi="Times New Roman"/>
                <w:sz w:val="14"/>
                <w:szCs w:val="14"/>
                <w:color w:val="231F20"/>
              </w:rPr>
              <w:t>Smaller reporting company</w:t>
            </w:r>
          </w:p>
        </w:tc>
        <w:tc>
          <w:tcPr>
            <w:tcW w:w="1260" w:type="dxa"/>
            <w:vAlign w:val="bottom"/>
          </w:tcPr>
          <w:p>
            <w:pPr>
              <w:ind w:left="1140"/>
              <w:spacing w:after="0"/>
              <w:rPr>
                <w:sz w:val="20"/>
                <w:szCs w:val="20"/>
                <w:color w:val="auto"/>
              </w:rPr>
            </w:pPr>
            <w:r>
              <w:rPr>
                <w:rFonts w:ascii="Segoe UI Symbol" w:cs="Segoe UI Symbol" w:eastAsia="Segoe UI Symbol" w:hAnsi="Segoe UI Symbol"/>
                <w:sz w:val="14"/>
                <w:szCs w:val="14"/>
                <w:color w:val="231F20"/>
                <w:w w:val="82"/>
              </w:rPr>
              <w:t>☐</w:t>
            </w:r>
          </w:p>
        </w:tc>
      </w:tr>
      <w:tr>
        <w:trPr>
          <w:trHeight w:val="227"/>
        </w:trPr>
        <w:tc>
          <w:tcPr>
            <w:tcW w:w="25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720" w:type="dxa"/>
            <w:vAlign w:val="bottom"/>
          </w:tcPr>
          <w:p>
            <w:pPr>
              <w:ind w:left="1040"/>
              <w:spacing w:after="0"/>
              <w:rPr>
                <w:sz w:val="20"/>
                <w:szCs w:val="20"/>
                <w:color w:val="auto"/>
              </w:rPr>
            </w:pPr>
            <w:r>
              <w:rPr>
                <w:rFonts w:ascii="Times New Roman" w:cs="Times New Roman" w:eastAsia="Times New Roman" w:hAnsi="Times New Roman"/>
                <w:sz w:val="14"/>
                <w:szCs w:val="14"/>
                <w:color w:val="231F20"/>
              </w:rPr>
              <w:t>Emerging growth company</w:t>
            </w:r>
          </w:p>
        </w:tc>
        <w:tc>
          <w:tcPr>
            <w:tcW w:w="1260" w:type="dxa"/>
            <w:vAlign w:val="bottom"/>
          </w:tcPr>
          <w:p>
            <w:pPr>
              <w:ind w:left="1140"/>
              <w:spacing w:after="0"/>
              <w:rPr>
                <w:sz w:val="20"/>
                <w:szCs w:val="20"/>
                <w:color w:val="auto"/>
              </w:rPr>
            </w:pPr>
            <w:r>
              <w:rPr>
                <w:rFonts w:ascii="Segoe UI Symbol" w:cs="Segoe UI Symbol" w:eastAsia="Segoe UI Symbol" w:hAnsi="Segoe UI Symbol"/>
                <w:sz w:val="14"/>
                <w:szCs w:val="14"/>
                <w:color w:val="231F20"/>
                <w:w w:val="82"/>
              </w:rPr>
              <w:t>☐</w:t>
            </w:r>
          </w:p>
        </w:tc>
      </w:tr>
    </w:tbl>
    <w:p>
      <w:pPr>
        <w:spacing w:after="0" w:line="122" w:lineRule="exact"/>
        <w:rPr>
          <w:sz w:val="20"/>
          <w:szCs w:val="20"/>
          <w:color w:val="auto"/>
        </w:rPr>
      </w:pPr>
    </w:p>
    <w:p>
      <w:pPr>
        <w:ind w:right="300" w:firstLine="720"/>
        <w:spacing w:after="0" w:line="266" w:lineRule="auto"/>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231F20"/>
        </w:rPr>
        <w:t>☐</w:t>
      </w:r>
    </w:p>
    <w:p>
      <w:pPr>
        <w:spacing w:after="0" w:line="1" w:lineRule="exact"/>
        <w:rPr>
          <w:sz w:val="20"/>
          <w:szCs w:val="20"/>
          <w:color w:val="auto"/>
        </w:rPr>
      </w:pPr>
    </w:p>
    <w:p>
      <w:pPr>
        <w:ind w:right="500" w:firstLine="720"/>
        <w:spacing w:after="0" w:line="253" w:lineRule="auto"/>
        <w:rPr>
          <w:sz w:val="20"/>
          <w:szCs w:val="20"/>
          <w:color w:val="auto"/>
        </w:rPr>
      </w:pPr>
      <w:r>
        <w:rPr>
          <w:rFonts w:ascii="Times New Roman" w:cs="Times New Roman" w:eastAsia="Times New Roman" w:hAnsi="Times New Roman"/>
          <w:sz w:val="14"/>
          <w:szCs w:val="14"/>
          <w:color w:val="231F20"/>
        </w:rPr>
        <w:t xml:space="preserve">Indicate by check mark whether the registrant has filed a report on and attestation to its management’s assessment of the effectiveness of its internal control over financial reporting under Section 404(b) of the Sarbanes-Oxley (15 U.S.C. 7262(b)) by the registered public accounting firm that prepared or issued its audit report. </w:t>
      </w:r>
      <w:r>
        <w:rPr>
          <w:rFonts w:ascii="Segoe UI Symbol" w:cs="Segoe UI Symbol" w:eastAsia="Segoe UI Symbol" w:hAnsi="Segoe UI Symbol"/>
          <w:sz w:val="14"/>
          <w:szCs w:val="14"/>
          <w:color w:val="231F20"/>
        </w:rPr>
        <w:t>☒</w:t>
      </w:r>
    </w:p>
    <w:p>
      <w:pPr>
        <w:spacing w:after="0" w:line="1"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4"/>
          <w:szCs w:val="14"/>
          <w:color w:val="231F20"/>
        </w:rPr>
        <w:t>☐</w:t>
      </w:r>
    </w:p>
    <w:p>
      <w:pPr>
        <w:spacing w:after="0" w:line="1" w:lineRule="exact"/>
        <w:rPr>
          <w:sz w:val="20"/>
          <w:szCs w:val="20"/>
          <w:color w:val="auto"/>
        </w:rPr>
      </w:pPr>
    </w:p>
    <w:p>
      <w:pPr>
        <w:ind w:right="600" w:firstLine="720"/>
        <w:spacing w:after="0" w:line="250" w:lineRule="auto"/>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231F20"/>
        </w:rPr>
        <w:t>☐</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231F20"/>
        </w:rPr>
        <w:t xml:space="preserve">Indicate by check mark whether the registrant is a shell company (as defined in Rule 12b-2 of the Exchange Act). Yes </w:t>
      </w:r>
      <w:r>
        <w:rPr>
          <w:rFonts w:ascii="Segoe UI Symbol" w:cs="Segoe UI Symbol" w:eastAsia="Segoe UI Symbol" w:hAnsi="Segoe UI Symbol"/>
          <w:sz w:val="14"/>
          <w:szCs w:val="14"/>
          <w:color w:val="231F20"/>
        </w:rPr>
        <w:t>☐</w:t>
      </w:r>
      <w:r>
        <w:rPr>
          <w:rFonts w:ascii="Times New Roman" w:cs="Times New Roman" w:eastAsia="Times New Roman" w:hAnsi="Times New Roman"/>
          <w:sz w:val="14"/>
          <w:szCs w:val="14"/>
          <w:color w:val="231F20"/>
        </w:rPr>
        <w:t xml:space="preserve"> No </w:t>
      </w:r>
      <w:r>
        <w:rPr>
          <w:rFonts w:ascii="Segoe UI Symbol" w:cs="Segoe UI Symbol" w:eastAsia="Segoe UI Symbol" w:hAnsi="Segoe UI Symbol"/>
          <w:sz w:val="14"/>
          <w:szCs w:val="14"/>
          <w:color w:val="231F20"/>
        </w:rPr>
        <w:t>☒</w:t>
      </w:r>
    </w:p>
    <w:p>
      <w:pPr>
        <w:spacing w:after="0" w:line="25" w:lineRule="exact"/>
        <w:rPr>
          <w:sz w:val="20"/>
          <w:szCs w:val="20"/>
          <w:color w:val="auto"/>
        </w:rPr>
      </w:pPr>
    </w:p>
    <w:p>
      <w:pPr>
        <w:ind w:right="420" w:firstLine="720"/>
        <w:spacing w:after="0" w:line="263" w:lineRule="auto"/>
        <w:rPr>
          <w:sz w:val="20"/>
          <w:szCs w:val="20"/>
          <w:color w:val="auto"/>
        </w:rPr>
      </w:pPr>
      <w:r>
        <w:rPr>
          <w:rFonts w:ascii="Times New Roman" w:cs="Times New Roman" w:eastAsia="Times New Roman" w:hAnsi="Times New Roman"/>
          <w:sz w:val="13"/>
          <w:szCs w:val="13"/>
          <w:color w:val="231F20"/>
        </w:rPr>
        <w:t>The aggregate market value of voting common stock held by non-affiliates of the registrant (assuming for purposes of this calculation, without conceding, that all executive officers and directors are “affiliates”) was approximately $4.4 billion as of June 30, 2025, based on the closing sale price of such stock as reported on The Nasdaq Global Market.</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231F20"/>
        </w:rPr>
        <w:t>There were 51,153,289 shares of the registrant’s common stock outstanding as of February 16, 2026.</w:t>
      </w:r>
    </w:p>
    <w:p>
      <w:pPr>
        <w:spacing w:after="0" w:line="2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231F20"/>
        </w:rPr>
        <w:t>DOCUMENTS INCORPORATED BY REFERENCE</w:t>
      </w:r>
    </w:p>
    <w:p>
      <w:pPr>
        <w:spacing w:after="0" w:line="22"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14"/>
          <w:szCs w:val="14"/>
          <w:color w:val="231F20"/>
        </w:rPr>
        <w:t>Portions of the registrant’s definitive proxy statement for its 2026 Annual Meeting of Stockholders (the “Proxy Statement”), to be filed within 120 days of the registrant’s fiscal year ended December 31, 2025,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ectPr>
          <w:pgSz w:w="12240" w:h="15840" w:orient="portrait"/>
          <w:cols w:equalWidth="0" w:num="1">
            <w:col w:w="10760"/>
          </w:cols>
          <w:pgMar w:left="900" w:top="1153" w:right="580" w:bottom="1440" w:gutter="0" w:footer="0" w:header="0"/>
        </w:sectPr>
      </w:pPr>
    </w:p>
    <w:bookmarkStart w:id="3" w:name="page4"/>
    <w:bookmarkEnd w:id="3"/>
    <w:p>
      <w:pPr>
        <w:ind w:left="3340"/>
        <w:spacing w:after="0"/>
        <w:rPr>
          <w:sz w:val="20"/>
          <w:szCs w:val="20"/>
          <w:color w:val="auto"/>
        </w:rPr>
      </w:pPr>
      <w:r>
        <w:rPr>
          <w:rFonts w:ascii="Times New Roman" w:cs="Times New Roman" w:eastAsia="Times New Roman" w:hAnsi="Times New Roman"/>
          <w:sz w:val="20"/>
          <w:szCs w:val="20"/>
          <w:b w:val="1"/>
          <w:bCs w:val="1"/>
          <w:color w:val="231F20"/>
        </w:rPr>
        <w:t>AXSOME THERAPEUTICS, INC.</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231F20"/>
        </w:rPr>
        <w:t>ANNUAL REPORT ON FORM 10-K</w:t>
      </w:r>
    </w:p>
    <w:p>
      <w:pPr>
        <w:ind w:left="2360"/>
        <w:spacing w:after="0"/>
        <w:rPr>
          <w:sz w:val="20"/>
          <w:szCs w:val="20"/>
          <w:color w:val="auto"/>
        </w:rPr>
      </w:pPr>
      <w:r>
        <w:rPr>
          <w:rFonts w:ascii="Times New Roman" w:cs="Times New Roman" w:eastAsia="Times New Roman" w:hAnsi="Times New Roman"/>
          <w:sz w:val="20"/>
          <w:szCs w:val="20"/>
          <w:b w:val="1"/>
          <w:bCs w:val="1"/>
          <w:color w:val="231F20"/>
        </w:rPr>
        <w:t>FOR THE FISCAL YEAR ENDED DECEMBER 31, 2025</w:t>
      </w:r>
    </w:p>
    <w:p>
      <w:pPr>
        <w:spacing w:after="0" w:line="19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253"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20"/>
          <w:szCs w:val="20"/>
          <w:b w:val="1"/>
          <w:bCs w:val="1"/>
          <w:u w:val="single" w:color="auto"/>
          <w:color w:val="231F20"/>
        </w:rPr>
        <w:t>Page</w:t>
      </w:r>
    </w:p>
    <w:p>
      <w:pPr>
        <w:spacing w:after="0" w:line="142" w:lineRule="exact"/>
        <w:rPr>
          <w:sz w:val="20"/>
          <w:szCs w:val="20"/>
          <w:color w:val="auto"/>
        </w:rPr>
      </w:pPr>
    </w:p>
    <w:p>
      <w:pPr>
        <w:spacing w:after="0"/>
        <w:tabs>
          <w:tab w:leader="dot" w:pos="9600" w:val="left"/>
        </w:tabs>
        <w:rPr>
          <w:sz w:val="20"/>
          <w:szCs w:val="20"/>
          <w:color w:val="auto"/>
        </w:rPr>
      </w:pPr>
      <w:r>
        <w:rPr>
          <w:rFonts w:ascii="Times New Roman" w:cs="Times New Roman" w:eastAsia="Times New Roman" w:hAnsi="Times New Roman"/>
          <w:sz w:val="20"/>
          <w:szCs w:val="20"/>
          <w:color w:val="231F20"/>
        </w:rPr>
        <w:t>SPECIAL CAUTIONARY NOTICE REGARDING FORWARD-LOOKING STATEMENTS</w:t>
      </w:r>
      <w:r>
        <w:rPr>
          <w:sz w:val="20"/>
          <w:szCs w:val="20"/>
          <w:color w:val="auto"/>
        </w:rPr>
        <w:tab/>
      </w:r>
      <w:r>
        <w:rPr>
          <w:rFonts w:ascii="Times New Roman" w:cs="Times New Roman" w:eastAsia="Times New Roman" w:hAnsi="Times New Roman"/>
          <w:sz w:val="20"/>
          <w:szCs w:val="20"/>
          <w:color w:val="231F20"/>
        </w:rPr>
        <w:t>3</w:t>
      </w:r>
    </w:p>
    <w:p>
      <w:pPr>
        <w:spacing w:after="0" w:line="1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32" w:lineRule="exact"/>
        <w:rPr>
          <w:sz w:val="20"/>
          <w:szCs w:val="20"/>
          <w:color w:val="auto"/>
        </w:rPr>
      </w:pPr>
    </w:p>
    <w:p>
      <w:pPr>
        <w:spacing w:after="0"/>
        <w:tabs>
          <w:tab w:leader="none" w:pos="960" w:val="left"/>
          <w:tab w:leader="dot" w:pos="9600" w:val="left"/>
        </w:tabs>
        <w:rPr>
          <w:sz w:val="20"/>
          <w:szCs w:val="20"/>
          <w:color w:val="auto"/>
        </w:rPr>
      </w:pPr>
      <w:r>
        <w:rPr>
          <w:rFonts w:ascii="Times New Roman" w:cs="Times New Roman" w:eastAsia="Times New Roman" w:hAnsi="Times New Roman"/>
          <w:sz w:val="20"/>
          <w:szCs w:val="20"/>
          <w:color w:val="231F20"/>
        </w:rPr>
        <w:t>ITEM 1</w:t>
      </w:r>
      <w:r>
        <w:rPr>
          <w:sz w:val="20"/>
          <w:szCs w:val="20"/>
          <w:color w:val="auto"/>
        </w:rPr>
        <w:tab/>
      </w:r>
      <w:r>
        <w:rPr>
          <w:rFonts w:ascii="Times New Roman" w:cs="Times New Roman" w:eastAsia="Times New Roman" w:hAnsi="Times New Roman"/>
          <w:sz w:val="20"/>
          <w:szCs w:val="20"/>
          <w:color w:val="231F20"/>
        </w:rPr>
        <w:t>Business</w:t>
      </w:r>
      <w:r>
        <w:rPr>
          <w:sz w:val="20"/>
          <w:szCs w:val="20"/>
          <w:color w:val="auto"/>
        </w:rPr>
        <w:tab/>
      </w:r>
      <w:r>
        <w:rPr>
          <w:rFonts w:ascii="Times New Roman" w:cs="Times New Roman" w:eastAsia="Times New Roman" w:hAnsi="Times New Roman"/>
          <w:sz w:val="20"/>
          <w:szCs w:val="20"/>
          <w:color w:val="231F20"/>
        </w:rPr>
        <w:t>4</w:t>
      </w:r>
    </w:p>
    <w:p>
      <w:pPr>
        <w:spacing w:after="0"/>
        <w:tabs>
          <w:tab w:leader="none" w:pos="960" w:val="left"/>
          <w:tab w:leader="dot" w:pos="9500" w:val="left"/>
        </w:tabs>
        <w:rPr>
          <w:sz w:val="20"/>
          <w:szCs w:val="20"/>
          <w:color w:val="auto"/>
        </w:rPr>
      </w:pPr>
      <w:r>
        <w:rPr>
          <w:rFonts w:ascii="Times New Roman" w:cs="Times New Roman" w:eastAsia="Times New Roman" w:hAnsi="Times New Roman"/>
          <w:sz w:val="20"/>
          <w:szCs w:val="20"/>
          <w:color w:val="231F20"/>
        </w:rPr>
        <w:t>ITEM 1A</w:t>
        <w:tab/>
        <w:t>Risk Factors</w:t>
      </w:r>
      <w:r>
        <w:rPr>
          <w:sz w:val="20"/>
          <w:szCs w:val="20"/>
          <w:color w:val="auto"/>
        </w:rPr>
        <w:tab/>
      </w:r>
      <w:r>
        <w:rPr>
          <w:rFonts w:ascii="Times New Roman" w:cs="Times New Roman" w:eastAsia="Times New Roman" w:hAnsi="Times New Roman"/>
          <w:sz w:val="20"/>
          <w:szCs w:val="20"/>
          <w:color w:val="231F20"/>
        </w:rPr>
        <w:t>41</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1B</w:t>
        <w:tab/>
        <w:t>Unresolved Staff Comments</w:t>
      </w:r>
      <w:r>
        <w:rPr>
          <w:sz w:val="20"/>
          <w:szCs w:val="20"/>
          <w:color w:val="auto"/>
        </w:rPr>
        <w:tab/>
      </w:r>
      <w:r>
        <w:rPr>
          <w:rFonts w:ascii="Times New Roman" w:cs="Times New Roman" w:eastAsia="Times New Roman" w:hAnsi="Times New Roman"/>
          <w:sz w:val="20"/>
          <w:szCs w:val="20"/>
          <w:color w:val="231F20"/>
        </w:rPr>
        <w:t>104</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1C</w:t>
        <w:tab/>
        <w:t>Cybersecurity</w:t>
      </w:r>
      <w:r>
        <w:rPr>
          <w:sz w:val="20"/>
          <w:szCs w:val="20"/>
          <w:color w:val="auto"/>
        </w:rPr>
        <w:tab/>
      </w:r>
      <w:r>
        <w:rPr>
          <w:rFonts w:ascii="Times New Roman" w:cs="Times New Roman" w:eastAsia="Times New Roman" w:hAnsi="Times New Roman"/>
          <w:sz w:val="20"/>
          <w:szCs w:val="20"/>
          <w:color w:val="231F20"/>
        </w:rPr>
        <w:t>104</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2</w:t>
      </w:r>
      <w:r>
        <w:rPr>
          <w:sz w:val="20"/>
          <w:szCs w:val="20"/>
          <w:color w:val="auto"/>
        </w:rPr>
        <w:tab/>
      </w:r>
      <w:r>
        <w:rPr>
          <w:rFonts w:ascii="Times New Roman" w:cs="Times New Roman" w:eastAsia="Times New Roman" w:hAnsi="Times New Roman"/>
          <w:sz w:val="20"/>
          <w:szCs w:val="20"/>
          <w:color w:val="231F20"/>
        </w:rPr>
        <w:t>Properties</w:t>
      </w:r>
      <w:r>
        <w:rPr>
          <w:sz w:val="20"/>
          <w:szCs w:val="20"/>
          <w:color w:val="auto"/>
        </w:rPr>
        <w:tab/>
      </w:r>
      <w:r>
        <w:rPr>
          <w:rFonts w:ascii="Times New Roman" w:cs="Times New Roman" w:eastAsia="Times New Roman" w:hAnsi="Times New Roman"/>
          <w:sz w:val="20"/>
          <w:szCs w:val="20"/>
          <w:color w:val="231F20"/>
        </w:rPr>
        <w:t>106</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3</w:t>
      </w:r>
      <w:r>
        <w:rPr>
          <w:sz w:val="20"/>
          <w:szCs w:val="20"/>
          <w:color w:val="auto"/>
        </w:rPr>
        <w:tab/>
      </w:r>
      <w:r>
        <w:rPr>
          <w:rFonts w:ascii="Times New Roman" w:cs="Times New Roman" w:eastAsia="Times New Roman" w:hAnsi="Times New Roman"/>
          <w:sz w:val="20"/>
          <w:szCs w:val="20"/>
          <w:color w:val="231F20"/>
        </w:rPr>
        <w:t>Legal Proceedings</w:t>
      </w:r>
      <w:r>
        <w:rPr>
          <w:sz w:val="20"/>
          <w:szCs w:val="20"/>
          <w:color w:val="auto"/>
        </w:rPr>
        <w:tab/>
      </w:r>
      <w:r>
        <w:rPr>
          <w:rFonts w:ascii="Times New Roman" w:cs="Times New Roman" w:eastAsia="Times New Roman" w:hAnsi="Times New Roman"/>
          <w:sz w:val="20"/>
          <w:szCs w:val="20"/>
          <w:color w:val="231F20"/>
        </w:rPr>
        <w:t>106</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4</w:t>
      </w:r>
      <w:r>
        <w:rPr>
          <w:sz w:val="20"/>
          <w:szCs w:val="20"/>
          <w:color w:val="auto"/>
        </w:rPr>
        <w:tab/>
      </w:r>
      <w:r>
        <w:rPr>
          <w:rFonts w:ascii="Times New Roman" w:cs="Times New Roman" w:eastAsia="Times New Roman" w:hAnsi="Times New Roman"/>
          <w:sz w:val="20"/>
          <w:szCs w:val="20"/>
          <w:color w:val="231F20"/>
        </w:rPr>
        <w:t>Mine Safety Disclosures</w:t>
      </w:r>
      <w:r>
        <w:rPr>
          <w:sz w:val="20"/>
          <w:szCs w:val="20"/>
          <w:color w:val="auto"/>
        </w:rPr>
        <w:tab/>
      </w:r>
      <w:r>
        <w:rPr>
          <w:rFonts w:ascii="Times New Roman" w:cs="Times New Roman" w:eastAsia="Times New Roman" w:hAnsi="Times New Roman"/>
          <w:sz w:val="20"/>
          <w:szCs w:val="20"/>
          <w:color w:val="231F20"/>
        </w:rPr>
        <w:t>106</w:t>
      </w:r>
    </w:p>
    <w:p>
      <w:pPr>
        <w:spacing w:after="0" w:line="1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1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231F20"/>
        </w:rPr>
        <w:t>ITEM 5</w:t>
      </w:r>
      <w:r>
        <w:rPr>
          <w:sz w:val="20"/>
          <w:szCs w:val="20"/>
          <w:color w:val="auto"/>
        </w:rPr>
        <w:tab/>
      </w:r>
      <w:r>
        <w:rPr>
          <w:rFonts w:ascii="Times New Roman" w:cs="Times New Roman" w:eastAsia="Times New Roman" w:hAnsi="Times New Roman"/>
          <w:sz w:val="19"/>
          <w:szCs w:val="19"/>
          <w:color w:val="231F20"/>
        </w:rPr>
        <w:t>Market for Registrant’s Common Equity, Related Stockholder Matters and Issuer Purchases of Equity</w:t>
      </w:r>
    </w:p>
    <w:p>
      <w:pPr>
        <w:spacing w:after="0" w:line="28" w:lineRule="exact"/>
        <w:rPr>
          <w:sz w:val="20"/>
          <w:szCs w:val="20"/>
          <w:color w:val="auto"/>
        </w:rPr>
      </w:pPr>
    </w:p>
    <w:p>
      <w:pPr>
        <w:ind w:left="980"/>
        <w:spacing w:after="0"/>
        <w:tabs>
          <w:tab w:leader="dot" w:pos="9400" w:val="left"/>
        </w:tabs>
        <w:rPr>
          <w:sz w:val="20"/>
          <w:szCs w:val="20"/>
          <w:color w:val="auto"/>
        </w:rPr>
      </w:pPr>
      <w:r>
        <w:rPr>
          <w:rFonts w:ascii="Times New Roman" w:cs="Times New Roman" w:eastAsia="Times New Roman" w:hAnsi="Times New Roman"/>
          <w:sz w:val="20"/>
          <w:szCs w:val="20"/>
          <w:color w:val="231F20"/>
        </w:rPr>
        <w:t>Securities</w:t>
      </w:r>
      <w:r>
        <w:rPr>
          <w:sz w:val="20"/>
          <w:szCs w:val="20"/>
          <w:color w:val="auto"/>
        </w:rPr>
        <w:tab/>
      </w:r>
      <w:r>
        <w:rPr>
          <w:rFonts w:ascii="Times New Roman" w:cs="Times New Roman" w:eastAsia="Times New Roman" w:hAnsi="Times New Roman"/>
          <w:sz w:val="20"/>
          <w:szCs w:val="20"/>
          <w:color w:val="231F20"/>
        </w:rPr>
        <w:t>107</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6</w:t>
      </w:r>
      <w:r>
        <w:rPr>
          <w:sz w:val="20"/>
          <w:szCs w:val="20"/>
          <w:color w:val="auto"/>
        </w:rPr>
        <w:tab/>
      </w:r>
      <w:r>
        <w:rPr>
          <w:rFonts w:ascii="Times New Roman" w:cs="Times New Roman" w:eastAsia="Times New Roman" w:hAnsi="Times New Roman"/>
          <w:sz w:val="20"/>
          <w:szCs w:val="20"/>
          <w:color w:val="231F20"/>
        </w:rPr>
        <w:t>Reserved</w:t>
      </w:r>
      <w:r>
        <w:rPr>
          <w:sz w:val="20"/>
          <w:szCs w:val="20"/>
          <w:color w:val="auto"/>
        </w:rPr>
        <w:tab/>
      </w:r>
      <w:r>
        <w:rPr>
          <w:rFonts w:ascii="Times New Roman" w:cs="Times New Roman" w:eastAsia="Times New Roman" w:hAnsi="Times New Roman"/>
          <w:sz w:val="20"/>
          <w:szCs w:val="20"/>
          <w:color w:val="231F20"/>
        </w:rPr>
        <w:t>108</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7</w:t>
      </w:r>
      <w:r>
        <w:rPr>
          <w:sz w:val="20"/>
          <w:szCs w:val="20"/>
          <w:color w:val="auto"/>
        </w:rPr>
        <w:tab/>
      </w:r>
      <w:r>
        <w:rPr>
          <w:rFonts w:ascii="Times New Roman" w:cs="Times New Roman" w:eastAsia="Times New Roman" w:hAnsi="Times New Roman"/>
          <w:sz w:val="20"/>
          <w:szCs w:val="20"/>
          <w:color w:val="231F20"/>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231F20"/>
        </w:rPr>
        <w:t>109</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7A</w:t>
        <w:tab/>
        <w:t>Quantitative and Qualitative Disclosure About Market Risk</w:t>
      </w:r>
      <w:r>
        <w:rPr>
          <w:sz w:val="20"/>
          <w:szCs w:val="20"/>
          <w:color w:val="auto"/>
        </w:rPr>
        <w:tab/>
      </w:r>
      <w:r>
        <w:rPr>
          <w:rFonts w:ascii="Times New Roman" w:cs="Times New Roman" w:eastAsia="Times New Roman" w:hAnsi="Times New Roman"/>
          <w:sz w:val="20"/>
          <w:szCs w:val="20"/>
          <w:color w:val="231F20"/>
        </w:rPr>
        <w:t>124</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8</w:t>
      </w:r>
      <w:r>
        <w:rPr>
          <w:sz w:val="20"/>
          <w:szCs w:val="20"/>
          <w:color w:val="auto"/>
        </w:rPr>
        <w:tab/>
      </w:r>
      <w:r>
        <w:rPr>
          <w:rFonts w:ascii="Times New Roman" w:cs="Times New Roman" w:eastAsia="Times New Roman" w:hAnsi="Times New Roman"/>
          <w:sz w:val="20"/>
          <w:szCs w:val="20"/>
          <w:color w:val="231F20"/>
        </w:rPr>
        <w:t>Financial Statements and Supplementary Data</w:t>
      </w:r>
      <w:r>
        <w:rPr>
          <w:sz w:val="20"/>
          <w:szCs w:val="20"/>
          <w:color w:val="auto"/>
        </w:rPr>
        <w:tab/>
      </w:r>
      <w:r>
        <w:rPr>
          <w:rFonts w:ascii="Times New Roman" w:cs="Times New Roman" w:eastAsia="Times New Roman" w:hAnsi="Times New Roman"/>
          <w:sz w:val="20"/>
          <w:szCs w:val="20"/>
          <w:color w:val="231F20"/>
        </w:rPr>
        <w:t>124</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9</w:t>
      </w:r>
      <w:r>
        <w:rPr>
          <w:sz w:val="20"/>
          <w:szCs w:val="20"/>
          <w:color w:val="auto"/>
        </w:rPr>
        <w:tab/>
      </w:r>
      <w:r>
        <w:rPr>
          <w:rFonts w:ascii="Times New Roman" w:cs="Times New Roman" w:eastAsia="Times New Roman" w:hAnsi="Times New Roman"/>
          <w:sz w:val="20"/>
          <w:szCs w:val="20"/>
          <w:color w:val="231F20"/>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231F20"/>
        </w:rPr>
        <w:t>124</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9A</w:t>
        <w:tab/>
        <w:t>Controls and Procedures</w:t>
      </w:r>
      <w:r>
        <w:rPr>
          <w:sz w:val="20"/>
          <w:szCs w:val="20"/>
          <w:color w:val="auto"/>
        </w:rPr>
        <w:tab/>
      </w:r>
      <w:r>
        <w:rPr>
          <w:rFonts w:ascii="Times New Roman" w:cs="Times New Roman" w:eastAsia="Times New Roman" w:hAnsi="Times New Roman"/>
          <w:sz w:val="20"/>
          <w:szCs w:val="20"/>
          <w:color w:val="231F20"/>
        </w:rPr>
        <w:t>125</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9B</w:t>
        <w:tab/>
        <w:t>Other Information</w:t>
      </w:r>
      <w:r>
        <w:rPr>
          <w:sz w:val="20"/>
          <w:szCs w:val="20"/>
          <w:color w:val="auto"/>
        </w:rPr>
        <w:tab/>
      </w:r>
      <w:r>
        <w:rPr>
          <w:rFonts w:ascii="Times New Roman" w:cs="Times New Roman" w:eastAsia="Times New Roman" w:hAnsi="Times New Roman"/>
          <w:sz w:val="20"/>
          <w:szCs w:val="20"/>
          <w:color w:val="231F20"/>
        </w:rPr>
        <w:t>126</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9C</w:t>
        <w:tab/>
        <w:t>Disclosure Regarding Foreign Jurisdictions that Prevent Inspections</w:t>
      </w:r>
      <w:r>
        <w:rPr>
          <w:sz w:val="20"/>
          <w:szCs w:val="20"/>
          <w:color w:val="auto"/>
        </w:rPr>
        <w:tab/>
      </w:r>
      <w:r>
        <w:rPr>
          <w:rFonts w:ascii="Times New Roman" w:cs="Times New Roman" w:eastAsia="Times New Roman" w:hAnsi="Times New Roman"/>
          <w:sz w:val="20"/>
          <w:szCs w:val="20"/>
          <w:color w:val="231F20"/>
        </w:rPr>
        <w:t>126</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142" w:lineRule="exact"/>
        <w:rPr>
          <w:sz w:val="20"/>
          <w:szCs w:val="20"/>
          <w:color w:val="auto"/>
        </w:rPr>
      </w:pP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10</w:t>
        <w:tab/>
        <w:t>Directors, Executive Officers and Corporate Governance</w:t>
      </w:r>
      <w:r>
        <w:rPr>
          <w:sz w:val="20"/>
          <w:szCs w:val="20"/>
          <w:color w:val="auto"/>
        </w:rPr>
        <w:tab/>
      </w:r>
      <w:r>
        <w:rPr>
          <w:rFonts w:ascii="Times New Roman" w:cs="Times New Roman" w:eastAsia="Times New Roman" w:hAnsi="Times New Roman"/>
          <w:sz w:val="20"/>
          <w:szCs w:val="20"/>
          <w:color w:val="231F20"/>
        </w:rPr>
        <w:t>127</w:t>
      </w:r>
    </w:p>
    <w:p>
      <w:pPr>
        <w:spacing w:after="0" w:line="28" w:lineRule="exact"/>
        <w:rPr>
          <w:sz w:val="20"/>
          <w:szCs w:val="20"/>
          <w:color w:val="auto"/>
        </w:rPr>
      </w:pP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11</w:t>
        <w:tab/>
        <w:t>Executive Compensation</w:t>
      </w:r>
      <w:r>
        <w:rPr>
          <w:sz w:val="20"/>
          <w:szCs w:val="20"/>
          <w:color w:val="auto"/>
        </w:rPr>
        <w:tab/>
      </w:r>
      <w:r>
        <w:rPr>
          <w:rFonts w:ascii="Times New Roman" w:cs="Times New Roman" w:eastAsia="Times New Roman" w:hAnsi="Times New Roman"/>
          <w:sz w:val="20"/>
          <w:szCs w:val="20"/>
          <w:color w:val="231F20"/>
        </w:rPr>
        <w:t>127</w:t>
      </w:r>
    </w:p>
    <w:p>
      <w:pPr>
        <w:spacing w:after="0"/>
        <w:tabs>
          <w:tab w:leader="none" w:pos="960" w:val="left"/>
          <w:tab w:leader="none" w:pos="9400" w:val="left"/>
        </w:tabs>
        <w:rPr>
          <w:sz w:val="20"/>
          <w:szCs w:val="20"/>
          <w:color w:val="auto"/>
        </w:rPr>
      </w:pPr>
      <w:r>
        <w:rPr>
          <w:rFonts w:ascii="Times New Roman" w:cs="Times New Roman" w:eastAsia="Times New Roman" w:hAnsi="Times New Roman"/>
          <w:sz w:val="20"/>
          <w:szCs w:val="20"/>
          <w:color w:val="231F20"/>
        </w:rPr>
        <w:t>ITEM 12</w:t>
        <w:tab/>
        <w:t>Security Ownership of Certain Beneficial Owners and Management and Related Stockholder Matters .</w:t>
        <w:tab/>
        <w:t>127</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13</w:t>
        <w:tab/>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231F20"/>
        </w:rPr>
        <w:t>127</w:t>
      </w: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14</w:t>
        <w:tab/>
        <w:t>Principal Accountant Fees and Services</w:t>
      </w:r>
      <w:r>
        <w:rPr>
          <w:sz w:val="20"/>
          <w:szCs w:val="20"/>
          <w:color w:val="auto"/>
        </w:rPr>
        <w:tab/>
      </w:r>
      <w:r>
        <w:rPr>
          <w:rFonts w:ascii="Times New Roman" w:cs="Times New Roman" w:eastAsia="Times New Roman" w:hAnsi="Times New Roman"/>
          <w:sz w:val="20"/>
          <w:szCs w:val="20"/>
          <w:color w:val="231F20"/>
        </w:rPr>
        <w:t>127</w:t>
      </w:r>
    </w:p>
    <w:p>
      <w:pPr>
        <w:spacing w:after="0" w:line="1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142" w:lineRule="exact"/>
        <w:rPr>
          <w:sz w:val="20"/>
          <w:szCs w:val="20"/>
          <w:color w:val="auto"/>
        </w:rPr>
      </w:pP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15</w:t>
        <w:tab/>
        <w:t>Exhibits and Financial Statement Schedules</w:t>
      </w:r>
      <w:r>
        <w:rPr>
          <w:sz w:val="20"/>
          <w:szCs w:val="20"/>
          <w:color w:val="auto"/>
        </w:rPr>
        <w:tab/>
      </w:r>
      <w:r>
        <w:rPr>
          <w:rFonts w:ascii="Times New Roman" w:cs="Times New Roman" w:eastAsia="Times New Roman" w:hAnsi="Times New Roman"/>
          <w:sz w:val="20"/>
          <w:szCs w:val="20"/>
          <w:color w:val="231F20"/>
        </w:rPr>
        <w:t>128</w:t>
      </w:r>
    </w:p>
    <w:p>
      <w:pPr>
        <w:spacing w:after="0" w:line="28" w:lineRule="exact"/>
        <w:rPr>
          <w:sz w:val="20"/>
          <w:szCs w:val="20"/>
          <w:color w:val="auto"/>
        </w:rPr>
      </w:pPr>
    </w:p>
    <w:p>
      <w:pPr>
        <w:spacing w:after="0"/>
        <w:tabs>
          <w:tab w:leader="none" w:pos="960" w:val="left"/>
          <w:tab w:leader="dot" w:pos="9400" w:val="left"/>
        </w:tabs>
        <w:rPr>
          <w:sz w:val="20"/>
          <w:szCs w:val="20"/>
          <w:color w:val="auto"/>
        </w:rPr>
      </w:pPr>
      <w:r>
        <w:rPr>
          <w:rFonts w:ascii="Times New Roman" w:cs="Times New Roman" w:eastAsia="Times New Roman" w:hAnsi="Times New Roman"/>
          <w:sz w:val="20"/>
          <w:szCs w:val="20"/>
          <w:color w:val="231F20"/>
        </w:rPr>
        <w:t>ITEM 16</w:t>
        <w:tab/>
        <w:t>Form 10-K Summary</w:t>
      </w:r>
      <w:r>
        <w:rPr>
          <w:sz w:val="20"/>
          <w:szCs w:val="20"/>
          <w:color w:val="auto"/>
        </w:rPr>
        <w:tab/>
      </w:r>
      <w:r>
        <w:rPr>
          <w:rFonts w:ascii="Times New Roman" w:cs="Times New Roman" w:eastAsia="Times New Roman" w:hAnsi="Times New Roman"/>
          <w:sz w:val="20"/>
          <w:szCs w:val="20"/>
          <w:color w:val="231F20"/>
        </w:rPr>
        <w:t>133</w:t>
      </w:r>
    </w:p>
    <w:p>
      <w:pPr>
        <w:ind w:left="980"/>
        <w:spacing w:after="0"/>
        <w:tabs>
          <w:tab w:leader="dot" w:pos="9400" w:val="left"/>
        </w:tabs>
        <w:rPr>
          <w:sz w:val="20"/>
          <w:szCs w:val="20"/>
          <w:color w:val="auto"/>
        </w:rPr>
      </w:pPr>
      <w:r>
        <w:rPr>
          <w:rFonts w:ascii="Times New Roman" w:cs="Times New Roman" w:eastAsia="Times New Roman" w:hAnsi="Times New Roman"/>
          <w:sz w:val="20"/>
          <w:szCs w:val="20"/>
          <w:color w:val="231F20"/>
        </w:rPr>
        <w:t>Signatures</w:t>
      </w:r>
      <w:r>
        <w:rPr>
          <w:sz w:val="20"/>
          <w:szCs w:val="20"/>
          <w:color w:val="auto"/>
        </w:rPr>
        <w:tab/>
      </w:r>
      <w:r>
        <w:rPr>
          <w:rFonts w:ascii="Times New Roman" w:cs="Times New Roman" w:eastAsia="Times New Roman" w:hAnsi="Times New Roman"/>
          <w:sz w:val="20"/>
          <w:szCs w:val="20"/>
          <w:color w:val="231F20"/>
        </w:rPr>
        <w:t>134</w:t>
      </w:r>
    </w:p>
    <w:p>
      <w:pPr>
        <w:sectPr>
          <w:pgSz w:w="12240" w:h="15840" w:orient="portrait"/>
          <w:cols w:equalWidth="0" w:num="1">
            <w:col w:w="9720"/>
          </w:cols>
          <w:pgMar w:left="1260" w:top="1243"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2240" w:h="15840" w:orient="portrait"/>
          <w:cols w:equalWidth="0" w:num="1">
            <w:col w:w="9720"/>
          </w:cols>
          <w:pgMar w:left="1260" w:top="1243" w:right="1260" w:bottom="175" w:gutter="0" w:footer="0" w:header="0"/>
          <w:type w:val="continuous"/>
        </w:sectPr>
      </w:pPr>
    </w:p>
    <w:bookmarkStart w:id="4" w:name="page5"/>
    <w:bookmarkEnd w:id="4"/>
    <w:p>
      <w:pPr>
        <w:jc w:val="center"/>
        <w:ind w:right="-59"/>
        <w:spacing w:after="0" w:line="230" w:lineRule="exact"/>
        <w:rPr>
          <w:sz w:val="20"/>
          <w:szCs w:val="20"/>
          <w:color w:val="auto"/>
        </w:rPr>
      </w:pPr>
      <w:r>
        <w:rPr>
          <w:rFonts w:ascii="Times New Roman" w:cs="Times New Roman" w:eastAsia="Times New Roman" w:hAnsi="Times New Roman"/>
          <w:sz w:val="20"/>
          <w:szCs w:val="20"/>
          <w:b w:val="1"/>
          <w:bCs w:val="1"/>
          <w:color w:val="231F20"/>
        </w:rPr>
        <w:t>CAUTIONARY NOTE REGARDING FORWARD</w:t>
      </w:r>
      <w:r>
        <w:rPr>
          <w:rFonts w:ascii="MS Gothic" w:cs="MS Gothic" w:eastAsia="MS Gothic" w:hAnsi="MS Gothic"/>
          <w:sz w:val="20"/>
          <w:szCs w:val="20"/>
          <w:b w:val="1"/>
          <w:bCs w:val="1"/>
          <w:color w:val="231F20"/>
        </w:rPr>
        <w:t>‑</w:t>
      </w:r>
      <w:r>
        <w:rPr>
          <w:rFonts w:ascii="Times New Roman" w:cs="Times New Roman" w:eastAsia="Times New Roman" w:hAnsi="Times New Roman"/>
          <w:sz w:val="20"/>
          <w:szCs w:val="20"/>
          <w:b w:val="1"/>
          <w:bCs w:val="1"/>
          <w:color w:val="231F20"/>
        </w:rPr>
        <w:t>LOOKING STATEMENTS</w:t>
      </w:r>
    </w:p>
    <w:p>
      <w:pPr>
        <w:spacing w:after="0" w:line="249" w:lineRule="exact"/>
        <w:rPr>
          <w:sz w:val="20"/>
          <w:szCs w:val="20"/>
          <w:color w:val="auto"/>
        </w:rPr>
      </w:pPr>
    </w:p>
    <w:p>
      <w:pPr>
        <w:ind w:right="20" w:firstLine="720"/>
        <w:spacing w:after="0" w:line="233" w:lineRule="auto"/>
        <w:rPr>
          <w:sz w:val="20"/>
          <w:szCs w:val="20"/>
          <w:color w:val="auto"/>
        </w:rPr>
      </w:pPr>
      <w:r>
        <w:rPr>
          <w:rFonts w:ascii="Times New Roman" w:cs="Times New Roman" w:eastAsia="Times New Roman" w:hAnsi="Times New Roman"/>
          <w:sz w:val="20"/>
          <w:szCs w:val="20"/>
          <w:color w:val="231F20"/>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 -looking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99" w:lineRule="exact"/>
        <w:rPr>
          <w:sz w:val="20"/>
          <w:szCs w:val="20"/>
          <w:color w:val="auto"/>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for increases or decreases in expenses;</w:t>
      </w:r>
    </w:p>
    <w:p>
      <w:pPr>
        <w:spacing w:after="0" w:line="124" w:lineRule="exact"/>
        <w:rPr>
          <w:rFonts w:ascii="Arial" w:cs="Arial" w:eastAsia="Arial" w:hAnsi="Arial"/>
          <w:sz w:val="20"/>
          <w:szCs w:val="20"/>
          <w:color w:val="231F20"/>
        </w:rPr>
      </w:pPr>
    </w:p>
    <w:p>
      <w:pPr>
        <w:ind w:left="720" w:right="180" w:hanging="353"/>
        <w:spacing w:after="0" w:line="249" w:lineRule="auto"/>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80" w:lineRule="exact"/>
        <w:rPr>
          <w:rFonts w:ascii="Arial" w:cs="Arial" w:eastAsia="Arial" w:hAnsi="Arial"/>
          <w:sz w:val="20"/>
          <w:szCs w:val="20"/>
          <w:color w:val="231F20"/>
        </w:rPr>
      </w:pPr>
    </w:p>
    <w:p>
      <w:pPr>
        <w:ind w:left="720" w:right="20" w:hanging="353"/>
        <w:spacing w:after="0" w:line="267" w:lineRule="auto"/>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estimates of the sufficiency of our existing capital resources combined with future anticipated cash flows to finance our operating requirements;</w:t>
      </w:r>
    </w:p>
    <w:p>
      <w:pPr>
        <w:spacing w:after="0" w:line="63" w:lineRule="exact"/>
        <w:rPr>
          <w:rFonts w:ascii="Arial" w:cs="Arial" w:eastAsia="Arial" w:hAnsi="Arial"/>
          <w:sz w:val="20"/>
          <w:szCs w:val="20"/>
          <w:color w:val="231F20"/>
        </w:rPr>
      </w:pPr>
    </w:p>
    <w:p>
      <w:pPr>
        <w:ind w:left="720" w:right="40" w:hanging="353"/>
        <w:spacing w:after="0" w:line="267" w:lineRule="auto"/>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for incurring capital expenditures to expand our research and development and manufacturing capabilities;</w:t>
      </w:r>
    </w:p>
    <w:p>
      <w:pPr>
        <w:spacing w:after="0" w:line="63" w:lineRule="exact"/>
        <w:rPr>
          <w:rFonts w:ascii="Arial" w:cs="Arial" w:eastAsia="Arial" w:hAnsi="Arial"/>
          <w:sz w:val="20"/>
          <w:szCs w:val="20"/>
          <w:color w:val="231F20"/>
        </w:rPr>
      </w:pPr>
    </w:p>
    <w:p>
      <w:pPr>
        <w:ind w:left="720" w:right="780" w:hanging="353"/>
        <w:spacing w:after="0" w:line="267" w:lineRule="auto"/>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unforeseen circumstances or other disruptions to normal business operations arising from or related to geopolitical conflicts or pandemics;</w:t>
      </w:r>
    </w:p>
    <w:p>
      <w:pPr>
        <w:spacing w:after="0" w:line="63"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future revenue projections, sales forecasts, and potential peak market data;</w:t>
      </w:r>
    </w:p>
    <w:p>
      <w:pPr>
        <w:spacing w:after="0" w:line="124"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for generating revenue or becoming profitable on a sustained basis;</w:t>
      </w:r>
    </w:p>
    <w:p>
      <w:pPr>
        <w:spacing w:after="0" w:line="124"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or ability to enter into marketing and other partnership agreements;</w:t>
      </w:r>
    </w:p>
    <w:p>
      <w:pPr>
        <w:spacing w:after="0" w:line="124"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or ability to enter into product acquisitions and in-licensing transactions;</w:t>
      </w:r>
    </w:p>
    <w:p>
      <w:pPr>
        <w:spacing w:after="0" w:line="124" w:lineRule="exact"/>
        <w:rPr>
          <w:rFonts w:ascii="Arial" w:cs="Arial" w:eastAsia="Arial" w:hAnsi="Arial"/>
          <w:sz w:val="20"/>
          <w:szCs w:val="20"/>
          <w:color w:val="231F20"/>
        </w:rPr>
      </w:pPr>
    </w:p>
    <w:p>
      <w:pPr>
        <w:ind w:left="720" w:right="440" w:hanging="353"/>
        <w:spacing w:after="0" w:line="267" w:lineRule="auto"/>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or ability to build our own commercial infrastructure to manufacture, market and sell our products;</w:t>
      </w:r>
    </w:p>
    <w:p>
      <w:pPr>
        <w:spacing w:after="0" w:line="63"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expected losses;</w:t>
      </w:r>
    </w:p>
    <w:p>
      <w:pPr>
        <w:spacing w:after="0" w:line="124"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obtain and maintain intellectual property protection for our products;</w:t>
      </w:r>
    </w:p>
    <w:p>
      <w:pPr>
        <w:spacing w:after="0" w:line="124"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the acceptance of our products by doctors, patients, or payors;</w:t>
      </w:r>
    </w:p>
    <w:p>
      <w:pPr>
        <w:spacing w:after="0" w:line="124"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stock price and its volatility;</w:t>
      </w:r>
    </w:p>
    <w:p>
      <w:pPr>
        <w:spacing w:after="0" w:line="124"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attract and retain key personnel;</w:t>
      </w:r>
    </w:p>
    <w:p>
      <w:pPr>
        <w:spacing w:after="0" w:line="124"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the performance of third-party manufacturers;</w:t>
      </w:r>
    </w:p>
    <w:p>
      <w:pPr>
        <w:spacing w:after="0" w:line="124"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expectations for future capital requirements; and</w:t>
      </w:r>
    </w:p>
    <w:p>
      <w:pPr>
        <w:spacing w:after="0" w:line="124" w:lineRule="exact"/>
        <w:rPr>
          <w:rFonts w:ascii="Arial" w:cs="Arial" w:eastAsia="Arial" w:hAnsi="Arial"/>
          <w:sz w:val="20"/>
          <w:szCs w:val="20"/>
          <w:color w:val="231F20"/>
        </w:rPr>
      </w:pPr>
    </w:p>
    <w:p>
      <w:pPr>
        <w:ind w:left="720" w:hanging="353"/>
        <w:spacing w:after="0"/>
        <w:tabs>
          <w:tab w:leader="none" w:pos="720" w:val="left"/>
        </w:tabs>
        <w:numPr>
          <w:ilvl w:val="0"/>
          <w:numId w:val="1"/>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successfully implement our strategy.</w:t>
      </w:r>
    </w:p>
    <w:p>
      <w:pPr>
        <w:spacing w:after="0" w:line="230"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231F20"/>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87"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pgSz w:w="12240" w:h="15840" w:orient="portrait"/>
          <w:cols w:equalWidth="0" w:num="1">
            <w:col w:w="9660"/>
          </w:cols>
          <w:pgMar w:left="1260" w:top="1250" w:right="1320" w:bottom="175"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3</w:t>
      </w:r>
    </w:p>
    <w:p>
      <w:pPr>
        <w:sectPr>
          <w:pgSz w:w="12240" w:h="15840" w:orient="portrait"/>
          <w:cols w:equalWidth="0" w:num="1">
            <w:col w:w="9660"/>
          </w:cols>
          <w:pgMar w:left="1260" w:top="1250" w:right="1320" w:bottom="175"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6"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20"/>
          <w:szCs w:val="20"/>
          <w:i w:val="1"/>
          <w:iCs w:val="1"/>
          <w:color w:val="231F20"/>
        </w:rPr>
        <w:t>Unless the context requires otherwise, references in this report to “Axsome,” “Company,” “we,” “us” and “our” and similar designations refer to Axsome Therapeutics, Inc. and our subsidiaries.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244" w:lineRule="exact"/>
        <w:rPr>
          <w:sz w:val="20"/>
          <w:szCs w:val="20"/>
          <w:color w:val="auto"/>
        </w:rPr>
      </w:pPr>
    </w:p>
    <w:p>
      <w:pPr>
        <w:ind w:right="260" w:firstLine="720"/>
        <w:spacing w:after="0" w:line="252" w:lineRule="auto"/>
        <w:rPr>
          <w:sz w:val="20"/>
          <w:szCs w:val="20"/>
          <w:color w:val="auto"/>
        </w:rPr>
      </w:pPr>
      <w:r>
        <w:rPr>
          <w:rFonts w:ascii="Times New Roman" w:cs="Times New Roman" w:eastAsia="Times New Roman" w:hAnsi="Times New Roman"/>
          <w:sz w:val="20"/>
          <w:szCs w:val="20"/>
          <w:color w:val="231F20"/>
        </w:rPr>
        <w:t>We are a fully integrated biopharmaceutical company focused on developing innovative medicines for people impacted by central nervous system (CNS) conditions. We deliver scientific breakthroughs by identifying critical gaps in care and developing differentiated products with a focus on novel mechanisms of action, that have the potential to transform patient outcomes.</w:t>
      </w:r>
    </w:p>
    <w:p>
      <w:pPr>
        <w:spacing w:after="0" w:line="194" w:lineRule="exact"/>
        <w:rPr>
          <w:sz w:val="20"/>
          <w:szCs w:val="20"/>
          <w:color w:val="auto"/>
        </w:rPr>
      </w:pPr>
    </w:p>
    <w:p>
      <w:pPr>
        <w:ind w:right="280" w:firstLine="720"/>
        <w:spacing w:after="0" w:line="221" w:lineRule="auto"/>
        <w:rPr>
          <w:sz w:val="20"/>
          <w:szCs w:val="20"/>
          <w:color w:val="auto"/>
        </w:rPr>
      </w:pPr>
      <w:r>
        <w:rPr>
          <w:rFonts w:ascii="Times New Roman" w:cs="Times New Roman" w:eastAsia="Times New Roman" w:hAnsi="Times New Roman"/>
          <w:sz w:val="20"/>
          <w:szCs w:val="20"/>
          <w:color w:val="231F20"/>
        </w:rPr>
        <w:t>Our innovative CNS portfolio is anchored by three U.S. Food and Drug Administration (FDA) approved commercial products: AUVELITY</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for the treatment of major depressive disorder (MDD), SUNOSI</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for the treatment of excessive daytime sleepiness (EDS) associated with obstructive sleep apnea or narcolepsy, and SYMBRAVO</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for the acute treatment of migraine with or without aura in adults. Total revenues from our three commercial products totaled $638.5 million for 2025, representing 66% annual growth compared to 2024.</w:t>
      </w:r>
    </w:p>
    <w:p>
      <w:pPr>
        <w:spacing w:after="0" w:line="204"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We are also advancing a deep pipeline of novel product candidates in early- to late-stage development addressing a broad range of serious neurological and psychiatric conditions. Our lead product candidate, AXS-05 (dextromethorphan and bupropion), is currently being developed for the treatment of Alzheimer’s disease (AD) agitation and smoking cessation. In December 2025, the FDA accepted for filing the Company’s supplemental NDA (sNDA) for AXS-05 for the treatment of Alzheimer’s disease agitation. The application was granted Priority Review designation and a Prescription Drug User Fee Act (PDUFA) target action date of April 30, 2026. Solriamfetol is in Phase 3 clinical development for the treatment of attention deficit hyperactivity disorder (ADHD), MDD with EDS symptoms, binge eating disorder (BED), and excessive sleepiness associated with shift work disorder (SWD). We also have two novel, late-stage investigational products for the treatment of narcolepsy and fibromyalgia, as well as product candidates in earlier stages of development for the treatment of CNS disorders, including AXS-17 for the treatment of epilepsy.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Strategy</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Our goal is to efficiently develop and commercialize novel, differentiated therapies for the treatment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CNS disorders. The primary elements of our strategy to achieve this goal are the following:</w:t>
      </w:r>
    </w:p>
    <w:p>
      <w:pPr>
        <w:spacing w:after="0" w:line="202" w:lineRule="exact"/>
        <w:rPr>
          <w:sz w:val="20"/>
          <w:szCs w:val="20"/>
          <w:color w:val="auto"/>
        </w:rPr>
      </w:pPr>
    </w:p>
    <w:p>
      <w:pPr>
        <w:ind w:left="1080" w:right="100" w:hanging="360"/>
        <w:spacing w:after="0" w:line="217" w:lineRule="exact"/>
        <w:tabs>
          <w:tab w:leader="none" w:pos="108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Pursue novel CNS indications with high unmet medical need. </w:t>
      </w:r>
      <w:r>
        <w:rPr>
          <w:rFonts w:ascii="Times New Roman" w:cs="Times New Roman" w:eastAsia="Times New Roman" w:hAnsi="Times New Roman"/>
          <w:sz w:val="20"/>
          <w:szCs w:val="20"/>
          <w:color w:val="231F20"/>
        </w:rPr>
        <w:t>We believe that CNS disorders are</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significantly underserved therapeutic segments with currently limited treatment options. We are developing our product candidates for CNS indications where there exist significant unmet medical needs, or that have no or few FDA</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approved pharmacological treatments. CNS disorders are often disabling, difficult to treat, and associated with significant comorbidities. By focusing on areas of unmet medical need, we aim to develop products that have the potential to change current medical practice, and that are highly relevant to patients, physicians, and regulatory bodies. Many of these indications have significant patient populations, which, when combined with the limitations of current treatments, should provide us with attractive commercial opportunities.</w:t>
      </w:r>
    </w:p>
    <w:p>
      <w:pPr>
        <w:spacing w:after="0" w:line="194" w:lineRule="exact"/>
        <w:rPr>
          <w:rFonts w:ascii="Arial" w:cs="Arial" w:eastAsia="Arial" w:hAnsi="Arial"/>
          <w:sz w:val="20"/>
          <w:szCs w:val="20"/>
          <w:color w:val="231F20"/>
        </w:rPr>
      </w:pPr>
    </w:p>
    <w:p>
      <w:pPr>
        <w:ind w:left="1080" w:right="80" w:hanging="360"/>
        <w:spacing w:after="0" w:line="223" w:lineRule="auto"/>
        <w:tabs>
          <w:tab w:leader="none" w:pos="1080" w:val="left"/>
        </w:tabs>
        <w:numPr>
          <w:ilvl w:val="0"/>
          <w:numId w:val="2"/>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Develop products with our proprietary medicinal chemistry and formulation technologies. </w:t>
      </w:r>
      <w:r>
        <w:rPr>
          <w:rFonts w:ascii="Times New Roman" w:cs="Times New Roman" w:eastAsia="Times New Roman" w:hAnsi="Times New Roman"/>
          <w:sz w:val="20"/>
          <w:szCs w:val="20"/>
          <w:color w:val="231F20"/>
        </w:rPr>
        <w:t>Our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proprietary medicinal chemistry and formulation technologies allow us to 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or Molecular Solubility Enhanced Inclusion Complex, technology which is designed to substantially increase the solubility and speed the absorption of target drug molecules, and (4) proprietary chemical synthesis and analysis to produce target drug molecules.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2240" w:h="15840" w:orient="portrait"/>
          <w:cols w:equalWidth="0" w:num="1">
            <w:col w:w="9360"/>
          </w:cols>
          <w:pgMar w:left="1440" w:top="1416" w:right="1440" w:bottom="175" w:gutter="0" w:footer="0" w:header="0"/>
          <w:type w:val="continuous"/>
        </w:sectPr>
      </w:pPr>
    </w:p>
    <w:bookmarkStart w:id="6" w:name="page7"/>
    <w:bookmarkEnd w:id="6"/>
    <w:p>
      <w:pPr>
        <w:ind w:left="1080" w:right="20" w:hanging="360"/>
        <w:spacing w:after="0" w:line="224" w:lineRule="auto"/>
        <w:tabs>
          <w:tab w:leader="none" w:pos="10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Develop products with differentiated profiles. </w:t>
      </w:r>
      <w:r>
        <w:rPr>
          <w:rFonts w:ascii="Times New Roman" w:cs="Times New Roman" w:eastAsia="Times New Roman" w:hAnsi="Times New Roman"/>
          <w:sz w:val="20"/>
          <w:szCs w:val="20"/>
          <w:color w:val="231F20"/>
        </w:rPr>
        <w:t>We aim to develop products with novel mechanisms of</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action for the intended indications that may yield differentiated product profiles. For example, AXS-05 combines several mechanisms of action resulting in a unique pharmacological profile that may be relevant to the treatment of numerous CNS disorders. The MoSEIC™ technology is designed to improve the absorption of drug molecules after oral administration and is utilized in SYMBRAVO (AXS-07). We believe that products with clearly differentiated features will be attractive to patients and their physicians and will provide us with a competitive commercial advantage.</w:t>
      </w:r>
    </w:p>
    <w:p>
      <w:pPr>
        <w:spacing w:after="0" w:line="200" w:lineRule="exact"/>
        <w:rPr>
          <w:rFonts w:ascii="Arial" w:cs="Arial" w:eastAsia="Arial" w:hAnsi="Arial"/>
          <w:sz w:val="20"/>
          <w:szCs w:val="20"/>
          <w:color w:val="231F20"/>
        </w:rPr>
      </w:pPr>
    </w:p>
    <w:p>
      <w:pPr>
        <w:ind w:left="1080" w:right="40" w:hanging="360"/>
        <w:spacing w:after="0" w:line="221" w:lineRule="auto"/>
        <w:tabs>
          <w:tab w:leader="none" w:pos="10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Reduce clinical and regulatory risk, limit development costs, and accelerate time to market. </w:t>
      </w:r>
      <w:r>
        <w:rPr>
          <w:rFonts w:ascii="Times New Roman" w:cs="Times New Roman" w:eastAsia="Times New Roman" w:hAnsi="Times New Roman"/>
          <w:sz w:val="20"/>
          <w:szCs w:val="20"/>
          <w:color w:val="231F20"/>
        </w:rPr>
        <w:t>Some of</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our product candidates incorporate chemical entities with long histories of clinical use and well characterized safety profiles. Use of well characterized molecules has allowed us to rapidly complete early clinical development of our product candidates and may reduce the risk of late-stage clinical failures due to unexpected toxicities. This strategy may allow us to seek FDA approval for some of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some of our product candidates and potentially forego conducting certain lengthy and costly preclinical studies, reduce clinical and regulatory risk, limit development costs, and accelerate our time to commercialization.</w:t>
      </w:r>
    </w:p>
    <w:p>
      <w:pPr>
        <w:spacing w:after="0" w:line="196" w:lineRule="exact"/>
        <w:rPr>
          <w:rFonts w:ascii="Arial" w:cs="Arial" w:eastAsia="Arial" w:hAnsi="Arial"/>
          <w:sz w:val="20"/>
          <w:szCs w:val="20"/>
          <w:color w:val="231F20"/>
        </w:rPr>
      </w:pPr>
    </w:p>
    <w:p>
      <w:pPr>
        <w:ind w:left="1080" w:right="60" w:hanging="360"/>
        <w:spacing w:after="0" w:line="218" w:lineRule="exact"/>
        <w:tabs>
          <w:tab w:leader="none" w:pos="108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b w:val="1"/>
          <w:bCs w:val="1"/>
          <w:i w:val="1"/>
          <w:iCs w:val="1"/>
          <w:color w:val="231F20"/>
        </w:rPr>
        <w:t xml:space="preserve">Retain commercial rights in the United States, where appropriate, and selectively partner outside of the United States to maximize the value of our product candidates. </w:t>
      </w:r>
      <w:r>
        <w:rPr>
          <w:rFonts w:ascii="Times New Roman" w:cs="Times New Roman" w:eastAsia="Times New Roman" w:hAnsi="Times New Roman"/>
          <w:sz w:val="20"/>
          <w:szCs w:val="20"/>
          <w:color w:val="231F20"/>
        </w:rPr>
        <w:t>We intend to commercialize our</w:t>
      </w:r>
      <w:r>
        <w:rPr>
          <w:rFonts w:ascii="Times New Roman" w:cs="Times New Roman" w:eastAsia="Times New Roman" w:hAnsi="Times New Roman"/>
          <w:sz w:val="20"/>
          <w:szCs w:val="20"/>
          <w:b w:val="1"/>
          <w:bCs w:val="1"/>
          <w:i w:val="1"/>
          <w:iCs w:val="1"/>
          <w:color w:val="231F20"/>
        </w:rPr>
        <w:t xml:space="preserve"> </w:t>
      </w:r>
      <w:r>
        <w:rPr>
          <w:rFonts w:ascii="Times New Roman" w:cs="Times New Roman" w:eastAsia="Times New Roman" w:hAnsi="Times New Roman"/>
          <w:sz w:val="20"/>
          <w:szCs w:val="20"/>
          <w:color w:val="231F20"/>
        </w:rPr>
        <w:t>products and product candidates, if approved, in the United States through the establishment of our own focused, cost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effective sales and marketing organization. For commercialization outside of the United States, we intend to selectively partner with third parties outside of the United States to maximize the value of our products and product candidates, if approved, without the substantial investment required to develop independent sales forces in those geographies. We continue to evaluate strategic options for the commercialization of our other product candidates.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Commercial Products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AUVELITY</w:t>
      </w:r>
    </w:p>
    <w:p>
      <w:pPr>
        <w:spacing w:after="0" w:line="244"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AUVELITY (dextromethorphan and bupropion) was developed by the Company and approved by the FDA for the treatment of MDD in adults in August 2022. We launched AUVELITY in the U.S. in October 2022 as the first and only oral, N-methyl-D-aspartate (NMDA) receptor antagonist approved for MDD in adults and the only oral antidepressant with rapid-acting efficacy reflected in the FDA label. AUVELITY utilizes a proprietary formulation and dose of dextromethorphan and bupropion, and Axsome’s metabolic inhibition technology, to modulate the delivery of the components. Approximately 21 million people in the U.S. live with MDD.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SUNOSI</w:t>
      </w:r>
    </w:p>
    <w:p>
      <w:pPr>
        <w:spacing w:after="0" w:line="244"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SUNOSI (solriamfetol) is a novel, oral, dopamine and norepinephrine reuptake inhibitor (DNRI), trace amine-associated receptor 1 (TAAR1) agonist, and 5-HT</w:t>
      </w:r>
      <w:r>
        <w:rPr>
          <w:rFonts w:ascii="Times New Roman" w:cs="Times New Roman" w:eastAsia="Times New Roman" w:hAnsi="Times New Roman"/>
          <w:sz w:val="13"/>
          <w:szCs w:val="13"/>
          <w:color w:val="231F20"/>
        </w:rPr>
        <w:t>1A</w:t>
      </w:r>
      <w:r>
        <w:rPr>
          <w:rFonts w:ascii="Times New Roman" w:cs="Times New Roman" w:eastAsia="Times New Roman" w:hAnsi="Times New Roman"/>
          <w:sz w:val="20"/>
          <w:szCs w:val="20"/>
          <w:color w:val="231F20"/>
        </w:rPr>
        <w:t xml:space="preserve"> agonist approved in the U.S. and Europe for the treatment of EDS in adult patients with obstructive sleep apnea or narcolepsy. We acquired the U.S. rights to SUNOSI from Jazz Pharmaceuticals plc, or Jazz, in May 2022, and the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entered into a licensing agreement, or the Pharmanovia License Agreement, with Atnahs Pharma UK Limited, or Pharmanovia, that granted to Pharmanovia the exclusive right to market SUNOSI in Europe and certain countries in the Middle East and North Africa, referred to as the Licensed Territory. Approximately 22 million adults and 185,000 people in the U.S. are affected by OSA and narcolepsy, respectively.</w:t>
      </w:r>
    </w:p>
    <w:p>
      <w:pPr>
        <w:sectPr>
          <w:pgSz w:w="12240" w:h="15840" w:orient="portrait"/>
          <w:cols w:equalWidth="0" w:num="1">
            <w:col w:w="9360"/>
          </w:cols>
          <w:pgMar w:left="1440" w:top="1414"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2240" w:h="15840" w:orient="portrait"/>
          <w:cols w:equalWidth="0" w:num="1">
            <w:col w:w="9360"/>
          </w:cols>
          <w:pgMar w:left="1440" w:top="1414" w:right="1440" w:bottom="175"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231F20"/>
        </w:rPr>
        <w:t>SYMBRAVO</w:t>
      </w:r>
    </w:p>
    <w:p>
      <w:pPr>
        <w:spacing w:after="0" w:line="244" w:lineRule="exact"/>
        <w:rPr>
          <w:sz w:val="20"/>
          <w:szCs w:val="20"/>
          <w:color w:val="auto"/>
        </w:rPr>
      </w:pPr>
    </w:p>
    <w:p>
      <w:pPr>
        <w:ind w:right="20" w:firstLine="720"/>
        <w:spacing w:after="0" w:line="232" w:lineRule="auto"/>
        <w:rPr>
          <w:sz w:val="20"/>
          <w:szCs w:val="20"/>
          <w:color w:val="auto"/>
        </w:rPr>
      </w:pPr>
      <w:r>
        <w:rPr>
          <w:rFonts w:ascii="Times New Roman" w:cs="Times New Roman" w:eastAsia="Times New Roman" w:hAnsi="Times New Roman"/>
          <w:sz w:val="20"/>
          <w:szCs w:val="20"/>
          <w:color w:val="231F20"/>
        </w:rPr>
        <w:t>SYMBRAVO (MoSEIC</w:t>
      </w:r>
      <w:r>
        <w:rPr>
          <w:rFonts w:ascii="Times New Roman" w:cs="Times New Roman" w:eastAsia="Times New Roman" w:hAnsi="Times New Roman"/>
          <w:sz w:val="26"/>
          <w:szCs w:val="26"/>
          <w:color w:val="231F20"/>
          <w:vertAlign w:val="superscript"/>
        </w:rPr>
        <w:t>TM</w:t>
      </w:r>
      <w:r>
        <w:rPr>
          <w:rFonts w:ascii="Times New Roman" w:cs="Times New Roman" w:eastAsia="Times New Roman" w:hAnsi="Times New Roman"/>
          <w:sz w:val="20"/>
          <w:szCs w:val="20"/>
          <w:color w:val="231F20"/>
        </w:rPr>
        <w:t xml:space="preserve"> meloxicam-rizatriptan) is a novel, oral, rapidly absorbed, multi-mechanistic, selective COX-2 inhibitor and 5-HT1B/1D agonist that was developed by the Company and approved by the FDA in January 2025 for the acute treatment of migraine with or without aura in adults. We launched SYMBRAVO in the U.S. in June 2025. Approximately 39 million adults in the U.S. experience migraine.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Development Programs</w:t>
      </w:r>
    </w:p>
    <w:p>
      <w:pPr>
        <w:spacing w:after="0" w:line="240" w:lineRule="exact"/>
        <w:rPr>
          <w:sz w:val="20"/>
          <w:szCs w:val="20"/>
          <w:color w:val="auto"/>
        </w:rPr>
      </w:pPr>
    </w:p>
    <w:p>
      <w:pPr>
        <w:ind w:right="220" w:firstLine="720"/>
        <w:spacing w:after="0" w:line="265" w:lineRule="auto"/>
        <w:rPr>
          <w:sz w:val="20"/>
          <w:szCs w:val="20"/>
          <w:color w:val="auto"/>
        </w:rPr>
      </w:pPr>
      <w:r>
        <w:rPr>
          <w:rFonts w:ascii="Times New Roman" w:cs="Times New Roman" w:eastAsia="Times New Roman" w:hAnsi="Times New Roman"/>
          <w:sz w:val="19"/>
          <w:szCs w:val="19"/>
          <w:color w:val="231F20"/>
        </w:rPr>
        <w:t>Our extensive CNS development pipeline targets serious neurological and psychiatric conditions with significant unmet medical needs. We see significant long-term growth potential from our innovative early- to late-stage pipeline. We are leveraging our deep expertise and experience in neuroscience to maximize the potential of our approved products in additional CNS conditions, as well as advance our novel product candidates that we believe may, if successfully developed and approved, offer distinct advantages over currently available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5949315" cy="304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5949315" cy="304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AXS-05</w:t>
      </w:r>
    </w:p>
    <w:p>
      <w:pPr>
        <w:spacing w:after="0" w:line="244"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AXS-05 (dextromethorphan-bupropion) is a novel, oral, investigational NMDA receptor antagonist, sigma-1 receptor agonist, aminoketone, and CYP2D6 inhibitor being developed for the treatment of CNS disorders. As used in this report, AXS-05 refers to, where applicable, AUVELITY as well as AXS-05 for the treatment of indications beyond MDD in adults. AXS-05 consists of a proprietary formulation and dose of dextromethorphan and bupropion and utilizes Axsome’s metabolic inhibition technology. The dextromethorphan component of AXS-05 is an uncompetitive antagonist of the NMDA receptor, an ionotropic glutamate receptor, and a sigma-1 receptor agonist. Dextromethorphan is quickly eliminated from the body following administration due to extensive first pass metabolism, which results in low blood levels even at high doses. The bupropion component of AXS-05 serves to increase the bioavailability of dextromethorphan by inhibiting its metabolism and is a dopamine and norepinephrine reuptake inhibitor (DNRI). Based on its unique mechanism of action with multimodal activity, we believe that AXS-05 has potential therapeutic benefit for a variety of CNS disorders.</w:t>
      </w:r>
    </w:p>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We are currently developing AXS-05 for the treatment of AD agitation and smoking cessation.</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2240" w:h="15840" w:orient="portrait"/>
          <w:cols w:equalWidth="0" w:num="1">
            <w:col w:w="9360"/>
          </w:cols>
          <w:pgMar w:left="1440" w:top="1416" w:right="1440" w:bottom="175"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i w:val="1"/>
          <w:iCs w:val="1"/>
          <w:color w:val="231F20"/>
        </w:rPr>
        <w:t>Alzheimer’s Disease (AD) Agitation</w:t>
      </w:r>
    </w:p>
    <w:p>
      <w:pPr>
        <w:spacing w:after="0" w:line="238"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231F20"/>
        </w:rPr>
        <w:t>In December 2025, the FDA accepted for filing the Company’s supplemental New Drug Application (sNDA) for AXS-05 for the treatment of AD agitation and granted the application Priority Review designation. The FDA has set a Prescription Drug User Fee Act (PDUFA) action goal date of April 30, 2026. The FDA previously granted Breakthrough Therapy designation for AXS-05 for the treatment of AD agitation in June 2020.</w:t>
      </w:r>
    </w:p>
    <w:p>
      <w:pPr>
        <w:spacing w:after="0" w:line="194" w:lineRule="exact"/>
        <w:rPr>
          <w:sz w:val="20"/>
          <w:szCs w:val="20"/>
          <w:color w:val="auto"/>
        </w:rPr>
      </w:pPr>
    </w:p>
    <w:p>
      <w:pPr>
        <w:ind w:right="520" w:firstLine="720"/>
        <w:spacing w:after="0" w:line="277" w:lineRule="auto"/>
        <w:rPr>
          <w:sz w:val="20"/>
          <w:szCs w:val="20"/>
          <w:color w:val="auto"/>
        </w:rPr>
      </w:pPr>
      <w:r>
        <w:rPr>
          <w:rFonts w:ascii="Times New Roman" w:cs="Times New Roman" w:eastAsia="Times New Roman" w:hAnsi="Times New Roman"/>
          <w:sz w:val="20"/>
          <w:szCs w:val="20"/>
          <w:color w:val="231F20"/>
        </w:rPr>
        <w:t>We have evaluated the efficacy and safety of AXS-05 in AD agitation in four completed randomized, double-blind, placebo-controlled Phase 3 trials and a long-term safety trial.</w:t>
      </w:r>
    </w:p>
    <w:p>
      <w:pPr>
        <w:spacing w:after="0" w:line="169"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In the ADVANCE-1 Phase 2/3 trial, AXS-05 achieved the primary endpoint and demonstrated a statistically significant mean reduction in the Cohen-Mansfield Agitation Inventory (CMAI) total score compared to placebo at Week 5, with mean reductions from baseline of 15.4 points for AXS-05 and 11.5 points for placebo (p=0.010). AXS-05 was also superior to bupropion on the CMAI total score (p&lt;0.001), establishing component contribution. Improvement on the CMAI total score numerically favored AXS-05 over placebo starting as early as Week 2 and achieved statistical significance by Week 3 (p=0.007), only one week after full dosing with AXS-05. In the ACCORD-1 Phase 3 trial, AXS-05 achieved the primary endpoint by statistically significantly delaying the time to relapse of AD agitation symptoms compared to placebo, with a hazard ratio for time to relapse of 0.275 (p=0.014), representing a 3.6-fold lower risk of relapse compared to placebo. AXS-05 also met the key secondary endpoint by statistically significantly preventing relapse of AD agitation compared to placebo (p=0.018). In the ACCORD-2 Phase 3 trial, AXS-05 achieved the primary endpoint and demonstrated a highly statistically significant delay in the time to relapse of AD agitation symptoms compared to placebo, with a hazard ratio for time to relapse of 0.276 (p=0.001), representing a 3.6-fold lower risk of relapse compared to placebo. AXS-05 also met the key secondary endpoint by statistically significantly preventing relapse of AD agitation compared to placebo (p=0.001). In the ADVANCE-2 Phase 3 trial, AXS-05 did not achieve statistical significance for the primary endpoint, the change in the CMAI total score compared to placebo at Week 5, with mean reductions from baseline of 13.8 points for AXS-05 and 12.6 points for placebo.</w:t>
      </w:r>
    </w:p>
    <w:p>
      <w:pPr>
        <w:spacing w:after="0" w:line="208" w:lineRule="exact"/>
        <w:rPr>
          <w:sz w:val="20"/>
          <w:szCs w:val="20"/>
          <w:color w:val="auto"/>
        </w:rPr>
      </w:pPr>
    </w:p>
    <w:p>
      <w:pPr>
        <w:jc w:val="both"/>
        <w:ind w:right="140" w:firstLine="720"/>
        <w:spacing w:after="0" w:line="252" w:lineRule="auto"/>
        <w:rPr>
          <w:sz w:val="20"/>
          <w:szCs w:val="20"/>
          <w:color w:val="auto"/>
        </w:rPr>
      </w:pPr>
      <w:r>
        <w:rPr>
          <w:rFonts w:ascii="Times New Roman" w:cs="Times New Roman" w:eastAsia="Times New Roman" w:hAnsi="Times New Roman"/>
          <w:sz w:val="20"/>
          <w:szCs w:val="20"/>
          <w:color w:val="231F20"/>
        </w:rPr>
        <w:t>Across the four placebo-controlled efficacy trials and a long-term safety trial, discontinuation rates due to adverse events were low and balanced between treatment groups and no deaths in patients in the AXS-05 treatment groups. In the trials, AXS-05 was not associated with sedation, increased fall risk, or cognitive decline as measured by the Mini-Mental State Examination, or MMSE.</w:t>
      </w:r>
    </w:p>
    <w:p>
      <w:pPr>
        <w:spacing w:after="0" w:line="194"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AD is an irreversible, progressive neurodegenerative disorder that manifests initially as forgetfulness and advances to severe cognitive impairment and memory loss. It is the most common form of dementia, affecting approximately 7 million people in the United States, a number that is anticipated to double by 2060. Agitation is one of the most prevalent and debilitating neuropsychiatric symptoms of AD, affecting up to 76% of people with AD. AD agitation is characterized by emotional distress, verbal and physical aggressiveness, disruptive irritability, and disinhibition, and is associated with accelerated cognitive decline, increased caregiver burden, earlier institutionalization, and increased mortality.</w:t>
      </w:r>
    </w:p>
    <w:p>
      <w:pPr>
        <w:spacing w:after="0" w:line="20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231F20"/>
        </w:rPr>
        <w:t>There is currently one FDA-approved pharmacological treatment for AD agitation. In clinical practice, antipsychotic medications are commonly used off-label and carry a boxed warning for increased mortality risk in this patient population. In many patients, these treatments are associated with severe side effects and safety concerns, such as functional decline, extrapyramidal side effects, cardiovascular effects, and sedation. AD agitation continues to represent an area of unmet medical need.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Smoking Cessation</w:t>
      </w:r>
    </w:p>
    <w:p>
      <w:pPr>
        <w:spacing w:after="0" w:line="238"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231F20"/>
        </w:rPr>
        <w:t>We are also evaluating the potential use of AXS-05 as an aid to smoking cessation treatment. AXS-05 has demonstrated positive results in an investigator-sponsored Phase 2 trial, which the Company conducted under a research collaboration agreement with Duke University. The Company plans to initiate a Phase 2/3 trial of AXS-05 in this indication.</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2240" w:h="15840" w:orient="portrait"/>
          <w:cols w:equalWidth="0" w:num="1">
            <w:col w:w="9360"/>
          </w:cols>
          <w:pgMar w:left="1440" w:top="1422" w:right="1440" w:bottom="175" w:gutter="0" w:footer="0" w:header="0"/>
          <w:type w:val="continuous"/>
        </w:sectPr>
      </w:pPr>
    </w:p>
    <w:bookmarkStart w:id="9" w:name="page10"/>
    <w:bookmarkEnd w:id="9"/>
    <w:p>
      <w:pPr>
        <w:ind w:right="140" w:firstLine="720"/>
        <w:spacing w:after="0" w:line="246" w:lineRule="auto"/>
        <w:rPr>
          <w:sz w:val="20"/>
          <w:szCs w:val="20"/>
          <w:color w:val="auto"/>
        </w:rPr>
      </w:pPr>
      <w:r>
        <w:rPr>
          <w:rFonts w:ascii="Times New Roman" w:cs="Times New Roman" w:eastAsia="Times New Roman" w:hAnsi="Times New Roman"/>
          <w:sz w:val="20"/>
          <w:szCs w:val="20"/>
          <w:color w:val="231F20"/>
        </w:rPr>
        <w:t>Over 34 million adults in the U.S. smoke cigarettes, 50% of whom live with a smoking-related disease. Approximately 70% of smokers report that they want to quit, but only an estimated 3-5% who attempt to quit without assistance are successful for 6-12 months, and even with the currently available treatment options, relapse rates remain above 80%. Tobacco use results in approximately 500,000 premature deaths each year in the U.S., according to the Centers for Disease Control and Prevention. Smoking is the single largest cause of preventable disease and death in the U.S., accounting for nearly 1 in 5 deaths. Direct health care and lost productivity costs as a result of smoking total approximately $300 billion annually in the U.S. alone.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Solriamfetol</w:t>
      </w:r>
    </w:p>
    <w:p>
      <w:pPr>
        <w:spacing w:after="0" w:line="244"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231F20"/>
        </w:rPr>
        <w:t>Solriamfetol is a novel, oral, investigational DNRI, TAAR1 agonist, and 5-HT</w:t>
      </w:r>
      <w:r>
        <w:rPr>
          <w:rFonts w:ascii="Times New Roman" w:cs="Times New Roman" w:eastAsia="Times New Roman" w:hAnsi="Times New Roman"/>
          <w:sz w:val="13"/>
          <w:szCs w:val="13"/>
          <w:color w:val="231F20"/>
        </w:rPr>
        <w:t>1A</w:t>
      </w:r>
      <w:r>
        <w:rPr>
          <w:rFonts w:ascii="Times New Roman" w:cs="Times New Roman" w:eastAsia="Times New Roman" w:hAnsi="Times New Roman"/>
          <w:sz w:val="20"/>
          <w:szCs w:val="20"/>
          <w:color w:val="231F20"/>
        </w:rPr>
        <w:t xml:space="preserve"> agonist being developed for the treatment of CNS disorders. As used in this report, “solriamfetol” refers to, where applicable, SUNOSI as well as solriamfetol for the treatment of indications beyond EDS in patients with narcolepsy or OSA. We are currently conducting Phase 3 studies of solriamfetol in attention deficit hyperactivity disorder (ADHD), major depressive disorder (MDD) with excessive daytime sleepiness (EDS) symptoms, binge eating disorder (BED), and excessive sleepiness associated with shift work disorder (SWD).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Attention Deficit Hyperactivity Disorder</w:t>
      </w:r>
    </w:p>
    <w:p>
      <w:pPr>
        <w:spacing w:after="0" w:line="238"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231F20"/>
        </w:rPr>
        <w:t>We are conducting a Phase 3 clinical program of solriamfetol in ADHD. We have completed the FOCUS Phase 3 trial evaluating the efficacy and safety of solriamfetol in adults with ADHD. In the trial, solriamfetol achieved the primary endpoint by demonstrating statistically significant improvements in ADHD symptoms as measured by the Adult ADHD Investigator Symptom Rating Scale (AISRS) total score compared to placebo at Week 6, with mean reductions from baseline of 17.7 points for solriamfetol 150 mg and 14.3 points for placebo (p=0.039). In the trial, solriamfetol demonstrated a side effect profile that was consistent with the established safety profile of solriamfetol. We plan to initiate two additional Phase 3 trials of solriamfetol to be conducted concurrently, one in children with ADHD and one in adolescents with ADHD.</w:t>
      </w:r>
    </w:p>
    <w:p>
      <w:pPr>
        <w:spacing w:after="0" w:line="202"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231F20"/>
        </w:rPr>
        <w:t>ADHD is a chronic neurobiological and developmental disorder characterized by a persistent pattern of inattention, hyperactivity, or impulsivity that interferes with functioning or development. Impairments in cognition are apparent in attention, planning and problem solving, working memory, and behavioral inhibition. Over 22 million people in the U.S. are estimated to be affected by ADHD, including approximately 7 million children aged 3-17 years old. Approximately two-thirds or more children with ADHD continue to experience symptoms into adulthood. ADHD is associated with significant impairment in social, academic, and occupational functioning and development. The total annual societal excess costs associated with adult ADHD in the U.S. have been estimated at over $120 billion.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Major Depressive Disorder with Excessive Daytime Sleepiness Symptoms</w:t>
      </w:r>
    </w:p>
    <w:p>
      <w:pPr>
        <w:spacing w:after="0" w:line="238"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We are conducting a Phase 3 clinical program of solriamfetol in MDD. We have completed the PARADIGM proof-of-concept study evaluating solriamfetol in MDD with and without severe EDS. Based on the results of the PARADIGM study, the Company plans to initiate a Phase 3 trial of solriamfetol in MDD patients with EDS symptoms.</w:t>
      </w:r>
    </w:p>
    <w:p>
      <w:pPr>
        <w:spacing w:after="0" w:line="194"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color w:val="231F20"/>
        </w:rPr>
        <w:t>EDS is a common symptom in individuals with MDD that affects approximately 50% of patients and is associated with a greater risk of major depressive episodes. Patients with EDS have difficulty maintaining wakefulness and exhibit an increased tendency to fall asleep during the day, including in inappropriate circumstances, resulting in impaired daily functioning and increased safety risks. There are currently no approved treatments for MDD with EDS symptoms.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Binge Eating Disorder</w:t>
      </w:r>
    </w:p>
    <w:p>
      <w:pPr>
        <w:spacing w:after="0" w:line="238"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231F20"/>
        </w:rPr>
        <w:t>We are conducting a Phase 3 clinical program of solriamfetol in BED and are currently conducting the ENGAGE study, a Phase 3, randomized, double-blind, placebo-controlled, multicenter trial evaluating the efficacy and safety of solriamfetol in BED.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2240" w:h="15840" w:orient="portrait"/>
          <w:cols w:equalWidth="0" w:num="1">
            <w:col w:w="9360"/>
          </w:cols>
          <w:pgMar w:left="1440" w:top="1420" w:right="1440" w:bottom="175" w:gutter="0" w:footer="0" w:header="0"/>
          <w:type w:val="continuous"/>
        </w:sectPr>
      </w:pPr>
    </w:p>
    <w:bookmarkStart w:id="10" w:name="page11"/>
    <w:bookmarkEnd w:id="10"/>
    <w:p>
      <w:pPr>
        <w:ind w:firstLine="720"/>
        <w:spacing w:after="0" w:line="246" w:lineRule="auto"/>
        <w:rPr>
          <w:sz w:val="20"/>
          <w:szCs w:val="20"/>
          <w:color w:val="auto"/>
        </w:rPr>
      </w:pPr>
      <w:r>
        <w:rPr>
          <w:rFonts w:ascii="Times New Roman" w:cs="Times New Roman" w:eastAsia="Times New Roman" w:hAnsi="Times New Roman"/>
          <w:sz w:val="20"/>
          <w:szCs w:val="20"/>
          <w:color w:val="231F20"/>
        </w:rPr>
        <w:t>BED is the most common eating disorder, affecting over 7 million people in the U.S. While BED is 1.75 times more common in women than men, it is still more common in men than other eating disorders. BED is thought to involve issues with food reward processing, impulse control, cognitive control, and appetite regulation, and is associated with a 2- to 3-fold increased risk of psychiatric or medical comorbidities. Most people with BED remain untreated, with studies showing approximately 28% of patients having received treatment in the prior year and less than half of patients in their lifetime. We believe there is a significant need for new treatment options, with only one product currently approved for the treatment of BED.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Shift Work Disorder</w:t>
      </w:r>
    </w:p>
    <w:p>
      <w:pPr>
        <w:spacing w:after="0" w:line="238" w:lineRule="exact"/>
        <w:rPr>
          <w:sz w:val="20"/>
          <w:szCs w:val="20"/>
          <w:color w:val="auto"/>
        </w:rPr>
      </w:pPr>
    </w:p>
    <w:p>
      <w:pPr>
        <w:jc w:val="both"/>
        <w:ind w:right="180" w:firstLine="720"/>
        <w:spacing w:after="0" w:line="258" w:lineRule="auto"/>
        <w:rPr>
          <w:sz w:val="20"/>
          <w:szCs w:val="20"/>
          <w:color w:val="auto"/>
        </w:rPr>
      </w:pPr>
      <w:r>
        <w:rPr>
          <w:rFonts w:ascii="Times New Roman" w:cs="Times New Roman" w:eastAsia="Times New Roman" w:hAnsi="Times New Roman"/>
          <w:sz w:val="20"/>
          <w:szCs w:val="20"/>
          <w:color w:val="231F20"/>
        </w:rPr>
        <w:t>We are conducting a Phase 3 clinical program of solriamfetol in SWD and are conducting the SUSTAIN study, a Phase 3, randomized, double-blind, placebo-controlled, multicenter trial evaluating the efficacy and safety of solriamfetol in adults with shift work disorder (SWD).</w:t>
      </w:r>
    </w:p>
    <w:p>
      <w:pPr>
        <w:spacing w:after="0" w:line="188"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231F20"/>
        </w:rPr>
        <w:t>SWD is a combination of excessive sleepiness (ES) during wakefulness and persistent insomnia during daytime sleep when working outside a 7 a.m. to 6 p.m. workday. An estimated 15 million working Americans may suffer from SWD, of whom 10-43% are diagnosed with SWD. Shift work has long been associated with multiple serious health complaints and a 23% greater risk of sustaining a work-related injury. Treatment options are limited, with only two products currently approved for the treatment of ES associated with SWD, and no new treatments approved since 2007.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AXS-12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Narcolepsy</w:t>
      </w:r>
    </w:p>
    <w:p>
      <w:pPr>
        <w:spacing w:after="0" w:line="238" w:lineRule="exact"/>
        <w:rPr>
          <w:sz w:val="20"/>
          <w:szCs w:val="20"/>
          <w:color w:val="auto"/>
        </w:rPr>
      </w:pPr>
    </w:p>
    <w:p>
      <w:pPr>
        <w:ind w:right="520" w:firstLine="720"/>
        <w:spacing w:after="0" w:line="277" w:lineRule="auto"/>
        <w:rPr>
          <w:sz w:val="20"/>
          <w:szCs w:val="20"/>
          <w:color w:val="auto"/>
        </w:rPr>
      </w:pPr>
      <w:r>
        <w:rPr>
          <w:rFonts w:ascii="Times New Roman" w:cs="Times New Roman" w:eastAsia="Times New Roman" w:hAnsi="Times New Roman"/>
          <w:sz w:val="20"/>
          <w:szCs w:val="20"/>
          <w:color w:val="231F20"/>
        </w:rPr>
        <w:t>AXS-12 (reboxetine) is a novel, oral, potent, highly selective investigational norepinephrine reuptake inhibitor (NRI) and cortical dopamine modulator being developed for the treatment of narcolepsy.</w:t>
      </w:r>
    </w:p>
    <w:p>
      <w:pPr>
        <w:spacing w:after="0" w:line="169"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231F20"/>
        </w:rPr>
        <w:t>In December 2025, we received formal pre-NDA meeting minutes from the FDA supporting an NDA submission for AXS-12 for the treatment of cataplexy in narcolepsy. AXS-12 was previously granted Orphan Drug Designation for the treatment of narcolepsy. Orphan Drug Designation is granted to promising drugs intended for the safe and effective treatment of rare diseases, defined as those affecting fewer than 200,000 people in the U.S. The designation may entitle the Company to a period of seven years of marketing exclusivity in the U.S. upon FDA approval and a waiver of the Company’s obligation to pay the FDA application user fees for the product as required by the Prescription Drug User Fee Act (PDUFA).</w:t>
      </w:r>
    </w:p>
    <w:p>
      <w:pPr>
        <w:spacing w:after="0" w:line="200" w:lineRule="exact"/>
        <w:rPr>
          <w:sz w:val="20"/>
          <w:szCs w:val="20"/>
          <w:color w:val="auto"/>
        </w:rPr>
      </w:pPr>
    </w:p>
    <w:p>
      <w:pPr>
        <w:ind w:right="620" w:firstLine="720"/>
        <w:spacing w:after="0" w:line="277" w:lineRule="auto"/>
        <w:rPr>
          <w:sz w:val="20"/>
          <w:szCs w:val="20"/>
          <w:color w:val="auto"/>
        </w:rPr>
      </w:pPr>
      <w:r>
        <w:rPr>
          <w:rFonts w:ascii="Times New Roman" w:cs="Times New Roman" w:eastAsia="Times New Roman" w:hAnsi="Times New Roman"/>
          <w:sz w:val="20"/>
          <w:szCs w:val="20"/>
          <w:color w:val="231F20"/>
        </w:rPr>
        <w:t>We have evaluated the efficacy and safety of AXS-12 in narcolepsy in three completed randomized, double-blind, placebo-controlled trials and a long-term safety trial.</w:t>
      </w:r>
    </w:p>
    <w:p>
      <w:pPr>
        <w:spacing w:after="0" w:line="169"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In the CONCERT Phase 2 trial, AXS-12 achieved the primary endpoint by demonstrating a highly statistically significant reduction in weekly cataplexy attacks, averaged over the 2-week treatment period, the overall treatment effect compared to placebo (p&lt;0.001). AXS- 12 demonstrated rapid improvements in cataplexy with statistically significant benefit compared to placebo as early as Week 1 (p&lt;0.001). In the SYMPHONY Phase 3 trial, AXS-12 achieved the primary endpoint by demonstrating a statistically significant reduction in weekly cataplexy attacks compared to placebo at Week 5 (p=0.018), with statistically significant reductions starting at Week 1 (p=0.007) and maintained throughout the trial. In the ENCORE Phase 3 trial, AXS-12 achieved the primary endpoint by demonstrating a statistically significant improvement in weekly cataplexy attacks compared to placebo at Week 3 of the double-blind treatment period. Patients randomized to switch to placebo experienced statistically significant worsening in the average weekly number of cataplexy attacks compared to patients randomized to continue AXS-12 treatment, with an increase of 10.29 attacks per week for placebo compared to 1.32 attacks per week for AXS-12, at 3 weeks (p=0.017).</w:t>
      </w:r>
    </w:p>
    <w:p>
      <w:pPr>
        <w:spacing w:after="0" w:line="206"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In the CONCERT, SYMPHONY, and ENCORE studies, AXS-12 also demonstrated statistically significant improvements in EDS symptoms and cognitive function compared to placebo. AXS-12 was well tolerated with a consistent safety and tolerability profile across the clinical trials of AXS-12 in narcolepsy.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2240" w:h="15840" w:orient="portrait"/>
          <w:cols w:equalWidth="0" w:num="1">
            <w:col w:w="9360"/>
          </w:cols>
          <w:pgMar w:left="1440" w:top="1420" w:right="1440" w:bottom="175" w:gutter="0" w:footer="0" w:header="0"/>
          <w:type w:val="continuous"/>
        </w:sectPr>
      </w:pPr>
    </w:p>
    <w:bookmarkStart w:id="11" w:name="page12"/>
    <w:bookmarkEnd w:id="11"/>
    <w:p>
      <w:pPr>
        <w:ind w:firstLine="720"/>
        <w:spacing w:after="0" w:line="246" w:lineRule="auto"/>
        <w:rPr>
          <w:sz w:val="20"/>
          <w:szCs w:val="20"/>
          <w:color w:val="auto"/>
        </w:rPr>
      </w:pPr>
      <w:r>
        <w:rPr>
          <w:rFonts w:ascii="Times New Roman" w:cs="Times New Roman" w:eastAsia="Times New Roman" w:hAnsi="Times New Roman"/>
          <w:sz w:val="20"/>
          <w:szCs w:val="20"/>
          <w:color w:val="231F20"/>
        </w:rPr>
        <w:t>Narcolepsy is a serious and debilitating orphan neurological condition that causes dysregulation of the sleep-wake cycle. It is characterized clinically by EDS, cataplexy, hypnagogic hallucinations, sleep paralysis, and disrupted nocturnal sleep. Narcolepsy affects an estimated 185,000 individuals in the U.S. Cataplexy is seen in up to approximately 70% of narcolepsy patients and is characterized by a sudden reduction or loss of muscle tone while a patient is awake, typically triggered by strong emotions such as laughter, fear, anger, stress, or excitement. Narcolepsy is a life-long condition that interferes with cognitive, psychological, and social functioning, increases the risk of work- and driving-related accidents, and is associated with a 1.5-fold higher mortality 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AXS-14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Fibromyalgia</w:t>
      </w:r>
    </w:p>
    <w:p>
      <w:pPr>
        <w:spacing w:after="0" w:line="238"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231F20"/>
        </w:rPr>
        <w:t>AXS-14 (esreboxetine) is a novel, oral, potent, highly selective investigational NRI being developed for the management of fibromyalgia. In 2020, we received from Pfizer Inc. (Pfizer) an exclusive license to develop and commercialize esreboxetine in the U.S. for fibromyalgia and other indications.</w:t>
      </w:r>
    </w:p>
    <w:p>
      <w:pPr>
        <w:spacing w:after="0" w:line="188" w:lineRule="exact"/>
        <w:rPr>
          <w:sz w:val="20"/>
          <w:szCs w:val="20"/>
          <w:color w:val="auto"/>
        </w:rPr>
      </w:pPr>
    </w:p>
    <w:p>
      <w:pPr>
        <w:ind w:right="160" w:firstLine="720"/>
        <w:spacing w:after="0" w:line="244" w:lineRule="auto"/>
        <w:rPr>
          <w:sz w:val="20"/>
          <w:szCs w:val="20"/>
          <w:color w:val="auto"/>
        </w:rPr>
      </w:pPr>
      <w:r>
        <w:rPr>
          <w:rFonts w:ascii="Times New Roman" w:cs="Times New Roman" w:eastAsia="Times New Roman" w:hAnsi="Times New Roman"/>
          <w:sz w:val="20"/>
          <w:szCs w:val="20"/>
          <w:color w:val="231F20"/>
        </w:rPr>
        <w:t>We are conducting the FORWARD study, a Phase 3, double-blind, placebo-controlled, multicenter, randomized withdrawal trial evaluating the efficacy and safety of AXS-14 in patients with fibromyalgia. AXS-14 previously demonstrated positive results in a Phase 3 and Phase 2 trial conducted by Pfizer. In the Phase 3 trial, esreboxetine achieved the co-primary endpoints by demonstrating statistically significant improvements in the weekly mean pain score compared to placebo (p&lt;0.001, p&lt;0.001, and p=0.025 for 4 mg, 8 mg and 10 mg daily doses, respectively) and the Fibromyalgia Impact Questionnaire (FIQ), total score (p&lt;0.001, p&lt;0.001, and p=0.023 for 4 mg, 8 mg and 10 mg daily doses, respectively). In the Phase 2 trial, esreboxetine achieved the primary endpoint by demonstrating statistically significant improvements in the weekly mean pain score compared to placebo at Week 8 (p=0.006).</w:t>
      </w:r>
    </w:p>
    <w:p>
      <w:pPr>
        <w:spacing w:after="0" w:line="206"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In 2025, we submitted an NDA for AXS-14 for the management of fibromyalgia based on the previously completed efficacy and safety trials. Following this submission, we received a Refusal to File (RTF) letter from the FDA for the NDA. The FDA stated that upon preliminary review, it found the NDA was not sufficiently complete to permit a substantive review. Specifically, the FDA did not consider the second of the two placebo-controlled trials in the submission to be adequate and well-controlled because its primary endpoint was at 8 weeks and it used a flexible-dose paradigm. The FDA indicated that the first of the two placebo-controlled trials in the submission, which utilized a 12 -week endpoint and a fixed-dose paradigm, is adequate and well-controlled. The FDA did not raise any questions relating to the positive results of the studies, both of which met their primary endpoints. We initiated the FORWARD study to address the FDA’s feedback in the RTF letter.</w:t>
      </w:r>
    </w:p>
    <w:p>
      <w:pPr>
        <w:spacing w:after="0" w:line="206" w:lineRule="exact"/>
        <w:rPr>
          <w:sz w:val="20"/>
          <w:szCs w:val="20"/>
          <w:color w:val="auto"/>
        </w:rPr>
      </w:pPr>
    </w:p>
    <w:p>
      <w:pPr>
        <w:ind w:right="160" w:firstLine="720"/>
        <w:spacing w:after="0" w:line="245" w:lineRule="auto"/>
        <w:rPr>
          <w:sz w:val="20"/>
          <w:szCs w:val="20"/>
          <w:color w:val="auto"/>
        </w:rPr>
      </w:pPr>
      <w:r>
        <w:rPr>
          <w:rFonts w:ascii="Times New Roman" w:cs="Times New Roman" w:eastAsia="Times New Roman" w:hAnsi="Times New Roman"/>
          <w:sz w:val="20"/>
          <w:szCs w:val="20"/>
          <w:color w:val="231F20"/>
        </w:rPr>
        <w:t>Fibromyalgia is a chronic, debilitating disorder that affects approximately 17 million people in the U.S. Fibromyalgia is considered to be mediated mainly in the central nervous system. It is characterized by widespread pain, fatigue, disturbed sleep, depression, cognitive impairment, and hypersensitivity to sensory stimuli. Other symptoms of this disorder can include tingling in the hands and feet and headaches. Fibromyalgia has considerable detrimental effects on physical, emotional, social, and day-to-day functioning and is associated with significant economic burden and reduced quality of life. Despite its prevalence and impact, current treatment options remain limited. Many patients experience inadequate symptom control or intolerable side effects, with over 50% of fibromyalgia patients discontinuing their treatment within the first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231F20"/>
        </w:rPr>
        <w:t>AXS-17</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Epilepsy</w:t>
      </w:r>
    </w:p>
    <w:p>
      <w:pPr>
        <w:spacing w:after="0" w:line="238"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231F20"/>
        </w:rPr>
        <w:t>In November 2025, we entered into an agreement to acquire exclusive global rights to AXS-17 (formerly AZD7325), a novel oral GABA</w:t>
      </w:r>
      <w:r>
        <w:rPr>
          <w:rFonts w:ascii="Times New Roman" w:cs="Times New Roman" w:eastAsia="Times New Roman" w:hAnsi="Times New Roman"/>
          <w:sz w:val="13"/>
          <w:szCs w:val="13"/>
          <w:color w:val="231F20"/>
        </w:rPr>
        <w:t>A</w:t>
      </w:r>
      <w:r>
        <w:rPr>
          <w:rFonts w:ascii="Times New Roman" w:cs="Times New Roman" w:eastAsia="Times New Roman" w:hAnsi="Times New Roman"/>
          <w:sz w:val="20"/>
          <w:szCs w:val="20"/>
          <w:color w:val="231F20"/>
        </w:rPr>
        <w:t xml:space="preserve"> α2,3 receptor positive allosteric modulator, licensed from AstraZeneca AB. AXS-17 has been dosed in over 700 patients to date and demonstrated anti-convulsant effects in preclinical seizure models. We intend to evaluate AXS-17 as a potential treatment for epilepsy.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2240" w:h="15840" w:orient="portrait"/>
          <w:cols w:equalWidth="0" w:num="1">
            <w:col w:w="9360"/>
          </w:cols>
          <w:pgMar w:left="1440" w:top="1420" w:right="1440" w:bottom="175"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231F20"/>
        </w:rPr>
        <w:t>Commercial Agreements</w:t>
      </w:r>
    </w:p>
    <w:p>
      <w:pPr>
        <w:spacing w:after="0" w:line="244" w:lineRule="exact"/>
        <w:rPr>
          <w:sz w:val="20"/>
          <w:szCs w:val="20"/>
          <w:color w:val="auto"/>
        </w:rPr>
      </w:pPr>
    </w:p>
    <w:p>
      <w:pPr>
        <w:ind w:right="140" w:firstLine="720"/>
        <w:spacing w:after="0" w:line="247" w:lineRule="exact"/>
        <w:rPr>
          <w:sz w:val="20"/>
          <w:szCs w:val="20"/>
          <w:color w:val="auto"/>
        </w:rPr>
      </w:pPr>
      <w:r>
        <w:rPr>
          <w:rFonts w:ascii="Times New Roman" w:cs="Times New Roman" w:eastAsia="Times New Roman" w:hAnsi="Times New Roman"/>
          <w:sz w:val="20"/>
          <w:szCs w:val="20"/>
          <w:color w:val="231F20"/>
        </w:rPr>
        <w:t>We have customary clinical and commercial supply agreements and customary agreements with third-parties to help manage our clinical trials. Our commercial agreements are generally non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exclusive, and we have no material contractual obligations under such agreements, except to the extent we order supply or request services to be performed.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Material License Agreements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Exclusive License Agreement with Pfizer</w:t>
      </w:r>
    </w:p>
    <w:p>
      <w:pPr>
        <w:spacing w:after="0" w:line="238"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$97.54,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paid-up,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2240" w:h="15840" w:orient="portrait"/>
          <w:cols w:equalWidth="0" w:num="1">
            <w:col w:w="9360"/>
          </w:cols>
          <w:pgMar w:left="1440" w:top="1416" w:right="1440" w:bottom="175"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i w:val="1"/>
          <w:iCs w:val="1"/>
          <w:color w:val="231F20"/>
        </w:rPr>
        <w:t>Exclusive License Agreements with Antecip</w:t>
      </w:r>
    </w:p>
    <w:p>
      <w:pPr>
        <w:spacing w:after="0" w:line="238"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In 2012, we entered into three exclusive license agreements with Antecip Bioventures II LLC, or Antecip, an entity owned by our Chief Executive Officer and Chairman of the Board of Directors, or the Board, Herriot Tabuteau, M.D., in which we were granted exclusive licenses to develop, manufacture, and commercialize Antecip’s patents and applications related to the development of AXS-05 anywhere in the world for human therapeutic, veterinary,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 by product and country by 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Due to product sales of AUVELITY since the fourth quarter of 2022, we recorded royalty expense for royalty payments due to Antecip equal to 3.0% of net sales. This is considered to be a related party transaction.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Royalty Agreement with Jazz Pharmaceuticals, SK Biopharmaceuticals Co., Ltd. and Aerial Biopharma, LLC</w:t>
      </w:r>
    </w:p>
    <w:p>
      <w:pPr>
        <w:spacing w:after="0" w:line="23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Biopharma, LLC, or Aerial. The assumed commitments to SK and Aerial include single-digit tiered royalties based on the Company’s sales of SUNOSI, and additionally, the Company is committed to pay up to $162.5 million based on revenue milestones and $1.0 million based on development milestones. We are dependent on these agreements, and if we breach these agreements, our business, financial condition, results of operations, and prospects will be materially harmed.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Pharmanovia</w:t>
      </w:r>
    </w:p>
    <w:p>
      <w:pPr>
        <w:spacing w:after="0" w:line="238"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231F20"/>
        </w:rPr>
        <w:t>In February 2023, we announced a licensing transaction with Pharmanovia to market SUNOSI in Europe and certain countries in the Middle East / North Africa. Refer to Note 15. License Agreements to our consolidated financial statements included in Part IV, Exhibits and Financial Statement Schedules, of this Annual Report on Form 10-K for further detail.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Asset Acquisitions</w:t>
      </w:r>
    </w:p>
    <w:p>
      <w:pPr>
        <w:spacing w:after="0" w:line="244"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231F20"/>
        </w:rPr>
        <w:t>In November 2025, we acquired all the outstanding shares of Baergic Bio, Inc., a clinical-stage biopharmaceutical company and subsidiary of Avenue Therapeutics (Baergic). The acquisition provided global rights to AZD7325 (AXS-17), an oral GABA</w:t>
      </w:r>
      <w:r>
        <w:rPr>
          <w:rFonts w:ascii="Times New Roman" w:cs="Times New Roman" w:eastAsia="Times New Roman" w:hAnsi="Times New Roman"/>
          <w:sz w:val="13"/>
          <w:szCs w:val="13"/>
          <w:color w:val="231F20"/>
        </w:rPr>
        <w:t>A</w:t>
      </w:r>
      <w:r>
        <w:rPr>
          <w:rFonts w:ascii="Times New Roman" w:cs="Times New Roman" w:eastAsia="Times New Roman" w:hAnsi="Times New Roman"/>
          <w:sz w:val="20"/>
          <w:szCs w:val="20"/>
          <w:color w:val="231F20"/>
        </w:rPr>
        <w:t xml:space="preserve"> receptor α2,3 subtype-selective PAM, originally licensed from AstraZeneca AB (AZ), for the potential treatment of epilepsy. We also assumed the AZD7325 license agreement between Baergic and AZ. The total upfront payment was $2.3 million, and the former Baergic shareholders and AZ are also eligible to receive contingent development, regulatory and sales-based milestone payments of up to $159.5 million and tiered low double-digit to mid-teen royalties on potential global net sales of AZD7325.</w:t>
      </w:r>
    </w:p>
    <w:p>
      <w:pPr>
        <w:spacing w:after="0" w:line="200"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In December 2025, we acquired the global rights to deuterium-stabilized S-bupropion from DeuteRx, LLC, a privately held biopharmaceutical company (DeuteRx). DeuteRx is eligible to receive contingent development, regulatory and sales-based milestones of up to $523 million and a tiered low single-digit royalty on potential global net sales.</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2240" w:h="15840" w:orient="portrait"/>
          <w:cols w:equalWidth="0" w:num="1">
            <w:col w:w="9360"/>
          </w:cols>
          <w:pgMar w:left="1440" w:top="1422" w:right="1440" w:bottom="17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244"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Our product candidates are protected by a combination of patents, trade secrets, and proprietary know-how. If approved, they may also be eligible for periods of regulatory exclusivity. Our intellectual property portfolio includes issued U.S. and foreign patents with claims extending to 2034, 2040, 2041, and 2043 for AXS-05 and to 2039 for AXS-12, as well as U.S. and foreign patent applications for AXS-05, AXS-12, and AXS-14. Our issued U.S. and foreign patents for SYMBRAVO include claims extending out to 2045 and 2040, respectively. Our Orange Book listed patents in the United States for SUNOSI extend out to 2042. We also have patents in various other countries pertaining to SUNOSI.</w:t>
      </w:r>
    </w:p>
    <w:p>
      <w:pPr>
        <w:spacing w:after="0" w:line="20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In February 2025, we entered into a settlement agreement resolving all outstanding patent litigation related to AUVELITY. The litigation resulted from submission by Teva Pharmaceutical Industries Limited (Teva) of an ANDA to the FDA seeking approval to market a generic version of AUVELITY in the U.S. prior to the expiration of applicable Axsome patents. Under the terms of the settlement agreement, Axsome will grant Teva a license to sell its generic version of AUVELITY beginning on or after March 31, 2039, if pediatric exclusivity is granted, or on or after September 30, 2038, if no pediatric exclusivity is granted, subject to FDA approval and conditions and exceptions customary for agreements of this type.</w:t>
      </w:r>
    </w:p>
    <w:p>
      <w:pPr>
        <w:spacing w:after="0" w:line="20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In May 2025, we entered into a settlement agreement with Hetero Labs Ltd., and certain of its affiliates (Hetero), that permits Hetero to begin selling its generic version of SUNOSI on September 1, 2040, or earlier under certain circumstances. In March 2025, we entered into a settlement agreement with Hikma Pharmaceuticals USA, Inc. (Hikma) that permits Hikma to begin selling its generic version of SUNOSI on September 1, 2040, or earlier under certain circumstances. In August 2024, we reached an agreement with Sandoz Inc. (Sandoz) to dismiss the patent litigation related to SUNOSI following Sandoz’s withdrawal of its ANDA for a generic equivalent of SUNOSI. As a result, the litigation has been dismissed without prejudice. In June 2024, we entered into a settlement agreement with Unichem Laboratories Ltd. (Unichem) that permits Unichem to begin selling its generic version of SUNOSI on June 30, 2042, or earlier under certain circumstances.</w:t>
      </w:r>
    </w:p>
    <w:p>
      <w:pPr>
        <w:spacing w:after="0" w:line="206"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231F20"/>
        </w:rPr>
        <w:t>We seek to protect our product candidates and our technology through a combination of patents, trade secrets, proprietary know-how,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20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As of February 16, 2026, our intellectual property portfolio contains more than 600 issued patents and more than 450 pending applications in the United States and worldwide. More than 150 issued United States patents and more than 130 issued foreign patents cover our AXS-05 products, including AUVELITY, other AXS-05 products still in the pipeline, and related compounds, which have claims covering method of treatment, pharmaceutical composition, drug delivery, and pharmacokinetics, with protection extending through 2043. More than 100 issued United States patents and more than 160 issued foreign patents cover our AXS-07 products, including SYMBRAVO and related compounds, which have claims covering various aspects, including pharmacokinetics, pharmaceutical composition, method of delivery, and methods of use with protection extending through 2045 for United States patents and 2040 for foreign patents. Nine issued United States patents and five issued foreign patents cover our AXS-12 product candidate with protection extending through 2039. We have pending PCT applications, as well as pending applications in Australia, Brazil, Canada, Chile, China, Europe, Hong Kong, Israel, Japan, Mexico, Panama, Singapore, South Korea, and New Zealand. We have other patent applications with claims covering the other programs in our pipeline, including those that are not relevant to our current programs in development. With respect to SUNOSI, Orange Book listed patents in the United States extend out to 2042. We also have patents in various other countries pertaining to SUNOSI.</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2240" w:h="15840" w:orient="portrait"/>
          <w:cols w:equalWidth="0" w:num="1">
            <w:col w:w="9360"/>
          </w:cols>
          <w:pgMar w:left="1440" w:top="1416" w:right="1440" w:bottom="175" w:gutter="0" w:footer="0" w:header="0"/>
          <w:type w:val="continuous"/>
        </w:sectPr>
      </w:pPr>
    </w:p>
    <w:bookmarkStart w:id="15" w:name="page16"/>
    <w:bookmarkEnd w:id="15"/>
    <w:p>
      <w:pPr>
        <w:ind w:right="20" w:firstLine="720"/>
        <w:spacing w:after="0" w:line="241" w:lineRule="auto"/>
        <w:rPr>
          <w:sz w:val="20"/>
          <w:szCs w:val="20"/>
          <w:color w:val="auto"/>
        </w:rPr>
      </w:pPr>
      <w:r>
        <w:rPr>
          <w:rFonts w:ascii="Times New Roman" w:cs="Times New Roman" w:eastAsia="Times New Roman" w:hAnsi="Times New Roman"/>
          <w:sz w:val="20"/>
          <w:szCs w:val="20"/>
          <w:color w:val="231F20"/>
        </w:rPr>
        <w:t>Many pharmaceutical companies, biotechnology companies, and academic institutions are competing with us in the field of CNS disorders and filing patent applications potentially relevant to our business. In order to contend with the inevitable possibility of third-party intellectual property conflicts, from time to time we review and assess the third-party intellectual property landscape for competitive and other developments that may inform or impact our intellectual property development and commercialization strategies. With respect to third-party intellectual property, it is impossible to establish with certainty that our product candidates or discovery platform will be free of claims by third-party intellectual property holders or whether we will require licenses from such third parties.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If the third-party patent owner disagrees with our conclusion and we continue with the business activity in question, we might have patent litigation forced upon us. Alternatively, we might decide to initiate litigation in an attempt to have a court declare the third-party patent invalid or not infringed by our activity. In either scenario, patent litigation typically is costly and time 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discovery platform as a result of patent infringement claims asserted against us. This could have a material adverse effect on our business. In addition to patents, we rely upon unpatented trade secrets, know how, and continuing technological innovation to develop and maintain a competitive position. We seek to protect our proprietary information, including our trade secrets and proprietary know how, by requiring our employees to execute Proprietary Information, Inventions, Non-Solicitation, and Non-Competition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Further, we require confidentiality agreements from entities that receive our confidential data or materials.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Sales and Marketing</w:t>
      </w:r>
    </w:p>
    <w:p>
      <w:pPr>
        <w:spacing w:after="0" w:line="244"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We have built a commercial infrastructure in the United States to commercialize our products and will further expand that team as we plan for anticipated drug approvals of our product candidates. We believe that we have cost-effectively implemented a targeted sales force required to commercialize our products. Support for this team includes sales management, internal sales support, market access, distribution support, and an internal marketing group. We may seek co-promotion partners for our sales efforts to achieve broader reach or call frequency with other United States target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 implement this infrastructure, we will have to allocate management resources and make significant financial investments including some prior to product approval.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2240" w:h="15840" w:orient="portrait"/>
          <w:cols w:equalWidth="0" w:num="1">
            <w:col w:w="9360"/>
          </w:cols>
          <w:pgMar w:left="1440" w:top="1420" w:right="1440" w:bottom="175"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Overview</w:t>
      </w:r>
    </w:p>
    <w:p>
      <w:pPr>
        <w:spacing w:after="0" w:line="217" w:lineRule="exact"/>
        <w:rPr>
          <w:sz w:val="20"/>
          <w:szCs w:val="20"/>
          <w:color w:val="auto"/>
        </w:rPr>
      </w:pPr>
    </w:p>
    <w:p>
      <w:pPr>
        <w:ind w:right="20" w:firstLine="720"/>
        <w:spacing w:after="0" w:line="219" w:lineRule="auto"/>
        <w:rPr>
          <w:sz w:val="20"/>
          <w:szCs w:val="20"/>
          <w:color w:val="auto"/>
        </w:rPr>
      </w:pPr>
      <w:r>
        <w:rPr>
          <w:rFonts w:ascii="Times New Roman" w:cs="Times New Roman" w:eastAsia="Times New Roman" w:hAnsi="Times New Roman"/>
          <w:sz w:val="20"/>
          <w:szCs w:val="20"/>
          <w:color w:val="231F20"/>
        </w:rPr>
        <w:t>Our industry is highly competitive and subject to rapid and significant technological change. The large size and expanding scope of the CNS markets make them attractive therapeutic areas for biopharmaceutical businesses. Our competitors include pharmaceutical, biotechnology, and specialty pharmaceutical companies. While we believe that our employees and consultants, scientific knowledge, technology, and development experience provide us with competitive advantages, we face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are likely to be their efficacy, safety, convenience, price, the level of branded and generic competition, and the availability of reimbursement from government and other third-party payors.</w:t>
      </w:r>
    </w:p>
    <w:p>
      <w:pPr>
        <w:spacing w:after="0" w:line="183" w:lineRule="exact"/>
        <w:rPr>
          <w:sz w:val="20"/>
          <w:szCs w:val="20"/>
          <w:color w:val="auto"/>
        </w:rPr>
      </w:pPr>
    </w:p>
    <w:p>
      <w:pPr>
        <w:ind w:right="60" w:firstLine="720"/>
        <w:spacing w:after="0" w:line="222" w:lineRule="auto"/>
        <w:rPr>
          <w:sz w:val="20"/>
          <w:szCs w:val="20"/>
          <w:color w:val="auto"/>
        </w:rPr>
      </w:pPr>
      <w:r>
        <w:rPr>
          <w:rFonts w:ascii="Times New Roman" w:cs="Times New Roman" w:eastAsia="Times New Roman" w:hAnsi="Times New Roman"/>
          <w:sz w:val="20"/>
          <w:szCs w:val="20"/>
          <w:color w:val="231F20"/>
        </w:rPr>
        <w:t>Patients with MDD are typically treated with a variety of anti-depressant medications. Some of these treatments include: generic and/or branded forms of Prozac, the branded form of which is marketed by Eli Lilly and Company; Zoloft, which is marketed by Pfizer; Trintellix, which is marketed by Takeda Pharmaceuticals Company and H. Lundbeck A/S; Rexulti, which is marketed by Otsuka Pharmaceutical Co., Ltd., and Lundbeck A/S; Vraylar and Viibryd, which are marketed by AbbVie Inc. (AbbVie); Effexor, which is marketed by Pfizer; Caplyta, which is marketed by Johnson &amp; Johnson International, Inc. (Johnson &amp; Johnson); Exxua, which is marketed by Aytu Biopharma, Inc.; and Wellbutrin, which is marketed by GSK plc (GSK). We are aware of several companies developing compounds for the treatment of depression, including AbbVie, Compass Pathways, Inc., Definium Therapeutics, Inc., Xenon Pharmaceuticals, Inc., Neumora Therapeutics, Inc., Johnson &amp; Johnson, Otsuka Pharmaceutical Co. Ltd., Acadia Pharmaceuticals Inc., and Neurocrine Biosciences, Inc.</w:t>
      </w:r>
    </w:p>
    <w:p>
      <w:pPr>
        <w:spacing w:after="0" w:line="183" w:lineRule="exact"/>
        <w:rPr>
          <w:sz w:val="20"/>
          <w:szCs w:val="20"/>
          <w:color w:val="auto"/>
        </w:rPr>
      </w:pPr>
    </w:p>
    <w:p>
      <w:pPr>
        <w:ind w:right="440" w:firstLine="720"/>
        <w:spacing w:after="0" w:line="228" w:lineRule="auto"/>
        <w:rPr>
          <w:sz w:val="20"/>
          <w:szCs w:val="20"/>
          <w:color w:val="auto"/>
        </w:rPr>
      </w:pPr>
      <w:r>
        <w:rPr>
          <w:rFonts w:ascii="Times New Roman" w:cs="Times New Roman" w:eastAsia="Times New Roman" w:hAnsi="Times New Roman"/>
          <w:sz w:val="20"/>
          <w:szCs w:val="20"/>
          <w:color w:val="231F20"/>
        </w:rPr>
        <w:t>Patients with EDS associated with narcolepsy have available to them a variety of medications, such as generic and/or branded forms of Xyrem and Xywav, which are marketed by Jazz; Wakix, which is marketed by Harmony Biosciences LLC; Lumryz, which is marketed by Alkermes plc; Provigil and Nuvigil, which are manufactured by Teva. We are aware of several companies developing compounds for the treatment of EDS, including Alkermes plc and Tris Pharma Inc.</w:t>
      </w:r>
    </w:p>
    <w:p>
      <w:pPr>
        <w:spacing w:after="0" w:line="183" w:lineRule="exact"/>
        <w:rPr>
          <w:sz w:val="20"/>
          <w:szCs w:val="20"/>
          <w:color w:val="auto"/>
        </w:rPr>
      </w:pPr>
    </w:p>
    <w:p>
      <w:pPr>
        <w:ind w:right="180" w:firstLine="720"/>
        <w:spacing w:after="0" w:line="231" w:lineRule="auto"/>
        <w:rPr>
          <w:sz w:val="20"/>
          <w:szCs w:val="20"/>
          <w:color w:val="auto"/>
        </w:rPr>
      </w:pPr>
      <w:r>
        <w:rPr>
          <w:rFonts w:ascii="Times New Roman" w:cs="Times New Roman" w:eastAsia="Times New Roman" w:hAnsi="Times New Roman"/>
          <w:sz w:val="20"/>
          <w:szCs w:val="20"/>
          <w:color w:val="231F20"/>
        </w:rPr>
        <w:t>Patients with migraine have available to them a variety of medications for the acute treatment of migraine with or without aura in adults, including generic and/or branded triptans and products such as Nurtec ODT and Zavzpret, which are marketed by Pfizer; Ubrelvy, which is marketed by AbbVie; Treximet, which is marketed by Currax Pharmaceuticals LLC, and Trudhesa which is marketed by Impel Pharmaceuticals LLC.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CNS Product Candidates</w:t>
      </w:r>
    </w:p>
    <w:p>
      <w:pPr>
        <w:spacing w:after="0" w:line="259"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i w:val="1"/>
          <w:iCs w:val="1"/>
          <w:color w:val="231F20"/>
        </w:rPr>
        <w:t>AXS</w:t>
      </w:r>
      <w:r>
        <w:rPr>
          <w:rFonts w:ascii="MS Gothic" w:cs="MS Gothic" w:eastAsia="MS Gothic" w:hAnsi="MS Gothic"/>
          <w:sz w:val="20"/>
          <w:szCs w:val="20"/>
          <w:i w:val="1"/>
          <w:iCs w:val="1"/>
          <w:color w:val="231F20"/>
        </w:rPr>
        <w:t>‑</w:t>
      </w:r>
      <w:r>
        <w:rPr>
          <w:rFonts w:ascii="Times New Roman" w:cs="Times New Roman" w:eastAsia="Times New Roman" w:hAnsi="Times New Roman"/>
          <w:sz w:val="20"/>
          <w:szCs w:val="20"/>
          <w:b w:val="1"/>
          <w:bCs w:val="1"/>
          <w:i w:val="1"/>
          <w:iCs w:val="1"/>
          <w:color w:val="231F20"/>
        </w:rPr>
        <w:t>05 Competition</w:t>
      </w:r>
    </w:p>
    <w:p>
      <w:pPr>
        <w:spacing w:after="0" w:line="255"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We are aware of other companies working to develop therapeutics for the treatment of AD agitation, including Johnson &amp; Johnson, Bristol-Myers Squibb Co., Neumora Therapeutics, Inc., BioXcel Therapeutics, Inc., and Otsuka and Lundbeck A/S, which recently received approval for Rexulti for this indication. Products approved for smoking cessation include Chantix, which is marketed by Pfizer; Zyban, which is marketed by GSK; and various nicotine replacement therapies, including skin patches, chewing gums, and lozenges.</w:t>
      </w:r>
    </w:p>
    <w:p>
      <w:pPr>
        <w:sectPr>
          <w:pgSz w:w="12240" w:h="15840" w:orient="portrait"/>
          <w:cols w:equalWidth="0" w:num="1">
            <w:col w:w="9360"/>
          </w:cols>
          <w:pgMar w:left="1440" w:top="1397"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2240" w:h="15840" w:orient="portrait"/>
          <w:cols w:equalWidth="0" w:num="1">
            <w:col w:w="9360"/>
          </w:cols>
          <w:pgMar w:left="1440" w:top="1397" w:right="1440" w:bottom="175" w:gutter="0" w:footer="0" w:header="0"/>
          <w:type w:val="continuous"/>
        </w:sectPr>
      </w:pPr>
    </w:p>
    <w:bookmarkStart w:id="17" w:name="page18"/>
    <w:bookmarkEnd w:id="17"/>
    <w:p>
      <w:pPr>
        <w:spacing w:after="0" w:line="230" w:lineRule="exact"/>
        <w:rPr>
          <w:sz w:val="20"/>
          <w:szCs w:val="20"/>
          <w:color w:val="auto"/>
        </w:rPr>
      </w:pPr>
      <w:r>
        <w:rPr>
          <w:rFonts w:ascii="Times New Roman" w:cs="Times New Roman" w:eastAsia="Times New Roman" w:hAnsi="Times New Roman"/>
          <w:sz w:val="20"/>
          <w:szCs w:val="20"/>
          <w:b w:val="1"/>
          <w:bCs w:val="1"/>
          <w:i w:val="1"/>
          <w:iCs w:val="1"/>
          <w:color w:val="231F20"/>
        </w:rPr>
        <w:t>AXS</w:t>
      </w:r>
      <w:r>
        <w:rPr>
          <w:rFonts w:ascii="MS Gothic" w:cs="MS Gothic" w:eastAsia="MS Gothic" w:hAnsi="MS Gothic"/>
          <w:sz w:val="20"/>
          <w:szCs w:val="20"/>
          <w:i w:val="1"/>
          <w:iCs w:val="1"/>
          <w:color w:val="231F20"/>
        </w:rPr>
        <w:t>‑</w:t>
      </w:r>
      <w:r>
        <w:rPr>
          <w:rFonts w:ascii="Times New Roman" w:cs="Times New Roman" w:eastAsia="Times New Roman" w:hAnsi="Times New Roman"/>
          <w:sz w:val="20"/>
          <w:szCs w:val="20"/>
          <w:b w:val="1"/>
          <w:bCs w:val="1"/>
          <w:i w:val="1"/>
          <w:iCs w:val="1"/>
          <w:color w:val="231F20"/>
        </w:rPr>
        <w:t>12 Competition</w:t>
      </w:r>
    </w:p>
    <w:p>
      <w:pPr>
        <w:spacing w:after="0" w:line="255"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Products approved to treat the symptoms of narcolepsy include generic and/or branded forms of Ritalin, the branded form of which is marketed by Novartis Pharmaceuticals; Provigil and Nuvigil, which are both marketed by Teva; Xyrem and Xywav, which are both marketed by Jazz; and Wakix which is marketed by Harmony Biosciences LLC. We are aware of several companies developing compounds for the treatment of the symptoms of narcolepsy, including Takeda Pharmaceuticals Company, Centessa Pharmaceuticals plc, Harmony Biosciences LLC, Eisai Co., Ltd., and Alkermes plc.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AXS-14 Competition</w:t>
      </w:r>
    </w:p>
    <w:p>
      <w:pPr>
        <w:spacing w:after="0" w:line="240" w:lineRule="exact"/>
        <w:rPr>
          <w:sz w:val="20"/>
          <w:szCs w:val="20"/>
          <w:color w:val="auto"/>
        </w:rPr>
      </w:pPr>
    </w:p>
    <w:p>
      <w:pPr>
        <w:ind w:right="20" w:firstLine="720"/>
        <w:spacing w:after="0" w:line="270" w:lineRule="auto"/>
        <w:rPr>
          <w:sz w:val="20"/>
          <w:szCs w:val="20"/>
          <w:color w:val="auto"/>
        </w:rPr>
      </w:pPr>
      <w:r>
        <w:rPr>
          <w:rFonts w:ascii="Times New Roman" w:cs="Times New Roman" w:eastAsia="Times New Roman" w:hAnsi="Times New Roman"/>
          <w:sz w:val="19"/>
          <w:szCs w:val="19"/>
          <w:color w:val="231F20"/>
        </w:rPr>
        <w:t>Products approved to treat fibromyalgia include generic and/or branded forms of Cymbalta, the branded form of which is marketed by Eli Lilly and Company; Lyrica, which is marketed by Pfizer; Savella, which is marketed by AbbVie; and Tonmya, which is marketed by Tonix Pharmaceuticals Holding Corp. We are aware of companies working to develop therapeutics for the treatment of fibromyalgia, including Dogwood Therapeutics,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AXS-17 Competition</w:t>
      </w:r>
    </w:p>
    <w:p>
      <w:pPr>
        <w:spacing w:after="0" w:line="24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Products approved to treat seizures associated with epilepsy or rare epilepsy syndromes include a broad range of anti-seizure medications, including generic and/or branded forms of Keppra, Vimpat, Fintepla, and Briviact, which are marketed by UCB, Inc.; Xcopri, which is marketed by SK Life Science, Inc.; Fycompa, which is marketed by Catalyst Pharmaceuticals, Inc.; Lamictal, which is marketed by GSK plc; Oxtellar and Trokendi, which are marketed by Supernus Pharmaceuticals Inc; Aptiom, which is marketed by Sumitomo Pharma Co. Ltd.; Ztalmy, which is marketed by Immedica Pharma AB; and Epidiolex, which is marketed by Jazz. We are aware of several companies developing compounds for epilepsy and seizure disorders, including Stoke Therapeutics, Inc., Rapport Therapeutics, Inc., Xenon Pharmaceuticals, Inc., UCB, Inc., H. Lundbeck A/S, and Harmony Biosciences Holdings,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Manufacturing</w:t>
      </w:r>
    </w:p>
    <w:p>
      <w:pPr>
        <w:spacing w:after="0" w:line="24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Manufacturing of the drug substance and drug product for our products and product candidates are done by third parties and must comply with FDA current Good Manufacturing Practice, or cGMP, regulations. Our products and product candidates are comprised of synthetic small molecules made through a series of organic chemistry steps starting with commercially available organic chemical raw materials. We do not currently own or operate any manufacturing facilities for the clinical or commercial production of our drug candidates. We believe that our existing suppliers of our product and product candidate active pharmaceutical ingredients and finished products will be capable of providing sufficient quantities of each to meet our commercial and clinical trial supply needs. We conduct periodic quality audits of their facilities. Other contract manufacturing organizations, or CMOs, may be used in the future for clinical supplies and/or commercial manufacturing.</w:t>
      </w:r>
    </w:p>
    <w:p>
      <w:pPr>
        <w:sectPr>
          <w:pgSz w:w="12240" w:h="15840" w:orient="portrait"/>
          <w:cols w:equalWidth="0" w:num="1">
            <w:col w:w="9360"/>
          </w:cols>
          <w:pgMar w:left="1440" w:top="1435"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2240" w:h="15840" w:orient="portrait"/>
          <w:cols w:equalWidth="0" w:num="1">
            <w:col w:w="9360"/>
          </w:cols>
          <w:pgMar w:left="1440" w:top="1435" w:right="1440" w:bottom="175"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231F20"/>
        </w:rPr>
        <w:t>Government Regulation and Product Approval</w:t>
      </w:r>
    </w:p>
    <w:p>
      <w:pPr>
        <w:spacing w:after="0" w:line="244"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231F20"/>
        </w:rPr>
        <w:t>Government authorities in the United States, at the federal, state, and local level, and in other countries and supranational regions, extensively regulate, among other things, the research, development, testing, manufacture, packaging, storage, recordkeeping, labeling, advertising, promotion, distribution, adverse event reporting and pharmacovigilance, marketing, import, and export of pharmaceutical products, such as those we are developing and for which we are seeking FDA approval.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FDA Regulation</w:t>
      </w:r>
    </w:p>
    <w:p>
      <w:pPr>
        <w:spacing w:after="0" w:line="240"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231F20"/>
        </w:rPr>
        <w:t>In the United States, the FDA regulates drugs under the FDCA and its implementing regulations. The process required by the FDA before product candidates may be marketed in the United States generally involves the following:</w:t>
      </w:r>
    </w:p>
    <w:p>
      <w:pPr>
        <w:spacing w:after="0" w:line="203" w:lineRule="exact"/>
        <w:rPr>
          <w:sz w:val="20"/>
          <w:szCs w:val="20"/>
          <w:color w:val="auto"/>
        </w:rPr>
      </w:pPr>
    </w:p>
    <w:p>
      <w:pPr>
        <w:ind w:left="1080" w:right="160" w:hanging="360"/>
        <w:spacing w:after="0" w:line="276" w:lineRule="auto"/>
        <w:tabs>
          <w:tab w:leader="none" w:pos="10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completion of preclinical laboratory tests, animal studies, and formulation studies in compliance with the FDA’s Good Laboratory Practice, or GLP, regulations;</w:t>
      </w:r>
    </w:p>
    <w:p>
      <w:pPr>
        <w:spacing w:after="0" w:line="184" w:lineRule="exact"/>
        <w:rPr>
          <w:rFonts w:ascii="Arial" w:cs="Arial" w:eastAsia="Arial" w:hAnsi="Arial"/>
          <w:sz w:val="20"/>
          <w:szCs w:val="20"/>
          <w:color w:val="231F20"/>
        </w:rPr>
      </w:pPr>
    </w:p>
    <w:p>
      <w:pPr>
        <w:ind w:left="1080" w:right="520" w:hanging="360"/>
        <w:spacing w:after="0" w:line="276" w:lineRule="auto"/>
        <w:tabs>
          <w:tab w:leader="none" w:pos="10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submission to the FDA of an IND which must become effective before human clinical trials may begin;</w:t>
      </w:r>
    </w:p>
    <w:p>
      <w:pPr>
        <w:spacing w:after="0" w:line="184" w:lineRule="exact"/>
        <w:rPr>
          <w:rFonts w:ascii="Arial" w:cs="Arial" w:eastAsia="Arial" w:hAnsi="Arial"/>
          <w:sz w:val="20"/>
          <w:szCs w:val="20"/>
          <w:color w:val="231F20"/>
        </w:rPr>
      </w:pPr>
    </w:p>
    <w:p>
      <w:pPr>
        <w:ind w:left="1080" w:right="460" w:hanging="360"/>
        <w:spacing w:after="0" w:line="276" w:lineRule="auto"/>
        <w:tabs>
          <w:tab w:leader="none" w:pos="10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approval by an independent Institutional Review Board, or IRB, for each clinical site or centrally, before each trial may be initiated;</w:t>
      </w:r>
    </w:p>
    <w:p>
      <w:pPr>
        <w:spacing w:after="0" w:line="185" w:lineRule="exact"/>
        <w:rPr>
          <w:rFonts w:ascii="Arial" w:cs="Arial" w:eastAsia="Arial" w:hAnsi="Arial"/>
          <w:sz w:val="20"/>
          <w:szCs w:val="20"/>
          <w:color w:val="231F20"/>
        </w:rPr>
      </w:pPr>
    </w:p>
    <w:p>
      <w:pPr>
        <w:jc w:val="both"/>
        <w:ind w:left="1080" w:right="120" w:hanging="360"/>
        <w:spacing w:after="0" w:line="247" w:lineRule="exact"/>
        <w:tabs>
          <w:tab w:leader="none" w:pos="10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adequate and well</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controlled human clinical trials to establish the safety and efficacy of the proposed drug candidates for its intended use, performed in accordance with current Good Clinical Practices, or GCP;</w:t>
      </w:r>
    </w:p>
    <w:p>
      <w:pPr>
        <w:spacing w:after="0" w:line="219" w:lineRule="exact"/>
        <w:rPr>
          <w:rFonts w:ascii="Arial" w:cs="Arial" w:eastAsia="Arial" w:hAnsi="Arial"/>
          <w:sz w:val="20"/>
          <w:szCs w:val="20"/>
          <w:color w:val="231F20"/>
        </w:rPr>
      </w:pPr>
    </w:p>
    <w:p>
      <w:pPr>
        <w:ind w:left="1080" w:right="420" w:hanging="360"/>
        <w:spacing w:after="0" w:line="276" w:lineRule="auto"/>
        <w:tabs>
          <w:tab w:leader="none" w:pos="10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 of manufacturing processes in compliance with cGMPs to ensure the drug’s identity, strength, quality, and purity;</w:t>
      </w:r>
    </w:p>
    <w:p>
      <w:pPr>
        <w:spacing w:after="0" w:line="184" w:lineRule="exact"/>
        <w:rPr>
          <w:rFonts w:ascii="Arial" w:cs="Arial" w:eastAsia="Arial" w:hAnsi="Arial"/>
          <w:sz w:val="20"/>
          <w:szCs w:val="20"/>
          <w:color w:val="231F20"/>
        </w:rPr>
      </w:pPr>
    </w:p>
    <w:p>
      <w:pPr>
        <w:ind w:left="1080" w:hanging="360"/>
        <w:spacing w:after="0"/>
        <w:tabs>
          <w:tab w:leader="none" w:pos="10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compilation of required information and submission to the FDA of an NDA;</w:t>
      </w:r>
    </w:p>
    <w:p>
      <w:pPr>
        <w:spacing w:after="0" w:line="253" w:lineRule="exact"/>
        <w:rPr>
          <w:rFonts w:ascii="Arial" w:cs="Arial" w:eastAsia="Arial" w:hAnsi="Arial"/>
          <w:sz w:val="20"/>
          <w:szCs w:val="20"/>
          <w:color w:val="231F20"/>
        </w:rPr>
      </w:pPr>
    </w:p>
    <w:p>
      <w:pPr>
        <w:ind w:left="1080" w:hanging="360"/>
        <w:spacing w:after="0"/>
        <w:tabs>
          <w:tab w:leader="none" w:pos="10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satisfactory completion of an FDA advisory committee review, if applicable;</w:t>
      </w:r>
    </w:p>
    <w:p>
      <w:pPr>
        <w:spacing w:after="0" w:line="253" w:lineRule="exact"/>
        <w:rPr>
          <w:rFonts w:ascii="Arial" w:cs="Arial" w:eastAsia="Arial" w:hAnsi="Arial"/>
          <w:sz w:val="20"/>
          <w:szCs w:val="20"/>
          <w:color w:val="231F20"/>
        </w:rPr>
      </w:pPr>
    </w:p>
    <w:p>
      <w:pPr>
        <w:ind w:left="1080" w:right="220" w:hanging="360"/>
        <w:spacing w:after="0" w:line="249" w:lineRule="auto"/>
        <w:tabs>
          <w:tab w:leader="none" w:pos="10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210" w:lineRule="exact"/>
        <w:rPr>
          <w:rFonts w:ascii="Arial" w:cs="Arial" w:eastAsia="Arial" w:hAnsi="Arial"/>
          <w:sz w:val="20"/>
          <w:szCs w:val="20"/>
          <w:color w:val="231F20"/>
        </w:rPr>
      </w:pPr>
    </w:p>
    <w:p>
      <w:pPr>
        <w:ind w:left="1080" w:right="260" w:hanging="360"/>
        <w:spacing w:after="0" w:line="276" w:lineRule="auto"/>
        <w:tabs>
          <w:tab w:leader="none" w:pos="108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FDA review and approval of the NDA to permit commercial marketing for particular indications for use.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2240" w:h="15840" w:orient="portrait"/>
          <w:cols w:equalWidth="0" w:num="1">
            <w:col w:w="9360"/>
          </w:cols>
          <w:pgMar w:left="1440" w:top="1416" w:right="1440" w:bottom="175"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i w:val="1"/>
          <w:iCs w:val="1"/>
          <w:color w:val="231F20"/>
        </w:rPr>
        <w:t>Preclinical Studies and IND Submission</w:t>
      </w:r>
    </w:p>
    <w:p>
      <w:pPr>
        <w:spacing w:after="0" w:line="23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GLP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(for example, if previously established for an approved drug which is referenced). Some preclinical testing may continue even after the IND is submitted.</w:t>
      </w:r>
    </w:p>
    <w:p>
      <w:pPr>
        <w:spacing w:after="0" w:line="206" w:lineRule="exact"/>
        <w:rPr>
          <w:sz w:val="20"/>
          <w:szCs w:val="20"/>
          <w:color w:val="auto"/>
        </w:rPr>
      </w:pPr>
    </w:p>
    <w:p>
      <w:pPr>
        <w:ind w:right="80" w:firstLine="720"/>
        <w:spacing w:after="0" w:line="241" w:lineRule="exact"/>
        <w:rPr>
          <w:sz w:val="20"/>
          <w:szCs w:val="20"/>
          <w:color w:val="auto"/>
        </w:rPr>
      </w:pPr>
      <w:r>
        <w:rPr>
          <w:rFonts w:ascii="Times New Roman" w:cs="Times New Roman" w:eastAsia="Times New Roman" w:hAnsi="Times New Roman"/>
          <w:sz w:val="20"/>
          <w:szCs w:val="20"/>
          <w:color w:val="231F20"/>
        </w:rPr>
        <w:t>An IND automatically becomes effective 30 days after receipt by the FDA, unless the FDA, within the 30</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Clinical Trials</w:t>
      </w:r>
    </w:p>
    <w:p>
      <w:pPr>
        <w:spacing w:after="0" w:line="238"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208"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231F20"/>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188"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231F20"/>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2240" w:h="15840" w:orient="portrait"/>
          <w:cols w:equalWidth="0" w:num="1">
            <w:col w:w="9360"/>
          </w:cols>
          <w:pgMar w:left="1440" w:top="1422" w:right="1440" w:bottom="175" w:gutter="0" w:footer="0" w:header="0"/>
          <w:type w:val="continuous"/>
        </w:sectPr>
      </w:pPr>
    </w:p>
    <w:bookmarkStart w:id="20" w:name="page21"/>
    <w:bookmarkEnd w:id="20"/>
    <w:p>
      <w:pPr>
        <w:ind w:right="100" w:firstLine="720"/>
        <w:spacing w:after="0" w:line="249" w:lineRule="auto"/>
        <w:rPr>
          <w:sz w:val="20"/>
          <w:szCs w:val="20"/>
          <w:color w:val="auto"/>
        </w:rPr>
      </w:pPr>
      <w:r>
        <w:rPr>
          <w:rFonts w:ascii="Times New Roman" w:cs="Times New Roman" w:eastAsia="Times New Roman" w:hAnsi="Times New Roman"/>
          <w:sz w:val="20"/>
          <w:szCs w:val="20"/>
          <w:color w:val="231F20"/>
        </w:rPr>
        <w:t>The manufacture of investigational drugs for the conduct of human clinical trials (and their active pharmaceutical ingredients)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97"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color w:val="231F20"/>
        </w:rPr>
        <w:t>In general, for purposes of NDA approval, human clinical trials are typically conducted in three sequential phases, which may overlap or be combined.</w:t>
      </w:r>
    </w:p>
    <w:p>
      <w:pPr>
        <w:spacing w:after="0" w:line="163" w:lineRule="exact"/>
        <w:rPr>
          <w:sz w:val="20"/>
          <w:szCs w:val="20"/>
          <w:color w:val="auto"/>
        </w:rPr>
      </w:pPr>
    </w:p>
    <w:p>
      <w:pPr>
        <w:ind w:left="1080" w:right="320" w:hanging="360"/>
        <w:spacing w:after="0" w:line="229" w:lineRule="exact"/>
        <w:tabs>
          <w:tab w:leader="none" w:pos="10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Phase 1</w:t>
      </w:r>
      <w:r>
        <w:rPr>
          <w:rFonts w:ascii="Times New Roman" w:cs="Times New Roman" w:eastAsia="Times New Roman" w:hAnsi="Times New Roman"/>
          <w:sz w:val="20"/>
          <w:szCs w:val="20"/>
          <w:color w:val="231F20"/>
        </w:rPr>
        <w:t>—Studies are initially conducted in healthy human volunteers or subjects with the target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disease or condition and test the product candidate for safety, dosage tolerance, structure</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activity relationships, mechanism of action, absorption, metabolism, distribution, and excretion. If possible, Phase 1 trials may also be used to gain an initial indication of product effectiveness.</w:t>
      </w:r>
    </w:p>
    <w:p>
      <w:pPr>
        <w:spacing w:after="0" w:line="196" w:lineRule="exact"/>
        <w:rPr>
          <w:rFonts w:ascii="Arial" w:cs="Arial" w:eastAsia="Arial" w:hAnsi="Arial"/>
          <w:sz w:val="20"/>
          <w:szCs w:val="20"/>
          <w:color w:val="231F20"/>
        </w:rPr>
      </w:pPr>
    </w:p>
    <w:p>
      <w:pPr>
        <w:jc w:val="both"/>
        <w:ind w:left="1080" w:right="220" w:hanging="360"/>
        <w:spacing w:after="0" w:line="236" w:lineRule="auto"/>
        <w:tabs>
          <w:tab w:leader="none" w:pos="10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Phase 2</w:t>
      </w:r>
      <w:r>
        <w:rPr>
          <w:rFonts w:ascii="Times New Roman" w:cs="Times New Roman" w:eastAsia="Times New Roman" w:hAnsi="Times New Roman"/>
          <w:sz w:val="20"/>
          <w:szCs w:val="20"/>
          <w:color w:val="231F20"/>
        </w:rPr>
        <w:t>—Controlled studies are conducted in limited subject populations with a specified disease 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condition to evaluate preliminary efficacy, identify optimal dosages, dosage tolerance and schedule, possible adverse effects and safety risks, and expanded evidence of safety.</w:t>
      </w:r>
    </w:p>
    <w:p>
      <w:pPr>
        <w:spacing w:after="0" w:line="196" w:lineRule="exact"/>
        <w:rPr>
          <w:rFonts w:ascii="Arial" w:cs="Arial" w:eastAsia="Arial" w:hAnsi="Arial"/>
          <w:sz w:val="20"/>
          <w:szCs w:val="20"/>
          <w:color w:val="231F20"/>
        </w:rPr>
      </w:pPr>
    </w:p>
    <w:p>
      <w:pPr>
        <w:ind w:left="1080" w:right="180" w:hanging="360"/>
        <w:spacing w:after="0" w:line="227" w:lineRule="exact"/>
        <w:tabs>
          <w:tab w:leader="none" w:pos="1080" w:val="left"/>
        </w:tabs>
        <w:numPr>
          <w:ilvl w:val="0"/>
          <w:numId w:val="5"/>
        </w:numPr>
        <w:rPr>
          <w:rFonts w:ascii="Arial" w:cs="Arial" w:eastAsia="Arial" w:hAnsi="Arial"/>
          <w:sz w:val="19"/>
          <w:szCs w:val="19"/>
          <w:color w:val="231F20"/>
        </w:rPr>
      </w:pPr>
      <w:r>
        <w:rPr>
          <w:rFonts w:ascii="Times New Roman" w:cs="Times New Roman" w:eastAsia="Times New Roman" w:hAnsi="Times New Roman"/>
          <w:sz w:val="19"/>
          <w:szCs w:val="19"/>
          <w:i w:val="1"/>
          <w:iCs w:val="1"/>
          <w:color w:val="231F20"/>
        </w:rPr>
        <w:t>Phase 3—</w:t>
      </w:r>
      <w:r>
        <w:rPr>
          <w:rFonts w:ascii="Times New Roman" w:cs="Times New Roman" w:eastAsia="Times New Roman" w:hAnsi="Times New Roman"/>
          <w:sz w:val="19"/>
          <w:szCs w:val="19"/>
          <w:color w:val="231F20"/>
        </w:rPr>
        <w:t>These adequate and well</w:t>
      </w:r>
      <w:r>
        <w:rPr>
          <w:rFonts w:ascii="MS Gothic" w:cs="MS Gothic" w:eastAsia="MS Gothic" w:hAnsi="MS Gothic"/>
          <w:sz w:val="19"/>
          <w:szCs w:val="19"/>
          <w:color w:val="231F20"/>
        </w:rPr>
        <w:t>‑</w:t>
      </w:r>
      <w:r>
        <w:rPr>
          <w:rFonts w:ascii="Times New Roman" w:cs="Times New Roman" w:eastAsia="Times New Roman" w:hAnsi="Times New Roman"/>
          <w:sz w:val="19"/>
          <w:szCs w:val="19"/>
          <w:color w:val="231F20"/>
        </w:rPr>
        <w:t>controlled clinical trials are undertaken in expanded subject</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populations, generally at geographically dispersed clinical trial sites, to generate enough data to provide statistically significant evidence of clinical efficacy and safety of the product for approval, to establish the overall risk</w:t>
      </w:r>
      <w:r>
        <w:rPr>
          <w:rFonts w:ascii="MS Gothic" w:cs="MS Gothic" w:eastAsia="MS Gothic" w:hAnsi="MS Gothic"/>
          <w:sz w:val="19"/>
          <w:szCs w:val="19"/>
          <w:color w:val="231F20"/>
        </w:rPr>
        <w:t>‑</w:t>
      </w:r>
      <w:r>
        <w:rPr>
          <w:rFonts w:ascii="Times New Roman" w:cs="Times New Roman" w:eastAsia="Times New Roman" w:hAnsi="Times New Roman"/>
          <w:sz w:val="19"/>
          <w:szCs w:val="19"/>
          <w:color w:val="231F20"/>
        </w:rPr>
        <w:t>benefit profile of the product, and to provide adequate information for the labeling of the product. Typically, one or more trials are required by the FDA for product approval.</w:t>
      </w:r>
    </w:p>
    <w:p>
      <w:pPr>
        <w:spacing w:after="0" w:line="181" w:lineRule="exact"/>
        <w:rPr>
          <w:sz w:val="20"/>
          <w:szCs w:val="20"/>
          <w:color w:val="auto"/>
        </w:rPr>
      </w:pPr>
    </w:p>
    <w:p>
      <w:pPr>
        <w:ind w:firstLine="720"/>
        <w:spacing w:after="0" w:line="220" w:lineRule="auto"/>
        <w:rPr>
          <w:sz w:val="20"/>
          <w:szCs w:val="20"/>
          <w:color w:val="auto"/>
        </w:rPr>
      </w:pPr>
      <w:r>
        <w:rPr>
          <w:rFonts w:ascii="Times New Roman" w:cs="Times New Roman" w:eastAsia="Times New Roman" w:hAnsi="Times New Roman"/>
          <w:sz w:val="20"/>
          <w:szCs w:val="20"/>
          <w:color w:val="231F20"/>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 world evidence for already approved products, and, for appropriate indications sought through supplemental marketing applications, data summaries.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87" w:lineRule="exact"/>
        <w:rPr>
          <w:sz w:val="20"/>
          <w:szCs w:val="20"/>
          <w:color w:val="auto"/>
        </w:rPr>
      </w:pPr>
    </w:p>
    <w:p>
      <w:pPr>
        <w:ind w:right="200" w:firstLine="720"/>
        <w:spacing w:after="0" w:line="228" w:lineRule="auto"/>
        <w:rPr>
          <w:sz w:val="20"/>
          <w:szCs w:val="20"/>
          <w:color w:val="auto"/>
        </w:rPr>
      </w:pPr>
      <w:r>
        <w:rPr>
          <w:rFonts w:ascii="Times New Roman" w:cs="Times New Roman" w:eastAsia="Times New Roman" w:hAnsi="Times New Roman"/>
          <w:sz w:val="20"/>
          <w:szCs w:val="20"/>
          <w:color w:val="231F20"/>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83" w:lineRule="exact"/>
        <w:rPr>
          <w:sz w:val="20"/>
          <w:szCs w:val="20"/>
          <w:color w:val="auto"/>
        </w:rPr>
      </w:pPr>
    </w:p>
    <w:p>
      <w:pPr>
        <w:ind w:right="120" w:firstLine="720"/>
        <w:spacing w:after="0" w:line="223" w:lineRule="auto"/>
        <w:rPr>
          <w:sz w:val="20"/>
          <w:szCs w:val="20"/>
          <w:color w:val="auto"/>
        </w:rPr>
      </w:pPr>
      <w:r>
        <w:rPr>
          <w:rFonts w:ascii="Times New Roman" w:cs="Times New Roman" w:eastAsia="Times New Roman" w:hAnsi="Times New Roman"/>
          <w:sz w:val="20"/>
          <w:szCs w:val="20"/>
          <w:color w:val="231F20"/>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2240" w:h="15840" w:orient="portrait"/>
          <w:cols w:equalWidth="0" w:num="1">
            <w:col w:w="9360"/>
          </w:cols>
          <w:pgMar w:left="1440" w:top="1420" w:right="1440" w:bottom="175" w:gutter="0" w:footer="0" w:header="0"/>
          <w:type w:val="continuous"/>
        </w:sectPr>
      </w:pPr>
    </w:p>
    <w:bookmarkStart w:id="21" w:name="page22"/>
    <w:bookmarkEnd w:id="21"/>
    <w:p>
      <w:pPr>
        <w:ind w:firstLine="720"/>
        <w:spacing w:after="0" w:line="243" w:lineRule="auto"/>
        <w:rPr>
          <w:sz w:val="20"/>
          <w:szCs w:val="20"/>
          <w:color w:val="auto"/>
        </w:rPr>
      </w:pPr>
      <w:r>
        <w:rPr>
          <w:rFonts w:ascii="Times New Roman" w:cs="Times New Roman" w:eastAsia="Times New Roman" w:hAnsi="Times New Roman"/>
          <w:sz w:val="20"/>
          <w:szCs w:val="20"/>
          <w:color w:val="231F20"/>
        </w:rPr>
        <w:t>During the development of a new drug, a sponsor may be able to request an SPA,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 upon clinical trial protocol is followed, the clinical trial endpoints are achieved, and there is a favorable risk 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NDA Submission, Review by the FDA, and Marketing Approval</w:t>
      </w:r>
    </w:p>
    <w:p>
      <w:pPr>
        <w:spacing w:after="0" w:line="23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Assuming successful completion of the required clinical and preclinical testing, the results of product development, including chemistry, manufacturing, and controls, or CMC,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PDUFA.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also not subject to application user fees unless the application includes an indication other than the orphan indication.</w:t>
      </w:r>
    </w:p>
    <w:p>
      <w:pPr>
        <w:spacing w:after="0" w:line="202"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231F20"/>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or PSP,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programs.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2240" w:h="15840" w:orient="portrait"/>
          <w:cols w:equalWidth="0" w:num="1">
            <w:col w:w="9360"/>
          </w:cols>
          <w:pgMar w:left="1440" w:top="1420" w:right="1440" w:bottom="175" w:gutter="0" w:footer="0" w:header="0"/>
          <w:type w:val="continuous"/>
        </w:sectPr>
      </w:pPr>
    </w:p>
    <w:bookmarkStart w:id="22" w:name="page23"/>
    <w:bookmarkEnd w:id="22"/>
    <w:p>
      <w:pPr>
        <w:ind w:firstLine="720"/>
        <w:spacing w:after="0" w:line="241" w:lineRule="exact"/>
        <w:rPr>
          <w:sz w:val="20"/>
          <w:szCs w:val="20"/>
          <w:color w:val="auto"/>
        </w:rPr>
      </w:pPr>
      <w:r>
        <w:rPr>
          <w:rFonts w:ascii="Times New Roman" w:cs="Times New Roman" w:eastAsia="Times New Roman" w:hAnsi="Times New Roman"/>
          <w:sz w:val="20"/>
          <w:szCs w:val="20"/>
          <w:color w:val="231F20"/>
        </w:rPr>
        <w:t>Once the FDA receives an application, it will determine within 60 days whether the NDA as filed is sufficiently complete to permit a substantive review (with this decision often referred to as the NDA being “accepted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depth substantive review of the NDA.</w:t>
      </w:r>
    </w:p>
    <w:p>
      <w:pPr>
        <w:spacing w:after="0" w:line="207"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231F20"/>
        </w:rPr>
        <w:t>The FDA has agreed to a set of performance goals and procedures under PDUFA to review 90% of all applications within ten months from the 60-day filing date for its initial review of a standard NDA for a New Molecular Entity, or NME. For non-NME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200"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231F20"/>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94"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231F20"/>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194" w:lineRule="exact"/>
        <w:rPr>
          <w:sz w:val="20"/>
          <w:szCs w:val="20"/>
          <w:color w:val="auto"/>
        </w:rPr>
      </w:pPr>
    </w:p>
    <w:p>
      <w:pPr>
        <w:ind w:right="20" w:firstLine="720"/>
        <w:spacing w:after="0" w:line="238" w:lineRule="exact"/>
        <w:rPr>
          <w:sz w:val="20"/>
          <w:szCs w:val="20"/>
          <w:color w:val="auto"/>
        </w:rPr>
      </w:pPr>
      <w:r>
        <w:rPr>
          <w:rFonts w:ascii="Times New Roman" w:cs="Times New Roman" w:eastAsia="Times New Roman" w:hAnsi="Times New Roman"/>
          <w:sz w:val="20"/>
          <w:szCs w:val="20"/>
          <w:color w:val="231F20"/>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209"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231F20"/>
        </w:rPr>
        <w:t>The approval process is lengthy and difficult and involves numerous FDA personnel assigned to review different aspects of the NDA, and the FDA may refuse to approve an NDA if the applicable regulatory criteria are not satisfied or may require additional preclinical or clinical CMC, or other data and information. Uncertainties can be presented by reviewers’ ability to exercise judgment and discretion during the review process. Even if such data and information are submitted, the FDA may ultimately decide that the NDA does not satisfy the criteria for approval. Data obtained from clinical trials are not always conclusive and the FDA may interpret data differently than an applicant interprets the same data.</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2240" w:h="15840" w:orient="portrait"/>
          <w:cols w:equalWidth="0" w:num="1">
            <w:col w:w="9360"/>
          </w:cols>
          <w:pgMar w:left="1440" w:top="1420" w:right="1440" w:bottom="175" w:gutter="0" w:footer="0" w:header="0"/>
          <w:type w:val="continuous"/>
        </w:sectPr>
      </w:pPr>
    </w:p>
    <w:bookmarkStart w:id="23" w:name="page24"/>
    <w:bookmarkEnd w:id="23"/>
    <w:p>
      <w:pPr>
        <w:ind w:firstLine="720"/>
        <w:spacing w:after="0" w:line="242" w:lineRule="auto"/>
        <w:rPr>
          <w:sz w:val="20"/>
          <w:szCs w:val="20"/>
          <w:color w:val="auto"/>
        </w:rPr>
      </w:pPr>
      <w:r>
        <w:rPr>
          <w:rFonts w:ascii="Times New Roman" w:cs="Times New Roman" w:eastAsia="Times New Roman" w:hAnsi="Times New Roman"/>
          <w:sz w:val="20"/>
          <w:szCs w:val="20"/>
          <w:color w:val="231F20"/>
        </w:rPr>
        <w:t>After evaluating the NDA and all related information, including the advisory committee recommendation, if any, and inspection reports regarding the manufacturing facilities and clinical trial sites, the FDA may issue an approval letter, or, in some cases, a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CDER’s goal is to review the supplement within the same length of time (from receipt) as the initial review cycle (excluding an extension caused by a major amendment of the initial supplement).</w:t>
      </w:r>
    </w:p>
    <w:p>
      <w:pPr>
        <w:spacing w:after="0" w:line="213"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231F20"/>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97" w:lineRule="exact"/>
        <w:rPr>
          <w:sz w:val="20"/>
          <w:szCs w:val="20"/>
          <w:color w:val="auto"/>
        </w:rPr>
      </w:pPr>
    </w:p>
    <w:p>
      <w:pPr>
        <w:ind w:right="260" w:firstLine="720"/>
        <w:spacing w:after="0" w:line="239" w:lineRule="exact"/>
        <w:rPr>
          <w:sz w:val="20"/>
          <w:szCs w:val="20"/>
          <w:color w:val="auto"/>
        </w:rPr>
      </w:pPr>
      <w:r>
        <w:rPr>
          <w:rFonts w:ascii="Times New Roman" w:cs="Times New Roman" w:eastAsia="Times New Roman" w:hAnsi="Times New Roman"/>
          <w:sz w:val="20"/>
          <w:szCs w:val="20"/>
          <w:color w:val="231F20"/>
        </w:rPr>
        <w:t>Even if the FDA approves a product, it may limit the approved indications for use of the product, require that contraindications, warnings, or precautions be included in the product labeling, including a boxed warning, require that post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210" w:lineRule="exact"/>
        <w:rPr>
          <w:sz w:val="20"/>
          <w:szCs w:val="20"/>
          <w:color w:val="auto"/>
        </w:rPr>
      </w:pPr>
    </w:p>
    <w:p>
      <w:pPr>
        <w:ind w:right="180" w:firstLine="720"/>
        <w:spacing w:after="0" w:line="244" w:lineRule="exact"/>
        <w:rPr>
          <w:sz w:val="20"/>
          <w:szCs w:val="20"/>
          <w:color w:val="auto"/>
        </w:rPr>
      </w:pPr>
      <w:r>
        <w:rPr>
          <w:rFonts w:ascii="Times New Roman" w:cs="Times New Roman" w:eastAsia="Times New Roman" w:hAnsi="Times New Roman"/>
          <w:sz w:val="19"/>
          <w:szCs w:val="19"/>
          <w:color w:val="231F20"/>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Gothic" w:cs="MS Gothic" w:eastAsia="MS Gothic" w:hAnsi="MS Gothic"/>
          <w:sz w:val="19"/>
          <w:szCs w:val="19"/>
          <w:color w:val="231F20"/>
        </w:rPr>
        <w:t>‑</w:t>
      </w:r>
      <w:r>
        <w:rPr>
          <w:rFonts w:ascii="Times New Roman" w:cs="Times New Roman" w:eastAsia="Times New Roman" w:hAnsi="Times New Roman"/>
          <w:sz w:val="19"/>
          <w:szCs w:val="19"/>
          <w:color w:val="231F20"/>
        </w:rPr>
        <w:t xml:space="preserve"> and post</w:t>
      </w:r>
      <w:r>
        <w:rPr>
          <w:rFonts w:ascii="MS Gothic" w:cs="MS Gothic" w:eastAsia="MS Gothic" w:hAnsi="MS Gothic"/>
          <w:sz w:val="19"/>
          <w:szCs w:val="19"/>
          <w:color w:val="231F20"/>
        </w:rPr>
        <w:t>‑</w:t>
      </w:r>
      <w:r>
        <w:rPr>
          <w:rFonts w:ascii="Times New Roman" w:cs="Times New Roman" w:eastAsia="Times New Roman" w:hAnsi="Times New Roman"/>
          <w:sz w:val="19"/>
          <w:szCs w:val="19"/>
          <w:color w:val="231F20"/>
        </w:rPr>
        <w:t>marketing regulatory standards are not maintained or if problems occur after the product reaches the marketplace. Further, should new safety information arise, additional testing, product labeling, or FDA notification may be required.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505(b)(2) Approval Process</w:t>
      </w:r>
    </w:p>
    <w:p>
      <w:pPr>
        <w:spacing w:after="0" w:line="238" w:lineRule="exact"/>
        <w:rPr>
          <w:sz w:val="20"/>
          <w:szCs w:val="20"/>
          <w:color w:val="auto"/>
        </w:rPr>
      </w:pPr>
    </w:p>
    <w:p>
      <w:pPr>
        <w:ind w:right="60" w:firstLine="720"/>
        <w:spacing w:after="0" w:line="235" w:lineRule="exact"/>
        <w:rPr>
          <w:sz w:val="20"/>
          <w:szCs w:val="20"/>
          <w:color w:val="auto"/>
        </w:rPr>
      </w:pPr>
      <w:r>
        <w:rPr>
          <w:rFonts w:ascii="Times New Roman" w:cs="Times New Roman" w:eastAsia="Times New Roman" w:hAnsi="Times New Roman"/>
          <w:sz w:val="20"/>
          <w:szCs w:val="20"/>
          <w:color w:val="231F20"/>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2240" w:h="15840" w:orient="portrait"/>
          <w:cols w:equalWidth="0" w:num="1">
            <w:col w:w="9360"/>
          </w:cols>
          <w:pgMar w:left="1440" w:top="1420" w:right="1440" w:bottom="175"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i w:val="1"/>
          <w:iCs w:val="1"/>
          <w:color w:val="231F20"/>
        </w:rPr>
        <w:t>Orange Book Listing</w:t>
      </w:r>
    </w:p>
    <w:p>
      <w:pPr>
        <w:spacing w:after="0" w:line="238" w:lineRule="exact"/>
        <w:rPr>
          <w:sz w:val="20"/>
          <w:szCs w:val="20"/>
          <w:color w:val="auto"/>
        </w:rPr>
      </w:pPr>
    </w:p>
    <w:p>
      <w:pPr>
        <w:ind w:right="20" w:firstLine="720"/>
        <w:spacing w:after="0" w:line="234" w:lineRule="exact"/>
        <w:rPr>
          <w:sz w:val="20"/>
          <w:szCs w:val="20"/>
          <w:color w:val="auto"/>
        </w:rPr>
      </w:pPr>
      <w:r>
        <w:rPr>
          <w:rFonts w:ascii="Times New Roman" w:cs="Times New Roman" w:eastAsia="Times New Roman" w:hAnsi="Times New Roman"/>
          <w:sz w:val="20"/>
          <w:szCs w:val="20"/>
          <w:color w:val="231F20"/>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ANDA.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213"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Times New Roman" w:cs="Times New Roman" w:eastAsia="Times New Roman" w:hAnsi="Times New Roman"/>
          <w:sz w:val="20"/>
          <w:szCs w:val="20"/>
          <w:i w:val="1"/>
          <w:iCs w:val="1"/>
          <w:color w:val="231F20"/>
        </w:rPr>
        <w:t>Approved Drug Products with Therapeutic</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Equivalence Evaluations</w:t>
      </w:r>
      <w:r>
        <w:rPr>
          <w:rFonts w:ascii="Times New Roman" w:cs="Times New Roman" w:eastAsia="Times New Roman" w:hAnsi="Times New Roman"/>
          <w:sz w:val="20"/>
          <w:szCs w:val="20"/>
          <w:color w:val="231F20"/>
        </w:rPr>
        <w:t>, also known as the Orange Book.</w:t>
      </w:r>
    </w:p>
    <w:p>
      <w:pPr>
        <w:spacing w:after="0" w:line="194" w:lineRule="exact"/>
        <w:rPr>
          <w:sz w:val="20"/>
          <w:szCs w:val="20"/>
          <w:color w:val="auto"/>
        </w:rPr>
      </w:pPr>
    </w:p>
    <w:p>
      <w:pPr>
        <w:ind w:right="40" w:firstLine="720"/>
        <w:spacing w:after="0" w:line="268" w:lineRule="auto"/>
        <w:rPr>
          <w:sz w:val="20"/>
          <w:szCs w:val="20"/>
          <w:color w:val="auto"/>
        </w:rPr>
      </w:pPr>
      <w:r>
        <w:rPr>
          <w:rFonts w:ascii="Times New Roman" w:cs="Times New Roman" w:eastAsia="Times New Roman" w:hAnsi="Times New Roman"/>
          <w:sz w:val="19"/>
          <w:szCs w:val="19"/>
          <w:color w:val="231F20"/>
        </w:rPr>
        <w:t>An applicant who files an ANDA seeking approval of a generic version of a drug listed in the Orange Book or a 505(b)(2) NDA referencing a drug listed in the Orange Book must make patent certifications to the FDA that</w:t>
      </w:r>
    </w:p>
    <w:p>
      <w:pPr>
        <w:spacing w:after="0"/>
        <w:tabs>
          <w:tab w:leader="none" w:pos="283"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pacing w:after="0" w:line="212" w:lineRule="exact"/>
        <w:rPr>
          <w:sz w:val="20"/>
          <w:szCs w:val="20"/>
          <w:color w:val="auto"/>
        </w:rPr>
      </w:pPr>
    </w:p>
    <w:p>
      <w:pPr>
        <w:ind w:right="20" w:firstLine="720"/>
        <w:spacing w:after="0" w:line="235" w:lineRule="exact"/>
        <w:rPr>
          <w:sz w:val="20"/>
          <w:szCs w:val="20"/>
          <w:color w:val="auto"/>
        </w:rPr>
      </w:pPr>
      <w:r>
        <w:rPr>
          <w:rFonts w:ascii="Times New Roman" w:cs="Times New Roman" w:eastAsia="Times New Roman" w:hAnsi="Times New Roman"/>
          <w:sz w:val="20"/>
          <w:szCs w:val="20"/>
          <w:color w:val="231F20"/>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month stay.</w:t>
      </w:r>
    </w:p>
    <w:p>
      <w:pPr>
        <w:spacing w:after="0" w:line="227" w:lineRule="exact"/>
        <w:rPr>
          <w:sz w:val="20"/>
          <w:szCs w:val="20"/>
          <w:color w:val="auto"/>
        </w:rPr>
      </w:pPr>
    </w:p>
    <w:p>
      <w:pPr>
        <w:ind w:right="220" w:firstLine="720"/>
        <w:spacing w:after="0" w:line="243" w:lineRule="exact"/>
        <w:rPr>
          <w:sz w:val="20"/>
          <w:szCs w:val="20"/>
          <w:color w:val="auto"/>
        </w:rPr>
      </w:pPr>
      <w:r>
        <w:rPr>
          <w:rFonts w:ascii="Times New Roman" w:cs="Times New Roman" w:eastAsia="Times New Roman" w:hAnsi="Times New Roman"/>
          <w:sz w:val="20"/>
          <w:szCs w:val="20"/>
          <w:color w:val="231F20"/>
        </w:rPr>
        <w:t>In practice, where an ANDA or 505(b)(2) NDA applicant files a paragraph IV certification, the NDA holder or patent owners often take action to trigger the automatic 30</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month stay, resulting in patent litigation that may take many months or years to resolve. Thus, approval of an ANDA or 505(b)(2) application could be delayed for a significant period of time depending on the patent certification the applicant makes and the reference drug sponsor’s decision to initiate patent litigation.</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2240" w:h="15840" w:orient="portrait"/>
          <w:cols w:equalWidth="0" w:num="1">
            <w:col w:w="9360"/>
          </w:cols>
          <w:pgMar w:left="1440" w:top="1422" w:right="1440" w:bottom="175"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i w:val="1"/>
          <w:iCs w:val="1"/>
          <w:color w:val="231F20"/>
        </w:rPr>
        <w:t>Regulatory Exclusivity</w:t>
      </w:r>
    </w:p>
    <w:p>
      <w:pPr>
        <w:spacing w:after="0" w:line="23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Regulatory exclusivity provisions under the FDCA can also delay the submission or the approval effective date of certain applications. A regulatory exclusivity period can provide the holder of an approved NDA protection from new competition in the marketplace for the innovation represented by its approved drug. Five years of exclusivity are available for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209"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Three years of exclusivity are available to the holder of an NDA, including a 505(b)(2) NDA, for a particular condition of approval, or change to a marketed product, such as a new formulation or indication for a drug product that contains an active moiety that has been previously approved, when the application contains reports of new clinical 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or NCI, was essential to approval of the application containing those changes. During the NCI exclusivity period, the FDA may not approve an ANDA or 505(b)(2) NDA by another company for the condition of the new drug’s approval. NCE and NCI exclusivities will not delay the submission or approval of a full NDA; however, an applicant submitting a full NDA would be required to conduct or obtain a right of reference to, all of the preclinical studies and adequate and well controlled clinical trials necessary to demonstrate safety and efficacy.</w:t>
      </w:r>
    </w:p>
    <w:p>
      <w:pPr>
        <w:spacing w:after="0" w:line="209" w:lineRule="exact"/>
        <w:rPr>
          <w:sz w:val="20"/>
          <w:szCs w:val="20"/>
          <w:color w:val="auto"/>
        </w:rPr>
      </w:pPr>
    </w:p>
    <w:p>
      <w:pPr>
        <w:ind w:right="60" w:firstLine="720"/>
        <w:spacing w:after="0" w:line="235" w:lineRule="exact"/>
        <w:rPr>
          <w:sz w:val="20"/>
          <w:szCs w:val="20"/>
          <w:color w:val="auto"/>
        </w:rPr>
      </w:pPr>
      <w:r>
        <w:rPr>
          <w:rFonts w:ascii="Times New Roman" w:cs="Times New Roman" w:eastAsia="Times New Roman" w:hAnsi="Times New Roman"/>
          <w:sz w:val="20"/>
          <w:szCs w:val="20"/>
          <w:color w:val="231F20"/>
        </w:rPr>
        <w:t>Pediatric exclusivity is a regulatory exclusivity in the United States that provides for the attachment of an additional six months of marketing protection to the term of any existing regulatory and statutory exclusivity, including the non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patent exclusivity periods described above as well as applicable patent terms. This six</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month exclusivity may be granted if an NDA sponsor submits pediatric data that fairly respond to a written request from the FDA for such data. The data do not need to show the product to be effective in the pediatric population studies;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505(b)(2) application approval effective as a result of regulatory exclusivity for listed patents. Moreover, pediatric exclusivity attaches to all formulations, dosage forms, and indications for products with existing marketing exclusivity or patent life that contain the same active moiety as that which was studied.</w:t>
      </w:r>
    </w:p>
    <w:p>
      <w:pPr>
        <w:spacing w:after="0" w:line="208" w:lineRule="exact"/>
        <w:rPr>
          <w:sz w:val="20"/>
          <w:szCs w:val="20"/>
          <w:color w:val="auto"/>
        </w:rPr>
      </w:pPr>
    </w:p>
    <w:p>
      <w:pPr>
        <w:ind w:firstLine="720"/>
        <w:spacing w:after="0" w:line="235" w:lineRule="exact"/>
        <w:rPr>
          <w:sz w:val="20"/>
          <w:szCs w:val="20"/>
          <w:color w:val="auto"/>
        </w:rPr>
      </w:pPr>
      <w:r>
        <w:rPr>
          <w:rFonts w:ascii="Times New Roman" w:cs="Times New Roman" w:eastAsia="Times New Roman" w:hAnsi="Times New Roman"/>
          <w:sz w:val="20"/>
          <w:szCs w:val="20"/>
          <w:color w:val="231F20"/>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fee waivers.</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24</w:t>
      </w:r>
    </w:p>
    <w:p>
      <w:pPr>
        <w:sectPr>
          <w:pgSz w:w="12240" w:h="15840" w:orient="portrait"/>
          <w:cols w:equalWidth="0" w:num="1">
            <w:col w:w="9360"/>
          </w:cols>
          <w:pgMar w:left="1440" w:top="1422" w:right="1440" w:bottom="175"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i w:val="1"/>
          <w:iCs w:val="1"/>
          <w:color w:val="231F20"/>
        </w:rPr>
        <w:t>Special FDA Expedited Review and Approval Programs</w:t>
      </w:r>
    </w:p>
    <w:p>
      <w:pPr>
        <w:spacing w:after="0" w:line="238"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231F20"/>
        </w:rPr>
        <w:t>The FDA has various programs, including Fast Track designation, Priority Review and Breakthrough designation, which are intended to expedite or simplify the process for the development and FDA review of certain drug products that are intended for the treatment of serious or life-threatening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20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20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In addition, if an applicant obtains “rolling review,” the FDA may accept and initiate review of sections of an NDA before the application submission is complete, although it is not guaranteed that the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200" w:lineRule="exact"/>
        <w:rPr>
          <w:sz w:val="20"/>
          <w:szCs w:val="20"/>
          <w:color w:val="auto"/>
        </w:rPr>
      </w:pPr>
    </w:p>
    <w:p>
      <w:pPr>
        <w:ind w:firstLine="720"/>
        <w:spacing w:after="0" w:line="244" w:lineRule="exact"/>
        <w:rPr>
          <w:sz w:val="20"/>
          <w:szCs w:val="20"/>
          <w:color w:val="auto"/>
        </w:rPr>
      </w:pPr>
      <w:r>
        <w:rPr>
          <w:rFonts w:ascii="Times New Roman" w:cs="Times New Roman" w:eastAsia="Times New Roman" w:hAnsi="Times New Roman"/>
          <w:sz w:val="20"/>
          <w:szCs w:val="20"/>
          <w:color w:val="231F20"/>
        </w:rPr>
        <w:t>In some cases, a Fast Track product may be eligible for Accelerated Approval or Priority Review. 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of receipt, rather than the standard review of ten months under current PDUFA guidelines, of the 60</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day filing date for NMEs and within six months of the submission receipt date for non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NMEs. Products that are eligible for Fast Track designation may also be considered appropriate to receive a Priority Review.</w:t>
      </w:r>
    </w:p>
    <w:p>
      <w:pPr>
        <w:spacing w:after="0" w:line="206" w:lineRule="exact"/>
        <w:rPr>
          <w:sz w:val="20"/>
          <w:szCs w:val="20"/>
          <w:color w:val="auto"/>
        </w:rPr>
      </w:pPr>
    </w:p>
    <w:p>
      <w:pPr>
        <w:ind w:firstLine="720"/>
        <w:spacing w:after="0" w:line="239" w:lineRule="exact"/>
        <w:rPr>
          <w:sz w:val="20"/>
          <w:szCs w:val="20"/>
          <w:color w:val="auto"/>
        </w:rPr>
      </w:pPr>
      <w:r>
        <w:rPr>
          <w:rFonts w:ascii="Times New Roman" w:cs="Times New Roman" w:eastAsia="Times New Roman" w:hAnsi="Times New Roman"/>
          <w:sz w:val="20"/>
          <w:szCs w:val="20"/>
          <w:color w:val="231F20"/>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and cross</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disciplinary review.</w:t>
      </w:r>
    </w:p>
    <w:p>
      <w:pPr>
        <w:spacing w:after="0" w:line="223"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231F20"/>
        </w:rPr>
        <w:t>Even if a product qualifies for one or more of these programs, the FDA may later decide that the product no longer meets the conditions for qualification or decide that the time period for FDA review or approval will not be shortened.</w:t>
      </w:r>
    </w:p>
    <w:p>
      <w:pPr>
        <w:spacing w:after="0" w:line="206"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i w:val="1"/>
          <w:iCs w:val="1"/>
          <w:color w:val="231F20"/>
        </w:rPr>
        <w:t>Post</w:t>
      </w:r>
      <w:r>
        <w:rPr>
          <w:rFonts w:ascii="MS Gothic" w:cs="MS Gothic" w:eastAsia="MS Gothic" w:hAnsi="MS Gothic"/>
          <w:sz w:val="20"/>
          <w:szCs w:val="20"/>
          <w:i w:val="1"/>
          <w:iCs w:val="1"/>
          <w:color w:val="231F20"/>
        </w:rPr>
        <w:t>‑</w:t>
      </w:r>
      <w:r>
        <w:rPr>
          <w:rFonts w:ascii="Times New Roman" w:cs="Times New Roman" w:eastAsia="Times New Roman" w:hAnsi="Times New Roman"/>
          <w:sz w:val="20"/>
          <w:szCs w:val="20"/>
          <w:i w:val="1"/>
          <w:iCs w:val="1"/>
          <w:color w:val="231F20"/>
        </w:rPr>
        <w:t>approval Requirements</w:t>
      </w:r>
    </w:p>
    <w:p>
      <w:pPr>
        <w:spacing w:after="0" w:line="253" w:lineRule="exact"/>
        <w:rPr>
          <w:sz w:val="20"/>
          <w:szCs w:val="20"/>
          <w:color w:val="auto"/>
        </w:rPr>
      </w:pPr>
    </w:p>
    <w:p>
      <w:pPr>
        <w:ind w:right="120" w:firstLine="720"/>
        <w:spacing w:after="0" w:line="245" w:lineRule="auto"/>
        <w:rPr>
          <w:sz w:val="20"/>
          <w:szCs w:val="20"/>
          <w:color w:val="auto"/>
        </w:rPr>
      </w:pPr>
      <w:r>
        <w:rPr>
          <w:rFonts w:ascii="Times New Roman" w:cs="Times New Roman" w:eastAsia="Times New Roman" w:hAnsi="Times New Roman"/>
          <w:sz w:val="20"/>
          <w:szCs w:val="20"/>
          <w:color w:val="231F20"/>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ectPr>
          <w:pgSz w:w="12240" w:h="15840" w:orient="portrait"/>
          <w:cols w:equalWidth="0" w:num="1">
            <w:col w:w="9360"/>
          </w:cols>
          <w:pgMar w:left="1440" w:top="1422" w:right="1440" w:bottom="175"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2240" w:h="15840" w:orient="portrait"/>
          <w:cols w:equalWidth="0" w:num="1">
            <w:col w:w="9360"/>
          </w:cols>
          <w:pgMar w:left="1440" w:top="1422" w:right="1440" w:bottom="175" w:gutter="0" w:footer="0" w:header="0"/>
          <w:type w:val="continuous"/>
        </w:sectPr>
      </w:pPr>
    </w:p>
    <w:bookmarkStart w:id="27" w:name="page28"/>
    <w:bookmarkEnd w:id="27"/>
    <w:p>
      <w:pPr>
        <w:ind w:right="160" w:firstLine="720"/>
        <w:spacing w:after="0" w:line="237" w:lineRule="exact"/>
        <w:rPr>
          <w:sz w:val="20"/>
          <w:szCs w:val="20"/>
          <w:color w:val="auto"/>
        </w:rPr>
      </w:pPr>
      <w:r>
        <w:rPr>
          <w:rFonts w:ascii="Times New Roman" w:cs="Times New Roman" w:eastAsia="Times New Roman" w:hAnsi="Times New Roman"/>
          <w:sz w:val="20"/>
          <w:szCs w:val="20"/>
          <w:color w:val="231F20"/>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manufacturers.</w:t>
      </w:r>
    </w:p>
    <w:p>
      <w:pPr>
        <w:spacing w:after="0" w:line="223" w:lineRule="exact"/>
        <w:rPr>
          <w:sz w:val="20"/>
          <w:szCs w:val="20"/>
          <w:color w:val="auto"/>
        </w:rPr>
      </w:pPr>
    </w:p>
    <w:p>
      <w:pPr>
        <w:ind w:right="120" w:firstLine="720"/>
        <w:spacing w:after="0" w:line="243" w:lineRule="exact"/>
        <w:rPr>
          <w:sz w:val="20"/>
          <w:szCs w:val="20"/>
          <w:color w:val="auto"/>
        </w:rPr>
      </w:pPr>
      <w:r>
        <w:rPr>
          <w:rFonts w:ascii="Times New Roman" w:cs="Times New Roman" w:eastAsia="Times New Roman" w:hAnsi="Times New Roman"/>
          <w:sz w:val="20"/>
          <w:szCs w:val="20"/>
          <w:color w:val="231F20"/>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manufacturers that the sponsor may decide to use. Accordingly, manufacturers must continue to expend time, money, and effort in the area of production and quality control to maintain cGMP compliance.</w:t>
      </w:r>
    </w:p>
    <w:p>
      <w:pPr>
        <w:spacing w:after="0" w:line="208"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231F20"/>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 including, but not limited to, criminal and civil penalties under the FDCA and False Claims Act, or FCA,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FCA exposure. Further, the FDA has not materially changed its position on off-label promotion following legal setbacks on First Amendment grounds and the DOJ has consistently asserted in FCA briefings that “speech that serves as a conduit for violations of the law is not constitutionally protected.”</w:t>
      </w:r>
    </w:p>
    <w:p>
      <w:pPr>
        <w:spacing w:after="0" w:line="21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Commercial products must meet the requirements of the Drug Supply Chain Security Act, or DSCSA, which imposes obligations on manufacturers of prescription biopharmaceutical products for commercial distribution,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they are meeting certain product tracing requirements; they are doing business with other authorized trading partners; and they are exchanging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of the law including, most recently, through policies establishing an additional stabilization period to support implementation of interoperable electronic tracing at the package level, and the FDA’s enforcement approach may continue to evolve. The distribution of product samples continues to be regulated under the PDMA, and some states also impose regulations on drug sample distribution.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2240" w:h="15840" w:orient="portrait"/>
          <w:cols w:equalWidth="0" w:num="1">
            <w:col w:w="9360"/>
          </w:cols>
          <w:pgMar w:left="1440" w:top="1420" w:right="1440" w:bottom="175" w:gutter="0" w:footer="0" w:header="0"/>
          <w:type w:val="continuous"/>
        </w:sectPr>
      </w:pPr>
    </w:p>
    <w:bookmarkStart w:id="28" w:name="page29"/>
    <w:bookmarkEnd w:id="28"/>
    <w:p>
      <w:pPr>
        <w:ind w:right="60" w:firstLine="720"/>
        <w:spacing w:after="0" w:line="243" w:lineRule="auto"/>
        <w:rPr>
          <w:sz w:val="20"/>
          <w:szCs w:val="20"/>
          <w:color w:val="auto"/>
        </w:rPr>
      </w:pPr>
      <w:r>
        <w:rPr>
          <w:rFonts w:ascii="Times New Roman" w:cs="Times New Roman" w:eastAsia="Times New Roman" w:hAnsi="Times New Roman"/>
          <w:sz w:val="20"/>
          <w:szCs w:val="20"/>
          <w:color w:val="231F20"/>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 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Fraud and Abuse, and Transparency Laws and Regulations</w:t>
      </w:r>
    </w:p>
    <w:p>
      <w:pPr>
        <w:spacing w:after="0" w:line="236"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Our business activities, including but not limited to, research, sales, promotion, marketing, distribution, medical education, sponsorships, relationships with prescribers and other referral sources, are subject to regulation by numerous federal, state, and local regulatory and law enforcement authorities in the United States, and in addition to the FDA, these authorities may include the Federal Trade Commission, or the FTC; the Department of Justice, various divisions of the U.S. Department of Health and Human Services, including the Centers for Medicare &amp; Medicaid Services, or CMS, the Office of Inspector General, or OIG, and the Health Resources and Services Administration, or HRSA; the Department of Veterans Affairs; the Department of Defense; and certain state and local governments. These activities, including our promotional and scientific/educational programs, must comply with laws and regulations such as the federal Anti-Kickback Statute, or AKS; the civil monetary penalties statute, or the CMP Law; the Foreign Corrupt Practices Act, or the FCPA; the False Claims Act, or the FCA; the Veterans Health Care Act, or the VHCA; physician payment transparency laws; privacy and security laws; and other federal, state, and local laws similar to the foregoing. Our business activities must comply with numerous healthcare laws, including but not limited to, anti-kickback and false claims laws and regulations as well as data privacy and security laws and regulations, which are described below.</w:t>
      </w:r>
    </w:p>
    <w:p>
      <w:pPr>
        <w:spacing w:after="0" w:line="213"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The federal AKS prohibits, among other things, any person or entity, from knowingly and willfully offering, paying, soliciting, or receiving any remuneration, directly or indirectly, overtly or covertly, in cash or in kind, to induce or in return for purchasing, leasing, furnishing, ordering, or arranging for or recommending the purchase, lease, furnish, or order of any item or service reimbursable under Medicare, Medicaid, or other federal healthcare programs, in whole or in part. The AKS has been interpreted broadly to apply to arrangements between pharmaceutical manufacturers on the one hand and prescribers, purchasers, formulary managers, and beneficiaries on the other. The term “remuneration” has been interpreted broadly to include anything of value, including kickbacks, bribes, or rebates gifts, discounts, waivers of payment, ownership interest, and providing anything at less than its fair market value. Additionally, the intent standard under the AKS provides that a person or entity need not have actual knowledge of the statute or specific intent to violate it in order to have committed a violation. In addition, a claim including items or services resulting from a violation of the AKS constitutes a false or fraudulent claim for purposes of the federal civil FCA. There are a number of statutory exceptions and regulatory safe harbors protecting some common activities from prosecution or other regulatory sanctions. The exceptions and safe harbors are drawn narrowly, and practices that involve remuneration that may be alleged to be intended to induce prescribing, purchasing, or recommending may be subject to scrutiny if they do not qualify for an exception or safe harbor. Failure to meet all the requirements of a particular applicable statutory exception or regulatory safe harbor does not make the conduct per se illegal under the AKS. Instead, the legality of the arrangement will be evaluated on a case-by-case basis based on a cumulative review of all such arrangement’s facts and circumstances. Our practices may not in all cases meet all the criteria for protection under a statutory exception or regulatory safe harbor. The exceptions and safe harbors are subject to change through legislative and regulatory action, are also subject to changes in interpretation and application by government agencies and courts, and we may decide to adjust our business practices from time to time.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2240" w:h="15840" w:orient="portrait"/>
          <w:cols w:equalWidth="0" w:num="1">
            <w:col w:w="9360"/>
          </w:cols>
          <w:pgMar w:left="1440" w:top="1420" w:right="1440" w:bottom="175" w:gutter="0" w:footer="0" w:header="0"/>
          <w:type w:val="continuous"/>
        </w:sectPr>
      </w:pPr>
    </w:p>
    <w:bookmarkStart w:id="29" w:name="page30"/>
    <w:bookmarkEnd w:id="29"/>
    <w:p>
      <w:pPr>
        <w:ind w:firstLine="720"/>
        <w:spacing w:after="0" w:line="243" w:lineRule="auto"/>
        <w:rPr>
          <w:sz w:val="20"/>
          <w:szCs w:val="20"/>
          <w:color w:val="auto"/>
        </w:rPr>
      </w:pPr>
      <w:r>
        <w:rPr>
          <w:rFonts w:ascii="Times New Roman" w:cs="Times New Roman" w:eastAsia="Times New Roman" w:hAnsi="Times New Roman"/>
          <w:sz w:val="20"/>
          <w:szCs w:val="20"/>
          <w:color w:val="231F20"/>
        </w:rPr>
        <w:t>The government has asserted FCA liability against manufacturers by alleging that improper arrangements with ordering physicians caused them or another provider to file false claims in violation of the FCA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or EHR, vendors and pharmaceutical manufacturers for remunerative relationships involving the EHR platform’s recommendation of particular drugs and “prompting” technology to increase prescribing of particular drugs.</w:t>
      </w:r>
    </w:p>
    <w:p>
      <w:pPr>
        <w:spacing w:after="0" w:line="195" w:lineRule="exact"/>
        <w:rPr>
          <w:sz w:val="20"/>
          <w:szCs w:val="20"/>
          <w:color w:val="auto"/>
        </w:rPr>
      </w:pPr>
    </w:p>
    <w:p>
      <w:pPr>
        <w:ind w:firstLine="720"/>
        <w:spacing w:after="0" w:line="232" w:lineRule="auto"/>
        <w:rPr>
          <w:sz w:val="20"/>
          <w:szCs w:val="20"/>
          <w:color w:val="auto"/>
        </w:rPr>
      </w:pPr>
      <w:r>
        <w:rPr>
          <w:rFonts w:ascii="Times New Roman" w:cs="Times New Roman" w:eastAsia="Times New Roman" w:hAnsi="Times New Roman"/>
          <w:sz w:val="20"/>
          <w:szCs w:val="20"/>
          <w:color w:val="231F20"/>
        </w:rPr>
        <w:t>Payments made to physicians, other health care providers, or HCPs, their family members, and other financial interests, have been the subject of a range of federal and state laws. The federal physician payment transparency requirements, sometimes referred to as the Physician Payments Sunshine Act, or the Sunshine Act, implemented as the Open Payments Program. The Sunshine Act, among other things, imposes reporting requirements on drug manufacturers and certain others for payments or other transfers of value made by them to physicians and teaching hospitals, as well as ownership and investment interests held by physicians, other HCPs, and their immediate family members. Failure to submit required information may result in civil monetary penalties of up to an aggregate of $150,000 per year and up to an additional aggregate of $1.0 million per year for “knowing failures,” for all payments, transfers of value, or ownership or investment interests that are not timely, accurately, and completely reported in an annual submission. The Sunshine Act requires applicable manufacturers of covered drugs for which payment is available under Medicare, Medicaid, or the State Children’s Health Insurance Program, among others, to track and report annually to the federal government (for disclosure to the public) certain payments and other transfers of value they make to physicians, teaching hospitals, physician assistants, nurse practitioners, and other mid-level practitioners. We are also required to report certain ownership and investment interests held by physicians and their immediate family members. Additionally, certain states also mandate implementation of commercial compliance programs, impose restrictions on drug manufacturer marketing practices, and/or require the tracking and reporting of gifts, compensation, and other remuneration to physicians and other HCPs.</w:t>
      </w:r>
    </w:p>
    <w:p>
      <w:pPr>
        <w:spacing w:after="0" w:line="215" w:lineRule="exact"/>
        <w:rPr>
          <w:sz w:val="20"/>
          <w:szCs w:val="20"/>
          <w:color w:val="auto"/>
        </w:rPr>
      </w:pPr>
    </w:p>
    <w:p>
      <w:pPr>
        <w:ind w:right="60" w:firstLine="720"/>
        <w:spacing w:after="0" w:line="241" w:lineRule="auto"/>
        <w:rPr>
          <w:sz w:val="20"/>
          <w:szCs w:val="20"/>
          <w:color w:val="auto"/>
        </w:rPr>
      </w:pPr>
      <w:r>
        <w:rPr>
          <w:rFonts w:ascii="Times New Roman" w:cs="Times New Roman" w:eastAsia="Times New Roman" w:hAnsi="Times New Roman"/>
          <w:sz w:val="20"/>
          <w:szCs w:val="20"/>
          <w:color w:val="231F20"/>
        </w:rPr>
        <w:t>The FCA prohibits any person or entity from, among other things, knowingly presenting or causing to be presented false or fraudulent claims for payment to, or approval by the government, knowingly making, using, or causing to be made or used a false statement or record material to a claim to the government, or avoiding, decreasing, or concealing an obligation to pay money to the government. A claim includes “any request or demand” for money or property presented directly or indirectly to the government. The civil FCA has been or might be used to assert liability on the basis of kickbacks and other improper referrals, improperly reported government pricing metrics such as Best Price and Average Manufacturer Price, improper promotion of uses not expressly approved by the FDA in a drug’s label, false statements associated with government grants, and allegations of misrepresentations with respect to services rendered, as well as claims for payment that are inaccurate or fraudulent, that are for services not provided as claimed, or for services that are not medically necessary. FCA claims might be based on noncompliance with regulatory requirements under an implied certification theory if material to the government’s decision to buy or pay for a drug. Intent to deceive is not required to establish liability under the civil FCA. Civil FCA liability may also be imposed for Medicare or Medicaid overpayments caused by understated rebate amounts that are not refunded within 60 days of discovering the overpayment, even if the overpayment was not caused by a false or fraudulent act. Actions under the FCA may be brought by the government or by a private individual on behalf of the government, called “qui tam” actions. If the government intervenes in a qui tam action and prevails in the lawsuit, the qui tam plaintiff will share in the proceeds from damages and fines or settlement funds. If the government declines to intervene, the qui tam plaintiff may pursue the case alone, subject to governmental review and certain approvals. Qui tam complaints are filed under seal, and the cases may progress for a number of years before a complaint is unsealed and a manufacturer becomes aware of its existence. FCA lawsuits against pharmaceutical companies have increased significantly in volume and breadth in recent years, leading to several substantial civil and criminal settlements, focusing on activities such as certain sales practices and promoting off-label drug uses.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2240" w:h="15840" w:orient="portrait"/>
          <w:cols w:equalWidth="0" w:num="1">
            <w:col w:w="9360"/>
          </w:cols>
          <w:pgMar w:left="1440" w:top="1420" w:right="1440" w:bottom="175" w:gutter="0" w:footer="0" w:header="0"/>
          <w:type w:val="continuous"/>
        </w:sectPr>
      </w:pPr>
    </w:p>
    <w:bookmarkStart w:id="30" w:name="page31"/>
    <w:bookmarkEnd w:id="30"/>
    <w:p>
      <w:pPr>
        <w:ind w:right="140" w:firstLine="720"/>
        <w:spacing w:after="0" w:line="249" w:lineRule="auto"/>
        <w:rPr>
          <w:sz w:val="20"/>
          <w:szCs w:val="20"/>
          <w:color w:val="auto"/>
        </w:rPr>
      </w:pPr>
      <w:r>
        <w:rPr>
          <w:rFonts w:ascii="Times New Roman" w:cs="Times New Roman" w:eastAsia="Times New Roman" w:hAnsi="Times New Roman"/>
          <w:sz w:val="20"/>
          <w:szCs w:val="20"/>
          <w:color w:val="231F20"/>
        </w:rPr>
        <w:t>Violations of the FCA can result in significant monetary penalties and treble damages. The government may further prosecute conduct under the criminal FCA, which prohibits the making or presenting of a claim to the government knowing the claim to be false, fictitious, or fraudulent. Unlike the civil FCA, conviction requires proof of intent to submit a false claim. In addition, federal AKS violations (which may be alleged based on certain marketing practices, including allegations of off-label promotion) might implicate the FCA.</w:t>
      </w:r>
    </w:p>
    <w:p>
      <w:pPr>
        <w:spacing w:after="0" w:line="197"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color w:val="231F20"/>
        </w:rPr>
        <w:t>The CMP Law establishes substantial civil monetary penalties that may be assessed against any person or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200"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The federal “Exclusion Statute,” Section 1128 of the Social Security Act, 42 U.S.C. § 1320a-7, requires the exclusion of entities and individuals who have been convicted of federal-program related crimes or health care felony fraud or controlled substance charges. The statute also permits the exclusion of those that have been convicted of fraud, the Anti-Kickback Statute, for obstructing an investigation or audit, misdemeanor-controlled substance charges, those whose health care license has been revoked or suspended, and those who have filed claims for excessive charges or unnecessary services. If a company were to be excluded, its products would be ineligible for reimbursement from any federal health care programs, including Medicare and Medicaid, and no other entity participating in those programs would be permitted to enter into contracts with the company with respect to federal health care programs.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213" w:lineRule="exact"/>
        <w:rPr>
          <w:sz w:val="20"/>
          <w:szCs w:val="20"/>
          <w:color w:val="auto"/>
        </w:rPr>
      </w:pPr>
    </w:p>
    <w:p>
      <w:pPr>
        <w:ind w:right="240" w:firstLine="720"/>
        <w:spacing w:after="0" w:line="258" w:lineRule="auto"/>
        <w:rPr>
          <w:sz w:val="20"/>
          <w:szCs w:val="20"/>
          <w:color w:val="auto"/>
        </w:rPr>
      </w:pPr>
      <w:r>
        <w:rPr>
          <w:rFonts w:ascii="Times New Roman" w:cs="Times New Roman" w:eastAsia="Times New Roman" w:hAnsi="Times New Roman"/>
          <w:sz w:val="20"/>
          <w:szCs w:val="20"/>
          <w:color w:val="231F20"/>
        </w:rPr>
        <w:t>The compliance and enforcement landscape, and related risk, is informed by government regulatory, enforcement, and other activities, such as litigation and settlement precedent, advisory opinions, and special fraud alerts. Our approach to compliance may evolve over time in light of these types of developments.</w:t>
      </w:r>
    </w:p>
    <w:p>
      <w:pPr>
        <w:spacing w:after="0" w:line="188" w:lineRule="exact"/>
        <w:rPr>
          <w:sz w:val="20"/>
          <w:szCs w:val="20"/>
          <w:color w:val="auto"/>
        </w:rPr>
      </w:pPr>
    </w:p>
    <w:p>
      <w:pPr>
        <w:ind w:right="120" w:firstLine="720"/>
        <w:spacing w:after="0" w:line="234" w:lineRule="exact"/>
        <w:rPr>
          <w:sz w:val="20"/>
          <w:szCs w:val="20"/>
          <w:color w:val="auto"/>
        </w:rPr>
      </w:pPr>
      <w:r>
        <w:rPr>
          <w:rFonts w:ascii="Times New Roman" w:cs="Times New Roman" w:eastAsia="Times New Roman" w:hAnsi="Times New Roman"/>
          <w:sz w:val="20"/>
          <w:szCs w:val="20"/>
          <w:color w:val="231F20"/>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drugs. For drugs paid under Medicare Part B, manufacturers must also calculate and report their Average Sales Price, or ASP, which is used to determine the Medicare Part B payment rate for the drug. Drugs that are approved under a BLA or a New Drug Application, or NDA, including 505(b)(2) drugs, are subject to an additional inflation penalty which can substantially increase rebate payments. In addition, for BLA and NDA drugs, the VHCA requires manufacturers to calculate and report to the Veterans Administration, or VA, a different price called the Non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These price reporting requirements create a risk of submitting false information to the government and potential FCA liability.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2240" w:h="15840" w:orient="portrait"/>
          <w:cols w:equalWidth="0" w:num="1">
            <w:col w:w="9360"/>
          </w:cols>
          <w:pgMar w:left="1440" w:top="1420" w:right="1440" w:bottom="175" w:gutter="0" w:footer="0" w:header="0"/>
          <w:type w:val="continuous"/>
        </w:sectPr>
      </w:pPr>
    </w:p>
    <w:bookmarkStart w:id="31" w:name="page32"/>
    <w:bookmarkEnd w:id="31"/>
    <w:p>
      <w:pPr>
        <w:ind w:firstLine="720"/>
        <w:spacing w:after="0" w:line="244" w:lineRule="auto"/>
        <w:rPr>
          <w:sz w:val="20"/>
          <w:szCs w:val="20"/>
          <w:color w:val="auto"/>
        </w:rPr>
      </w:pPr>
      <w:r>
        <w:rPr>
          <w:rFonts w:ascii="Times New Roman" w:cs="Times New Roman" w:eastAsia="Times New Roman" w:hAnsi="Times New Roman"/>
          <w:sz w:val="20"/>
          <w:szCs w:val="20"/>
          <w:color w:val="231F20"/>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HRSA within HHS. Manufacturers can be audited by HRSA and be subjected to civil monetary penalties for knowingly and intentionally overcharging covered entities for drugs.</w:t>
      </w:r>
    </w:p>
    <w:p>
      <w:pPr>
        <w:spacing w:after="0" w:line="206"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231F20"/>
        </w:rPr>
        <w:t>The federal Health Insurance Portability and Accountability Act of 1996, or HIPAA, imposes criminal and civil penalties and prohibits, among other actions, knowingly and willfully executing, or attempting to execute, a scheme to defraud or to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the specific intent to violate it, to have committed a violation.</w:t>
      </w:r>
    </w:p>
    <w:p>
      <w:pPr>
        <w:spacing w:after="0" w:line="202"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We may also be subject to data privacy and security laws and regulation by both the federal government and the states in which we conduct our business. HIPAA, as amended by the Health Information Technology for Economic and Clinical Health Act, or the HITECH Act, and their respective implementing regulations, including as such regulations were amended by the final omnibus rule published on January 25, 2013, and subsequent rulemaking, imposes specific requirements relating to the privacy, security, and transmission of individually identifiable health information held by “covered entities” and their “business associates.” While we would not be a covered entity under HIPAA, it is possible that we may enter into a service or business arrangement that would cause us to serve as business associates, defined as a person or entity that performs certain functions or activities that involve the use or disclosure of protected health information in connection with providing a service for or on behalf of, or provides services to, a covered entity.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and may differ from each other in significant ways and may not have the same effect. The Department of Health and Human Services Office of Civil Rights, or the OCR, state attorneys general, and other regulators have increased their focus on compliance and enforcement.</w:t>
      </w:r>
    </w:p>
    <w:p>
      <w:pPr>
        <w:spacing w:after="0" w:line="208"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231F20"/>
        </w:rPr>
        <w:t>Even for entities that are not deemed “covered entities” or “business associates” under HIPAA, according to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206" w:lineRule="exact"/>
        <w:rPr>
          <w:sz w:val="20"/>
          <w:szCs w:val="20"/>
          <w:color w:val="auto"/>
        </w:rPr>
      </w:pPr>
    </w:p>
    <w:p>
      <w:pPr>
        <w:jc w:val="both"/>
        <w:ind w:right="140" w:firstLine="720"/>
        <w:spacing w:after="0" w:line="252" w:lineRule="auto"/>
        <w:rPr>
          <w:sz w:val="20"/>
          <w:szCs w:val="20"/>
          <w:color w:val="auto"/>
        </w:rPr>
      </w:pPr>
      <w:r>
        <w:rPr>
          <w:rFonts w:ascii="Times New Roman" w:cs="Times New Roman" w:eastAsia="Times New Roman" w:hAnsi="Times New Roman"/>
          <w:sz w:val="20"/>
          <w:szCs w:val="20"/>
          <w:color w:val="231F20"/>
        </w:rPr>
        <w:t>In addition to the laws discussed above, we may see more stringent state and federal privacy legislation in coming years, as a continued increase in cyber-attacks have heightened attention to data privacy and security in the U.S. and other jurisdictions. We cannot predict where new legislation might arise, the scope of such legislation, or the potential impact to our business and operations.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2240" w:h="15840" w:orient="portrait"/>
          <w:cols w:equalWidth="0" w:num="1">
            <w:col w:w="9360"/>
          </w:cols>
          <w:pgMar w:left="1440" w:top="1420" w:right="1440" w:bottom="175" w:gutter="0" w:footer="0" w:header="0"/>
          <w:type w:val="continuous"/>
        </w:sectPr>
      </w:pPr>
    </w:p>
    <w:bookmarkStart w:id="32" w:name="page33"/>
    <w:bookmarkEnd w:id="32"/>
    <w:p>
      <w:pPr>
        <w:ind w:right="20" w:firstLine="720"/>
        <w:spacing w:after="0" w:line="241" w:lineRule="auto"/>
        <w:rPr>
          <w:sz w:val="20"/>
          <w:szCs w:val="20"/>
          <w:color w:val="auto"/>
        </w:rPr>
      </w:pPr>
      <w:r>
        <w:rPr>
          <w:rFonts w:ascii="Times New Roman" w:cs="Times New Roman" w:eastAsia="Times New Roman" w:hAnsi="Times New Roman"/>
          <w:sz w:val="20"/>
          <w:szCs w:val="20"/>
          <w:color w:val="231F20"/>
        </w:rPr>
        <w:t>Analogous state laws and regulations, such as state anti-kickback and false claims laws, and other state laws addressing the pharmaceutical and healthcare industries, which may apply to items or services reimbursed by any third-party payor, including commercial insurers, and in some cases, may apply regardless of payor, i.e., even if reimbursement is not available. Some state laws require pharmaceutical companies to comply with the pharmaceutical industry's voluntary compliance guidelines, known as the Pharmaceutical Research and Manufacturers of America Code, and the relevant compliance program guidance promulgated by the federal government in addition to requiring drug manufacturers to report pricing and marketing information, including, among other things, information related to gifts, payments, or other remuneration to physicians and other HCPs or marketing expenditures, state and local laws that require the registration of pharmaceutical sales representatives, and state laws governing the privacy and security of health information and the use of prescriber-identifiable data in certain circumstances, many of which differ from each other in significant ways and may not have the same effect, thus complicating compliance efforts. For example, the California Consumer Privacy Act, or CCPA, which went into effect on January 1, 2020, and was subsequently amended and expanded by the California Privacy Rights Act, or CPRA, taking full effect as of January 1, 2023, including the CPRA’s expansion of the “Right to Know” that impacts personal information collected on or after January 1, 2022. The CCPA and CPRA, among other things, create new data privacy obligations for covered companies and provide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Additional modifications may continue to be made to the CCPA and CPRA by the California legislature and their interpretation by regulators may continue to evolve. Since the passage of the CCPA, certain other states have passed similar laws that may also have similar impacts on our data processing practices and incurred costs. Some of these state laws or amendments to these laws are continuing to take effect, and we cannot predict if states will subsequently amend those laws, if other states will pass similar laws, or the costs and expenses that we will incur to comply with such laws. Therefore, the effects of these state data protection laws are significant and will likely require us to modify our data processing practices and may cause us to incur substantial costs and expenses to comply.</w:t>
      </w:r>
    </w:p>
    <w:p>
      <w:pPr>
        <w:spacing w:after="0" w:line="197" w:lineRule="exact"/>
        <w:rPr>
          <w:sz w:val="20"/>
          <w:szCs w:val="20"/>
          <w:color w:val="auto"/>
        </w:rPr>
      </w:pPr>
    </w:p>
    <w:p>
      <w:pPr>
        <w:ind w:right="40" w:firstLine="720"/>
        <w:spacing w:after="0" w:line="233" w:lineRule="auto"/>
        <w:rPr>
          <w:sz w:val="20"/>
          <w:szCs w:val="20"/>
          <w:color w:val="auto"/>
        </w:rPr>
      </w:pPr>
      <w:r>
        <w:rPr>
          <w:rFonts w:ascii="Times New Roman" w:cs="Times New Roman" w:eastAsia="Times New Roman" w:hAnsi="Times New Roman"/>
          <w:sz w:val="19"/>
          <w:szCs w:val="19"/>
          <w:color w:val="231F20"/>
        </w:rPr>
        <w:t>Many states have also adopted laws similar to each of the above federal laws, which may be broader in scope and apply to items or services reimbursed by any third-party payor, including commercial insurers, and some have transparency laws that require reporting price increases and related information. Certain state laws also regulate manufacturers’ use of prescriber 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20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Because of the breadth of these laws and the narrowness of the statutory exceptions and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among pharmaceutical companies, HCPs,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98" w:lineRule="exact"/>
        <w:rPr>
          <w:sz w:val="20"/>
          <w:szCs w:val="20"/>
          <w:color w:val="auto"/>
        </w:rPr>
      </w:pPr>
    </w:p>
    <w:p>
      <w:pPr>
        <w:ind w:right="80" w:firstLine="720"/>
        <w:spacing w:after="0"/>
        <w:rPr>
          <w:sz w:val="20"/>
          <w:szCs w:val="20"/>
          <w:color w:val="auto"/>
        </w:rPr>
      </w:pPr>
      <w:r>
        <w:rPr>
          <w:rFonts w:ascii="Times New Roman" w:cs="Times New Roman" w:eastAsia="Times New Roman" w:hAnsi="Times New Roman"/>
          <w:sz w:val="20"/>
          <w:szCs w:val="20"/>
          <w:color w:val="231F20"/>
        </w:rPr>
        <w:t>If our operations are found to be in violation of any of such health regulatory laws or regulations described above or any other governmental laws or regulations that apply to us, we may be subject to penalties or other enforcement actions, including, without limitation, civil, administrative, and criminal penalties, damages, fines, disgorgement, the curtailment or restructuring of our operations, exclusion from participation in federal and state healthcare programs, individual imprisonment, injunctions, private qui tam actions brought by individual whistleblowers in the name of the government,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2240" w:h="15840" w:orient="portrait"/>
          <w:cols w:equalWidth="0" w:num="1">
            <w:col w:w="9360"/>
          </w:cols>
          <w:pgMar w:left="1440" w:top="1420" w:right="1440" w:bottom="175" w:gutter="0" w:footer="0" w:header="0"/>
          <w:type w:val="continuous"/>
        </w:sectPr>
      </w:pPr>
    </w:p>
    <w:bookmarkStart w:id="33" w:name="page34"/>
    <w:bookmarkEnd w:id="33"/>
    <w:p>
      <w:pPr>
        <w:ind w:right="280" w:firstLine="720"/>
        <w:spacing w:after="0" w:line="247" w:lineRule="auto"/>
        <w:rPr>
          <w:sz w:val="20"/>
          <w:szCs w:val="20"/>
          <w:color w:val="auto"/>
        </w:rPr>
      </w:pPr>
      <w:r>
        <w:rPr>
          <w:rFonts w:ascii="Times New Roman" w:cs="Times New Roman" w:eastAsia="Times New Roman" w:hAnsi="Times New Roman"/>
          <w:sz w:val="20"/>
          <w:szCs w:val="20"/>
          <w:color w:val="231F20"/>
        </w:rPr>
        <w:t>To the extent that any of our products are sold in a foreign country, we may be subject to similar foreign laws and regulations, which may include, for instance, applicable post marketing requirements, including safety surveillance, anti-fraud and abuse laws, and implementation of corporate compliance programs and reporting of payments or transfers of value to HCPs.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Coverage and Reimbursement Generally</w:t>
      </w:r>
    </w:p>
    <w:p>
      <w:pPr>
        <w:spacing w:after="0" w:line="239"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Sales of pharmaceutical products depend significantly on the availability and adequacy of coverage and reimbursement by third-party payors such as Medicare, Medicaid, and other government programs at the federal and state level, managed care entities, private health insurers, and pharmacy benefit managers, or PBMs. Third-party payors decide the extent to which they will cover or reimburse for drugs on behalf of their beneficiaries and members and might not provide any coverage or reimbursement for a drug. Third-party payors are increasingly challenging the price and examining the cost-effectiveness of medical products and services. Reimbursement for newly approved healthcare products present significant uncertainty and may require expensive clinical trials to demonstrate the comparative cost-effectiveness of our products and our products and product candidates might not be considered cost-effective. Seeking coverage and reimbursement from third-party payors can be time consuming and expensive. Moreover, a payor’s decision to provide coverage for a drug product does not imply that an adequate reimbursement rate will be approved. Additional pressures on pricing as a result of other, peripheral policies may impact reimbursement across both government and private payors. Non-health specific policies may impart downstream impacts on private insurance reimbursement decision-making. In consideration of these numerous factors, reimbursement may not be available or sufficient to allow us to sell our products on a competitive and profitable basis.</w:t>
      </w:r>
    </w:p>
    <w:p>
      <w:pPr>
        <w:spacing w:after="0" w:line="212" w:lineRule="exact"/>
        <w:rPr>
          <w:sz w:val="20"/>
          <w:szCs w:val="20"/>
          <w:color w:val="auto"/>
        </w:rPr>
      </w:pPr>
    </w:p>
    <w:p>
      <w:pPr>
        <w:ind w:firstLine="720"/>
        <w:spacing w:after="0" w:line="238" w:lineRule="exact"/>
        <w:rPr>
          <w:sz w:val="20"/>
          <w:szCs w:val="20"/>
          <w:color w:val="auto"/>
        </w:rPr>
      </w:pPr>
      <w:r>
        <w:rPr>
          <w:rFonts w:ascii="Times New Roman" w:cs="Times New Roman" w:eastAsia="Times New Roman" w:hAnsi="Times New Roman"/>
          <w:sz w:val="20"/>
          <w:szCs w:val="20"/>
          <w:color w:val="231F20"/>
        </w:rPr>
        <w:t>In the case of government health care programs, coverage and reimbursement may vary from program to program, including Medicare, Medicaid, and Tricare. Medicare is a federally funded program managed by CMS through local contractors that administer coverage and reimbursement for certain healthcare items and services for people 65 years of age or older and certain people with disabilities, even if under age 65. Medicaid is a jointly federally and state</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funded insurance program managed by the applicable state for certain categories of individuals that may vary from state to state, including low-income people, families and children, pregnant people, and people with certain disabilities. Coverage for prescription drugs under these programs is subject to and limited by strict rules and conditions, including price controls. In the U.S., private health insurers and other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payors may base their reimbursement for prescription drugs based on the level at which government health care programs provide reimbursement for such drugs. These restrictions and limitations influence the purchase of drugs. In addition, government programs like Medicaid include substantial penalties for increasing commercial prices over the rate of inflation, which can affect realization and return on investment.</w:t>
      </w:r>
    </w:p>
    <w:p>
      <w:pPr>
        <w:spacing w:after="0" w:line="208"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231F20"/>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While all Medicare drug plans must give at least a standard level of coverage set by Medicare, Part D plan sponsors are not required to pay for all covered Part D drugs, and each Part D plan can develop its own drug formulary that identifies which drugs it will cover and at what tier or level. Despite this flexibility, Part D prescription drug formularies must include drugs within each therapeutic category and class of covered Part D drugs, though not necessarily all the drugs in each category or class and with some exceptions for certain classes of drugs.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may be lower than the prices we might obtain from other payors.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2240" w:h="15840" w:orient="portrait"/>
          <w:cols w:equalWidth="0" w:num="1">
            <w:col w:w="9360"/>
          </w:cols>
          <w:pgMar w:left="1440" w:top="1416" w:right="1440" w:bottom="175" w:gutter="0" w:footer="0" w:header="0"/>
          <w:type w:val="continuous"/>
        </w:sectPr>
      </w:pPr>
    </w:p>
    <w:bookmarkStart w:id="34" w:name="page35"/>
    <w:bookmarkEnd w:id="34"/>
    <w:p>
      <w:pPr>
        <w:ind w:firstLine="720"/>
        <w:spacing w:after="0" w:line="244" w:lineRule="auto"/>
        <w:rPr>
          <w:sz w:val="20"/>
          <w:szCs w:val="20"/>
          <w:color w:val="auto"/>
        </w:rPr>
      </w:pPr>
      <w:r>
        <w:rPr>
          <w:rFonts w:ascii="Times New Roman" w:cs="Times New Roman" w:eastAsia="Times New Roman" w:hAnsi="Times New Roman"/>
          <w:sz w:val="20"/>
          <w:szCs w:val="20"/>
          <w:color w:val="231F20"/>
        </w:rPr>
        <w:t>A manufacturer must participate in a federal program known as the 340B drug pricing program by entering into various programs for federal funds to be available to pay for the manufacturer’s drugs under Medicaid. The 340B program requires a participating manufacturer to charge certain federally funded clinics and safety net hospitals no more than an established discounted price for its covered outpatient drugs, per a formula defined by statute to determine the discounted price, which is based on the AMP and the unit rebate amount as calculated under the Medicaid Drug Rebate Program, discussed further below. Manufacturers must report pricing information to CMS for HRSA on a quarterly basis. HRSA has also issued regulations relating to the calculation of the ceiling price as well as imposition of civil monetary penalties for each instance of knowingly and intentionally overcharging a 340B covered entity.</w:t>
      </w:r>
    </w:p>
    <w:p>
      <w:pPr>
        <w:spacing w:after="0" w:line="20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The Inflation Reduction Act of 2022, or IRA, established substantial changes to the Medicare program with certain drug pricing reforms and a Medicare Part D benefit redesign. For example, the IRA includes measures intended to lower the cost of prescription drugs and related healthcare reforms, such as limits on price increases and subjecting an escalating number of drugs to annual price negotiations with CMS. Specifically, the IRA authorizes and directs HHS to set drug price caps for certain high-cost Medicare Part B and Part D qualified drugs, subject to an exclusion for certain orphan drugs, with negotiated pricing for limited drugs taking effect in 2026 with a second-year list being announced for 2027. The IRA authorizes HHS to penalize pharmaceutical manufacturers that increase the price of certain Medicare Part B and Part D drugs faster than the rate of inflation. Effective in 2025, the IRA also created significant changes to the Medicare Part D benefit design by capping Part D beneficiaries' annual out-of-pocket spending. The impact of the IRA on the broader pharmaceutical industry remains to be seen. Certain legal challenges from pharmaceutical manufacturers and others in the industry continue, including challenges to the constitutionality and administrative implementation of the IRA’s drug price negotiation provisions. We cannot predict whether the IRA, in whole or in part, will be overturned, repealed, replaced, or amended.</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In the U.S., Europe, and other potentially significant markets for our products and product candidates,</w:t>
      </w:r>
    </w:p>
    <w:p>
      <w:pPr>
        <w:spacing w:after="0" w:line="36"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231F20"/>
        </w:rPr>
        <w:t>government authorities and private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payors are increasingly attempting to limit or regulate the price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medical products and services, particularly for new and innovative products and therapies, which often has resulted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average selling prices lower than they would otherwise be. Manufacturers frequently must rebate a portion of the</w:t>
      </w:r>
    </w:p>
    <w:p>
      <w:pPr>
        <w:spacing w:after="0" w:line="8"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231F20"/>
        </w:rPr>
        <w:t>prescription price to the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payors as a condition of coverage, which can greatly reduce realization on the</w:t>
      </w:r>
    </w:p>
    <w:p>
      <w:pPr>
        <w:spacing w:after="0" w:line="15"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231F20"/>
        </w:rPr>
        <w:t>sale.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payors are increasingly challenging the price and examining the medical necessity and</w:t>
      </w:r>
    </w:p>
    <w:p>
      <w:pPr>
        <w:spacing w:after="0" w:line="30"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231F20"/>
        </w:rPr>
        <w:t>cost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effectiveness of medical products and services, in addition to their safety and efficacy, and are developing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increasingly sophisticated methods of controlling healthcare costs. They may limit coverage to specific drug</w:t>
      </w:r>
    </w:p>
    <w:p>
      <w:pPr>
        <w:spacing w:after="0" w:line="15"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231F20"/>
        </w:rPr>
        <w:t>products on an approved list, or formulary, which might not include all the FDA</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approved drug products for 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particular indication, or they may control costs, particularly for new expensive therapies, by requiring prior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authorization or imposing other restrictions before covering certain products, or they may condition payment based</w:t>
      </w:r>
    </w:p>
    <w:p>
      <w:pPr>
        <w:spacing w:after="0"/>
        <w:rPr>
          <w:sz w:val="20"/>
          <w:szCs w:val="20"/>
          <w:color w:val="auto"/>
        </w:rPr>
      </w:pPr>
      <w:r>
        <w:rPr>
          <w:rFonts w:ascii="Times New Roman" w:cs="Times New Roman" w:eastAsia="Times New Roman" w:hAnsi="Times New Roman"/>
          <w:sz w:val="20"/>
          <w:szCs w:val="20"/>
          <w:color w:val="231F20"/>
        </w:rPr>
        <w:t>on achieving performance metrics. Legislative proposals to reform healthcare or reduce costs under government</w:t>
      </w:r>
    </w:p>
    <w:p>
      <w:pPr>
        <w:spacing w:after="0"/>
        <w:rPr>
          <w:sz w:val="20"/>
          <w:szCs w:val="20"/>
          <w:color w:val="auto"/>
        </w:rPr>
      </w:pPr>
      <w:r>
        <w:rPr>
          <w:rFonts w:ascii="Times New Roman" w:cs="Times New Roman" w:eastAsia="Times New Roman" w:hAnsi="Times New Roman"/>
          <w:sz w:val="20"/>
          <w:szCs w:val="20"/>
          <w:color w:val="231F20"/>
        </w:rPr>
        <w:t>programs may result in lower reimbursement for our products and product candidates or exclusion of our products</w:t>
      </w:r>
    </w:p>
    <w:p>
      <w:pPr>
        <w:spacing w:after="0"/>
        <w:rPr>
          <w:sz w:val="20"/>
          <w:szCs w:val="20"/>
          <w:color w:val="auto"/>
        </w:rPr>
      </w:pPr>
      <w:r>
        <w:rPr>
          <w:rFonts w:ascii="Times New Roman" w:cs="Times New Roman" w:eastAsia="Times New Roman" w:hAnsi="Times New Roman"/>
          <w:sz w:val="20"/>
          <w:szCs w:val="20"/>
          <w:color w:val="231F20"/>
        </w:rPr>
        <w:t>and product candidates from coverage.</w:t>
      </w:r>
    </w:p>
    <w:p>
      <w:pPr>
        <w:spacing w:after="0" w:line="212" w:lineRule="exact"/>
        <w:rPr>
          <w:sz w:val="20"/>
          <w:szCs w:val="20"/>
          <w:color w:val="auto"/>
        </w:rPr>
      </w:pPr>
    </w:p>
    <w:p>
      <w:pPr>
        <w:ind w:right="60" w:firstLine="720"/>
        <w:spacing w:after="0" w:line="235" w:lineRule="exact"/>
        <w:rPr>
          <w:sz w:val="20"/>
          <w:szCs w:val="20"/>
          <w:color w:val="auto"/>
        </w:rPr>
      </w:pPr>
      <w:r>
        <w:rPr>
          <w:rFonts w:ascii="Times New Roman" w:cs="Times New Roman" w:eastAsia="Times New Roman" w:hAnsi="Times New Roman"/>
          <w:sz w:val="20"/>
          <w:szCs w:val="20"/>
          <w:color w:val="231F20"/>
        </w:rPr>
        <w:t>Achieving favorable CMS coverage and reimbursement is usually a significant gating issue for successful introduction of a new product because Medicare and Medicaid can represent a sizeable share of the market and because private payors often rely on the lead of the governmental payors in rendering coverage and reimbursement determinations. Further, the increased emphasis on managed healthcare in the U.S. and on country and regional pricing and reimbursement controls in Europe will likely put additional pressure on product pricing, reimbursement, and utilization, which may adversely affect our future product sales and results of operations. These pressures can arise from rules and practices of managed care entities,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payors to reimburse all or part of the associated healthcare costs. Sales of our products and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payors.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2240" w:h="15840" w:orient="portrait"/>
          <w:cols w:equalWidth="0" w:num="1">
            <w:col w:w="9360"/>
          </w:cols>
          <w:pgMar w:left="1440" w:top="1420" w:right="1440" w:bottom="175" w:gutter="0" w:footer="0" w:header="0"/>
          <w:type w:val="continuous"/>
        </w:sectPr>
      </w:pPr>
    </w:p>
    <w:bookmarkStart w:id="35" w:name="page36"/>
    <w:bookmarkEnd w:id="35"/>
    <w:p>
      <w:pPr>
        <w:ind w:right="40" w:firstLine="720"/>
        <w:spacing w:after="0" w:line="234" w:lineRule="exact"/>
        <w:rPr>
          <w:sz w:val="20"/>
          <w:szCs w:val="20"/>
          <w:color w:val="auto"/>
        </w:rPr>
      </w:pPr>
      <w:r>
        <w:rPr>
          <w:rFonts w:ascii="Times New Roman" w:cs="Times New Roman" w:eastAsia="Times New Roman" w:hAnsi="Times New Roman"/>
          <w:sz w:val="20"/>
          <w:szCs w:val="20"/>
          <w:color w:val="231F20"/>
        </w:rPr>
        <w:t>As a result of the above, we may need to conduct expensive pharmacoeconomic studies in order to demonstrate the medical necessity and cost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effectiveness of our products, in addition to the costs required to obtain FDA approvals. Our products and product candidates may not be considered medically necessary or cost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effective. 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or lists of medications that healthcare providers may prescribe to their patients. Any marketing efforts that are determined to have violated such policies could result in the denial or removal of our products from that hospital’s formulary.</w:t>
      </w:r>
    </w:p>
    <w:p>
      <w:pPr>
        <w:spacing w:after="0" w:line="209" w:lineRule="exact"/>
        <w:rPr>
          <w:sz w:val="20"/>
          <w:szCs w:val="20"/>
          <w:color w:val="auto"/>
        </w:rPr>
      </w:pPr>
    </w:p>
    <w:p>
      <w:pPr>
        <w:ind w:firstLine="720"/>
        <w:spacing w:after="0" w:line="240" w:lineRule="exact"/>
        <w:rPr>
          <w:sz w:val="20"/>
          <w:szCs w:val="20"/>
          <w:color w:val="auto"/>
        </w:rPr>
      </w:pPr>
      <w:r>
        <w:rPr>
          <w:rFonts w:ascii="Times New Roman" w:cs="Times New Roman" w:eastAsia="Times New Roman" w:hAnsi="Times New Roman"/>
          <w:sz w:val="20"/>
          <w:szCs w:val="20"/>
          <w:color w:val="231F20"/>
        </w:rPr>
        <w:t>A payor’s decision to provide coverage for a drug product does not imply that an adequate reimbursement rate will be approved. Adequate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reimbursement may not be available to ensure acceptance and use of our products and product candidates or enable us to maintain price levels sufficient to realize an appropriate return on our investment in drug development. Legislative and regulatory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products and any approved product candidates. We cannot provide any assurances that we will be able to obtain and maintain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coverage or adequate reimbursement for our products and product candidates in whole or in part.</w:t>
      </w:r>
    </w:p>
    <w:p>
      <w:pPr>
        <w:spacing w:after="0" w:line="204"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231F20"/>
        </w:rPr>
        <w:t>PBMs,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Healthcare Reform Measures</w:t>
      </w:r>
    </w:p>
    <w:p>
      <w:pPr>
        <w:spacing w:after="0" w:line="24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The United States and some foreign jurisdictions are considering or have enacted a number of legislative and regulatory proposals designed to change the healthcare system in ways that could prevent or delay marketing approval of our product candidates, restrict or regulate post-approval activities, and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2240" w:h="15840" w:orient="portrait"/>
          <w:cols w:equalWidth="0" w:num="1">
            <w:col w:w="9360"/>
          </w:cols>
          <w:pgMar w:left="1440" w:top="1420" w:right="1440" w:bottom="175" w:gutter="0" w:footer="0" w:header="0"/>
          <w:type w:val="continuous"/>
        </w:sectPr>
      </w:pPr>
    </w:p>
    <w:bookmarkStart w:id="36" w:name="page37"/>
    <w:bookmarkEnd w:id="36"/>
    <w:p>
      <w:pPr>
        <w:ind w:right="180" w:firstLine="720"/>
        <w:spacing w:after="0" w:line="252" w:lineRule="auto"/>
        <w:rPr>
          <w:sz w:val="20"/>
          <w:szCs w:val="20"/>
          <w:color w:val="auto"/>
        </w:rPr>
      </w:pPr>
      <w:r>
        <w:rPr>
          <w:rFonts w:ascii="Times New Roman" w:cs="Times New Roman" w:eastAsia="Times New Roman" w:hAnsi="Times New Roman"/>
          <w:sz w:val="20"/>
          <w:szCs w:val="20"/>
          <w:color w:val="231F20"/>
        </w:rPr>
        <w:t>For example, the Patient Protection and Affordable Care Act of 2010, as amended by the Health Care and Education Reconciliation Act, or, collectively, the ACA has substantially changed and continues to impact healthcare financing and delivery by both government payors and private insurers. Among the ACA provisions of importance to the pharmaceutical industry, in addition to those otherwise described above, are the following:</w:t>
      </w:r>
    </w:p>
    <w:p>
      <w:pPr>
        <w:spacing w:after="0" w:line="88" w:lineRule="exact"/>
        <w:rPr>
          <w:sz w:val="20"/>
          <w:szCs w:val="20"/>
          <w:color w:val="auto"/>
        </w:rPr>
      </w:pPr>
    </w:p>
    <w:p>
      <w:pPr>
        <w:ind w:left="980" w:right="160" w:hanging="490"/>
        <w:spacing w:after="0" w:line="258"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an annual, nondeductible fee on any entity that manufactures or imports specified branded prescription drugs and biologic agents, apportioned among these entities according to their market share in certain federal programs identified in the ACA;</w:t>
      </w:r>
    </w:p>
    <w:p>
      <w:pPr>
        <w:spacing w:after="0" w:line="81" w:lineRule="exact"/>
        <w:rPr>
          <w:rFonts w:ascii="Arial" w:cs="Arial" w:eastAsia="Arial" w:hAnsi="Arial"/>
          <w:sz w:val="20"/>
          <w:szCs w:val="20"/>
          <w:color w:val="231F20"/>
        </w:rPr>
      </w:pPr>
    </w:p>
    <w:p>
      <w:pPr>
        <w:jc w:val="both"/>
        <w:ind w:left="980" w:right="340" w:hanging="490"/>
        <w:spacing w:after="0" w:line="258"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expansion of beneficiary eligibility criteria for Medicaid programs by, among other things, allowing states to offer Medicaid coverage to certain individuals with income at or below 138% of the federal poverty level, thereby potentially increasing manufacturers’ Medicaid rebate liability;</w:t>
      </w:r>
    </w:p>
    <w:p>
      <w:pPr>
        <w:spacing w:after="0" w:line="81" w:lineRule="exact"/>
        <w:rPr>
          <w:rFonts w:ascii="Arial" w:cs="Arial" w:eastAsia="Arial" w:hAnsi="Arial"/>
          <w:sz w:val="20"/>
          <w:szCs w:val="20"/>
          <w:color w:val="231F20"/>
        </w:rPr>
      </w:pPr>
    </w:p>
    <w:p>
      <w:pPr>
        <w:ind w:left="980" w:right="60" w:hanging="490"/>
        <w:spacing w:after="0" w:line="252"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expansion of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87" w:lineRule="exact"/>
        <w:rPr>
          <w:rFonts w:ascii="Arial" w:cs="Arial" w:eastAsia="Arial" w:hAnsi="Arial"/>
          <w:sz w:val="20"/>
          <w:szCs w:val="20"/>
          <w:color w:val="231F20"/>
        </w:rPr>
      </w:pPr>
    </w:p>
    <w:p>
      <w:pPr>
        <w:ind w:left="980" w:right="60" w:hanging="490"/>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extension of manufacturers’ Medicaid rebate liability to covered drugs dispensed to individuals who are enrolled in Medicaid managed care organizations;</w:t>
      </w:r>
    </w:p>
    <w:p>
      <w:pPr>
        <w:spacing w:after="0" w:line="64" w:lineRule="exact"/>
        <w:rPr>
          <w:rFonts w:ascii="Arial" w:cs="Arial" w:eastAsia="Arial" w:hAnsi="Arial"/>
          <w:sz w:val="20"/>
          <w:szCs w:val="20"/>
          <w:color w:val="231F20"/>
        </w:rPr>
      </w:pPr>
    </w:p>
    <w:p>
      <w:pPr>
        <w:ind w:left="980" w:right="480" w:hanging="490"/>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a separate methodology by which rebates owed by manufacturers under the Medicaid Drug Rebate Program are calculated for drugs that are inhaled, infused, instilled, implanted, or injected;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expansion of the types of entities eligible for the 340B drug discount program;</w:t>
      </w:r>
    </w:p>
    <w:p>
      <w:pPr>
        <w:spacing w:after="0" w:line="133" w:lineRule="exact"/>
        <w:rPr>
          <w:rFonts w:ascii="Arial" w:cs="Arial" w:eastAsia="Arial" w:hAnsi="Arial"/>
          <w:sz w:val="20"/>
          <w:szCs w:val="20"/>
          <w:color w:val="231F20"/>
        </w:rPr>
      </w:pPr>
    </w:p>
    <w:p>
      <w:pPr>
        <w:ind w:left="980" w:right="20" w:hanging="490"/>
        <w:spacing w:after="0" w:line="252"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establishment of the Medicare Part D coverage gap discount program that, as a condition for the manufacturers’ outpatient drugs to be covered under Medicare Part D, requires manufacturers to provide a now 70% point-of-sale-discount off the negotiated price of applicable brand drugs to eligible beneficiaries during their coverage gap period;</w:t>
      </w:r>
    </w:p>
    <w:p>
      <w:pPr>
        <w:spacing w:after="0" w:line="87" w:lineRule="exact"/>
        <w:rPr>
          <w:rFonts w:ascii="Arial" w:cs="Arial" w:eastAsia="Arial" w:hAnsi="Arial"/>
          <w:sz w:val="20"/>
          <w:szCs w:val="20"/>
          <w:color w:val="231F20"/>
        </w:rPr>
      </w:pPr>
    </w:p>
    <w:p>
      <w:pPr>
        <w:ind w:left="980" w:right="200" w:hanging="490"/>
        <w:spacing w:after="0" w:line="258"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establishment of the Center for Medicare and Medicaid Innovation within the CMS to test innovative payment and service delivery models to lower Medicare and Medicaid spending, potentially including prescription drug spending;</w:t>
      </w:r>
    </w:p>
    <w:p>
      <w:pPr>
        <w:spacing w:after="0" w:line="81" w:lineRule="exact"/>
        <w:rPr>
          <w:rFonts w:ascii="Arial" w:cs="Arial" w:eastAsia="Arial" w:hAnsi="Arial"/>
          <w:sz w:val="20"/>
          <w:szCs w:val="20"/>
          <w:color w:val="231F20"/>
        </w:rPr>
      </w:pPr>
    </w:p>
    <w:p>
      <w:pPr>
        <w:ind w:left="980" w:right="520" w:hanging="490"/>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creation of the Patient-Centered Outcomes Research Institute to oversee, identify priorities in, and conduct comparative clinical effectiveness research, along with funding for such research;</w:t>
      </w:r>
    </w:p>
    <w:p>
      <w:pPr>
        <w:spacing w:after="0" w:line="64" w:lineRule="exact"/>
        <w:rPr>
          <w:rFonts w:ascii="Arial" w:cs="Arial" w:eastAsia="Arial" w:hAnsi="Arial"/>
          <w:sz w:val="20"/>
          <w:szCs w:val="20"/>
          <w:color w:val="231F20"/>
        </w:rPr>
      </w:pPr>
    </w:p>
    <w:p>
      <w:pPr>
        <w:ind w:left="980" w:right="420" w:hanging="490"/>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reporting of certain financial arrangements between manufacturers of drugs, biologics, devices, and medical supplies and physicians and teaching hospitals under the Sunshine Act; and</w:t>
      </w:r>
    </w:p>
    <w:p>
      <w:pPr>
        <w:spacing w:after="0" w:line="64" w:lineRule="exact"/>
        <w:rPr>
          <w:rFonts w:ascii="Arial" w:cs="Arial" w:eastAsia="Arial" w:hAnsi="Arial"/>
          <w:sz w:val="20"/>
          <w:szCs w:val="20"/>
          <w:color w:val="231F20"/>
        </w:rPr>
      </w:pPr>
    </w:p>
    <w:p>
      <w:pPr>
        <w:ind w:left="980" w:right="480" w:hanging="490"/>
        <w:spacing w:after="0" w:line="276" w:lineRule="auto"/>
        <w:tabs>
          <w:tab w:leader="none" w:pos="980" w:val="left"/>
        </w:tabs>
        <w:numPr>
          <w:ilvl w:val="0"/>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annual reporting of certain information regarding drug samples that manufacturers and distributors provide to licensed practitioners.</w:t>
      </w:r>
    </w:p>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231F20"/>
        </w:rPr>
        <w:t>The ACA established the Patient-Centered Outcome Research Institute to organize and coordinate federally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funded research to compare the effectiveness of different treatments for the same illness. Although the results of the</w:t>
      </w:r>
    </w:p>
    <w:p>
      <w:pPr>
        <w:spacing w:after="0"/>
        <w:rPr>
          <w:sz w:val="20"/>
          <w:szCs w:val="20"/>
          <w:color w:val="auto"/>
        </w:rPr>
      </w:pPr>
      <w:r>
        <w:rPr>
          <w:rFonts w:ascii="Times New Roman" w:cs="Times New Roman" w:eastAsia="Times New Roman" w:hAnsi="Times New Roman"/>
          <w:sz w:val="19"/>
          <w:szCs w:val="19"/>
          <w:color w:val="231F20"/>
        </w:rPr>
        <w:t>comparative effectiveness studies are not intended to mandate coverage policies for public or private payors, it is not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clear what effect, if any, the research will have on the sales of any product, if any such product or the condition that</w:t>
      </w:r>
    </w:p>
    <w:p>
      <w:pPr>
        <w:spacing w:after="0"/>
        <w:rPr>
          <w:sz w:val="20"/>
          <w:szCs w:val="20"/>
          <w:color w:val="auto"/>
        </w:rPr>
      </w:pPr>
      <w:r>
        <w:rPr>
          <w:rFonts w:ascii="Times New Roman" w:cs="Times New Roman" w:eastAsia="Times New Roman" w:hAnsi="Times New Roman"/>
          <w:sz w:val="20"/>
          <w:szCs w:val="20"/>
          <w:color w:val="231F20"/>
        </w:rPr>
        <w:t>it is intended to treat is the subject of a study. It is also possible that comparative effectiveness research</w:t>
      </w:r>
    </w:p>
    <w:p>
      <w:pPr>
        <w:spacing w:after="0"/>
        <w:rPr>
          <w:sz w:val="20"/>
          <w:szCs w:val="20"/>
          <w:color w:val="auto"/>
        </w:rPr>
      </w:pPr>
      <w:r>
        <w:rPr>
          <w:rFonts w:ascii="Times New Roman" w:cs="Times New Roman" w:eastAsia="Times New Roman" w:hAnsi="Times New Roman"/>
          <w:sz w:val="20"/>
          <w:szCs w:val="20"/>
          <w:color w:val="231F20"/>
        </w:rPr>
        <w:t>demonstrating benefits in a competitor’s product could adversely affect the sales of our product candidates. If</w:t>
      </w:r>
    </w:p>
    <w:p>
      <w:pPr>
        <w:spacing w:after="0" w:line="8"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color w:val="231F20"/>
        </w:rPr>
        <w:t>third</w:t>
      </w:r>
      <w:r>
        <w:rPr>
          <w:rFonts w:ascii="MS Gothic" w:cs="MS Gothic" w:eastAsia="MS Gothic" w:hAnsi="MS Gothic"/>
          <w:sz w:val="19"/>
          <w:szCs w:val="19"/>
          <w:color w:val="231F20"/>
        </w:rPr>
        <w:t>‑</w:t>
      </w:r>
      <w:r>
        <w:rPr>
          <w:rFonts w:ascii="Times New Roman" w:cs="Times New Roman" w:eastAsia="Times New Roman" w:hAnsi="Times New Roman"/>
          <w:sz w:val="19"/>
          <w:szCs w:val="19"/>
          <w:color w:val="231F20"/>
        </w:rPr>
        <w:t>party payors do not consider our product candidates to be cost</w:t>
      </w:r>
      <w:r>
        <w:rPr>
          <w:rFonts w:ascii="MS Gothic" w:cs="MS Gothic" w:eastAsia="MS Gothic" w:hAnsi="MS Gothic"/>
          <w:sz w:val="19"/>
          <w:szCs w:val="19"/>
          <w:color w:val="231F20"/>
        </w:rPr>
        <w:t>‑</w:t>
      </w:r>
      <w:r>
        <w:rPr>
          <w:rFonts w:ascii="Times New Roman" w:cs="Times New Roman" w:eastAsia="Times New Roman" w:hAnsi="Times New Roman"/>
          <w:sz w:val="19"/>
          <w:szCs w:val="19"/>
          <w:color w:val="231F20"/>
        </w:rPr>
        <w:t>effective compared to other available therapies,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they may not cover our product candidates, once approved, as a benefit under their plans or, if they do, the level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payment may not be sufficient to allow us to sell our products on a profitable basis.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2240" w:h="15840" w:orient="portrait"/>
          <w:cols w:equalWidth="0" w:num="1">
            <w:col w:w="9360"/>
          </w:cols>
          <w:pgMar w:left="1440" w:top="1420" w:right="1440" w:bottom="175" w:gutter="0" w:footer="0" w:header="0"/>
          <w:type w:val="continuous"/>
        </w:sectPr>
      </w:pPr>
    </w:p>
    <w:bookmarkStart w:id="37" w:name="page38"/>
    <w:bookmarkEnd w:id="37"/>
    <w:p>
      <w:pPr>
        <w:ind w:firstLine="720"/>
        <w:spacing w:after="0" w:line="242" w:lineRule="auto"/>
        <w:rPr>
          <w:sz w:val="20"/>
          <w:szCs w:val="20"/>
          <w:color w:val="auto"/>
        </w:rPr>
      </w:pPr>
      <w:r>
        <w:rPr>
          <w:rFonts w:ascii="Times New Roman" w:cs="Times New Roman" w:eastAsia="Times New Roman" w:hAnsi="Times New Roman"/>
          <w:sz w:val="20"/>
          <w:szCs w:val="20"/>
          <w:color w:val="231F20"/>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products.</w:t>
      </w:r>
    </w:p>
    <w:p>
      <w:pPr>
        <w:spacing w:after="0" w:line="204"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The ACA also imposed an affirmative obligation to report and repay any overpayments, including those payments that resulted from violations of the Anti-Kickback Statute, FCA, or CMP Law,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FCA.</w:t>
      </w:r>
    </w:p>
    <w:p>
      <w:pPr>
        <w:spacing w:after="0" w:line="197"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The framework of the ACA continues to evolve as a result of executive, legislative, regulatory, and administrative developments that have challenged the law and contribute to legal uncertainty that could affect the profitability of our products. While Congress has not enacted legislation to comprehensively repeal the ACA, legislation affecting the ACA has been signed into law, including the elimination, effective January 1, 2019, of the tax-based shared responsibility payment imposed by the ACA on certain individuals who fail to maintain qualifying health coverage for all or part of a year, which is commonly referred to as the “individual mandate.”</w:t>
      </w:r>
    </w:p>
    <w:p>
      <w:pPr>
        <w:spacing w:after="0" w:line="20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In addition, other legislative and regulatory changes have been proposed and adopted since the ACA was enacted. These changes include aggregate reductions to Medicare payments to providers of up to 2% per fiscal year, starting in 2013, which will remain in effect through 2032 unless additional Congressional action is taken. In January 2013, the American Taxpayer Relief Act of 2012, which, among other things, further reduced Medicare payments to several providers, including hospitals and cancer treatment centers, increased the statute of limitations period for the government to recover overpayments to providers from three to five years. In 2017, CMS promulgated a rule reducing Medicare Part B reimbursement to hospitals for drugs purchased under the 340B program by 30%. Following an adverse U.S. Supreme Court decision, however, CMS subsequently modified its policies to restore certain payments owed to hospitals and to restore the reimbursement to the full, applicable rate going forward. In recent years, the federal government, state governments, regulators, and third-party payors have implemented and continue to propose changes to control costs of healthcare, including pharmaceutical drugs.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2240" w:h="15840" w:orient="portrait"/>
          <w:cols w:equalWidth="0" w:num="1">
            <w:col w:w="9360"/>
          </w:cols>
          <w:pgMar w:left="1440" w:top="1420" w:right="1440" w:bottom="175" w:gutter="0" w:footer="0" w:header="0"/>
          <w:type w:val="continuous"/>
        </w:sectPr>
      </w:pPr>
    </w:p>
    <w:bookmarkStart w:id="38" w:name="page39"/>
    <w:bookmarkEnd w:id="38"/>
    <w:p>
      <w:pPr>
        <w:ind w:firstLine="720"/>
        <w:spacing w:after="0" w:line="242" w:lineRule="auto"/>
        <w:rPr>
          <w:sz w:val="20"/>
          <w:szCs w:val="20"/>
          <w:color w:val="auto"/>
        </w:rPr>
      </w:pPr>
      <w:r>
        <w:rPr>
          <w:rFonts w:ascii="Times New Roman" w:cs="Times New Roman" w:eastAsia="Times New Roman" w:hAnsi="Times New Roman"/>
          <w:sz w:val="20"/>
          <w:szCs w:val="20"/>
          <w:color w:val="231F20"/>
        </w:rPr>
        <w:t>Since the ACA was enacted, there have been amendments and additional laws and regulations, such as the IRA. These changes include aggregate reductions to Medicare payments to providers of up to 2% per fiscal year, starting in 2013, which will remain in effect through 2032 unless additional Congressional action is taken. Additionally, on March 11, 2021, the American Rescue Plan Act of 2021 was signed into law, which eliminates the statutory Medicaid drug rebate cap, currently set at 100% of a drug’s average manufacturer price, for single source and innovator multiple source drugs, effective January 1, 2024. Current and future health care reform proposals could limit the prices we are able to charge for our products or the amounts of reimbursement available for our products. Individual states in the United States have also become increasingly active in implementing regulations designed to control pharmaceutical product reimbursement within state healthcare programs and payers, including price or patient reimbursement constraints, rebates and other price concessions, restrictions on certain product access and marketing cost disclosure and transparency measures, and, in some cases, designed to encourage importation from other countries and other purchasing approaches. Future laws may result in additional reductions in third-party payor reimbursement, which could have a material adverse effect on customers for our products and product candidates, if approved, and, accordingly, our financial operations.</w:t>
      </w:r>
    </w:p>
    <w:p>
      <w:pPr>
        <w:spacing w:after="0" w:line="21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The cost of pharmaceuticals continues to generate substantial governmental and third-party payor interest and states have begun to take action to increase transparency in drug pricing through mandatory reporting requirements. We expect that the 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 While we cannot predict whether any proposed cost containment measures will be adopted or otherwise implemented in the future, the announcement or adoption of these proposals could have a material adverse effect on our ability to obtain adequate prices for our products and product candidates and operate profitably.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Foreign Corrupt Practices Act</w:t>
      </w:r>
    </w:p>
    <w:p>
      <w:pPr>
        <w:spacing w:after="0" w:line="240"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231F20"/>
        </w:rPr>
        <w:t>The Foreign Corrupt Practices Act of 1977, or FCPA, prohibits any U.S. individual or business from paying, offering, or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2240" w:h="15840" w:orient="portrait"/>
          <w:cols w:equalWidth="0" w:num="1">
            <w:col w:w="9360"/>
          </w:cols>
          <w:pgMar w:left="1440" w:top="1420" w:right="1440" w:bottom="175"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231F20"/>
        </w:rPr>
        <w:t>Foreign Regulation</w:t>
      </w:r>
    </w:p>
    <w:p>
      <w:pPr>
        <w:spacing w:after="0" w:line="221" w:lineRule="exact"/>
        <w:rPr>
          <w:sz w:val="20"/>
          <w:szCs w:val="20"/>
          <w:color w:val="auto"/>
        </w:rPr>
      </w:pPr>
    </w:p>
    <w:p>
      <w:pPr>
        <w:ind w:firstLine="720"/>
        <w:spacing w:after="0" w:line="219" w:lineRule="auto"/>
        <w:rPr>
          <w:sz w:val="20"/>
          <w:szCs w:val="20"/>
          <w:color w:val="auto"/>
        </w:rPr>
      </w:pPr>
      <w:r>
        <w:rPr>
          <w:rFonts w:ascii="Times New Roman" w:cs="Times New Roman" w:eastAsia="Times New Roman" w:hAnsi="Times New Roman"/>
          <w:sz w:val="20"/>
          <w:szCs w:val="20"/>
          <w:color w:val="231F20"/>
        </w:rPr>
        <w:t>We are subject to a variety of foreign regulatory requirements regarding safety and efficacy and governing, among other things, clinical trials, marketing authorization, commercial sales, and distribution of our products. For example, in the European Union, or EU, Regulation (EU) 536/2014 on clinical trials, or CTR, requires sponsors to submit a single clinical trial application, or CTA, through the Clinical Trials Information System, or CTIS, an online portal to streamline the authorization process. While under the previously applicable Directive 2001/20/EC, or CTD, sponsors had to request separate approvals in each EU/EEA member state, the CTIS is a single-entry point that allows sponsors to apply for authorization to run a clinical trial in up to 30 EU/EEA countries. The CTIS authorization procedure is composed of two parts: (i) member states jointly cooperate during the Part I assessment of the applicable CTA and (ii) during Part II, the applicable CTA is assessed by each member state individually. The CTR established a transition period that ended on January 30, 2025, by which date all clinical trials approved under the CTD were required to transition to CTIS.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 approval regulatory requirements, such as those regarding product manufacture, marketing, or distribution, would apply to any product that is approved outside the United States.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European Union Drug Approval Process</w:t>
      </w:r>
    </w:p>
    <w:p>
      <w:pPr>
        <w:spacing w:after="0" w:line="215" w:lineRule="exact"/>
        <w:rPr>
          <w:sz w:val="20"/>
          <w:szCs w:val="20"/>
          <w:color w:val="auto"/>
        </w:rPr>
      </w:pPr>
    </w:p>
    <w:p>
      <w:pPr>
        <w:ind w:right="280" w:firstLine="720"/>
        <w:spacing w:after="0" w:line="236" w:lineRule="exact"/>
        <w:rPr>
          <w:sz w:val="20"/>
          <w:szCs w:val="20"/>
          <w:color w:val="auto"/>
        </w:rPr>
      </w:pPr>
      <w:r>
        <w:rPr>
          <w:rFonts w:ascii="Times New Roman" w:cs="Times New Roman" w:eastAsia="Times New Roman" w:hAnsi="Times New Roman"/>
          <w:sz w:val="20"/>
          <w:szCs w:val="20"/>
          <w:color w:val="231F20"/>
        </w:rPr>
        <w:t>To obtain a marketing authorization of a drug in the European Union, we may submit marketing authorization applications, or MAAs, either under the so</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called centralized, decentralized, mutual recognition, or national authorization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Centralized Procedure</w:t>
      </w:r>
    </w:p>
    <w:p>
      <w:pPr>
        <w:spacing w:after="0" w:line="240"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In the centralized procedure, the European Commission, or EC, grants a single marketing authorization following a favorable opinion by the European Medicines Agency, or EMA, which is valid in all European Union member states, as well as in the European Economic Area, or EEA, countries (Iceland, Liechtenstein, and Norway). The centralized procedure is (i) compulsory for medicines produced by specified biotechnological processes, products designated as orphan medicinal products, advanced-therapy medicinal products, or ATMPs, and products with a new active substance indicated for the treatment of specified diseases, such as HIV/AIDS, cancer, diabetes, neurodegenerative disorders, autoimmune diseases and other immune dysfunctions, or viral diseases, (ii) optional for products containing new active substances for indications other than those stated above, products that represent a significant therapeutic, scientific, or technical innovation, or whose authorization would be in the interest of public health, and (iii) not available for all remaining products. Under the centralized procedure, the maximum timeframe for the evaluation of an MAA by the EMA is 210 days, excluding clock stops, when additional written or oral information is to be provided by the applicant in response to questions asked by the Committee for Medicinal Products for Human Use, or the CHMP. Accelerated assessment might be granted by the CHMP in exceptional cases, such as when a medicinal product is expected to be of a major public health interest, particularly from the point of view of therapeutic innovation. The timeframe for the evaluation of an MAA under the accelerated assessment procedure is 150 days, excluding clock stops.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2240" w:h="15840" w:orient="portrait"/>
          <w:cols w:equalWidth="0" w:num="1">
            <w:col w:w="9360"/>
          </w:cols>
          <w:pgMar w:left="1440" w:top="1420" w:right="1440" w:bottom="175"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231F20"/>
        </w:rPr>
        <w:t>Authorization Procedures</w:t>
      </w:r>
    </w:p>
    <w:p>
      <w:pPr>
        <w:spacing w:after="0" w:line="217" w:lineRule="exact"/>
        <w:rPr>
          <w:sz w:val="20"/>
          <w:szCs w:val="20"/>
          <w:color w:val="auto"/>
        </w:rPr>
      </w:pPr>
    </w:p>
    <w:p>
      <w:pPr>
        <w:ind w:right="200" w:firstLine="720"/>
        <w:spacing w:after="0" w:line="253" w:lineRule="auto"/>
        <w:rPr>
          <w:sz w:val="20"/>
          <w:szCs w:val="20"/>
          <w:color w:val="auto"/>
        </w:rPr>
      </w:pPr>
      <w:r>
        <w:rPr>
          <w:rFonts w:ascii="Times New Roman" w:cs="Times New Roman" w:eastAsia="Times New Roman" w:hAnsi="Times New Roman"/>
          <w:sz w:val="20"/>
          <w:szCs w:val="20"/>
          <w:color w:val="231F20"/>
        </w:rPr>
        <w:t>There are also other possible routes to authorize medicinal products in several European Union countries, which are available for investigational medicinal products that fall outside the scope of the centralized procedure:</w:t>
      </w:r>
    </w:p>
    <w:p>
      <w:pPr>
        <w:spacing w:after="0" w:line="202" w:lineRule="exact"/>
        <w:rPr>
          <w:sz w:val="20"/>
          <w:szCs w:val="20"/>
          <w:color w:val="auto"/>
        </w:rPr>
      </w:pPr>
    </w:p>
    <w:p>
      <w:pPr>
        <w:ind w:left="1080" w:right="80" w:hanging="360"/>
        <w:spacing w:after="0" w:line="247" w:lineRule="auto"/>
        <w:tabs>
          <w:tab w:leader="none" w:pos="10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Decentralized procedure. </w:t>
      </w:r>
      <w:r>
        <w:rPr>
          <w:rFonts w:ascii="Times New Roman" w:cs="Times New Roman" w:eastAsia="Times New Roman" w:hAnsi="Times New Roman"/>
          <w:sz w:val="20"/>
          <w:szCs w:val="20"/>
          <w:color w:val="231F20"/>
        </w:rPr>
        <w:t>Using the decentralized procedure, an applicant may apply in more than one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European Union country in parallel, although the applicant must nominate one reference European Union Member State, for simultaneous authorization of medicinal products that have not yet been authorized in any European Union country and that do not fall within the mandatory scope of the centralized procedure. Failing agreement, there is a procedure for resolving disagreements between member states and ultimately an arbitration procedure before the CHMP.</w:t>
      </w:r>
    </w:p>
    <w:p>
      <w:pPr>
        <w:spacing w:after="0" w:line="213" w:lineRule="exact"/>
        <w:rPr>
          <w:rFonts w:ascii="Arial" w:cs="Arial" w:eastAsia="Arial" w:hAnsi="Arial"/>
          <w:sz w:val="20"/>
          <w:szCs w:val="20"/>
          <w:color w:val="231F20"/>
        </w:rPr>
      </w:pPr>
    </w:p>
    <w:p>
      <w:pPr>
        <w:ind w:left="1080" w:right="180" w:hanging="360"/>
        <w:spacing w:after="0" w:line="262" w:lineRule="auto"/>
        <w:tabs>
          <w:tab w:leader="none" w:pos="1080" w:val="left"/>
        </w:tabs>
        <w:numPr>
          <w:ilvl w:val="0"/>
          <w:numId w:val="8"/>
        </w:numPr>
        <w:rPr>
          <w:rFonts w:ascii="Arial" w:cs="Arial" w:eastAsia="Arial" w:hAnsi="Arial"/>
          <w:sz w:val="19"/>
          <w:szCs w:val="19"/>
          <w:color w:val="231F20"/>
        </w:rPr>
      </w:pPr>
      <w:r>
        <w:rPr>
          <w:rFonts w:ascii="Times New Roman" w:cs="Times New Roman" w:eastAsia="Times New Roman" w:hAnsi="Times New Roman"/>
          <w:sz w:val="19"/>
          <w:szCs w:val="19"/>
          <w:i w:val="1"/>
          <w:iCs w:val="1"/>
          <w:color w:val="231F20"/>
        </w:rPr>
        <w:t xml:space="preserve">Mutual recognition procedure. </w:t>
      </w:r>
      <w:r>
        <w:rPr>
          <w:rFonts w:ascii="Times New Roman" w:cs="Times New Roman" w:eastAsia="Times New Roman" w:hAnsi="Times New Roman"/>
          <w:sz w:val="19"/>
          <w:szCs w:val="19"/>
          <w:color w:val="231F20"/>
        </w:rPr>
        <w:t>In the mutual recognition procedure, a medicine is first authorized in</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one European Union Member State, referred to as the reference member state, in accordance with the national procedures of that country. Following this, further marketing authorizations can be sought from other nominated European Union countries, referred to as the concerned member states, in a procedure whereby the countries concerned agree to recognize the validity of the original, national marketing authorization. The procedure for disagreements described above similarly applies.</w:t>
      </w:r>
    </w:p>
    <w:p>
      <w:pPr>
        <w:spacing w:after="0" w:line="202" w:lineRule="exact"/>
        <w:rPr>
          <w:rFonts w:ascii="Arial" w:cs="Arial" w:eastAsia="Arial" w:hAnsi="Arial"/>
          <w:sz w:val="19"/>
          <w:szCs w:val="19"/>
          <w:color w:val="231F20"/>
        </w:rPr>
      </w:pPr>
    </w:p>
    <w:p>
      <w:pPr>
        <w:ind w:left="1080" w:right="460" w:hanging="360"/>
        <w:spacing w:after="0" w:line="276" w:lineRule="auto"/>
        <w:tabs>
          <w:tab w:leader="none" w:pos="10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 xml:space="preserve">National procedures. </w:t>
      </w:r>
      <w:r>
        <w:rPr>
          <w:rFonts w:ascii="Times New Roman" w:cs="Times New Roman" w:eastAsia="Times New Roman" w:hAnsi="Times New Roman"/>
          <w:sz w:val="20"/>
          <w:szCs w:val="20"/>
          <w:color w:val="231F20"/>
        </w:rPr>
        <w:t>Purely national procedures continue to be possible but are strictly limited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where the product is to be authorized in one member state only.</w:t>
      </w:r>
    </w:p>
    <w:p>
      <w:pPr>
        <w:spacing w:after="0" w:line="170" w:lineRule="exact"/>
        <w:rPr>
          <w:sz w:val="20"/>
          <w:szCs w:val="20"/>
          <w:color w:val="auto"/>
        </w:rPr>
      </w:pPr>
    </w:p>
    <w:p>
      <w:pPr>
        <w:ind w:firstLine="720"/>
        <w:spacing w:after="0" w:line="233" w:lineRule="exact"/>
        <w:rPr>
          <w:sz w:val="20"/>
          <w:szCs w:val="20"/>
          <w:color w:val="auto"/>
        </w:rPr>
      </w:pPr>
      <w:r>
        <w:rPr>
          <w:rFonts w:ascii="Times New Roman" w:cs="Times New Roman" w:eastAsia="Times New Roman" w:hAnsi="Times New Roman"/>
          <w:sz w:val="20"/>
          <w:szCs w:val="20"/>
          <w:color w:val="231F20"/>
        </w:rPr>
        <w:t>In the European Union, new products authorized for marketing, referred to as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Overall, this period of regulatory data protection, or RDP, is commonly referred to as the “8+2+1” approach. This period of RDP equally applies to medicinal products that are authorized through the national procedure (or decentralized or mutual recognition procedures) under national law or through the centralized procedure. In the EU, the Council and the European Parliament reached an agreement in December 2025 on the most significant reform of EU pharmaceutical legislation in more than 20 years (the ‘EU Pharma Package’). The reform remains subject to formal adoption and will enter into force upon publication in the Official Journal of the European Union, which is expected in 2026. The EU Pharma Package includes a broad range of measures, including revisions to regulatory exclusivity. In particular, it amends the current RDP framework by providing for (i) eight years of data exclusivity and (ii) one year of market exclusivity, which may be extended by an additional year under specified conditions.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Research and Development</w:t>
      </w:r>
    </w:p>
    <w:p>
      <w:pPr>
        <w:spacing w:after="0" w:line="244"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231F20"/>
        </w:rPr>
        <w:t>Conducting research and development is central to our business model. We have invested and expect to continue to invest significant time and capital in our research and development operations. Our research and development expenses were $183.3 million, and $ 187.1 million for the years ended December 31, 2025 and 2024, respectively. Research and development expenses are expected to stabilize in the near term as certain development programs near completion while new development programs are initiated.</w:t>
      </w:r>
    </w:p>
    <w:p>
      <w:pPr>
        <w:sectPr>
          <w:pgSz w:w="12240" w:h="15840" w:orient="portrait"/>
          <w:cols w:equalWidth="0" w:num="1">
            <w:col w:w="9360"/>
          </w:cols>
          <w:pgMar w:left="1440" w:top="1401"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2240" w:h="15840" w:orient="portrait"/>
          <w:cols w:equalWidth="0" w:num="1">
            <w:col w:w="9360"/>
          </w:cols>
          <w:pgMar w:left="1440" w:top="1401" w:right="1440" w:bottom="175"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231F20"/>
        </w:rPr>
        <w:t>Employees and Human Capital Management</w:t>
      </w:r>
    </w:p>
    <w:p>
      <w:pPr>
        <w:spacing w:after="0" w:line="239" w:lineRule="exact"/>
        <w:rPr>
          <w:sz w:val="20"/>
          <w:szCs w:val="20"/>
          <w:color w:val="auto"/>
        </w:rPr>
      </w:pPr>
    </w:p>
    <w:p>
      <w:pPr>
        <w:ind w:right="20" w:firstLine="720"/>
        <w:spacing w:after="0" w:line="213" w:lineRule="exact"/>
        <w:rPr>
          <w:sz w:val="20"/>
          <w:szCs w:val="20"/>
          <w:color w:val="auto"/>
        </w:rPr>
      </w:pPr>
      <w:r>
        <w:rPr>
          <w:rFonts w:ascii="Times New Roman" w:cs="Times New Roman" w:eastAsia="Times New Roman" w:hAnsi="Times New Roman"/>
          <w:sz w:val="20"/>
          <w:szCs w:val="20"/>
          <w:color w:val="231F20"/>
        </w:rPr>
        <w:t>As of February 16, 2026, we had 925 full</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Information</w:t>
      </w:r>
    </w:p>
    <w:p>
      <w:pPr>
        <w:spacing w:after="0" w:line="221" w:lineRule="exact"/>
        <w:rPr>
          <w:sz w:val="20"/>
          <w:szCs w:val="20"/>
          <w:color w:val="auto"/>
        </w:rPr>
      </w:pPr>
    </w:p>
    <w:p>
      <w:pPr>
        <w:ind w:right="340" w:firstLine="720"/>
        <w:spacing w:after="0" w:line="253" w:lineRule="auto"/>
        <w:rPr>
          <w:sz w:val="20"/>
          <w:szCs w:val="20"/>
          <w:color w:val="auto"/>
        </w:rPr>
      </w:pPr>
      <w:r>
        <w:rPr>
          <w:rFonts w:ascii="Times New Roman" w:cs="Times New Roman" w:eastAsia="Times New Roman" w:hAnsi="Times New Roman"/>
          <w:sz w:val="20"/>
          <w:szCs w:val="20"/>
          <w:color w:val="231F20"/>
        </w:rPr>
        <w:t>We were incorporated in Delaware in January 2012. Our offices are located at One World Trade Center 29th Floor, New York, New York 10007, and our telephone number is (212) 332-3241.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221" w:lineRule="exact"/>
        <w:rPr>
          <w:sz w:val="20"/>
          <w:szCs w:val="20"/>
          <w:color w:val="auto"/>
        </w:rPr>
      </w:pPr>
    </w:p>
    <w:p>
      <w:pPr>
        <w:ind w:right="20" w:firstLine="720"/>
        <w:spacing w:after="0" w:line="234" w:lineRule="auto"/>
        <w:rPr>
          <w:sz w:val="20"/>
          <w:szCs w:val="20"/>
          <w:color w:val="auto"/>
        </w:rPr>
      </w:pPr>
      <w:r>
        <w:rPr>
          <w:rFonts w:ascii="Times New Roman" w:cs="Times New Roman" w:eastAsia="Times New Roman" w:hAnsi="Times New Roman"/>
          <w:sz w:val="19"/>
          <w:szCs w:val="19"/>
          <w:color w:val="231F20"/>
        </w:rPr>
        <w:t>We file reports and other information with the SEC, as required by the Exchange Act. We make available free of charge through our website (http://www.axsome.com)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2240" w:h="15840" w:orient="portrait"/>
          <w:cols w:equalWidth="0" w:num="1">
            <w:col w:w="9360"/>
          </w:cols>
          <w:pgMar w:left="1440" w:top="1416" w:right="1440" w:bottom="175" w:gutter="0" w:footer="0" w:header="0"/>
          <w:type w:val="continuous"/>
        </w:sectPr>
      </w:pPr>
    </w:p>
    <w:bookmarkStart w:id="42" w:name="page43"/>
    <w:bookmarkEnd w:id="4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246" w:lineRule="exact"/>
        <w:rPr>
          <w:sz w:val="20"/>
          <w:szCs w:val="20"/>
          <w:color w:val="auto"/>
        </w:rPr>
      </w:pPr>
    </w:p>
    <w:p>
      <w:pPr>
        <w:ind w:right="160" w:firstLine="720"/>
        <w:spacing w:after="0" w:line="248" w:lineRule="auto"/>
        <w:rPr>
          <w:sz w:val="20"/>
          <w:szCs w:val="20"/>
          <w:color w:val="auto"/>
        </w:rPr>
      </w:pPr>
      <w:r>
        <w:rPr>
          <w:rFonts w:ascii="Times New Roman" w:cs="Times New Roman" w:eastAsia="Times New Roman" w:hAnsi="Times New Roman"/>
          <w:sz w:val="20"/>
          <w:szCs w:val="20"/>
          <w:i w:val="1"/>
          <w:iCs w:val="1"/>
          <w:color w:val="231F20"/>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Investors should carefully consider all of the information set forth in this Annual Report on Form 10-K, including the following risk factors, before deciding to invest in any of the Company’s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Factors Summary</w:t>
      </w:r>
    </w:p>
    <w:p>
      <w:pPr>
        <w:spacing w:after="0" w:line="244" w:lineRule="exact"/>
        <w:rPr>
          <w:sz w:val="20"/>
          <w:szCs w:val="20"/>
          <w:color w:val="auto"/>
        </w:rPr>
      </w:pPr>
    </w:p>
    <w:p>
      <w:pPr>
        <w:ind w:right="420" w:firstLine="720"/>
        <w:spacing w:after="0" w:line="277" w:lineRule="auto"/>
        <w:rPr>
          <w:sz w:val="20"/>
          <w:szCs w:val="20"/>
          <w:color w:val="auto"/>
        </w:rPr>
      </w:pPr>
      <w:r>
        <w:rPr>
          <w:rFonts w:ascii="Times New Roman" w:cs="Times New Roman" w:eastAsia="Times New Roman" w:hAnsi="Times New Roman"/>
          <w:sz w:val="20"/>
          <w:szCs w:val="20"/>
          <w:color w:val="231F20"/>
        </w:rPr>
        <w:t>Our business is subject to a number of risks and uncertainties, including those risks discussed at length below. These risks include, among others, the following:</w:t>
      </w:r>
    </w:p>
    <w:p>
      <w:pPr>
        <w:spacing w:after="0" w:line="169" w:lineRule="exact"/>
        <w:rPr>
          <w:sz w:val="20"/>
          <w:szCs w:val="20"/>
          <w:color w:val="auto"/>
        </w:rPr>
      </w:pPr>
    </w:p>
    <w:p>
      <w:pPr>
        <w:ind w:left="720" w:right="180" w:hanging="360"/>
        <w:spacing w:after="0" w:line="277" w:lineRule="auto"/>
        <w:tabs>
          <w:tab w:leader="none" w:pos="720" w:val="left"/>
        </w:tabs>
        <w:numPr>
          <w:ilvl w:val="0"/>
          <w:numId w:val="9"/>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We have incurred significant losses since our inception, anticipate that we will continue to have losses, and may never achieve or maintain profitability.</w:t>
      </w:r>
    </w:p>
    <w:p>
      <w:pPr>
        <w:spacing w:after="0" w:line="169" w:lineRule="exact"/>
        <w:rPr>
          <w:rFonts w:ascii="Arial" w:cs="Arial" w:eastAsia="Arial" w:hAnsi="Arial"/>
          <w:sz w:val="18"/>
          <w:szCs w:val="18"/>
          <w:color w:val="231F20"/>
        </w:rPr>
      </w:pPr>
    </w:p>
    <w:p>
      <w:pPr>
        <w:ind w:left="720" w:hanging="360"/>
        <w:spacing w:after="0" w:line="258" w:lineRule="auto"/>
        <w:tabs>
          <w:tab w:leader="none" w:pos="720" w:val="left"/>
        </w:tabs>
        <w:numPr>
          <w:ilvl w:val="0"/>
          <w:numId w:val="9"/>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88" w:lineRule="exact"/>
        <w:rPr>
          <w:rFonts w:ascii="Arial" w:cs="Arial" w:eastAsia="Arial" w:hAnsi="Arial"/>
          <w:sz w:val="18"/>
          <w:szCs w:val="18"/>
          <w:color w:val="231F20"/>
        </w:rPr>
      </w:pPr>
    </w:p>
    <w:p>
      <w:pPr>
        <w:ind w:left="720" w:hanging="360"/>
        <w:spacing w:after="0" w:line="258" w:lineRule="auto"/>
        <w:tabs>
          <w:tab w:leader="none" w:pos="720" w:val="left"/>
        </w:tabs>
        <w:numPr>
          <w:ilvl w:val="0"/>
          <w:numId w:val="9"/>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88" w:lineRule="exact"/>
        <w:rPr>
          <w:rFonts w:ascii="Arial" w:cs="Arial" w:eastAsia="Arial" w:hAnsi="Arial"/>
          <w:sz w:val="18"/>
          <w:szCs w:val="18"/>
          <w:color w:val="231F20"/>
        </w:rPr>
      </w:pPr>
    </w:p>
    <w:p>
      <w:pPr>
        <w:ind w:left="720" w:right="20" w:hanging="360"/>
        <w:spacing w:after="0" w:line="277" w:lineRule="auto"/>
        <w:tabs>
          <w:tab w:leader="none" w:pos="720" w:val="left"/>
        </w:tabs>
        <w:numPr>
          <w:ilvl w:val="0"/>
          <w:numId w:val="9"/>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We have a limited operating history of commercializing products, which may make it difficult to evaluate our business and prospects.</w:t>
      </w:r>
    </w:p>
    <w:p>
      <w:pPr>
        <w:spacing w:after="0" w:line="169" w:lineRule="exact"/>
        <w:rPr>
          <w:rFonts w:ascii="Arial" w:cs="Arial" w:eastAsia="Arial" w:hAnsi="Arial"/>
          <w:sz w:val="18"/>
          <w:szCs w:val="18"/>
          <w:color w:val="231F20"/>
        </w:rPr>
      </w:pPr>
    </w:p>
    <w:p>
      <w:pPr>
        <w:ind w:left="720" w:right="160" w:hanging="360"/>
        <w:spacing w:after="0" w:line="258" w:lineRule="auto"/>
        <w:tabs>
          <w:tab w:leader="none" w:pos="720" w:val="left"/>
        </w:tabs>
        <w:numPr>
          <w:ilvl w:val="0"/>
          <w:numId w:val="9"/>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88" w:lineRule="exact"/>
        <w:rPr>
          <w:rFonts w:ascii="Arial" w:cs="Arial" w:eastAsia="Arial" w:hAnsi="Arial"/>
          <w:sz w:val="18"/>
          <w:szCs w:val="18"/>
          <w:color w:val="231F20"/>
        </w:rPr>
      </w:pPr>
    </w:p>
    <w:p>
      <w:pPr>
        <w:ind w:left="720" w:right="120" w:hanging="360"/>
        <w:spacing w:after="0" w:line="249" w:lineRule="auto"/>
        <w:tabs>
          <w:tab w:leader="none" w:pos="720" w:val="left"/>
        </w:tabs>
        <w:numPr>
          <w:ilvl w:val="0"/>
          <w:numId w:val="9"/>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If safety and efficacy data for our product candidates, a reference drug, or published literature does not satisfactorily demonstrate safety and efficacy to the Food and Drug Administration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96" w:lineRule="exact"/>
        <w:rPr>
          <w:rFonts w:ascii="Arial" w:cs="Arial" w:eastAsia="Arial" w:hAnsi="Arial"/>
          <w:sz w:val="18"/>
          <w:szCs w:val="18"/>
          <w:color w:val="231F20"/>
        </w:rPr>
      </w:pPr>
    </w:p>
    <w:p>
      <w:pPr>
        <w:ind w:left="720" w:right="160" w:hanging="360"/>
        <w:spacing w:after="0" w:line="249" w:lineRule="auto"/>
        <w:tabs>
          <w:tab w:leader="none" w:pos="720" w:val="left"/>
        </w:tabs>
        <w:numPr>
          <w:ilvl w:val="0"/>
          <w:numId w:val="9"/>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96" w:lineRule="exact"/>
        <w:rPr>
          <w:rFonts w:ascii="Arial" w:cs="Arial" w:eastAsia="Arial" w:hAnsi="Arial"/>
          <w:sz w:val="18"/>
          <w:szCs w:val="18"/>
          <w:color w:val="231F20"/>
        </w:rPr>
      </w:pPr>
    </w:p>
    <w:p>
      <w:pPr>
        <w:ind w:left="720" w:right="120" w:hanging="360"/>
        <w:spacing w:after="0" w:line="258" w:lineRule="auto"/>
        <w:tabs>
          <w:tab w:leader="none" w:pos="720" w:val="left"/>
        </w:tabs>
        <w:numPr>
          <w:ilvl w:val="0"/>
          <w:numId w:val="9"/>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We face significant competition from other pharmaceutical and biotechnology companies, academic institutions, government agencies, and other research organizations. Our operating results will suffer if we fail to compete effectively.</w:t>
      </w:r>
    </w:p>
    <w:p>
      <w:pPr>
        <w:spacing w:after="0" w:line="188" w:lineRule="exact"/>
        <w:rPr>
          <w:rFonts w:ascii="Arial" w:cs="Arial" w:eastAsia="Arial" w:hAnsi="Arial"/>
          <w:sz w:val="18"/>
          <w:szCs w:val="18"/>
          <w:color w:val="231F20"/>
        </w:rPr>
      </w:pPr>
    </w:p>
    <w:p>
      <w:pPr>
        <w:ind w:left="720" w:right="200" w:hanging="360"/>
        <w:spacing w:after="0" w:line="258" w:lineRule="auto"/>
        <w:tabs>
          <w:tab w:leader="none" w:pos="720" w:val="left"/>
        </w:tabs>
        <w:numPr>
          <w:ilvl w:val="0"/>
          <w:numId w:val="9"/>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If we are unable to establish effective marketing, sales and distribution capabilities or enter into agreements with third parties to market, sell and distribute our products, we may be unable to generate substantial product revenues.</w:t>
      </w:r>
    </w:p>
    <w:p>
      <w:pPr>
        <w:spacing w:after="0" w:line="188" w:lineRule="exact"/>
        <w:rPr>
          <w:rFonts w:ascii="Arial" w:cs="Arial" w:eastAsia="Arial" w:hAnsi="Arial"/>
          <w:sz w:val="18"/>
          <w:szCs w:val="18"/>
          <w:color w:val="231F20"/>
        </w:rPr>
      </w:pPr>
    </w:p>
    <w:p>
      <w:pPr>
        <w:ind w:left="720" w:right="940" w:hanging="360"/>
        <w:spacing w:after="0" w:line="277" w:lineRule="auto"/>
        <w:tabs>
          <w:tab w:leader="none" w:pos="720" w:val="left"/>
        </w:tabs>
        <w:numPr>
          <w:ilvl w:val="0"/>
          <w:numId w:val="9"/>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If any of our products do not achieve broad market acceptance, we may be unable to generate substantial product revenues.</w:t>
      </w:r>
    </w:p>
    <w:p>
      <w:pPr>
        <w:sectPr>
          <w:pgSz w:w="12240" w:h="15840" w:orient="portrait"/>
          <w:cols w:equalWidth="0" w:num="1">
            <w:col w:w="9360"/>
          </w:cols>
          <w:pgMar w:left="1440" w:top="144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41</w:t>
      </w:r>
    </w:p>
    <w:p>
      <w:pPr>
        <w:sectPr>
          <w:pgSz w:w="12240" w:h="15840" w:orient="portrait"/>
          <w:cols w:equalWidth="0" w:num="1">
            <w:col w:w="9360"/>
          </w:cols>
          <w:pgMar w:left="1440" w:top="1440" w:right="1440" w:bottom="174" w:gutter="0" w:footer="0" w:header="0"/>
          <w:type w:val="continuous"/>
        </w:sectPr>
      </w:pPr>
    </w:p>
    <w:bookmarkStart w:id="43" w:name="page44"/>
    <w:bookmarkEnd w:id="43"/>
    <w:p>
      <w:pPr>
        <w:ind w:left="720" w:right="40" w:hanging="360"/>
        <w:spacing w:after="0" w:line="246" w:lineRule="auto"/>
        <w:tabs>
          <w:tab w:leader="none" w:pos="720" w:val="left"/>
        </w:tabs>
        <w:numPr>
          <w:ilvl w:val="0"/>
          <w:numId w:val="10"/>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99" w:lineRule="exact"/>
        <w:rPr>
          <w:rFonts w:ascii="Arial" w:cs="Arial" w:eastAsia="Arial" w:hAnsi="Arial"/>
          <w:sz w:val="18"/>
          <w:szCs w:val="18"/>
          <w:color w:val="231F20"/>
        </w:rPr>
      </w:pPr>
    </w:p>
    <w:p>
      <w:pPr>
        <w:ind w:left="720" w:right="40" w:hanging="360"/>
        <w:spacing w:after="0" w:line="252" w:lineRule="auto"/>
        <w:tabs>
          <w:tab w:leader="none" w:pos="720" w:val="left"/>
        </w:tabs>
        <w:numPr>
          <w:ilvl w:val="0"/>
          <w:numId w:val="10"/>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or fail to generate potential revenues.</w:t>
      </w:r>
    </w:p>
    <w:p>
      <w:pPr>
        <w:spacing w:after="0" w:line="194" w:lineRule="exact"/>
        <w:rPr>
          <w:rFonts w:ascii="Arial" w:cs="Arial" w:eastAsia="Arial" w:hAnsi="Arial"/>
          <w:sz w:val="18"/>
          <w:szCs w:val="18"/>
          <w:color w:val="231F20"/>
        </w:rPr>
      </w:pPr>
    </w:p>
    <w:p>
      <w:pPr>
        <w:ind w:left="720" w:right="140" w:hanging="360"/>
        <w:spacing w:after="0" w:line="277" w:lineRule="auto"/>
        <w:tabs>
          <w:tab w:leader="none" w:pos="720" w:val="left"/>
        </w:tabs>
        <w:numPr>
          <w:ilvl w:val="0"/>
          <w:numId w:val="10"/>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Patent reform legislation could increase the uncertainties and costs surrounding the prosecution of our patent applications and the enforcement or defense of our issued patents.</w:t>
      </w:r>
    </w:p>
    <w:p>
      <w:pPr>
        <w:spacing w:after="0" w:line="169" w:lineRule="exact"/>
        <w:rPr>
          <w:rFonts w:ascii="Arial" w:cs="Arial" w:eastAsia="Arial" w:hAnsi="Arial"/>
          <w:sz w:val="18"/>
          <w:szCs w:val="18"/>
          <w:color w:val="231F20"/>
        </w:rPr>
      </w:pPr>
    </w:p>
    <w:p>
      <w:pPr>
        <w:ind w:left="720" w:right="220" w:hanging="360"/>
        <w:spacing w:after="0" w:line="258" w:lineRule="auto"/>
        <w:tabs>
          <w:tab w:leader="none" w:pos="720" w:val="left"/>
        </w:tabs>
        <w:numPr>
          <w:ilvl w:val="0"/>
          <w:numId w:val="10"/>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88" w:lineRule="exact"/>
        <w:rPr>
          <w:rFonts w:ascii="Arial" w:cs="Arial" w:eastAsia="Arial" w:hAnsi="Arial"/>
          <w:sz w:val="18"/>
          <w:szCs w:val="18"/>
          <w:color w:val="231F20"/>
        </w:rPr>
      </w:pPr>
    </w:p>
    <w:p>
      <w:pPr>
        <w:ind w:left="720" w:right="80" w:hanging="360"/>
        <w:spacing w:after="0" w:line="252" w:lineRule="auto"/>
        <w:tabs>
          <w:tab w:leader="none" w:pos="720" w:val="left"/>
        </w:tabs>
        <w:numPr>
          <w:ilvl w:val="0"/>
          <w:numId w:val="10"/>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94" w:lineRule="exact"/>
        <w:rPr>
          <w:rFonts w:ascii="Arial" w:cs="Arial" w:eastAsia="Arial" w:hAnsi="Arial"/>
          <w:sz w:val="18"/>
          <w:szCs w:val="18"/>
          <w:color w:val="231F20"/>
        </w:rPr>
      </w:pPr>
    </w:p>
    <w:p>
      <w:pPr>
        <w:jc w:val="both"/>
        <w:ind w:left="720" w:right="180" w:hanging="360"/>
        <w:spacing w:after="0" w:line="252" w:lineRule="auto"/>
        <w:tabs>
          <w:tab w:leader="none" w:pos="720" w:val="left"/>
        </w:tabs>
        <w:numPr>
          <w:ilvl w:val="0"/>
          <w:numId w:val="10"/>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products may lose or fail to generate potential revenue and our prospects for profitability may be limited.</w:t>
      </w:r>
    </w:p>
    <w:p>
      <w:pPr>
        <w:spacing w:after="0" w:line="194" w:lineRule="exact"/>
        <w:rPr>
          <w:rFonts w:ascii="Arial" w:cs="Arial" w:eastAsia="Arial" w:hAnsi="Arial"/>
          <w:sz w:val="18"/>
          <w:szCs w:val="18"/>
          <w:color w:val="231F20"/>
        </w:rPr>
      </w:pPr>
    </w:p>
    <w:p>
      <w:pPr>
        <w:ind w:left="720" w:right="60" w:hanging="360"/>
        <w:spacing w:after="0" w:line="258" w:lineRule="auto"/>
        <w:tabs>
          <w:tab w:leader="none" w:pos="720" w:val="left"/>
        </w:tabs>
        <w:numPr>
          <w:ilvl w:val="0"/>
          <w:numId w:val="10"/>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88" w:lineRule="exact"/>
        <w:rPr>
          <w:rFonts w:ascii="Arial" w:cs="Arial" w:eastAsia="Arial" w:hAnsi="Arial"/>
          <w:sz w:val="18"/>
          <w:szCs w:val="18"/>
          <w:color w:val="231F20"/>
        </w:rPr>
      </w:pPr>
    </w:p>
    <w:p>
      <w:pPr>
        <w:ind w:left="720" w:right="380" w:hanging="360"/>
        <w:spacing w:after="0" w:line="258" w:lineRule="auto"/>
        <w:tabs>
          <w:tab w:leader="none" w:pos="720" w:val="left"/>
        </w:tabs>
        <w:numPr>
          <w:ilvl w:val="0"/>
          <w:numId w:val="10"/>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88" w:lineRule="exact"/>
        <w:rPr>
          <w:rFonts w:ascii="Arial" w:cs="Arial" w:eastAsia="Arial" w:hAnsi="Arial"/>
          <w:sz w:val="18"/>
          <w:szCs w:val="18"/>
          <w:color w:val="231F20"/>
        </w:rPr>
      </w:pPr>
    </w:p>
    <w:p>
      <w:pPr>
        <w:ind w:left="720" w:right="120" w:hanging="360"/>
        <w:spacing w:after="0" w:line="277" w:lineRule="auto"/>
        <w:tabs>
          <w:tab w:leader="none" w:pos="720" w:val="left"/>
        </w:tabs>
        <w:numPr>
          <w:ilvl w:val="0"/>
          <w:numId w:val="10"/>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Our principal stockholders and management own a significant percentage of our stock and may be able to exert significant control over matters subject to stockholder approval.</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10"/>
        </w:numPr>
        <w:rPr>
          <w:rFonts w:ascii="Arial" w:cs="Arial" w:eastAsia="Arial" w:hAnsi="Arial"/>
          <w:sz w:val="18"/>
          <w:szCs w:val="18"/>
          <w:color w:val="231F20"/>
        </w:rPr>
      </w:pPr>
      <w:r>
        <w:rPr>
          <w:rFonts w:ascii="Times New Roman" w:cs="Times New Roman" w:eastAsia="Times New Roman" w:hAnsi="Times New Roman"/>
          <w:sz w:val="20"/>
          <w:szCs w:val="20"/>
          <w:b w:val="1"/>
          <w:bCs w:val="1"/>
          <w:i w:val="1"/>
          <w:iCs w:val="1"/>
          <w:color w:val="231F20"/>
        </w:rPr>
        <w:t>The use of our net operating loss carryforwards and research tax credits may be limited.</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42</w:t>
      </w:r>
    </w:p>
    <w:p>
      <w:pPr>
        <w:sectPr>
          <w:pgSz w:w="12240" w:h="15840" w:orient="portrait"/>
          <w:cols w:equalWidth="0" w:num="1">
            <w:col w:w="9360"/>
          </w:cols>
          <w:pgMar w:left="1440" w:top="1420" w:right="1440" w:bottom="174"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231F20"/>
        </w:rPr>
        <w:t>RISKS RELATED TO OUR FINANCIAL CONDITION AND CAPITAL REQUIREMENTS</w:t>
      </w:r>
    </w:p>
    <w:p>
      <w:pPr>
        <w:spacing w:after="0" w:line="24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incurred significant losses since our inception, anticipate that we will continue to have losses, and may never achieve or maintain profitability.</w:t>
      </w:r>
    </w:p>
    <w:p>
      <w:pPr>
        <w:spacing w:after="0" w:line="169" w:lineRule="exact"/>
        <w:rPr>
          <w:sz w:val="20"/>
          <w:szCs w:val="20"/>
          <w:color w:val="auto"/>
        </w:rPr>
      </w:pPr>
    </w:p>
    <w:p>
      <w:pPr>
        <w:ind w:right="220" w:firstLine="720"/>
        <w:spacing w:after="0" w:line="246" w:lineRule="auto"/>
        <w:rPr>
          <w:sz w:val="20"/>
          <w:szCs w:val="20"/>
          <w:color w:val="auto"/>
        </w:rPr>
      </w:pPr>
      <w:r>
        <w:rPr>
          <w:rFonts w:ascii="Times New Roman" w:cs="Times New Roman" w:eastAsia="Times New Roman" w:hAnsi="Times New Roman"/>
          <w:sz w:val="20"/>
          <w:szCs w:val="20"/>
          <w:color w:val="231F20"/>
        </w:rPr>
        <w:t>We are a biopharmaceutical company with a limited operating history. Since inception, we have incurred significant operating losses. Our net loss was $183.2 million for the year ended December 31, 2025. As of December 31, 2025, we had an accumulated deficit of $1,306.0 million. In 2022, we commenced the commercial sale of AUVELITY in the United States and SUNOSI in the United States and select global markets. In January 2025, SYMBRAVO was approved by the FDA for the acute treatment of migraine with or without aura in adults. Apart from AUVELITY, SUNOSI, and SYMBRAVO, we have no other products which have received regulatory approval.</w:t>
      </w:r>
    </w:p>
    <w:p>
      <w:pPr>
        <w:spacing w:after="0" w:line="200"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color w:val="231F20"/>
        </w:rPr>
        <w:t>We expect to continue to incur substantial expenses and operating losses, as we continue to develop our current and future product candidates. In addition, we expect to incur significant sales, marketing, and manufacturing expenses related to the commercialization of AUVELITY, SUNOSI, SYMBRAVO, and any other product candidate which the FDA may approve or which we may in-license. We anticipate that our expenses will increase substantially as we:</w:t>
      </w:r>
    </w:p>
    <w:p>
      <w:pPr>
        <w:spacing w:after="0" w:line="197" w:lineRule="exact"/>
        <w:rPr>
          <w:sz w:val="20"/>
          <w:szCs w:val="20"/>
          <w:color w:val="auto"/>
        </w:rPr>
      </w:pPr>
    </w:p>
    <w:p>
      <w:pPr>
        <w:ind w:left="720" w:hanging="360"/>
        <w:spacing w:after="0"/>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seek regulatory approval for additional product candidates;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hire additional commercial, clinical, medical, quality, regulatory, and scientific personnel;</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add operational, financial, and management information systems and personnel;</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expand our sales, marketing, and distribution infrastructure;</w:t>
      </w:r>
    </w:p>
    <w:p>
      <w:pPr>
        <w:spacing w:after="0" w:line="240" w:lineRule="exact"/>
        <w:rPr>
          <w:rFonts w:ascii="Arial" w:cs="Arial" w:eastAsia="Arial" w:hAnsi="Arial"/>
          <w:sz w:val="18"/>
          <w:szCs w:val="18"/>
          <w:color w:val="231F20"/>
        </w:rPr>
      </w:pPr>
    </w:p>
    <w:p>
      <w:pPr>
        <w:ind w:left="720" w:right="280" w:hanging="360"/>
        <w:spacing w:after="0" w:line="277" w:lineRule="auto"/>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expand external manufacturing capabilities and production to commercialize any additional products for which we may obtain regulatory approval and that we choose not to license to a third party;</w:t>
      </w:r>
    </w:p>
    <w:p>
      <w:pPr>
        <w:spacing w:after="0" w:line="169" w:lineRule="exact"/>
        <w:rPr>
          <w:rFonts w:ascii="Arial" w:cs="Arial" w:eastAsia="Arial" w:hAnsi="Arial"/>
          <w:sz w:val="18"/>
          <w:szCs w:val="18"/>
          <w:color w:val="231F20"/>
        </w:rPr>
      </w:pPr>
    </w:p>
    <w:p>
      <w:pPr>
        <w:ind w:left="720" w:right="320" w:hanging="360"/>
        <w:spacing w:after="0" w:line="277" w:lineRule="auto"/>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undertake additional manufacturing activities of our product candidates to satisfy FDA requirements for marketing application submissions;</w:t>
      </w:r>
    </w:p>
    <w:p>
      <w:pPr>
        <w:spacing w:after="0" w:line="169" w:lineRule="exact"/>
        <w:rPr>
          <w:rFonts w:ascii="Arial" w:cs="Arial" w:eastAsia="Arial" w:hAnsi="Arial"/>
          <w:sz w:val="18"/>
          <w:szCs w:val="18"/>
          <w:color w:val="231F20"/>
        </w:rPr>
      </w:pPr>
    </w:p>
    <w:p>
      <w:pPr>
        <w:ind w:left="720" w:right="660" w:hanging="360"/>
        <w:spacing w:after="0" w:line="277" w:lineRule="auto"/>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continue to evaluate, plan for, and conduct clinical trials for AXS-05 as an aid to smoking cessation treatment and other CNS disorders;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continue to evaluate, plan for, and conduct clinical trials for solriamfetol in additional indications;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continue to evaluate, plan for, and potentially submit NDAs for other pipeline products;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continue to expand commercial sales of AUVELITY, SUNOSI, and SYMBRAVO;</w:t>
      </w:r>
    </w:p>
    <w:p>
      <w:pPr>
        <w:spacing w:after="0" w:line="255" w:lineRule="exact"/>
        <w:rPr>
          <w:rFonts w:ascii="Arial" w:cs="Arial" w:eastAsia="Arial" w:hAnsi="Arial"/>
          <w:sz w:val="18"/>
          <w:szCs w:val="18"/>
          <w:color w:val="231F20"/>
        </w:rPr>
      </w:pPr>
    </w:p>
    <w:p>
      <w:pPr>
        <w:ind w:left="720" w:hanging="360"/>
        <w:spacing w:after="0" w:line="230" w:lineRule="exact"/>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develop, in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license, or acquire additional product candidates;</w:t>
      </w:r>
    </w:p>
    <w:p>
      <w:pPr>
        <w:spacing w:after="0" w:line="270" w:lineRule="exact"/>
        <w:rPr>
          <w:rFonts w:ascii="Arial" w:cs="Arial" w:eastAsia="Arial" w:hAnsi="Arial"/>
          <w:sz w:val="18"/>
          <w:szCs w:val="18"/>
          <w:color w:val="231F20"/>
        </w:rPr>
      </w:pPr>
    </w:p>
    <w:p>
      <w:pPr>
        <w:ind w:left="720" w:right="140" w:hanging="360"/>
        <w:spacing w:after="0" w:line="255" w:lineRule="exact"/>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conduct late</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stage clinical trials for any product candidates that successfully complete early</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stage clinical trials;</w:t>
      </w:r>
    </w:p>
    <w:p>
      <w:pPr>
        <w:spacing w:after="0" w:line="220" w:lineRule="exact"/>
        <w:rPr>
          <w:rFonts w:ascii="Arial" w:cs="Arial" w:eastAsia="Arial" w:hAnsi="Arial"/>
          <w:sz w:val="18"/>
          <w:szCs w:val="18"/>
          <w:color w:val="231F20"/>
        </w:rPr>
      </w:pPr>
    </w:p>
    <w:p>
      <w:pPr>
        <w:ind w:left="720" w:hanging="360"/>
        <w:spacing w:after="0" w:line="230" w:lineRule="exact"/>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conduct additional non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clinical studies with any product candidates; and</w:t>
      </w:r>
    </w:p>
    <w:p>
      <w:pPr>
        <w:spacing w:after="0" w:line="254" w:lineRule="exact"/>
        <w:rPr>
          <w:rFonts w:ascii="Arial" w:cs="Arial" w:eastAsia="Arial" w:hAnsi="Arial"/>
          <w:sz w:val="18"/>
          <w:szCs w:val="18"/>
          <w:color w:val="231F20"/>
        </w:rPr>
      </w:pPr>
    </w:p>
    <w:p>
      <w:pPr>
        <w:ind w:left="720" w:hanging="360"/>
        <w:spacing w:after="0"/>
        <w:tabs>
          <w:tab w:leader="none" w:pos="720" w:val="left"/>
        </w:tabs>
        <w:numPr>
          <w:ilvl w:val="0"/>
          <w:numId w:val="11"/>
        </w:numPr>
        <w:rPr>
          <w:rFonts w:ascii="Arial" w:cs="Arial" w:eastAsia="Arial" w:hAnsi="Arial"/>
          <w:sz w:val="18"/>
          <w:szCs w:val="18"/>
          <w:color w:val="231F20"/>
        </w:rPr>
      </w:pPr>
      <w:r>
        <w:rPr>
          <w:rFonts w:ascii="Times New Roman" w:cs="Times New Roman" w:eastAsia="Times New Roman" w:hAnsi="Times New Roman"/>
          <w:sz w:val="20"/>
          <w:szCs w:val="20"/>
          <w:color w:val="231F20"/>
        </w:rPr>
        <w:t>maintain, expand, and protect our intellectual property portfolio.</w:t>
      </w:r>
    </w:p>
    <w:p>
      <w:pPr>
        <w:sectPr>
          <w:pgSz w:w="12240" w:h="15840" w:orient="portrait"/>
          <w:cols w:equalWidth="0" w:num="1">
            <w:col w:w="9360"/>
          </w:cols>
          <w:pgMar w:left="1440" w:top="1416"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43</w:t>
      </w:r>
    </w:p>
    <w:p>
      <w:pPr>
        <w:sectPr>
          <w:pgSz w:w="12240" w:h="15840" w:orient="portrait"/>
          <w:cols w:equalWidth="0" w:num="1">
            <w:col w:w="9360"/>
          </w:cols>
          <w:pgMar w:left="1440" w:top="1416" w:right="1440" w:bottom="174" w:gutter="0" w:footer="0" w:header="0"/>
          <w:type w:val="continuous"/>
        </w:sectPr>
      </w:pPr>
    </w:p>
    <w:bookmarkStart w:id="45" w:name="page46"/>
    <w:bookmarkEnd w:id="45"/>
    <w:p>
      <w:pPr>
        <w:ind w:firstLine="720"/>
        <w:spacing w:after="0" w:line="244" w:lineRule="auto"/>
        <w:rPr>
          <w:sz w:val="20"/>
          <w:szCs w:val="20"/>
          <w:color w:val="auto"/>
        </w:rPr>
      </w:pPr>
      <w:r>
        <w:rPr>
          <w:rFonts w:ascii="Times New Roman" w:cs="Times New Roman" w:eastAsia="Times New Roman" w:hAnsi="Times New Roman"/>
          <w:sz w:val="20"/>
          <w:szCs w:val="20"/>
          <w:color w:val="231F20"/>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202"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231F20"/>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97"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9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88" w:lineRule="exact"/>
        <w:rPr>
          <w:sz w:val="20"/>
          <w:szCs w:val="20"/>
          <w:color w:val="auto"/>
        </w:rPr>
      </w:pPr>
    </w:p>
    <w:p>
      <w:pPr>
        <w:ind w:right="340" w:firstLine="720"/>
        <w:spacing w:after="0" w:line="253" w:lineRule="exact"/>
        <w:rPr>
          <w:sz w:val="20"/>
          <w:szCs w:val="20"/>
          <w:color w:val="auto"/>
        </w:rPr>
      </w:pPr>
      <w:r>
        <w:rPr>
          <w:rFonts w:ascii="Times New Roman" w:cs="Times New Roman" w:eastAsia="Times New Roman" w:hAnsi="Times New Roman"/>
          <w:sz w:val="20"/>
          <w:szCs w:val="20"/>
          <w:color w:val="231F20"/>
        </w:rPr>
        <w:t>Conducting clinical trials, pursuing regulatory approvals, establishing outsourced manufacturing relationships, and successfully manufacturing and commercializing our product candidates is a time</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consuming, expensive, and uncertain process that takes years to complete. We may need to raise additional capital to:</w:t>
      </w:r>
    </w:p>
    <w:p>
      <w:pPr>
        <w:spacing w:after="0" w:line="204" w:lineRule="exact"/>
        <w:rPr>
          <w:sz w:val="20"/>
          <w:szCs w:val="20"/>
          <w:color w:val="auto"/>
        </w:rPr>
      </w:pPr>
    </w:p>
    <w:p>
      <w:pPr>
        <w:ind w:left="720" w:right="100" w:hanging="360"/>
        <w:spacing w:after="0" w:line="277" w:lineRule="auto"/>
        <w:tabs>
          <w:tab w:leader="none" w:pos="720" w:val="left"/>
        </w:tabs>
        <w:numPr>
          <w:ilvl w:val="0"/>
          <w:numId w:val="12"/>
        </w:numPr>
        <w:rPr>
          <w:rFonts w:ascii="Arial" w:cs="Arial" w:eastAsia="Arial" w:hAnsi="Arial"/>
          <w:sz w:val="18"/>
          <w:szCs w:val="18"/>
          <w:color w:val="231F20"/>
        </w:rPr>
      </w:pPr>
      <w:r>
        <w:rPr>
          <w:rFonts w:ascii="Times New Roman" w:cs="Times New Roman" w:eastAsia="Times New Roman" w:hAnsi="Times New Roman"/>
          <w:sz w:val="20"/>
          <w:szCs w:val="20"/>
          <w:color w:val="231F20"/>
        </w:rPr>
        <w:t>fund our future clinical trials for our current product candidates, especially if we encounter any unforeseen delays or difficulties in our planned development activities;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12"/>
        </w:numPr>
        <w:rPr>
          <w:rFonts w:ascii="Arial" w:cs="Arial" w:eastAsia="Arial" w:hAnsi="Arial"/>
          <w:sz w:val="18"/>
          <w:szCs w:val="18"/>
          <w:color w:val="231F20"/>
        </w:rPr>
      </w:pPr>
      <w:r>
        <w:rPr>
          <w:rFonts w:ascii="Times New Roman" w:cs="Times New Roman" w:eastAsia="Times New Roman" w:hAnsi="Times New Roman"/>
          <w:sz w:val="20"/>
          <w:szCs w:val="20"/>
          <w:color w:val="231F20"/>
        </w:rPr>
        <w:t>fund our operations and continue to commercialize our products;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2"/>
        </w:numPr>
        <w:rPr>
          <w:rFonts w:ascii="Arial" w:cs="Arial" w:eastAsia="Arial" w:hAnsi="Arial"/>
          <w:sz w:val="18"/>
          <w:szCs w:val="18"/>
          <w:color w:val="231F20"/>
        </w:rPr>
      </w:pPr>
      <w:r>
        <w:rPr>
          <w:rFonts w:ascii="Times New Roman" w:cs="Times New Roman" w:eastAsia="Times New Roman" w:hAnsi="Times New Roman"/>
          <w:sz w:val="20"/>
          <w:szCs w:val="20"/>
          <w:color w:val="231F20"/>
        </w:rPr>
        <w:t>qualify and outsource the commercial scale manufacturing of our products under cGMP;</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2"/>
        </w:numPr>
        <w:rPr>
          <w:rFonts w:ascii="Arial" w:cs="Arial" w:eastAsia="Arial" w:hAnsi="Arial"/>
          <w:sz w:val="18"/>
          <w:szCs w:val="18"/>
          <w:color w:val="231F20"/>
        </w:rPr>
      </w:pPr>
      <w:r>
        <w:rPr>
          <w:rFonts w:ascii="Times New Roman" w:cs="Times New Roman" w:eastAsia="Times New Roman" w:hAnsi="Times New Roman"/>
          <w:sz w:val="20"/>
          <w:szCs w:val="20"/>
          <w:color w:val="231F20"/>
        </w:rPr>
        <w:t>develop additional product candidates; and</w:t>
      </w:r>
    </w:p>
    <w:p>
      <w:pPr>
        <w:spacing w:after="0" w:line="255" w:lineRule="exact"/>
        <w:rPr>
          <w:rFonts w:ascii="Arial" w:cs="Arial" w:eastAsia="Arial" w:hAnsi="Arial"/>
          <w:sz w:val="18"/>
          <w:szCs w:val="18"/>
          <w:color w:val="231F20"/>
        </w:rPr>
      </w:pPr>
    </w:p>
    <w:p>
      <w:pPr>
        <w:ind w:left="720" w:hanging="360"/>
        <w:spacing w:after="0" w:line="230" w:lineRule="exact"/>
        <w:tabs>
          <w:tab w:leader="none" w:pos="720" w:val="left"/>
        </w:tabs>
        <w:numPr>
          <w:ilvl w:val="0"/>
          <w:numId w:val="12"/>
        </w:numPr>
        <w:rPr>
          <w:rFonts w:ascii="Arial" w:cs="Arial" w:eastAsia="Arial" w:hAnsi="Arial"/>
          <w:sz w:val="18"/>
          <w:szCs w:val="18"/>
          <w:color w:val="231F20"/>
        </w:rPr>
      </w:pPr>
      <w:r>
        <w:rPr>
          <w:rFonts w:ascii="Times New Roman" w:cs="Times New Roman" w:eastAsia="Times New Roman" w:hAnsi="Times New Roman"/>
          <w:sz w:val="20"/>
          <w:szCs w:val="20"/>
          <w:color w:val="231F20"/>
        </w:rPr>
        <w:t>in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license other product candidates.</w:t>
      </w:r>
    </w:p>
    <w:p>
      <w:pPr>
        <w:spacing w:after="0" w:line="255" w:lineRule="exact"/>
        <w:rPr>
          <w:sz w:val="20"/>
          <w:szCs w:val="20"/>
          <w:color w:val="auto"/>
        </w:rPr>
      </w:pPr>
    </w:p>
    <w:p>
      <w:pPr>
        <w:jc w:val="both"/>
        <w:ind w:right="80" w:firstLine="720"/>
        <w:spacing w:after="0" w:line="252" w:lineRule="auto"/>
        <w:rPr>
          <w:sz w:val="20"/>
          <w:szCs w:val="20"/>
          <w:color w:val="auto"/>
        </w:rPr>
      </w:pPr>
      <w:r>
        <w:rPr>
          <w:rFonts w:ascii="Times New Roman" w:cs="Times New Roman" w:eastAsia="Times New Roman" w:hAnsi="Times New Roman"/>
          <w:sz w:val="20"/>
          <w:szCs w:val="20"/>
          <w:color w:val="231F20"/>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94" w:lineRule="exact"/>
        <w:rPr>
          <w:sz w:val="20"/>
          <w:szCs w:val="20"/>
          <w:color w:val="auto"/>
        </w:rPr>
      </w:pPr>
    </w:p>
    <w:p>
      <w:pPr>
        <w:ind w:left="720" w:right="220" w:hanging="360"/>
        <w:spacing w:after="0" w:line="277" w:lineRule="auto"/>
        <w:tabs>
          <w:tab w:leader="none" w:pos="720" w:val="left"/>
        </w:tabs>
        <w:numPr>
          <w:ilvl w:val="0"/>
          <w:numId w:val="13"/>
        </w:numPr>
        <w:rPr>
          <w:rFonts w:ascii="Arial" w:cs="Arial" w:eastAsia="Arial" w:hAnsi="Arial"/>
          <w:sz w:val="18"/>
          <w:szCs w:val="18"/>
          <w:color w:val="231F20"/>
        </w:rPr>
      </w:pPr>
      <w:r>
        <w:rPr>
          <w:rFonts w:ascii="Times New Roman" w:cs="Times New Roman" w:eastAsia="Times New Roman" w:hAnsi="Times New Roman"/>
          <w:sz w:val="20"/>
          <w:szCs w:val="20"/>
          <w:color w:val="231F20"/>
        </w:rPr>
        <w:t>the rate of progress and costs related to the development of our product candidates, including the costs of preparing filings for regulatory approval;</w:t>
      </w:r>
    </w:p>
    <w:p>
      <w:pPr>
        <w:spacing w:after="0" w:line="169" w:lineRule="exact"/>
        <w:rPr>
          <w:rFonts w:ascii="Arial" w:cs="Arial" w:eastAsia="Arial" w:hAnsi="Arial"/>
          <w:sz w:val="18"/>
          <w:szCs w:val="18"/>
          <w:color w:val="231F20"/>
        </w:rPr>
      </w:pPr>
    </w:p>
    <w:p>
      <w:pPr>
        <w:ind w:left="720" w:right="360" w:hanging="360"/>
        <w:spacing w:after="0" w:line="277" w:lineRule="auto"/>
        <w:tabs>
          <w:tab w:leader="none" w:pos="720" w:val="left"/>
        </w:tabs>
        <w:numPr>
          <w:ilvl w:val="0"/>
          <w:numId w:val="13"/>
        </w:numPr>
        <w:rPr>
          <w:rFonts w:ascii="Arial" w:cs="Arial" w:eastAsia="Arial" w:hAnsi="Arial"/>
          <w:sz w:val="18"/>
          <w:szCs w:val="18"/>
          <w:color w:val="231F20"/>
        </w:rPr>
      </w:pPr>
      <w:r>
        <w:rPr>
          <w:rFonts w:ascii="Times New Roman" w:cs="Times New Roman" w:eastAsia="Times New Roman" w:hAnsi="Times New Roman"/>
          <w:sz w:val="20"/>
          <w:szCs w:val="20"/>
          <w:color w:val="231F20"/>
        </w:rPr>
        <w:t>the costs associated with conducting additional clinical and non-clinical studies with any of our product candidates;</w:t>
      </w:r>
    </w:p>
    <w:p>
      <w:pPr>
        <w:spacing w:after="0" w:line="169" w:lineRule="exact"/>
        <w:rPr>
          <w:rFonts w:ascii="Arial" w:cs="Arial" w:eastAsia="Arial" w:hAnsi="Arial"/>
          <w:sz w:val="18"/>
          <w:szCs w:val="18"/>
          <w:color w:val="231F20"/>
        </w:rPr>
      </w:pPr>
    </w:p>
    <w:p>
      <w:pPr>
        <w:ind w:left="720" w:right="140" w:hanging="360"/>
        <w:spacing w:after="0" w:line="277" w:lineRule="auto"/>
        <w:tabs>
          <w:tab w:leader="none" w:pos="720" w:val="left"/>
        </w:tabs>
        <w:numPr>
          <w:ilvl w:val="0"/>
          <w:numId w:val="13"/>
        </w:numPr>
        <w:rPr>
          <w:rFonts w:ascii="Arial" w:cs="Arial" w:eastAsia="Arial" w:hAnsi="Arial"/>
          <w:sz w:val="18"/>
          <w:szCs w:val="18"/>
          <w:color w:val="231F20"/>
        </w:rPr>
      </w:pPr>
      <w:r>
        <w:rPr>
          <w:rFonts w:ascii="Times New Roman" w:cs="Times New Roman" w:eastAsia="Times New Roman" w:hAnsi="Times New Roman"/>
          <w:sz w:val="20"/>
          <w:szCs w:val="20"/>
          <w:color w:val="231F20"/>
        </w:rPr>
        <w:t>the potential for delays in our efforts to seek regulatory approval for our product candidates, and any costs associated with such delays;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44</w:t>
      </w:r>
    </w:p>
    <w:p>
      <w:pPr>
        <w:sectPr>
          <w:pgSz w:w="12240" w:h="15840" w:orient="portrait"/>
          <w:cols w:equalWidth="0" w:num="1">
            <w:col w:w="9360"/>
          </w:cols>
          <w:pgMar w:left="1440" w:top="1420" w:right="1440" w:bottom="174" w:gutter="0" w:footer="0" w:header="0"/>
          <w:type w:val="continuous"/>
        </w:sectPr>
      </w:pPr>
    </w:p>
    <w:bookmarkStart w:id="46" w:name="page47"/>
    <w:bookmarkEnd w:id="46"/>
    <w:p>
      <w:pPr>
        <w:ind w:left="720" w:hanging="360"/>
        <w:spacing w:after="0"/>
        <w:tabs>
          <w:tab w:leader="none" w:pos="720" w:val="left"/>
        </w:tabs>
        <w:numPr>
          <w:ilvl w:val="0"/>
          <w:numId w:val="14"/>
        </w:numPr>
        <w:rPr>
          <w:rFonts w:ascii="Arial" w:cs="Arial" w:eastAsia="Arial" w:hAnsi="Arial"/>
          <w:sz w:val="18"/>
          <w:szCs w:val="18"/>
          <w:color w:val="231F20"/>
        </w:rPr>
      </w:pPr>
      <w:r>
        <w:rPr>
          <w:rFonts w:ascii="Times New Roman" w:cs="Times New Roman" w:eastAsia="Times New Roman" w:hAnsi="Times New Roman"/>
          <w:sz w:val="20"/>
          <w:szCs w:val="20"/>
          <w:color w:val="231F20"/>
        </w:rPr>
        <w:t>the costs associated with selling, marketing, and distributing our approved products;</w:t>
      </w:r>
    </w:p>
    <w:p>
      <w:pPr>
        <w:spacing w:after="0" w:line="240" w:lineRule="exact"/>
        <w:rPr>
          <w:rFonts w:ascii="Arial" w:cs="Arial" w:eastAsia="Arial" w:hAnsi="Arial"/>
          <w:sz w:val="18"/>
          <w:szCs w:val="18"/>
          <w:color w:val="231F20"/>
        </w:rPr>
      </w:pPr>
    </w:p>
    <w:p>
      <w:pPr>
        <w:ind w:left="720" w:right="180" w:hanging="360"/>
        <w:spacing w:after="0" w:line="277" w:lineRule="auto"/>
        <w:tabs>
          <w:tab w:leader="none" w:pos="720" w:val="left"/>
        </w:tabs>
        <w:numPr>
          <w:ilvl w:val="0"/>
          <w:numId w:val="14"/>
        </w:numPr>
        <w:rPr>
          <w:rFonts w:ascii="Arial" w:cs="Arial" w:eastAsia="Arial" w:hAnsi="Arial"/>
          <w:sz w:val="18"/>
          <w:szCs w:val="18"/>
          <w:color w:val="231F20"/>
        </w:rPr>
      </w:pPr>
      <w:r>
        <w:rPr>
          <w:rFonts w:ascii="Times New Roman" w:cs="Times New Roman" w:eastAsia="Times New Roman" w:hAnsi="Times New Roman"/>
          <w:sz w:val="20"/>
          <w:szCs w:val="20"/>
          <w:color w:val="231F20"/>
        </w:rPr>
        <w:t>the costs of filing, prosecuting, defending, and enforcing any patent claims and other intellectual property rights associated with our product candidates;</w:t>
      </w:r>
    </w:p>
    <w:p>
      <w:pPr>
        <w:spacing w:after="0" w:line="169" w:lineRule="exact"/>
        <w:rPr>
          <w:rFonts w:ascii="Arial" w:cs="Arial" w:eastAsia="Arial" w:hAnsi="Arial"/>
          <w:sz w:val="18"/>
          <w:szCs w:val="18"/>
          <w:color w:val="231F20"/>
        </w:rPr>
      </w:pPr>
    </w:p>
    <w:p>
      <w:pPr>
        <w:ind w:left="720" w:hanging="360"/>
        <w:spacing w:after="0" w:line="277" w:lineRule="auto"/>
        <w:tabs>
          <w:tab w:leader="none" w:pos="720" w:val="left"/>
        </w:tabs>
        <w:numPr>
          <w:ilvl w:val="0"/>
          <w:numId w:val="14"/>
        </w:numPr>
        <w:rPr>
          <w:rFonts w:ascii="Arial" w:cs="Arial" w:eastAsia="Arial" w:hAnsi="Arial"/>
          <w:sz w:val="18"/>
          <w:szCs w:val="18"/>
          <w:color w:val="231F20"/>
        </w:rPr>
      </w:pPr>
      <w:r>
        <w:rPr>
          <w:rFonts w:ascii="Times New Roman" w:cs="Times New Roman" w:eastAsia="Times New Roman" w:hAnsi="Times New Roman"/>
          <w:sz w:val="20"/>
          <w:szCs w:val="20"/>
          <w:color w:val="231F20"/>
        </w:rPr>
        <w:t>the cost and timing of manufacturing, or having third parties manufacture, sufficient supplies of our product candidates in preparation for commercialization;</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14"/>
        </w:numPr>
        <w:rPr>
          <w:rFonts w:ascii="Arial" w:cs="Arial" w:eastAsia="Arial" w:hAnsi="Arial"/>
          <w:sz w:val="18"/>
          <w:szCs w:val="18"/>
          <w:color w:val="231F20"/>
        </w:rPr>
      </w:pPr>
      <w:r>
        <w:rPr>
          <w:rFonts w:ascii="Times New Roman" w:cs="Times New Roman" w:eastAsia="Times New Roman" w:hAnsi="Times New Roman"/>
          <w:sz w:val="20"/>
          <w:szCs w:val="20"/>
          <w:color w:val="231F20"/>
        </w:rPr>
        <w:t>the effect of competing technological and market developments;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4"/>
        </w:numPr>
        <w:rPr>
          <w:rFonts w:ascii="Arial" w:cs="Arial" w:eastAsia="Arial" w:hAnsi="Arial"/>
          <w:sz w:val="18"/>
          <w:szCs w:val="18"/>
          <w:color w:val="231F20"/>
        </w:rPr>
      </w:pPr>
      <w:r>
        <w:rPr>
          <w:rFonts w:ascii="Times New Roman" w:cs="Times New Roman" w:eastAsia="Times New Roman" w:hAnsi="Times New Roman"/>
          <w:sz w:val="20"/>
          <w:szCs w:val="20"/>
          <w:color w:val="231F20"/>
        </w:rPr>
        <w:t>revenues from commercial sales of our approved products;</w:t>
      </w:r>
    </w:p>
    <w:p>
      <w:pPr>
        <w:spacing w:after="0" w:line="255" w:lineRule="exact"/>
        <w:rPr>
          <w:rFonts w:ascii="Arial" w:cs="Arial" w:eastAsia="Arial" w:hAnsi="Arial"/>
          <w:sz w:val="18"/>
          <w:szCs w:val="18"/>
          <w:color w:val="231F20"/>
        </w:rPr>
      </w:pPr>
    </w:p>
    <w:p>
      <w:pPr>
        <w:ind w:left="720" w:right="420" w:hanging="360"/>
        <w:spacing w:after="0" w:line="255" w:lineRule="exact"/>
        <w:tabs>
          <w:tab w:leader="none" w:pos="720" w:val="left"/>
        </w:tabs>
        <w:numPr>
          <w:ilvl w:val="0"/>
          <w:numId w:val="14"/>
        </w:numPr>
        <w:rPr>
          <w:rFonts w:ascii="Arial" w:cs="Arial" w:eastAsia="Arial" w:hAnsi="Arial"/>
          <w:sz w:val="18"/>
          <w:szCs w:val="18"/>
          <w:color w:val="231F20"/>
        </w:rPr>
      </w:pPr>
      <w:r>
        <w:rPr>
          <w:rFonts w:ascii="Times New Roman" w:cs="Times New Roman" w:eastAsia="Times New Roman" w:hAnsi="Times New Roman"/>
          <w:sz w:val="20"/>
          <w:szCs w:val="20"/>
          <w:color w:val="231F20"/>
        </w:rPr>
        <w:t>the terms and timing of any collaborative, licensing, co</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promotion, or other arrangements that we may establish; and</w:t>
      </w:r>
    </w:p>
    <w:p>
      <w:pPr>
        <w:spacing w:after="0" w:line="205" w:lineRule="exact"/>
        <w:rPr>
          <w:rFonts w:ascii="Arial" w:cs="Arial" w:eastAsia="Arial" w:hAnsi="Arial"/>
          <w:sz w:val="18"/>
          <w:szCs w:val="18"/>
          <w:color w:val="231F20"/>
        </w:rPr>
      </w:pPr>
    </w:p>
    <w:p>
      <w:pPr>
        <w:ind w:left="720" w:right="320" w:hanging="360"/>
        <w:spacing w:after="0" w:line="277" w:lineRule="auto"/>
        <w:tabs>
          <w:tab w:leader="none" w:pos="720" w:val="left"/>
        </w:tabs>
        <w:numPr>
          <w:ilvl w:val="0"/>
          <w:numId w:val="14"/>
        </w:numPr>
        <w:rPr>
          <w:rFonts w:ascii="Arial" w:cs="Arial" w:eastAsia="Arial" w:hAnsi="Arial"/>
          <w:sz w:val="18"/>
          <w:szCs w:val="18"/>
          <w:color w:val="231F20"/>
        </w:rPr>
      </w:pPr>
      <w:r>
        <w:rPr>
          <w:rFonts w:ascii="Times New Roman" w:cs="Times New Roman" w:eastAsia="Times New Roman" w:hAnsi="Times New Roman"/>
          <w:sz w:val="20"/>
          <w:szCs w:val="20"/>
          <w:color w:val="231F20"/>
        </w:rPr>
        <w:t>the success of the commercialization of any of our current products and, if approved, any of our product candidates.</w:t>
      </w:r>
    </w:p>
    <w:p>
      <w:pPr>
        <w:spacing w:after="0" w:line="169" w:lineRule="exact"/>
        <w:rPr>
          <w:sz w:val="20"/>
          <w:szCs w:val="20"/>
          <w:color w:val="auto"/>
        </w:rPr>
      </w:pPr>
    </w:p>
    <w:p>
      <w:pPr>
        <w:ind w:right="260" w:firstLine="720"/>
        <w:spacing w:after="0" w:line="246" w:lineRule="auto"/>
        <w:rPr>
          <w:sz w:val="20"/>
          <w:szCs w:val="20"/>
          <w:color w:val="auto"/>
        </w:rPr>
      </w:pPr>
      <w:r>
        <w:rPr>
          <w:rFonts w:ascii="Times New Roman" w:cs="Times New Roman" w:eastAsia="Times New Roman" w:hAnsi="Times New Roman"/>
          <w:sz w:val="20"/>
          <w:szCs w:val="20"/>
          <w:color w:val="231F20"/>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20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88" w:lineRule="exact"/>
        <w:rPr>
          <w:sz w:val="20"/>
          <w:szCs w:val="20"/>
          <w:color w:val="auto"/>
        </w:rPr>
      </w:pPr>
    </w:p>
    <w:p>
      <w:pPr>
        <w:ind w:right="20" w:firstLine="720"/>
        <w:spacing w:after="0" w:line="241" w:lineRule="auto"/>
        <w:rPr>
          <w:sz w:val="20"/>
          <w:szCs w:val="20"/>
          <w:color w:val="auto"/>
        </w:rPr>
      </w:pPr>
      <w:r>
        <w:rPr>
          <w:rFonts w:ascii="Times New Roman" w:cs="Times New Roman" w:eastAsia="Times New Roman" w:hAnsi="Times New Roman"/>
          <w:sz w:val="20"/>
          <w:szCs w:val="20"/>
          <w:color w:val="231F20"/>
        </w:rPr>
        <w:t>On May 8, 2025 (the “Closing Date”), we entered into a loan agreement (the “Blackstone Loan Agreement”) with Blackstone Alternative Credit Advisors LP and Blackstone Life Sciences Advisors L.L.C. (collectively, the “Blackstone Representative” and referred to herein as “Blackstone”), certain subsidiaries party thereto as guarantors, Wilmington Trust, National Association, in its capacity as administrative agent, collateral agent and security trustee (“Wilmington Trust”), and the lenders from time to time party thereto (collectively,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the Company’s option, of which $90.0 million is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approximately $10.4 million in the Company’s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45</w:t>
      </w:r>
    </w:p>
    <w:p>
      <w:pPr>
        <w:sectPr>
          <w:pgSz w:w="12240" w:h="15840" w:orient="portrait"/>
          <w:cols w:equalWidth="0" w:num="1">
            <w:col w:w="9360"/>
          </w:cols>
          <w:pgMar w:left="1440" w:top="1420" w:right="1440" w:bottom="174" w:gutter="0" w:footer="0" w:header="0"/>
          <w:type w:val="continuous"/>
        </w:sectPr>
      </w:pPr>
    </w:p>
    <w:bookmarkStart w:id="47" w:name="page48"/>
    <w:bookmarkEnd w:id="47"/>
    <w:p>
      <w:pPr>
        <w:ind w:right="140" w:firstLine="720"/>
        <w:spacing w:after="0" w:line="247" w:lineRule="auto"/>
        <w:rPr>
          <w:sz w:val="20"/>
          <w:szCs w:val="20"/>
          <w:color w:val="auto"/>
        </w:rPr>
      </w:pPr>
      <w:r>
        <w:rPr>
          <w:rFonts w:ascii="Times New Roman" w:cs="Times New Roman" w:eastAsia="Times New Roman" w:hAnsi="Times New Roman"/>
          <w:sz w:val="20"/>
          <w:szCs w:val="20"/>
          <w:color w:val="231F20"/>
        </w:rPr>
        <w:t>The Blackstone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200"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231F20"/>
        </w:rPr>
        <w:t>The covenants under the Blackstone Loan Agreement also require maintaining a minimum amount of cash in an account or accounts in which the Lenders have a first priority security interest.</w:t>
      </w:r>
    </w:p>
    <w:p>
      <w:pPr>
        <w:spacing w:after="0" w:line="169"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A breach of any of the covenants under the Blackstone Loan Agreement could result in a default. Upon the occurrence of an event of default,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97"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a limited operating history of commercializing products, which may make it difficult to evaluate our business and prospects.</w:t>
      </w:r>
    </w:p>
    <w:p>
      <w:pPr>
        <w:spacing w:after="0" w:line="169"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231F20"/>
        </w:rPr>
        <w:t>We are a fully integrated biopharmaceutical company. Prior to our commercialization of AUVELITY and SUNOSI in 2022, and the approval and U.S. commercialization of SYMBRAVO in 2025,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200"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undertaking commercial activities. We may continue to encounter unforeseen expenses, difficulties, complications and delays, and this may not be a successful transition.</w:t>
      </w:r>
    </w:p>
    <w:p>
      <w:pPr>
        <w:spacing w:after="0" w:line="19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231F20"/>
        </w:rPr>
        <w:t>We are currently operating in a period of economic uncertainty and capital markets disruption, which has been significantly impacted by geopolitical instability, including in South America, ongoing military conflicts between Russia and Ukraine, hostilities in the Middle East and elsewhere and record inflation. Our business, financial condition, and results of operations could be materially adversely affected by any negative impact on the global economy and capital markets resulting from the conflicts in South America, Russia and Ukraine, the Middle East and elsewhere, and geopolitical tensions, or record inflation.</w:t>
      </w:r>
    </w:p>
    <w:p>
      <w:pPr>
        <w:spacing w:after="0" w:line="200" w:lineRule="exact"/>
        <w:rPr>
          <w:sz w:val="20"/>
          <w:szCs w:val="20"/>
          <w:color w:val="auto"/>
        </w:rPr>
      </w:pPr>
    </w:p>
    <w:p>
      <w:pPr>
        <w:ind w:right="180" w:firstLine="720"/>
        <w:spacing w:after="0" w:line="263" w:lineRule="auto"/>
        <w:rPr>
          <w:sz w:val="20"/>
          <w:szCs w:val="20"/>
          <w:color w:val="auto"/>
        </w:rPr>
      </w:pPr>
      <w:r>
        <w:rPr>
          <w:rFonts w:ascii="Times New Roman" w:cs="Times New Roman" w:eastAsia="Times New Roman" w:hAnsi="Times New Roman"/>
          <w:sz w:val="19"/>
          <w:szCs w:val="19"/>
          <w:color w:val="231F20"/>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4"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Additionally, the military conflict in Ukraine has led to sanctions and other penalties being levied by the United States, European Union and other countries against Russia. Additional potential sanctions and penalties have also been proposed and/or threatened. Most recently, in December 2025, the EU extended its existing economic sanctions for an additional six months, keeping them in effect until July 31, 2026. Russian military actions and the resulting sanctions could adversely affect the global economy and financial markets and lead to instability and lack of liquidity in capital markets, potentially making it more difficult for us to obtain additional funds.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46</w:t>
      </w:r>
    </w:p>
    <w:p>
      <w:pPr>
        <w:sectPr>
          <w:pgSz w:w="12240" w:h="15840" w:orient="portrait"/>
          <w:cols w:equalWidth="0" w:num="1">
            <w:col w:w="9360"/>
          </w:cols>
          <w:pgMar w:left="1440" w:top="1420" w:right="1440" w:bottom="174" w:gutter="0" w:footer="0" w:header="0"/>
          <w:type w:val="continuous"/>
        </w:sectPr>
      </w:pPr>
    </w:p>
    <w:bookmarkStart w:id="48" w:name="page49"/>
    <w:bookmarkEnd w:id="48"/>
    <w:p>
      <w:pPr>
        <w:jc w:val="both"/>
        <w:ind w:right="80" w:firstLine="720"/>
        <w:spacing w:after="0" w:line="249" w:lineRule="auto"/>
        <w:rPr>
          <w:sz w:val="20"/>
          <w:szCs w:val="20"/>
          <w:color w:val="auto"/>
        </w:rPr>
      </w:pPr>
      <w:r>
        <w:rPr>
          <w:rFonts w:ascii="Times New Roman" w:cs="Times New Roman" w:eastAsia="Times New Roman" w:hAnsi="Times New Roman"/>
          <w:sz w:val="20"/>
          <w:szCs w:val="20"/>
          <w:color w:val="231F20"/>
        </w:rPr>
        <w:t>Although our business has not been materially impacted by these geopolitical issues, or the U.S. domestic political climate,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Political uncertainty may have an adverse impact on our operating performance and results of operations.</w:t>
      </w:r>
    </w:p>
    <w:p>
      <w:pPr>
        <w:spacing w:after="0" w:line="240" w:lineRule="exact"/>
        <w:rPr>
          <w:sz w:val="20"/>
          <w:szCs w:val="20"/>
          <w:color w:val="auto"/>
        </w:rPr>
      </w:pPr>
    </w:p>
    <w:p>
      <w:pPr>
        <w:ind w:right="40" w:firstLine="720"/>
        <w:spacing w:after="0" w:line="241" w:lineRule="auto"/>
        <w:rPr>
          <w:sz w:val="20"/>
          <w:szCs w:val="20"/>
          <w:color w:val="auto"/>
        </w:rPr>
      </w:pPr>
      <w:r>
        <w:rPr>
          <w:rFonts w:ascii="Times New Roman" w:cs="Times New Roman" w:eastAsia="Times New Roman" w:hAnsi="Times New Roman"/>
          <w:sz w:val="20"/>
          <w:szCs w:val="20"/>
          <w:color w:val="231F20"/>
        </w:rPr>
        <w:t>General political uncertainty may have an adverse impact on our operating performance and results of operations. In particular, the U.S. continues to experience significant political events that cast uncertainty on the U.S. and global financial and economic markets. For example, on October 1, 2025, the U.S. federal government commenced a shutdown due to an impasse over funding for the 2026 fiscal year, impacting a number of federal services, including essential services such as Medicare and Medicaid, and it is uncertain when it will end. In addition,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 Further, the U.S. announced a 100% tariff on any branded or patented pharmaceuticals imported into the U.S. from drug manufacturers that do not have, or are not in the process of building, a manufacturing facility in the U.S., which has been delayed as negotiations with large drug manufacturers continue. Although imposition of such tariffs was paused for negotiations, the threat remains significant. Recent developments indicate that, by early 2026, sixteen major pharmaceutical companies secured a three-year exemption from 100% tariffs on imported, branded, or patented drugs in exchange for commitments related to increasing domestic manufacturing and adopting most favored nation (MFN) pricing – aligning U.S. drug costs with lower international prices. While we currently do not anticipate a material impact from such tariffs on our business or operations, such tariffs, if and as they are implemented along with other policy changes, could have adverse implications on drug pricing, drug production levels and patient access, and may result in supply chain or other operational disruptions. Further,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w:t>
      </w:r>
    </w:p>
    <w:p>
      <w:pPr>
        <w:spacing w:after="0" w:line="22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Furthermore, in April 2025, the U.S. administration imposed increased tariffs on all countries and individualized “reciprocal” higher tariffs on certain countries with which the U.S. has the largest trade deficits. Certain countries responded by announcing retaliatory tariffs on U.S. imports. A few days later, the U.S. administration reduced the tariffs imposed on most countries to 10 percent for a period of 90 days to allow trade negotiations with those countries. This pause was initially set to expire on July 9, 2025, but was extended thereafter, with significant tariff changes taking effect with certain countries on August 1, 2025. Tariffs remain a dynamic issue and have become a central part of the U.S. trade policy, undergoing continuous expansion and modification, such as China’s tariffs being reduced in November 2025 and further actions in early 2026. Additionally, on January 17, 2026, President Trump announced 10% tariffs (increasing to 25% on June 1, 2026) on imports from eight European allies to pressure for a ‘deal’ regarding Greenland. It is presently unclear how these actions may impact the biopharmaceutical industry in the U.S. Any actions taken by the U.S. administration, including the many recent executive orders and tariff increases, may have a negative impact on the U.S. economy, global markets and on our business, financial condition, and results of operations.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47</w:t>
      </w:r>
    </w:p>
    <w:p>
      <w:pPr>
        <w:sectPr>
          <w:pgSz w:w="12240" w:h="15840" w:orient="portrait"/>
          <w:cols w:equalWidth="0" w:num="1">
            <w:col w:w="9360"/>
          </w:cols>
          <w:pgMar w:left="1440" w:top="1420" w:right="1440" w:bottom="174" w:gutter="0" w:footer="0" w:header="0"/>
          <w:type w:val="continuous"/>
        </w:sectPr>
      </w:pPr>
    </w:p>
    <w:bookmarkStart w:id="49" w:name="page50"/>
    <w:bookmarkEnd w:id="49"/>
    <w:p>
      <w:pPr>
        <w:ind w:firstLine="720"/>
        <w:spacing w:after="0" w:line="243" w:lineRule="auto"/>
        <w:rPr>
          <w:sz w:val="20"/>
          <w:szCs w:val="20"/>
          <w:color w:val="auto"/>
        </w:rPr>
      </w:pPr>
      <w:r>
        <w:rPr>
          <w:rFonts w:ascii="Times New Roman" w:cs="Times New Roman" w:eastAsia="Times New Roman" w:hAnsi="Times New Roman"/>
          <w:sz w:val="20"/>
          <w:szCs w:val="20"/>
          <w:color w:val="231F20"/>
        </w:rPr>
        <w:t>The new U.S. administration may also enact other new regulations or policies that affect trade with China or otherwise impact the pharmaceutical industry by enacting laws to restrict U.S. pharmaceutical companies from contracting with Chinese companies on the development, research or manufacturing of pharmaceutical products. In December 2025, the BIOSECURE Act was signed into law as part of the Fiscal Year 2026 National Defense Authorization Act, which restricts U.S. government agencies from purchasing or obtaining certain biotechnology equipment or services from “biotechnology companies of concern” (BCC), which includes certain Chinese biotech firms; entering, extending or renewing a contract with any entity using biotechnology equipment or services provided by a BCC to perform a government contract; or granting government funds or loans for such biotechnology equipment or services provided by a BCC. The BIOSECURE ACT may have significant implications for U.S. companies with government contracts that obtain biotechnology equipment or services from a BCC. In April 2025,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w:t>
      </w:r>
    </w:p>
    <w:p>
      <w:pPr>
        <w:spacing w:after="0" w:line="203"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Further, executive orders were signed to implement MFN drug pricing policies designed to align certain prescription drug prices in the U.S. to lower prices available in other countries. Investigations are being conducted to examine price differentials and consider policy approaches for implementation, including through administrative action. If such MFN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such proposed regulations and policies are unclear and the final terms and impact remain uncertain, and may pose long-term risks to our business and our future commercialization plans of our drug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manufacturer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206"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Climate change or legal, regulatory or market measures to address climate change may negatively affect our business, results of operations, cash flows and prospects.</w:t>
      </w:r>
    </w:p>
    <w:p>
      <w:pPr>
        <w:spacing w:after="0" w:line="169"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20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48</w:t>
      </w:r>
    </w:p>
    <w:p>
      <w:pPr>
        <w:sectPr>
          <w:pgSz w:w="12240" w:h="15840" w:orient="portrait"/>
          <w:cols w:equalWidth="0" w:num="1">
            <w:col w:w="9360"/>
          </w:cols>
          <w:pgMar w:left="1440" w:top="1420" w:right="1440" w:bottom="174" w:gutter="0" w:footer="0" w:header="0"/>
          <w:type w:val="continuous"/>
        </w:sectPr>
      </w:pPr>
    </w:p>
    <w:bookmarkStart w:id="50" w:name="page51"/>
    <w:bookmarkEnd w:id="50"/>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AND THE DEVELOPMENT OF OUR PRODUCT CANDIDATES</w:t>
      </w:r>
    </w:p>
    <w:p>
      <w:pPr>
        <w:spacing w:after="0" w:line="24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88"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231F20"/>
        </w:rPr>
        <w:t>We currently have three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AUVELITY, SUNOSI, and SYMBRAVO,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209"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231F20"/>
        </w:rPr>
        <w:t>Our product candidates will require additional clinical and non -clinical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spacing w:after="0" w:line="197"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231F20"/>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209"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Although we submitted NDAs to the FDA for AUVELITY (which was approved) and for SYMBRAVO (which received a complete response letter (CRL) and has now been approved) and for AXS-14 (which received a Refuse to File letter from the FDA, and which we plan to resubmit),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49</w:t>
      </w:r>
    </w:p>
    <w:p>
      <w:pPr>
        <w:sectPr>
          <w:pgSz w:w="12240" w:h="15840" w:orient="portrait"/>
          <w:cols w:equalWidth="0" w:num="1">
            <w:col w:w="9360"/>
          </w:cols>
          <w:pgMar w:left="1440" w:top="1420" w:right="1440" w:bottom="174" w:gutter="0" w:footer="0" w:header="0"/>
          <w:type w:val="continuous"/>
        </w:sectPr>
      </w:pPr>
    </w:p>
    <w:bookmarkStart w:id="51" w:name="page52"/>
    <w:bookmarkEnd w:id="51"/>
    <w:p>
      <w:pPr>
        <w:ind w:right="100" w:firstLine="720"/>
        <w:spacing w:after="0" w:line="245" w:lineRule="auto"/>
        <w:rPr>
          <w:sz w:val="20"/>
          <w:szCs w:val="20"/>
          <w:color w:val="auto"/>
        </w:rPr>
      </w:pPr>
      <w:r>
        <w:rPr>
          <w:rFonts w:ascii="Times New Roman" w:cs="Times New Roman" w:eastAsia="Times New Roman" w:hAnsi="Times New Roman"/>
          <w:sz w:val="20"/>
          <w:szCs w:val="20"/>
          <w:color w:val="231F20"/>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202" w:lineRule="exact"/>
        <w:rPr>
          <w:sz w:val="20"/>
          <w:szCs w:val="20"/>
          <w:color w:val="auto"/>
        </w:rPr>
      </w:pPr>
    </w:p>
    <w:p>
      <w:pPr>
        <w:ind w:right="300" w:firstLine="720"/>
        <w:spacing w:after="0" w:line="277" w:lineRule="auto"/>
        <w:rPr>
          <w:sz w:val="20"/>
          <w:szCs w:val="20"/>
          <w:color w:val="auto"/>
        </w:rPr>
      </w:pPr>
      <w:r>
        <w:rPr>
          <w:rFonts w:ascii="Times New Roman" w:cs="Times New Roman" w:eastAsia="Times New Roman" w:hAnsi="Times New Roman"/>
          <w:sz w:val="20"/>
          <w:szCs w:val="20"/>
          <w:color w:val="231F20"/>
        </w:rPr>
        <w:t>If approved for marketing by applicable regulatory authorities, our ability to generate revenues from our product candidates depend on our ability to:</w:t>
      </w:r>
    </w:p>
    <w:p>
      <w:pPr>
        <w:spacing w:after="0" w:line="169" w:lineRule="exact"/>
        <w:rPr>
          <w:sz w:val="20"/>
          <w:szCs w:val="20"/>
          <w:color w:val="auto"/>
        </w:rPr>
      </w:pPr>
    </w:p>
    <w:p>
      <w:pPr>
        <w:ind w:left="720" w:right="200" w:hanging="360"/>
        <w:spacing w:after="0" w:line="277" w:lineRule="auto"/>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create market demand for our product candidates through our own marketing and sales activities, and any other arrangements to promote these product candidates that we may otherwise establish;</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receive regulatory approval for claims that are necessary or desirable for successful marketing;</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hire, train, and deploy a sales force to commercialize our product candidates;</w:t>
      </w:r>
    </w:p>
    <w:p>
      <w:pPr>
        <w:spacing w:after="0" w:line="240" w:lineRule="exact"/>
        <w:rPr>
          <w:rFonts w:ascii="Arial" w:cs="Arial" w:eastAsia="Arial" w:hAnsi="Arial"/>
          <w:sz w:val="18"/>
          <w:szCs w:val="18"/>
          <w:color w:val="231F20"/>
        </w:rPr>
      </w:pPr>
    </w:p>
    <w:p>
      <w:pPr>
        <w:ind w:left="720" w:right="200" w:hanging="360"/>
        <w:spacing w:after="0" w:line="277" w:lineRule="auto"/>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manufacture (or have manufactured by third parties) our product candidates in sufficient quantities and at acceptable quality and manufacturing cost to meet commercial demand at launch and thereafter;</w:t>
      </w:r>
    </w:p>
    <w:p>
      <w:pPr>
        <w:spacing w:after="0" w:line="169" w:lineRule="exact"/>
        <w:rPr>
          <w:rFonts w:ascii="Arial" w:cs="Arial" w:eastAsia="Arial" w:hAnsi="Arial"/>
          <w:sz w:val="18"/>
          <w:szCs w:val="18"/>
          <w:color w:val="231F20"/>
        </w:rPr>
      </w:pPr>
    </w:p>
    <w:p>
      <w:pPr>
        <w:ind w:left="720" w:right="260" w:hanging="360"/>
        <w:spacing w:after="0" w:line="277" w:lineRule="auto"/>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establish and maintain agreements with wholesalers, distributors, and group purchasing organizations on commercially reasonable terms;</w:t>
      </w:r>
    </w:p>
    <w:p>
      <w:pPr>
        <w:spacing w:after="0" w:line="169" w:lineRule="exact"/>
        <w:rPr>
          <w:rFonts w:ascii="Arial" w:cs="Arial" w:eastAsia="Arial" w:hAnsi="Arial"/>
          <w:sz w:val="18"/>
          <w:szCs w:val="18"/>
          <w:color w:val="231F20"/>
        </w:rPr>
      </w:pPr>
    </w:p>
    <w:p>
      <w:pPr>
        <w:ind w:left="720" w:right="400" w:hanging="360"/>
        <w:spacing w:after="0" w:line="277" w:lineRule="auto"/>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create partnerships with, or offer licenses to, third parties to promote and sell our product candidates in foreign markets where we receive marketing approval;</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maintain patent and trade secret protection and regulatory exclusivity for our product candidates;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launch commercial sales of our product candidates, whether alone or in collaboration with others;</w:t>
      </w:r>
    </w:p>
    <w:p>
      <w:pPr>
        <w:spacing w:after="0" w:line="240" w:lineRule="exact"/>
        <w:rPr>
          <w:rFonts w:ascii="Arial" w:cs="Arial" w:eastAsia="Arial" w:hAnsi="Arial"/>
          <w:sz w:val="18"/>
          <w:szCs w:val="18"/>
          <w:color w:val="231F20"/>
        </w:rPr>
      </w:pPr>
    </w:p>
    <w:p>
      <w:pPr>
        <w:ind w:left="720" w:right="100" w:hanging="360"/>
        <w:spacing w:after="0" w:line="255" w:lineRule="exact"/>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achieve market acceptance of our product candidates by patients, the medical community, and government and private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payors;</w:t>
      </w:r>
    </w:p>
    <w:p>
      <w:pPr>
        <w:spacing w:after="0" w:line="220" w:lineRule="exact"/>
        <w:rPr>
          <w:rFonts w:ascii="Arial" w:cs="Arial" w:eastAsia="Arial" w:hAnsi="Arial"/>
          <w:sz w:val="18"/>
          <w:szCs w:val="18"/>
          <w:color w:val="231F20"/>
        </w:rPr>
      </w:pPr>
    </w:p>
    <w:p>
      <w:pPr>
        <w:ind w:left="720" w:hanging="360"/>
        <w:spacing w:after="0"/>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achieve appropriate reimbursement for our product candidates;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effectively compete with other therapies; and</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5"/>
        </w:numPr>
        <w:rPr>
          <w:rFonts w:ascii="Arial" w:cs="Arial" w:eastAsia="Arial" w:hAnsi="Arial"/>
          <w:sz w:val="18"/>
          <w:szCs w:val="18"/>
          <w:color w:val="231F20"/>
        </w:rPr>
      </w:pPr>
      <w:r>
        <w:rPr>
          <w:rFonts w:ascii="Times New Roman" w:cs="Times New Roman" w:eastAsia="Times New Roman" w:hAnsi="Times New Roman"/>
          <w:sz w:val="20"/>
          <w:szCs w:val="20"/>
          <w:color w:val="231F20"/>
        </w:rPr>
        <w:t>maintain a continued acceptable safety profile of our product candidates following launch.</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50</w:t>
      </w:r>
    </w:p>
    <w:p>
      <w:pPr>
        <w:sectPr>
          <w:pgSz w:w="12240" w:h="15840" w:orient="portrait"/>
          <w:cols w:equalWidth="0" w:num="1">
            <w:col w:w="9360"/>
          </w:cols>
          <w:pgMar w:left="1440" w:top="1420" w:right="1440" w:bottom="174" w:gutter="0" w:footer="0" w:header="0"/>
          <w:type w:val="continuous"/>
        </w:sectPr>
      </w:pPr>
    </w:p>
    <w:bookmarkStart w:id="52" w:name="page53"/>
    <w:bookmarkEnd w:id="52"/>
    <w:p>
      <w:pPr>
        <w:jc w:val="both"/>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88"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2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8"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231F20"/>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additional indications, AXS-05 for the treatment of AD agitation and smoking cessation,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Note 15. License Agreements, we are required to pay to an entity owned by our Chief Executive Officer and Chairman of the Board certain royalty payments related to any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88" w:lineRule="exact"/>
        <w:rPr>
          <w:sz w:val="20"/>
          <w:szCs w:val="20"/>
          <w:color w:val="auto"/>
        </w:rPr>
      </w:pPr>
    </w:p>
    <w:p>
      <w:pPr>
        <w:ind w:right="340" w:firstLine="720"/>
        <w:spacing w:after="0" w:line="258" w:lineRule="auto"/>
        <w:rPr>
          <w:sz w:val="20"/>
          <w:szCs w:val="20"/>
          <w:color w:val="auto"/>
        </w:rPr>
      </w:pPr>
      <w:r>
        <w:rPr>
          <w:rFonts w:ascii="Times New Roman" w:cs="Times New Roman" w:eastAsia="Times New Roman" w:hAnsi="Times New Roman"/>
          <w:sz w:val="20"/>
          <w:szCs w:val="20"/>
          <w:color w:val="231F20"/>
        </w:rPr>
        <w:t>A component of our business strategy is to continue to develop a pipeline of product candidates by developing products that we believe are a strategic fit with our focus on CNS therapies. However, these business activities may entail numerous operational and financial risks, including:</w:t>
      </w:r>
    </w:p>
    <w:p>
      <w:pPr>
        <w:spacing w:after="0" w:line="188" w:lineRule="exact"/>
        <w:rPr>
          <w:sz w:val="20"/>
          <w:szCs w:val="20"/>
          <w:color w:val="auto"/>
        </w:rPr>
      </w:pPr>
    </w:p>
    <w:p>
      <w:pPr>
        <w:ind w:left="720" w:hanging="360"/>
        <w:spacing w:after="0"/>
        <w:tabs>
          <w:tab w:leader="none" w:pos="720" w:val="left"/>
        </w:tabs>
        <w:numPr>
          <w:ilvl w:val="0"/>
          <w:numId w:val="16"/>
        </w:numPr>
        <w:rPr>
          <w:rFonts w:ascii="Arial" w:cs="Arial" w:eastAsia="Arial" w:hAnsi="Arial"/>
          <w:sz w:val="18"/>
          <w:szCs w:val="18"/>
          <w:color w:val="231F20"/>
        </w:rPr>
      </w:pPr>
      <w:r>
        <w:rPr>
          <w:rFonts w:ascii="Times New Roman" w:cs="Times New Roman" w:eastAsia="Times New Roman" w:hAnsi="Times New Roman"/>
          <w:sz w:val="20"/>
          <w:szCs w:val="20"/>
          <w:color w:val="231F20"/>
        </w:rPr>
        <w:t>difficulty or inability to secure financing to fund business activities for such development;</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51</w:t>
      </w:r>
    </w:p>
    <w:p>
      <w:pPr>
        <w:sectPr>
          <w:pgSz w:w="12240" w:h="15840" w:orient="portrait"/>
          <w:cols w:equalWidth="0" w:num="1">
            <w:col w:w="9360"/>
          </w:cols>
          <w:pgMar w:left="1440" w:top="1420" w:right="1440" w:bottom="174" w:gutter="0" w:footer="0" w:header="0"/>
          <w:type w:val="continuous"/>
        </w:sectPr>
      </w:pPr>
    </w:p>
    <w:bookmarkStart w:id="53" w:name="page54"/>
    <w:bookmarkEnd w:id="53"/>
    <w:p>
      <w:pPr>
        <w:ind w:left="720" w:hanging="360"/>
        <w:spacing w:after="0"/>
        <w:tabs>
          <w:tab w:leader="none" w:pos="720" w:val="left"/>
        </w:tabs>
        <w:numPr>
          <w:ilvl w:val="0"/>
          <w:numId w:val="17"/>
        </w:numPr>
        <w:rPr>
          <w:rFonts w:ascii="Arial" w:cs="Arial" w:eastAsia="Arial" w:hAnsi="Arial"/>
          <w:sz w:val="18"/>
          <w:szCs w:val="18"/>
          <w:color w:val="231F20"/>
        </w:rPr>
      </w:pPr>
      <w:r>
        <w:rPr>
          <w:rFonts w:ascii="Times New Roman" w:cs="Times New Roman" w:eastAsia="Times New Roman" w:hAnsi="Times New Roman"/>
          <w:sz w:val="20"/>
          <w:szCs w:val="20"/>
          <w:color w:val="231F20"/>
        </w:rPr>
        <w:t>disruption of our business and diversion of our management’s time and attention;</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7"/>
        </w:numPr>
        <w:rPr>
          <w:rFonts w:ascii="Arial" w:cs="Arial" w:eastAsia="Arial" w:hAnsi="Arial"/>
          <w:sz w:val="18"/>
          <w:szCs w:val="18"/>
          <w:color w:val="231F20"/>
        </w:rPr>
      </w:pPr>
      <w:r>
        <w:rPr>
          <w:rFonts w:ascii="Times New Roman" w:cs="Times New Roman" w:eastAsia="Times New Roman" w:hAnsi="Times New Roman"/>
          <w:sz w:val="20"/>
          <w:szCs w:val="20"/>
          <w:color w:val="231F20"/>
        </w:rPr>
        <w:t>higher than expected development costs;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7"/>
        </w:numPr>
        <w:rPr>
          <w:rFonts w:ascii="Arial" w:cs="Arial" w:eastAsia="Arial" w:hAnsi="Arial"/>
          <w:sz w:val="18"/>
          <w:szCs w:val="18"/>
          <w:color w:val="231F20"/>
        </w:rPr>
      </w:pPr>
      <w:r>
        <w:rPr>
          <w:rFonts w:ascii="Times New Roman" w:cs="Times New Roman" w:eastAsia="Times New Roman" w:hAnsi="Times New Roman"/>
          <w:sz w:val="20"/>
          <w:szCs w:val="20"/>
          <w:color w:val="231F20"/>
        </w:rPr>
        <w:t>exposure to unknown liabilities;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7"/>
        </w:numPr>
        <w:rPr>
          <w:rFonts w:ascii="Arial" w:cs="Arial" w:eastAsia="Arial" w:hAnsi="Arial"/>
          <w:sz w:val="18"/>
          <w:szCs w:val="18"/>
          <w:color w:val="231F20"/>
        </w:rPr>
      </w:pPr>
      <w:r>
        <w:rPr>
          <w:rFonts w:ascii="Times New Roman" w:cs="Times New Roman" w:eastAsia="Times New Roman" w:hAnsi="Times New Roman"/>
          <w:sz w:val="20"/>
          <w:szCs w:val="20"/>
          <w:color w:val="231F20"/>
        </w:rPr>
        <w:t>difficulty in managing multiple product development programs; and</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7"/>
        </w:numPr>
        <w:rPr>
          <w:rFonts w:ascii="Arial" w:cs="Arial" w:eastAsia="Arial" w:hAnsi="Arial"/>
          <w:sz w:val="18"/>
          <w:szCs w:val="18"/>
          <w:color w:val="231F20"/>
        </w:rPr>
      </w:pPr>
      <w:r>
        <w:rPr>
          <w:rFonts w:ascii="Times New Roman" w:cs="Times New Roman" w:eastAsia="Times New Roman" w:hAnsi="Times New Roman"/>
          <w:sz w:val="20"/>
          <w:szCs w:val="20"/>
          <w:color w:val="231F20"/>
        </w:rPr>
        <w:t>inability to successfully develop new products or clinical failure.</w:t>
      </w:r>
    </w:p>
    <w:p>
      <w:pPr>
        <w:spacing w:after="0" w:line="24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For instance, we received a Refuse to File from the FDA relating to the Company’s product candidate AXS-14 for the management of fibromyalgia in June 2025. Likewise, our prior efforts have resulted in our decision not to further develop certain product candidates that, at one time, appeared to be promising.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20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97"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We are not permitted to commercialize, market, promote, or sell any product candidate in the United States without obtaining marketing approval from the FDA. In the EU, we are not permitted to commercialize, market, promote, or sell any product candidate without obtaining marketing approval from the EC or national competent authorities at the EU member state level.</w:t>
      </w:r>
    </w:p>
    <w:p>
      <w:pPr>
        <w:spacing w:after="0" w:line="194"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In the United States, we currently plan to, at least initially, seek approval of some of our product candidates using the 505(b)(2) pathway. These 505(b)(2) product candidates include additional indications for AXS-05. The FDA interprets Section 505(b)(2) of the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200" w:lineRule="exact"/>
        <w:rPr>
          <w:sz w:val="20"/>
          <w:szCs w:val="20"/>
          <w:color w:val="auto"/>
        </w:rPr>
      </w:pPr>
    </w:p>
    <w:p>
      <w:pPr>
        <w:ind w:right="20" w:firstLine="720"/>
        <w:spacing w:after="0" w:line="239" w:lineRule="exact"/>
        <w:rPr>
          <w:sz w:val="20"/>
          <w:szCs w:val="20"/>
          <w:color w:val="auto"/>
        </w:rPr>
      </w:pPr>
      <w:r>
        <w:rPr>
          <w:rFonts w:ascii="Times New Roman" w:cs="Times New Roman" w:eastAsia="Times New Roman" w:hAnsi="Times New Roman"/>
          <w:sz w:val="20"/>
          <w:szCs w:val="20"/>
          <w:color w:val="231F20"/>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wide warnings. For instance, antidepressants, including AUVELITY, include a class</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wide black box warning regarding the increased risk of suicidal thoughts and behavior.</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52</w:t>
      </w:r>
    </w:p>
    <w:p>
      <w:pPr>
        <w:sectPr>
          <w:pgSz w:w="12240" w:h="15840" w:orient="portrait"/>
          <w:cols w:equalWidth="0" w:num="1">
            <w:col w:w="9360"/>
          </w:cols>
          <w:pgMar w:left="1440" w:top="1420" w:right="1440" w:bottom="174" w:gutter="0" w:footer="0" w:header="0"/>
          <w:type w:val="continuous"/>
        </w:sectPr>
      </w:pPr>
    </w:p>
    <w:bookmarkStart w:id="54" w:name="page55"/>
    <w:bookmarkEnd w:id="54"/>
    <w:p>
      <w:pPr>
        <w:ind w:firstLine="720"/>
        <w:spacing w:after="0" w:line="243" w:lineRule="auto"/>
        <w:rPr>
          <w:sz w:val="20"/>
          <w:szCs w:val="20"/>
          <w:color w:val="auto"/>
        </w:rPr>
      </w:pPr>
      <w:r>
        <w:rPr>
          <w:rFonts w:ascii="Times New Roman" w:cs="Times New Roman" w:eastAsia="Times New Roman" w:hAnsi="Times New Roman"/>
          <w:sz w:val="20"/>
          <w:szCs w:val="20"/>
          <w:color w:val="231F20"/>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submitted NDAs for AUVELITY and SYMBRAVO pursuant to the 505(b)(2) process, we have not conducted certain additional clinical trials for these products and, as such, we will have less experience with actual testing of these products.</w:t>
      </w:r>
    </w:p>
    <w:p>
      <w:pPr>
        <w:spacing w:after="0" w:line="206"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20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20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94"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The timeline for review and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IRB approval, or otherwise cause delays in the approval or rejection of an application. To date, we have submitted two NDAs to the FDA and have obtained regulatory approval for both of our product candidates, AUVELITY and SYMBRAVO.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53</w:t>
      </w:r>
    </w:p>
    <w:p>
      <w:pPr>
        <w:sectPr>
          <w:pgSz w:w="12240" w:h="15840" w:orient="portrait"/>
          <w:cols w:equalWidth="0" w:num="1">
            <w:col w:w="9360"/>
          </w:cols>
          <w:pgMar w:left="1440" w:top="1420" w:right="1440" w:bottom="174" w:gutter="0" w:footer="0" w:header="0"/>
          <w:type w:val="continuous"/>
        </w:sectPr>
      </w:pPr>
    </w:p>
    <w:bookmarkStart w:id="55" w:name="page56"/>
    <w:bookmarkEnd w:id="55"/>
    <w:p>
      <w:pPr>
        <w:ind w:right="80" w:firstLine="720"/>
        <w:spacing w:after="0" w:line="243" w:lineRule="auto"/>
        <w:rPr>
          <w:sz w:val="20"/>
          <w:szCs w:val="20"/>
          <w:color w:val="auto"/>
        </w:rPr>
      </w:pPr>
      <w:r>
        <w:rPr>
          <w:rFonts w:ascii="Times New Roman" w:cs="Times New Roman" w:eastAsia="Times New Roman" w:hAnsi="Times New Roman"/>
          <w:sz w:val="20"/>
          <w:szCs w:val="20"/>
          <w:color w:val="231F20"/>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and/or national competent authorities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 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206" w:lineRule="exact"/>
        <w:rPr>
          <w:sz w:val="20"/>
          <w:szCs w:val="20"/>
          <w:color w:val="auto"/>
        </w:rPr>
      </w:pPr>
    </w:p>
    <w:p>
      <w:pPr>
        <w:ind w:right="20" w:firstLine="720"/>
        <w:spacing w:after="0" w:line="236" w:lineRule="exact"/>
        <w:rPr>
          <w:sz w:val="20"/>
          <w:szCs w:val="20"/>
          <w:color w:val="auto"/>
        </w:rPr>
      </w:pPr>
      <w:r>
        <w:rPr>
          <w:rFonts w:ascii="Times New Roman" w:cs="Times New Roman" w:eastAsia="Times New Roman" w:hAnsi="Times New Roman"/>
          <w:sz w:val="20"/>
          <w:szCs w:val="20"/>
          <w:color w:val="231F20"/>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207"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231F20"/>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88" w:lineRule="exact"/>
        <w:rPr>
          <w:sz w:val="20"/>
          <w:szCs w:val="20"/>
          <w:color w:val="auto"/>
        </w:rPr>
      </w:pPr>
    </w:p>
    <w:p>
      <w:pPr>
        <w:ind w:left="720" w:right="520" w:hanging="360"/>
        <w:spacing w:after="0" w:line="277" w:lineRule="auto"/>
        <w:tabs>
          <w:tab w:leader="none" w:pos="720" w:val="left"/>
        </w:tabs>
        <w:numPr>
          <w:ilvl w:val="0"/>
          <w:numId w:val="18"/>
        </w:numPr>
        <w:rPr>
          <w:rFonts w:ascii="Arial" w:cs="Arial" w:eastAsia="Arial" w:hAnsi="Arial"/>
          <w:sz w:val="18"/>
          <w:szCs w:val="18"/>
          <w:color w:val="231F20"/>
        </w:rPr>
      </w:pPr>
      <w:r>
        <w:rPr>
          <w:rFonts w:ascii="Times New Roman" w:cs="Times New Roman" w:eastAsia="Times New Roman" w:hAnsi="Times New Roman"/>
          <w:sz w:val="20"/>
          <w:szCs w:val="20"/>
          <w:color w:val="231F20"/>
        </w:rPr>
        <w:t>regulators or IRBs may not authorize us or our investigators to commence a clinical trial or conduct a clinical trial at a prospective trial site or amend trial protocols;</w:t>
      </w:r>
    </w:p>
    <w:p>
      <w:pPr>
        <w:spacing w:after="0" w:line="169" w:lineRule="exact"/>
        <w:rPr>
          <w:rFonts w:ascii="Arial" w:cs="Arial" w:eastAsia="Arial" w:hAnsi="Arial"/>
          <w:sz w:val="18"/>
          <w:szCs w:val="18"/>
          <w:color w:val="231F20"/>
        </w:rPr>
      </w:pPr>
    </w:p>
    <w:p>
      <w:pPr>
        <w:ind w:left="720" w:right="240" w:hanging="360"/>
        <w:spacing w:after="0" w:line="277" w:lineRule="auto"/>
        <w:tabs>
          <w:tab w:leader="none" w:pos="720" w:val="left"/>
        </w:tabs>
        <w:numPr>
          <w:ilvl w:val="0"/>
          <w:numId w:val="18"/>
        </w:numPr>
        <w:rPr>
          <w:rFonts w:ascii="Arial" w:cs="Arial" w:eastAsia="Arial" w:hAnsi="Arial"/>
          <w:sz w:val="18"/>
          <w:szCs w:val="18"/>
          <w:color w:val="231F20"/>
        </w:rPr>
      </w:pPr>
      <w:r>
        <w:rPr>
          <w:rFonts w:ascii="Times New Roman" w:cs="Times New Roman" w:eastAsia="Times New Roman" w:hAnsi="Times New Roman"/>
          <w:sz w:val="20"/>
          <w:szCs w:val="20"/>
          <w:color w:val="231F20"/>
        </w:rPr>
        <w:t>we may experience delays in reaching, or fail to reach, agreement on acceptable clinical trial contracts or clinical trial protocols with prospective trial sites and our CROs;</w:t>
      </w:r>
    </w:p>
    <w:p>
      <w:pPr>
        <w:spacing w:after="0" w:line="169" w:lineRule="exact"/>
        <w:rPr>
          <w:rFonts w:ascii="Arial" w:cs="Arial" w:eastAsia="Arial" w:hAnsi="Arial"/>
          <w:sz w:val="18"/>
          <w:szCs w:val="18"/>
          <w:color w:val="231F20"/>
        </w:rPr>
      </w:pPr>
    </w:p>
    <w:p>
      <w:pPr>
        <w:ind w:left="720" w:right="80" w:hanging="360"/>
        <w:spacing w:after="0" w:line="258" w:lineRule="auto"/>
        <w:tabs>
          <w:tab w:leader="none" w:pos="720" w:val="left"/>
        </w:tabs>
        <w:numPr>
          <w:ilvl w:val="0"/>
          <w:numId w:val="18"/>
        </w:numPr>
        <w:rPr>
          <w:rFonts w:ascii="Arial" w:cs="Arial" w:eastAsia="Arial" w:hAnsi="Arial"/>
          <w:sz w:val="18"/>
          <w:szCs w:val="18"/>
          <w:color w:val="231F20"/>
        </w:rPr>
      </w:pPr>
      <w:r>
        <w:rPr>
          <w:rFonts w:ascii="Times New Roman" w:cs="Times New Roman" w:eastAsia="Times New Roman" w:hAnsi="Times New Roman"/>
          <w:sz w:val="20"/>
          <w:szCs w:val="20"/>
          <w:color w:val="231F20"/>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88" w:lineRule="exact"/>
        <w:rPr>
          <w:rFonts w:ascii="Arial" w:cs="Arial" w:eastAsia="Arial" w:hAnsi="Arial"/>
          <w:sz w:val="18"/>
          <w:szCs w:val="18"/>
          <w:color w:val="231F20"/>
        </w:rPr>
      </w:pPr>
    </w:p>
    <w:p>
      <w:pPr>
        <w:ind w:left="720" w:right="380" w:hanging="360"/>
        <w:spacing w:after="0" w:line="258" w:lineRule="auto"/>
        <w:tabs>
          <w:tab w:leader="none" w:pos="720" w:val="left"/>
        </w:tabs>
        <w:numPr>
          <w:ilvl w:val="0"/>
          <w:numId w:val="18"/>
        </w:numPr>
        <w:rPr>
          <w:rFonts w:ascii="Arial" w:cs="Arial" w:eastAsia="Arial" w:hAnsi="Arial"/>
          <w:sz w:val="18"/>
          <w:szCs w:val="18"/>
          <w:color w:val="231F20"/>
        </w:rPr>
      </w:pPr>
      <w:r>
        <w:rPr>
          <w:rFonts w:ascii="Times New Roman" w:cs="Times New Roman" w:eastAsia="Times New Roman" w:hAnsi="Times New Roman"/>
          <w:sz w:val="20"/>
          <w:szCs w:val="20"/>
          <w:color w:val="231F20"/>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88" w:lineRule="exact"/>
        <w:rPr>
          <w:rFonts w:ascii="Arial" w:cs="Arial" w:eastAsia="Arial" w:hAnsi="Arial"/>
          <w:sz w:val="18"/>
          <w:szCs w:val="18"/>
          <w:color w:val="231F20"/>
        </w:rPr>
      </w:pPr>
    </w:p>
    <w:p>
      <w:pPr>
        <w:ind w:left="720" w:right="60" w:hanging="360"/>
        <w:spacing w:after="0" w:line="258" w:lineRule="auto"/>
        <w:tabs>
          <w:tab w:leader="none" w:pos="720" w:val="left"/>
        </w:tabs>
        <w:numPr>
          <w:ilvl w:val="0"/>
          <w:numId w:val="18"/>
        </w:numPr>
        <w:rPr>
          <w:rFonts w:ascii="Arial" w:cs="Arial" w:eastAsia="Arial" w:hAnsi="Arial"/>
          <w:sz w:val="18"/>
          <w:szCs w:val="18"/>
          <w:color w:val="231F20"/>
        </w:rPr>
      </w:pPr>
      <w:r>
        <w:rPr>
          <w:rFonts w:ascii="Times New Roman" w:cs="Times New Roman" w:eastAsia="Times New Roman" w:hAnsi="Times New Roman"/>
          <w:sz w:val="20"/>
          <w:szCs w:val="20"/>
          <w:color w:val="231F20"/>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203" w:lineRule="exact"/>
        <w:rPr>
          <w:rFonts w:ascii="Arial" w:cs="Arial" w:eastAsia="Arial" w:hAnsi="Arial"/>
          <w:sz w:val="18"/>
          <w:szCs w:val="18"/>
          <w:color w:val="231F20"/>
        </w:rPr>
      </w:pPr>
    </w:p>
    <w:p>
      <w:pPr>
        <w:ind w:left="720" w:right="60" w:hanging="360"/>
        <w:spacing w:after="0" w:line="247" w:lineRule="exact"/>
        <w:tabs>
          <w:tab w:leader="none" w:pos="720" w:val="left"/>
        </w:tabs>
        <w:numPr>
          <w:ilvl w:val="0"/>
          <w:numId w:val="18"/>
        </w:numPr>
        <w:rPr>
          <w:rFonts w:ascii="Arial" w:cs="Arial" w:eastAsia="Arial" w:hAnsi="Arial"/>
          <w:sz w:val="18"/>
          <w:szCs w:val="18"/>
          <w:color w:val="231F20"/>
        </w:rPr>
      </w:pPr>
      <w:r>
        <w:rPr>
          <w:rFonts w:ascii="Times New Roman" w:cs="Times New Roman" w:eastAsia="Times New Roman" w:hAnsi="Times New Roman"/>
          <w:sz w:val="20"/>
          <w:szCs w:val="20"/>
          <w:color w:val="231F20"/>
        </w:rPr>
        <w:t>our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contractors may fail to comply with regulatory requirements or the clinical trial protocol, or meet their contractual obligations to us in a timely manner, or at all, or we may be required to engage in additional clinical trial site monitoring;</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54</w:t>
      </w:r>
    </w:p>
    <w:p>
      <w:pPr>
        <w:sectPr>
          <w:pgSz w:w="12240" w:h="15840" w:orient="portrait"/>
          <w:cols w:equalWidth="0" w:num="1">
            <w:col w:w="9360"/>
          </w:cols>
          <w:pgMar w:left="1440" w:top="1420" w:right="1440" w:bottom="174" w:gutter="0" w:footer="0" w:header="0"/>
          <w:type w:val="continuous"/>
        </w:sectPr>
      </w:pPr>
    </w:p>
    <w:bookmarkStart w:id="56" w:name="page57"/>
    <w:bookmarkEnd w:id="56"/>
    <w:p>
      <w:pPr>
        <w:ind w:left="720" w:hanging="360"/>
        <w:spacing w:after="0" w:line="247" w:lineRule="auto"/>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99" w:lineRule="exact"/>
        <w:rPr>
          <w:rFonts w:ascii="Arial" w:cs="Arial" w:eastAsia="Arial" w:hAnsi="Arial"/>
          <w:sz w:val="18"/>
          <w:szCs w:val="18"/>
          <w:color w:val="231F20"/>
        </w:rPr>
      </w:pPr>
    </w:p>
    <w:p>
      <w:pPr>
        <w:ind w:left="720" w:right="320" w:hanging="360"/>
        <w:spacing w:after="0" w:line="277" w:lineRule="auto"/>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changes in marketing approval policies during the development period rendering our data insufficient to obtain marketing approval;</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changes in or the enactment of additional statutes or regulations;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changes in regulatory review for each submitted product application;</w:t>
      </w:r>
    </w:p>
    <w:p>
      <w:pPr>
        <w:spacing w:after="0" w:line="240" w:lineRule="exact"/>
        <w:rPr>
          <w:rFonts w:ascii="Arial" w:cs="Arial" w:eastAsia="Arial" w:hAnsi="Arial"/>
          <w:sz w:val="18"/>
          <w:szCs w:val="18"/>
          <w:color w:val="231F20"/>
        </w:rPr>
      </w:pPr>
    </w:p>
    <w:p>
      <w:pPr>
        <w:ind w:left="720" w:right="140" w:hanging="360"/>
        <w:spacing w:after="0" w:line="258" w:lineRule="auto"/>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the cost of clinical trials of our product candidates may be greater than we anticipate, or we may have insufficient funds for a clinical trial or to pay the substantial user fees required by the FDA upon the filing of an NDA;</w:t>
      </w:r>
    </w:p>
    <w:p>
      <w:pPr>
        <w:spacing w:after="0" w:line="188" w:lineRule="exact"/>
        <w:rPr>
          <w:rFonts w:ascii="Arial" w:cs="Arial" w:eastAsia="Arial" w:hAnsi="Arial"/>
          <w:sz w:val="18"/>
          <w:szCs w:val="18"/>
          <w:color w:val="231F20"/>
        </w:rPr>
      </w:pPr>
    </w:p>
    <w:p>
      <w:pPr>
        <w:ind w:left="720" w:right="100" w:hanging="360"/>
        <w:spacing w:after="0" w:line="277" w:lineRule="auto"/>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the supply or quality of our product candidates or other materials necessary to conduct clinical trials of our product candidates may be insufficient or inadequate;</w:t>
      </w:r>
    </w:p>
    <w:p>
      <w:pPr>
        <w:spacing w:after="0" w:line="169" w:lineRule="exact"/>
        <w:rPr>
          <w:rFonts w:ascii="Arial" w:cs="Arial" w:eastAsia="Arial" w:hAnsi="Arial"/>
          <w:sz w:val="18"/>
          <w:szCs w:val="18"/>
          <w:color w:val="231F20"/>
        </w:rPr>
      </w:pPr>
    </w:p>
    <w:p>
      <w:pPr>
        <w:ind w:left="720" w:right="20" w:hanging="360"/>
        <w:spacing w:after="0" w:line="244" w:lineRule="auto"/>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we may decide, or regulators may require us, to conduct additional clinical trials, analyses, reports, data, or preclinical/non-clinical studies, or we may abandon product development programs. For instance, we relied on the completed Phase 2 trial and Phase 3 trial to support an NDA for AXS-14 for the management of fibromyalgia; however, we received a Refuse to File from the FDA. On January 15, 2026, we announced the initiation of the Phase 3 FORWARD trial, which we are conducting to address the FDA’s feedback. Furthermore, although we believe that we are able to rely on the Phase 2 CONCERT trial, Phase 3 SYMPHONY trial, and Phase 3 ENCORE trial to support an NDA for AXS-12 for the treatment of cataplexy and narcolepsy, the FDA could still require additional studies to support the approval of an NDA for this and other product candidates. The outcome of our studies may further necessitate additional clinical or preclinical work;</w:t>
      </w:r>
    </w:p>
    <w:p>
      <w:pPr>
        <w:spacing w:after="0" w:line="201" w:lineRule="exact"/>
        <w:rPr>
          <w:rFonts w:ascii="Arial" w:cs="Arial" w:eastAsia="Arial" w:hAnsi="Arial"/>
          <w:sz w:val="18"/>
          <w:szCs w:val="18"/>
          <w:color w:val="231F20"/>
        </w:rPr>
      </w:pPr>
    </w:p>
    <w:p>
      <w:pPr>
        <w:ind w:left="720" w:hanging="360"/>
        <w:spacing w:after="0"/>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we may fail to reach an agreement with regulators regarding the scope or design of our clinical trials;</w:t>
      </w:r>
    </w:p>
    <w:p>
      <w:pPr>
        <w:spacing w:after="0" w:line="240" w:lineRule="exact"/>
        <w:rPr>
          <w:rFonts w:ascii="Arial" w:cs="Arial" w:eastAsia="Arial" w:hAnsi="Arial"/>
          <w:sz w:val="18"/>
          <w:szCs w:val="18"/>
          <w:color w:val="231F20"/>
        </w:rPr>
      </w:pPr>
    </w:p>
    <w:p>
      <w:pPr>
        <w:ind w:left="720" w:right="180" w:hanging="360"/>
        <w:spacing w:after="0" w:line="277" w:lineRule="auto"/>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we may have delays in adding new investigators or clinical trial sites, or we may experience a withdrawal of clinical trial sites;</w:t>
      </w:r>
    </w:p>
    <w:p>
      <w:pPr>
        <w:spacing w:after="0" w:line="169" w:lineRule="exact"/>
        <w:rPr>
          <w:rFonts w:ascii="Arial" w:cs="Arial" w:eastAsia="Arial" w:hAnsi="Arial"/>
          <w:sz w:val="18"/>
          <w:szCs w:val="18"/>
          <w:color w:val="231F20"/>
        </w:rPr>
      </w:pPr>
    </w:p>
    <w:p>
      <w:pPr>
        <w:jc w:val="both"/>
        <w:ind w:left="720" w:right="160" w:hanging="360"/>
        <w:spacing w:after="0" w:line="258" w:lineRule="auto"/>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88" w:lineRule="exact"/>
        <w:rPr>
          <w:rFonts w:ascii="Arial" w:cs="Arial" w:eastAsia="Arial" w:hAnsi="Arial"/>
          <w:sz w:val="18"/>
          <w:szCs w:val="18"/>
          <w:color w:val="231F20"/>
        </w:rPr>
      </w:pPr>
    </w:p>
    <w:p>
      <w:pPr>
        <w:ind w:left="720" w:right="360" w:hanging="360"/>
        <w:spacing w:after="0" w:line="277" w:lineRule="auto"/>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there may be regulatory questions regarding interpretations of data and results, or new information may emerge regarding our product candidates;</w:t>
      </w:r>
    </w:p>
    <w:p>
      <w:pPr>
        <w:spacing w:after="0" w:line="169" w:lineRule="exact"/>
        <w:rPr>
          <w:rFonts w:ascii="Arial" w:cs="Arial" w:eastAsia="Arial" w:hAnsi="Arial"/>
          <w:sz w:val="18"/>
          <w:szCs w:val="18"/>
          <w:color w:val="231F20"/>
        </w:rPr>
      </w:pPr>
    </w:p>
    <w:p>
      <w:pPr>
        <w:ind w:left="720" w:right="140" w:hanging="360"/>
        <w:spacing w:after="0" w:line="246" w:lineRule="auto"/>
        <w:tabs>
          <w:tab w:leader="none" w:pos="720" w:val="left"/>
        </w:tabs>
        <w:numPr>
          <w:ilvl w:val="0"/>
          <w:numId w:val="19"/>
        </w:numPr>
        <w:rPr>
          <w:rFonts w:ascii="Arial" w:cs="Arial" w:eastAsia="Arial" w:hAnsi="Arial"/>
          <w:sz w:val="18"/>
          <w:szCs w:val="18"/>
          <w:color w:val="231F20"/>
        </w:rPr>
      </w:pPr>
      <w:r>
        <w:rPr>
          <w:rFonts w:ascii="Times New Roman" w:cs="Times New Roman" w:eastAsia="Times New Roman" w:hAnsi="Times New Roman"/>
          <w:sz w:val="20"/>
          <w:szCs w:val="20"/>
          <w:color w:val="231F20"/>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55</w:t>
      </w:r>
    </w:p>
    <w:p>
      <w:pPr>
        <w:sectPr>
          <w:pgSz w:w="12240" w:h="15840" w:orient="portrait"/>
          <w:cols w:equalWidth="0" w:num="1">
            <w:col w:w="9360"/>
          </w:cols>
          <w:pgMar w:left="1440" w:top="1420" w:right="1440" w:bottom="174" w:gutter="0" w:footer="0" w:header="0"/>
          <w:type w:val="continuous"/>
        </w:sectPr>
      </w:pPr>
    </w:p>
    <w:bookmarkStart w:id="57" w:name="page58"/>
    <w:bookmarkEnd w:id="57"/>
    <w:p>
      <w:pPr>
        <w:ind w:left="720" w:right="40" w:hanging="360"/>
        <w:spacing w:after="0" w:line="247" w:lineRule="auto"/>
        <w:tabs>
          <w:tab w:leader="none" w:pos="720" w:val="left"/>
        </w:tabs>
        <w:numPr>
          <w:ilvl w:val="0"/>
          <w:numId w:val="20"/>
        </w:numPr>
        <w:rPr>
          <w:rFonts w:ascii="Arial" w:cs="Arial" w:eastAsia="Arial" w:hAnsi="Arial"/>
          <w:sz w:val="18"/>
          <w:szCs w:val="18"/>
          <w:color w:val="231F20"/>
        </w:rPr>
      </w:pPr>
      <w:r>
        <w:rPr>
          <w:rFonts w:ascii="Times New Roman" w:cs="Times New Roman" w:eastAsia="Times New Roman" w:hAnsi="Times New Roman"/>
          <w:sz w:val="20"/>
          <w:szCs w:val="20"/>
          <w:color w:val="231F20"/>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99" w:lineRule="exact"/>
        <w:rPr>
          <w:rFonts w:ascii="Arial" w:cs="Arial" w:eastAsia="Arial" w:hAnsi="Arial"/>
          <w:sz w:val="18"/>
          <w:szCs w:val="18"/>
          <w:color w:val="231F20"/>
        </w:rPr>
      </w:pPr>
    </w:p>
    <w:p>
      <w:pPr>
        <w:ind w:left="720" w:right="240" w:hanging="360"/>
        <w:spacing w:after="0" w:line="277" w:lineRule="auto"/>
        <w:tabs>
          <w:tab w:leader="none" w:pos="720" w:val="left"/>
        </w:tabs>
        <w:numPr>
          <w:ilvl w:val="0"/>
          <w:numId w:val="20"/>
        </w:numPr>
        <w:rPr>
          <w:rFonts w:ascii="Arial" w:cs="Arial" w:eastAsia="Arial" w:hAnsi="Arial"/>
          <w:sz w:val="18"/>
          <w:szCs w:val="18"/>
          <w:color w:val="231F20"/>
        </w:rPr>
      </w:pPr>
      <w:r>
        <w:rPr>
          <w:rFonts w:ascii="Times New Roman" w:cs="Times New Roman" w:eastAsia="Times New Roman" w:hAnsi="Times New Roman"/>
          <w:sz w:val="20"/>
          <w:szCs w:val="20"/>
          <w:color w:val="231F20"/>
        </w:rPr>
        <w:t>the FDA or comparable foreign regulatory authorities may not accept data from studies with clinical trial sites in foreign countries;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0"/>
        </w:numPr>
        <w:rPr>
          <w:rFonts w:ascii="Arial" w:cs="Arial" w:eastAsia="Arial" w:hAnsi="Arial"/>
          <w:sz w:val="18"/>
          <w:szCs w:val="18"/>
          <w:color w:val="231F20"/>
        </w:rPr>
      </w:pPr>
      <w:r>
        <w:rPr>
          <w:rFonts w:ascii="Times New Roman" w:cs="Times New Roman" w:eastAsia="Times New Roman" w:hAnsi="Times New Roman"/>
          <w:sz w:val="20"/>
          <w:szCs w:val="20"/>
          <w:color w:val="231F20"/>
        </w:rPr>
        <w:t>the FDA or comparable foreign regulatory authorities may disagree with our intended indications;</w:t>
      </w:r>
    </w:p>
    <w:p>
      <w:pPr>
        <w:spacing w:after="0" w:line="240" w:lineRule="exact"/>
        <w:rPr>
          <w:rFonts w:ascii="Arial" w:cs="Arial" w:eastAsia="Arial" w:hAnsi="Arial"/>
          <w:sz w:val="18"/>
          <w:szCs w:val="18"/>
          <w:color w:val="231F20"/>
        </w:rPr>
      </w:pPr>
    </w:p>
    <w:p>
      <w:pPr>
        <w:ind w:left="720" w:right="240" w:hanging="360"/>
        <w:spacing w:after="0" w:line="305" w:lineRule="auto"/>
        <w:tabs>
          <w:tab w:leader="none" w:pos="720" w:val="left"/>
        </w:tabs>
        <w:numPr>
          <w:ilvl w:val="0"/>
          <w:numId w:val="20"/>
        </w:numPr>
        <w:rPr>
          <w:rFonts w:ascii="Arial" w:cs="Arial" w:eastAsia="Arial" w:hAnsi="Arial"/>
          <w:sz w:val="17"/>
          <w:szCs w:val="17"/>
          <w:color w:val="231F20"/>
        </w:rPr>
      </w:pPr>
      <w:r>
        <w:rPr>
          <w:rFonts w:ascii="Times New Roman" w:cs="Times New Roman" w:eastAsia="Times New Roman" w:hAnsi="Times New Roman"/>
          <w:sz w:val="19"/>
          <w:szCs w:val="19"/>
          <w:color w:val="231F20"/>
        </w:rPr>
        <w:t>the FDA or comparable foreign regulatory authorities may fail to approve or subsequently find fault with the manufacturing processes or our manufacturing facilities for clinical and future commercial supplies;</w:t>
      </w:r>
    </w:p>
    <w:p>
      <w:pPr>
        <w:spacing w:after="0" w:line="144" w:lineRule="exact"/>
        <w:rPr>
          <w:rFonts w:ascii="Arial" w:cs="Arial" w:eastAsia="Arial" w:hAnsi="Arial"/>
          <w:sz w:val="17"/>
          <w:szCs w:val="17"/>
          <w:color w:val="231F20"/>
        </w:rPr>
      </w:pPr>
    </w:p>
    <w:p>
      <w:pPr>
        <w:ind w:left="720" w:right="480" w:hanging="360"/>
        <w:spacing w:after="0" w:line="277" w:lineRule="auto"/>
        <w:tabs>
          <w:tab w:leader="none" w:pos="720" w:val="left"/>
        </w:tabs>
        <w:numPr>
          <w:ilvl w:val="0"/>
          <w:numId w:val="20"/>
        </w:numPr>
        <w:rPr>
          <w:rFonts w:ascii="Arial" w:cs="Arial" w:eastAsia="Arial" w:hAnsi="Arial"/>
          <w:sz w:val="18"/>
          <w:szCs w:val="18"/>
          <w:color w:val="231F20"/>
        </w:rPr>
      </w:pPr>
      <w:r>
        <w:rPr>
          <w:rFonts w:ascii="Times New Roman" w:cs="Times New Roman" w:eastAsia="Times New Roman" w:hAnsi="Times New Roman"/>
          <w:sz w:val="20"/>
          <w:szCs w:val="20"/>
          <w:color w:val="231F20"/>
        </w:rPr>
        <w:t>in connection with the CMC data necessary for our NDA filing and approval, we will need to conduct stability studies and provide stability data to establish appropriate retest or expiration dating periods;</w:t>
      </w:r>
    </w:p>
    <w:p>
      <w:pPr>
        <w:spacing w:after="0" w:line="169" w:lineRule="exact"/>
        <w:rPr>
          <w:rFonts w:ascii="Arial" w:cs="Arial" w:eastAsia="Arial" w:hAnsi="Arial"/>
          <w:sz w:val="18"/>
          <w:szCs w:val="18"/>
          <w:color w:val="231F20"/>
        </w:rPr>
      </w:pPr>
    </w:p>
    <w:p>
      <w:pPr>
        <w:ind w:left="720" w:right="480" w:hanging="360"/>
        <w:spacing w:after="0" w:line="277" w:lineRule="auto"/>
        <w:tabs>
          <w:tab w:leader="none" w:pos="720" w:val="left"/>
        </w:tabs>
        <w:numPr>
          <w:ilvl w:val="0"/>
          <w:numId w:val="20"/>
        </w:numPr>
        <w:rPr>
          <w:rFonts w:ascii="Arial" w:cs="Arial" w:eastAsia="Arial" w:hAnsi="Arial"/>
          <w:sz w:val="18"/>
          <w:szCs w:val="18"/>
          <w:color w:val="231F20"/>
        </w:rPr>
      </w:pPr>
      <w:r>
        <w:rPr>
          <w:rFonts w:ascii="Times New Roman" w:cs="Times New Roman" w:eastAsia="Times New Roman" w:hAnsi="Times New Roman"/>
          <w:sz w:val="20"/>
          <w:szCs w:val="20"/>
          <w:color w:val="231F20"/>
        </w:rPr>
        <w:t>our product candidates may not demonstrate sufficient long-term stability to support an NDA filing or obtain approval, or the product shelf life may be limited by stability results;</w:t>
      </w:r>
    </w:p>
    <w:p>
      <w:pPr>
        <w:spacing w:after="0" w:line="169" w:lineRule="exact"/>
        <w:rPr>
          <w:rFonts w:ascii="Arial" w:cs="Arial" w:eastAsia="Arial" w:hAnsi="Arial"/>
          <w:sz w:val="18"/>
          <w:szCs w:val="18"/>
          <w:color w:val="231F20"/>
        </w:rPr>
      </w:pPr>
    </w:p>
    <w:p>
      <w:pPr>
        <w:jc w:val="both"/>
        <w:ind w:left="720" w:hanging="360"/>
        <w:spacing w:after="0" w:line="258" w:lineRule="auto"/>
        <w:tabs>
          <w:tab w:leader="none" w:pos="720" w:val="left"/>
        </w:tabs>
        <w:numPr>
          <w:ilvl w:val="0"/>
          <w:numId w:val="20"/>
        </w:numPr>
        <w:rPr>
          <w:rFonts w:ascii="Arial" w:cs="Arial" w:eastAsia="Arial" w:hAnsi="Arial"/>
          <w:sz w:val="18"/>
          <w:szCs w:val="18"/>
          <w:color w:val="231F20"/>
        </w:rPr>
      </w:pPr>
      <w:r>
        <w:rPr>
          <w:rFonts w:ascii="Times New Roman" w:cs="Times New Roman" w:eastAsia="Times New Roman" w:hAnsi="Times New Roman"/>
          <w:sz w:val="20"/>
          <w:szCs w:val="20"/>
          <w:color w:val="231F20"/>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88" w:lineRule="exact"/>
        <w:rPr>
          <w:rFonts w:ascii="Arial" w:cs="Arial" w:eastAsia="Arial" w:hAnsi="Arial"/>
          <w:sz w:val="18"/>
          <w:szCs w:val="18"/>
          <w:color w:val="231F20"/>
        </w:rPr>
      </w:pPr>
    </w:p>
    <w:p>
      <w:pPr>
        <w:ind w:left="720" w:hanging="360"/>
        <w:spacing w:after="0" w:line="277" w:lineRule="auto"/>
        <w:tabs>
          <w:tab w:leader="none" w:pos="720" w:val="left"/>
        </w:tabs>
        <w:numPr>
          <w:ilvl w:val="0"/>
          <w:numId w:val="20"/>
        </w:numPr>
        <w:rPr>
          <w:rFonts w:ascii="Arial" w:cs="Arial" w:eastAsia="Arial" w:hAnsi="Arial"/>
          <w:sz w:val="18"/>
          <w:szCs w:val="18"/>
          <w:color w:val="231F20"/>
        </w:rPr>
      </w:pPr>
      <w:r>
        <w:rPr>
          <w:rFonts w:ascii="Times New Roman" w:cs="Times New Roman" w:eastAsia="Times New Roman" w:hAnsi="Times New Roman"/>
          <w:sz w:val="20"/>
          <w:szCs w:val="20"/>
          <w:color w:val="231F20"/>
        </w:rPr>
        <w:t>we may not be able to demonstrate that a product candidate provides an advantage over current standards of care or current or future competitive therapies in development.</w:t>
      </w:r>
    </w:p>
    <w:p>
      <w:pPr>
        <w:spacing w:after="0" w:line="169"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94" w:lineRule="exact"/>
        <w:rPr>
          <w:sz w:val="20"/>
          <w:szCs w:val="20"/>
          <w:color w:val="auto"/>
        </w:rPr>
      </w:pPr>
    </w:p>
    <w:p>
      <w:pPr>
        <w:ind w:left="720" w:hanging="360"/>
        <w:spacing w:after="0"/>
        <w:tabs>
          <w:tab w:leader="none" w:pos="720" w:val="left"/>
        </w:tabs>
        <w:numPr>
          <w:ilvl w:val="0"/>
          <w:numId w:val="21"/>
        </w:numPr>
        <w:rPr>
          <w:rFonts w:ascii="Arial" w:cs="Arial" w:eastAsia="Arial" w:hAnsi="Arial"/>
          <w:sz w:val="18"/>
          <w:szCs w:val="18"/>
          <w:color w:val="231F20"/>
        </w:rPr>
      </w:pPr>
      <w:r>
        <w:rPr>
          <w:rFonts w:ascii="Times New Roman" w:cs="Times New Roman" w:eastAsia="Times New Roman" w:hAnsi="Times New Roman"/>
          <w:sz w:val="20"/>
          <w:szCs w:val="20"/>
          <w:color w:val="231F20"/>
        </w:rPr>
        <w:t>be delayed in obtaining marketing approval for our product candidates;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1"/>
        </w:numPr>
        <w:rPr>
          <w:rFonts w:ascii="Arial" w:cs="Arial" w:eastAsia="Arial" w:hAnsi="Arial"/>
          <w:sz w:val="18"/>
          <w:szCs w:val="18"/>
          <w:color w:val="231F20"/>
        </w:rPr>
      </w:pPr>
      <w:r>
        <w:rPr>
          <w:rFonts w:ascii="Times New Roman" w:cs="Times New Roman" w:eastAsia="Times New Roman" w:hAnsi="Times New Roman"/>
          <w:sz w:val="20"/>
          <w:szCs w:val="20"/>
          <w:color w:val="231F20"/>
        </w:rPr>
        <w:t>not obtain marketing approval at all;</w:t>
      </w:r>
    </w:p>
    <w:p>
      <w:pPr>
        <w:spacing w:after="0" w:line="240" w:lineRule="exact"/>
        <w:rPr>
          <w:rFonts w:ascii="Arial" w:cs="Arial" w:eastAsia="Arial" w:hAnsi="Arial"/>
          <w:sz w:val="18"/>
          <w:szCs w:val="18"/>
          <w:color w:val="231F20"/>
        </w:rPr>
      </w:pPr>
    </w:p>
    <w:p>
      <w:pPr>
        <w:ind w:left="720" w:right="100" w:hanging="360"/>
        <w:spacing w:after="0" w:line="277" w:lineRule="auto"/>
        <w:tabs>
          <w:tab w:leader="none" w:pos="720" w:val="left"/>
        </w:tabs>
        <w:numPr>
          <w:ilvl w:val="0"/>
          <w:numId w:val="21"/>
        </w:numPr>
        <w:rPr>
          <w:rFonts w:ascii="Arial" w:cs="Arial" w:eastAsia="Arial" w:hAnsi="Arial"/>
          <w:sz w:val="18"/>
          <w:szCs w:val="18"/>
          <w:color w:val="231F20"/>
        </w:rPr>
      </w:pPr>
      <w:r>
        <w:rPr>
          <w:rFonts w:ascii="Times New Roman" w:cs="Times New Roman" w:eastAsia="Times New Roman" w:hAnsi="Times New Roman"/>
          <w:sz w:val="20"/>
          <w:szCs w:val="20"/>
          <w:color w:val="231F20"/>
        </w:rPr>
        <w:t>obtain approval for indications or patient populations that are not as broad as intended or desired or are not covered by our intellectual property;</w:t>
      </w:r>
    </w:p>
    <w:p>
      <w:pPr>
        <w:spacing w:after="0" w:line="169" w:lineRule="exact"/>
        <w:rPr>
          <w:rFonts w:ascii="Arial" w:cs="Arial" w:eastAsia="Arial" w:hAnsi="Arial"/>
          <w:sz w:val="18"/>
          <w:szCs w:val="18"/>
          <w:color w:val="231F20"/>
        </w:rPr>
      </w:pPr>
    </w:p>
    <w:p>
      <w:pPr>
        <w:ind w:left="720" w:right="80" w:hanging="360"/>
        <w:spacing w:after="0" w:line="258" w:lineRule="auto"/>
        <w:tabs>
          <w:tab w:leader="none" w:pos="720" w:val="left"/>
        </w:tabs>
        <w:numPr>
          <w:ilvl w:val="0"/>
          <w:numId w:val="21"/>
        </w:numPr>
        <w:rPr>
          <w:rFonts w:ascii="Arial" w:cs="Arial" w:eastAsia="Arial" w:hAnsi="Arial"/>
          <w:sz w:val="18"/>
          <w:szCs w:val="18"/>
          <w:color w:val="231F20"/>
        </w:rPr>
      </w:pPr>
      <w:r>
        <w:rPr>
          <w:rFonts w:ascii="Times New Roman" w:cs="Times New Roman" w:eastAsia="Times New Roman" w:hAnsi="Times New Roman"/>
          <w:sz w:val="20"/>
          <w:szCs w:val="20"/>
          <w:color w:val="231F20"/>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203" w:lineRule="exact"/>
        <w:rPr>
          <w:rFonts w:ascii="Arial" w:cs="Arial" w:eastAsia="Arial" w:hAnsi="Arial"/>
          <w:sz w:val="18"/>
          <w:szCs w:val="18"/>
          <w:color w:val="231F20"/>
        </w:rPr>
      </w:pPr>
    </w:p>
    <w:p>
      <w:pPr>
        <w:ind w:left="720" w:hanging="360"/>
        <w:spacing w:after="0" w:line="230" w:lineRule="exact"/>
        <w:tabs>
          <w:tab w:leader="none" w:pos="720" w:val="left"/>
        </w:tabs>
        <w:numPr>
          <w:ilvl w:val="0"/>
          <w:numId w:val="21"/>
        </w:numPr>
        <w:rPr>
          <w:rFonts w:ascii="Arial" w:cs="Arial" w:eastAsia="Arial" w:hAnsi="Arial"/>
          <w:sz w:val="18"/>
          <w:szCs w:val="18"/>
          <w:color w:val="231F20"/>
        </w:rPr>
      </w:pPr>
      <w:r>
        <w:rPr>
          <w:rFonts w:ascii="Times New Roman" w:cs="Times New Roman" w:eastAsia="Times New Roman" w:hAnsi="Times New Roman"/>
          <w:sz w:val="20"/>
          <w:szCs w:val="20"/>
          <w:color w:val="231F20"/>
        </w:rPr>
        <w:t>be subject to additional post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marketing testing and surveillance requirements, including REMS; or</w:t>
      </w:r>
    </w:p>
    <w:p>
      <w:pPr>
        <w:spacing w:after="0" w:line="254" w:lineRule="exact"/>
        <w:rPr>
          <w:rFonts w:ascii="Arial" w:cs="Arial" w:eastAsia="Arial" w:hAnsi="Arial"/>
          <w:sz w:val="18"/>
          <w:szCs w:val="18"/>
          <w:color w:val="231F20"/>
        </w:rPr>
      </w:pPr>
    </w:p>
    <w:p>
      <w:pPr>
        <w:ind w:left="720" w:hanging="360"/>
        <w:spacing w:after="0"/>
        <w:tabs>
          <w:tab w:leader="none" w:pos="720" w:val="left"/>
        </w:tabs>
        <w:numPr>
          <w:ilvl w:val="0"/>
          <w:numId w:val="21"/>
        </w:numPr>
        <w:rPr>
          <w:rFonts w:ascii="Arial" w:cs="Arial" w:eastAsia="Arial" w:hAnsi="Arial"/>
          <w:sz w:val="18"/>
          <w:szCs w:val="18"/>
          <w:color w:val="231F20"/>
        </w:rPr>
      </w:pPr>
      <w:r>
        <w:rPr>
          <w:rFonts w:ascii="Times New Roman" w:cs="Times New Roman" w:eastAsia="Times New Roman" w:hAnsi="Times New Roman"/>
          <w:sz w:val="20"/>
          <w:szCs w:val="20"/>
          <w:color w:val="231F20"/>
        </w:rPr>
        <w:t>have the product removed from the market after obtaining marketing approval.</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56</w:t>
      </w:r>
    </w:p>
    <w:p>
      <w:pPr>
        <w:sectPr>
          <w:pgSz w:w="12240" w:h="15840" w:orient="portrait"/>
          <w:cols w:equalWidth="0" w:num="1">
            <w:col w:w="9360"/>
          </w:cols>
          <w:pgMar w:left="1440" w:top="1420" w:right="1440" w:bottom="174" w:gutter="0" w:footer="0" w:header="0"/>
          <w:type w:val="continuous"/>
        </w:sectPr>
      </w:pPr>
    </w:p>
    <w:bookmarkStart w:id="58" w:name="page59"/>
    <w:bookmarkEnd w:id="58"/>
    <w:p>
      <w:pPr>
        <w:ind w:right="140" w:firstLine="720"/>
        <w:spacing w:after="0" w:line="242" w:lineRule="auto"/>
        <w:rPr>
          <w:sz w:val="20"/>
          <w:szCs w:val="20"/>
          <w:color w:val="auto"/>
        </w:rPr>
      </w:pPr>
      <w:r>
        <w:rPr>
          <w:rFonts w:ascii="Times New Roman" w:cs="Times New Roman" w:eastAsia="Times New Roman" w:hAnsi="Times New Roman"/>
          <w:sz w:val="20"/>
          <w:szCs w:val="20"/>
          <w:color w:val="231F20"/>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product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diversity action plans must include the sponsor’s goals for enrollment, the underlying rationale for those goals, and an explanation of how the sponsor intends to meet them. In terms of the compliance deadline, the requirement to submit a diversity action plan applies to clinical studies for which enrollment begins 180 days after the final guidance is published, which was originally anticipated to occur in June 2025. In January 2025, the previously published draft guidance was temporarily removed from the FDA website following an executive order, but was restored and reinstated the following month per a court order. However, it remains in draft form, which impacts the eventual publication date of the final guidance, and as a result, may delay the compliance deadline.</w:t>
      </w:r>
    </w:p>
    <w:p>
      <w:pPr>
        <w:spacing w:after="0" w:line="21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206"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Further, the FDA’s review of our regulatory submissions may be delayed in the future due to reasons beyond our control. FDA operations are affected by various factors, such as shifting government priorities, budgets and funding levels, authorization and payment of user fees, the ability to hire and retain key personnel, as well as other statutory, regulatory, and policy changes impacting HHS, the FDA, or other HHS agencies. Specifically, in 2025, FDA faced a reduction in size, a prolonged federal government shutdown, as well as frequent administrative turnover and agency restructuring following the institution of the new administration, which have directly or indirectly impacted FDA’s ability to support research and development activities.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In addition, any future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213"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SYMBRAVO, the FDA noted the need for additional CMC data. SYMBRAVO was subsequently approved by the FDA. With respect to our NDA for AXS-14 for the management of fibromyalgia, the FDA stated that upon preliminary review, it found that our NDA was not sufficiently complete to permit a substantive review. To address the FDA’s feedback, we plan to conduct an additional controlled trial, which will use a fixed-dose paradigm and a 12-week primary endpoint as requested by the FDA.</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57</w:t>
      </w:r>
    </w:p>
    <w:p>
      <w:pPr>
        <w:sectPr>
          <w:pgSz w:w="12240" w:h="15840" w:orient="portrait"/>
          <w:cols w:equalWidth="0" w:num="1">
            <w:col w:w="9360"/>
          </w:cols>
          <w:pgMar w:left="1440" w:top="1420" w:right="1440" w:bottom="174" w:gutter="0" w:footer="0" w:header="0"/>
          <w:type w:val="continuous"/>
        </w:sectPr>
      </w:pPr>
    </w:p>
    <w:bookmarkStart w:id="59" w:name="page60"/>
    <w:bookmarkEnd w:id="59"/>
    <w:p>
      <w:pPr>
        <w:ind w:right="140" w:firstLine="720"/>
        <w:spacing w:after="0" w:line="246" w:lineRule="auto"/>
        <w:rPr>
          <w:sz w:val="20"/>
          <w:szCs w:val="20"/>
          <w:color w:val="auto"/>
        </w:rPr>
      </w:pPr>
      <w:r>
        <w:rPr>
          <w:rFonts w:ascii="Times New Roman" w:cs="Times New Roman" w:eastAsia="Times New Roman" w:hAnsi="Times New Roman"/>
          <w:sz w:val="20"/>
          <w:szCs w:val="20"/>
          <w:color w:val="231F20"/>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20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cannot demonstrate an acceptable safety and toxicity profile for our product candidates, we will not be able to continue our clinical trials of or obtain approval for those product candidates.</w:t>
      </w:r>
    </w:p>
    <w:p>
      <w:pPr>
        <w:spacing w:after="0" w:line="169"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202" w:lineRule="exact"/>
        <w:rPr>
          <w:sz w:val="20"/>
          <w:szCs w:val="20"/>
          <w:color w:val="auto"/>
        </w:rPr>
      </w:pPr>
    </w:p>
    <w:p>
      <w:pPr>
        <w:ind w:left="720" w:right="500" w:hanging="360"/>
        <w:spacing w:after="0" w:line="277" w:lineRule="auto"/>
        <w:tabs>
          <w:tab w:leader="none" w:pos="720" w:val="left"/>
        </w:tabs>
        <w:numPr>
          <w:ilvl w:val="0"/>
          <w:numId w:val="22"/>
        </w:numPr>
        <w:rPr>
          <w:rFonts w:ascii="Arial" w:cs="Arial" w:eastAsia="Arial" w:hAnsi="Arial"/>
          <w:sz w:val="18"/>
          <w:szCs w:val="18"/>
          <w:color w:val="231F20"/>
        </w:rPr>
      </w:pPr>
      <w:r>
        <w:rPr>
          <w:rFonts w:ascii="Times New Roman" w:cs="Times New Roman" w:eastAsia="Times New Roman" w:hAnsi="Times New Roman"/>
          <w:sz w:val="20"/>
          <w:szCs w:val="20"/>
          <w:color w:val="231F20"/>
        </w:rPr>
        <w:t>our preclinical or non-clinical testing may produce inconclusive or negative safety results, which may require us to conduct additional non-clinical testing or to abandon product candidates;</w:t>
      </w:r>
    </w:p>
    <w:p>
      <w:pPr>
        <w:spacing w:after="0" w:line="169" w:lineRule="exact"/>
        <w:rPr>
          <w:rFonts w:ascii="Arial" w:cs="Arial" w:eastAsia="Arial" w:hAnsi="Arial"/>
          <w:sz w:val="18"/>
          <w:szCs w:val="18"/>
          <w:color w:val="231F20"/>
        </w:rPr>
      </w:pPr>
    </w:p>
    <w:p>
      <w:pPr>
        <w:ind w:left="720" w:right="160" w:hanging="360"/>
        <w:spacing w:after="0" w:line="277" w:lineRule="auto"/>
        <w:tabs>
          <w:tab w:leader="none" w:pos="720" w:val="left"/>
        </w:tabs>
        <w:numPr>
          <w:ilvl w:val="0"/>
          <w:numId w:val="22"/>
        </w:numPr>
        <w:rPr>
          <w:rFonts w:ascii="Arial" w:cs="Arial" w:eastAsia="Arial" w:hAnsi="Arial"/>
          <w:sz w:val="18"/>
          <w:szCs w:val="18"/>
          <w:color w:val="231F20"/>
        </w:rPr>
      </w:pPr>
      <w:r>
        <w:rPr>
          <w:rFonts w:ascii="Times New Roman" w:cs="Times New Roman" w:eastAsia="Times New Roman" w:hAnsi="Times New Roman"/>
          <w:sz w:val="20"/>
          <w:szCs w:val="20"/>
          <w:color w:val="231F20"/>
        </w:rPr>
        <w:t>our product candidates may have unfavorable pharmacology or toxicity characteristics or suggest possible drug-drug interaction;</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2"/>
        </w:numPr>
        <w:rPr>
          <w:rFonts w:ascii="Arial" w:cs="Arial" w:eastAsia="Arial" w:hAnsi="Arial"/>
          <w:sz w:val="18"/>
          <w:szCs w:val="18"/>
          <w:color w:val="231F20"/>
        </w:rPr>
      </w:pPr>
      <w:r>
        <w:rPr>
          <w:rFonts w:ascii="Times New Roman" w:cs="Times New Roman" w:eastAsia="Times New Roman" w:hAnsi="Times New Roman"/>
          <w:sz w:val="20"/>
          <w:szCs w:val="20"/>
          <w:color w:val="231F20"/>
        </w:rPr>
        <w:t>our product candidates may cause undesirable side effects; and</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2"/>
        </w:numPr>
        <w:rPr>
          <w:rFonts w:ascii="Arial" w:cs="Arial" w:eastAsia="Arial" w:hAnsi="Arial"/>
          <w:sz w:val="18"/>
          <w:szCs w:val="18"/>
          <w:color w:val="231F20"/>
        </w:rPr>
      </w:pPr>
      <w:r>
        <w:rPr>
          <w:rFonts w:ascii="Times New Roman" w:cs="Times New Roman" w:eastAsia="Times New Roman" w:hAnsi="Times New Roman"/>
          <w:sz w:val="20"/>
          <w:szCs w:val="20"/>
          <w:color w:val="231F20"/>
        </w:rPr>
        <w:t>the FDA or other regulatory authorities may determine that additional safety testing is required.</w:t>
      </w:r>
    </w:p>
    <w:p>
      <w:pPr>
        <w:spacing w:after="0" w:line="240" w:lineRule="exact"/>
        <w:rPr>
          <w:sz w:val="20"/>
          <w:szCs w:val="20"/>
          <w:color w:val="auto"/>
        </w:rPr>
      </w:pPr>
    </w:p>
    <w:p>
      <w:pPr>
        <w:ind w:right="480" w:firstLine="720"/>
        <w:spacing w:after="0" w:line="277" w:lineRule="auto"/>
        <w:rPr>
          <w:sz w:val="20"/>
          <w:szCs w:val="20"/>
          <w:color w:val="auto"/>
        </w:rPr>
      </w:pPr>
      <w:r>
        <w:rPr>
          <w:rFonts w:ascii="Times New Roman" w:cs="Times New Roman" w:eastAsia="Times New Roman" w:hAnsi="Times New Roman"/>
          <w:sz w:val="20"/>
          <w:szCs w:val="20"/>
          <w:color w:val="231F20"/>
        </w:rPr>
        <w:t>Any such events would increase our costs and could delay or prevent our ability to commercialize our product candidates, which could adversely impact our business, financial condition and results of operation.</w:t>
      </w:r>
    </w:p>
    <w:p>
      <w:pPr>
        <w:spacing w:after="0" w:line="16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FDA may determine that any of our current or future product candidates have undesirable side effects that could delay or prevent their regulatory approval or commercialization.</w:t>
      </w:r>
    </w:p>
    <w:p>
      <w:pPr>
        <w:spacing w:after="0" w:line="169"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number of requests for additional data or information issued by the FDA in recent years has increased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and resulted in substantial delays in the approval of several new drugs. Undesirable side effects caused by any of our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current or future product candidates could also result in denial of regulatory approval by the FDA or other</w:t>
      </w:r>
    </w:p>
    <w:p>
      <w:pPr>
        <w:spacing w:after="0"/>
        <w:rPr>
          <w:sz w:val="20"/>
          <w:szCs w:val="20"/>
          <w:color w:val="auto"/>
        </w:rPr>
      </w:pPr>
      <w:r>
        <w:rPr>
          <w:rFonts w:ascii="Times New Roman" w:cs="Times New Roman" w:eastAsia="Times New Roman" w:hAnsi="Times New Roman"/>
          <w:sz w:val="20"/>
          <w:szCs w:val="20"/>
          <w:color w:val="231F20"/>
        </w:rPr>
        <w:t>comparable foreign authorities for any or all targeted indications or the inclusion of unfavorable information in our</w:t>
      </w:r>
    </w:p>
    <w:p>
      <w:pPr>
        <w:spacing w:after="0"/>
        <w:rPr>
          <w:sz w:val="20"/>
          <w:szCs w:val="20"/>
          <w:color w:val="auto"/>
        </w:rPr>
      </w:pPr>
      <w:r>
        <w:rPr>
          <w:rFonts w:ascii="Times New Roman" w:cs="Times New Roman" w:eastAsia="Times New Roman" w:hAnsi="Times New Roman"/>
          <w:sz w:val="20"/>
          <w:szCs w:val="20"/>
          <w:color w:val="231F20"/>
        </w:rPr>
        <w:t>product labeling, such as limitations on the indicated uses for which the products may be marketed or distributed, a</w:t>
      </w:r>
    </w:p>
    <w:p>
      <w:pPr>
        <w:spacing w:after="0"/>
        <w:rPr>
          <w:sz w:val="20"/>
          <w:szCs w:val="20"/>
          <w:color w:val="auto"/>
        </w:rPr>
      </w:pPr>
      <w:r>
        <w:rPr>
          <w:rFonts w:ascii="Times New Roman" w:cs="Times New Roman" w:eastAsia="Times New Roman" w:hAnsi="Times New Roman"/>
          <w:sz w:val="20"/>
          <w:szCs w:val="20"/>
          <w:color w:val="231F20"/>
        </w:rPr>
        <w:t>label with significant safety warnings, including boxed warnings, contraindications, and precautions, a label without</w:t>
      </w:r>
    </w:p>
    <w:p>
      <w:pPr>
        <w:spacing w:after="0"/>
        <w:rPr>
          <w:sz w:val="20"/>
          <w:szCs w:val="20"/>
          <w:color w:val="auto"/>
        </w:rPr>
      </w:pPr>
      <w:r>
        <w:rPr>
          <w:rFonts w:ascii="Times New Roman" w:cs="Times New Roman" w:eastAsia="Times New Roman" w:hAnsi="Times New Roman"/>
          <w:sz w:val="20"/>
          <w:szCs w:val="20"/>
          <w:color w:val="231F20"/>
        </w:rPr>
        <w:t>statements necessary or desirable for successful commercialization, or may result in requirements for costly</w:t>
      </w:r>
    </w:p>
    <w:p>
      <w:pPr>
        <w:spacing w:after="0" w:line="8"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color w:val="231F20"/>
        </w:rPr>
        <w:t>post</w:t>
      </w:r>
      <w:r>
        <w:rPr>
          <w:rFonts w:ascii="MS Gothic" w:cs="MS Gothic" w:eastAsia="MS Gothic" w:hAnsi="MS Gothic"/>
          <w:sz w:val="19"/>
          <w:szCs w:val="19"/>
          <w:color w:val="231F20"/>
        </w:rPr>
        <w:t>‑</w:t>
      </w:r>
      <w:r>
        <w:rPr>
          <w:rFonts w:ascii="Times New Roman" w:cs="Times New Roman" w:eastAsia="Times New Roman" w:hAnsi="Times New Roman"/>
          <w:sz w:val="19"/>
          <w:szCs w:val="19"/>
          <w:color w:val="231F20"/>
        </w:rPr>
        <w:t>marketing testing and surveillance, or other requirements, including REMS, to monitor the safety or efficacy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products, and in turn prevent us from commercializing and generating revenues from the sale of any of our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current or future product candidates.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58</w:t>
      </w:r>
    </w:p>
    <w:p>
      <w:pPr>
        <w:sectPr>
          <w:pgSz w:w="12240" w:h="15840" w:orient="portrait"/>
          <w:cols w:equalWidth="0" w:num="1">
            <w:col w:w="9360"/>
          </w:cols>
          <w:pgMar w:left="1440" w:top="1420" w:right="1440" w:bottom="174" w:gutter="0" w:footer="0" w:header="0"/>
          <w:type w:val="continuous"/>
        </w:sectPr>
      </w:pPr>
    </w:p>
    <w:bookmarkStart w:id="60" w:name="page61"/>
    <w:bookmarkEnd w:id="60"/>
    <w:p>
      <w:pPr>
        <w:ind w:right="180" w:firstLine="720"/>
        <w:spacing w:after="0" w:line="248" w:lineRule="auto"/>
        <w:rPr>
          <w:sz w:val="20"/>
          <w:szCs w:val="20"/>
          <w:color w:val="auto"/>
        </w:rPr>
      </w:pPr>
      <w:r>
        <w:rPr>
          <w:rFonts w:ascii="Times New Roman" w:cs="Times New Roman" w:eastAsia="Times New Roman" w:hAnsi="Times New Roman"/>
          <w:sz w:val="20"/>
          <w:szCs w:val="20"/>
          <w:color w:val="231F20"/>
        </w:rPr>
        <w:t>Based on the side effects disclosed in the EMA required product label for marketed drugs that contain the same active molecule as our product candidates,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w:t>
      </w:r>
    </w:p>
    <w:p>
      <w:pPr>
        <w:spacing w:after="0" w:line="115"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231F20"/>
        </w:rPr>
        <w:t>Known side effects for AUVELITY, SUNOSI, and SYMBRAVO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200" w:lineRule="exact"/>
        <w:rPr>
          <w:sz w:val="20"/>
          <w:szCs w:val="20"/>
          <w:color w:val="auto"/>
        </w:rPr>
      </w:pPr>
    </w:p>
    <w:p>
      <w:pPr>
        <w:ind w:right="40" w:firstLine="720"/>
        <w:spacing w:after="0" w:line="239" w:lineRule="exact"/>
        <w:rPr>
          <w:sz w:val="20"/>
          <w:szCs w:val="20"/>
          <w:color w:val="auto"/>
        </w:rPr>
      </w:pPr>
      <w:r>
        <w:rPr>
          <w:rFonts w:ascii="Times New Roman" w:cs="Times New Roman" w:eastAsia="Times New Roman" w:hAnsi="Times New Roman"/>
          <w:sz w:val="20"/>
          <w:szCs w:val="20"/>
          <w:color w:val="231F20"/>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benefit perspective. The drug</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10"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experience delays or difficulties in the enrollment of patients in clinical trials, our receipt of necessary regulatory approvals could be delayed or prevented.</w:t>
      </w:r>
    </w:p>
    <w:p>
      <w:pPr>
        <w:spacing w:after="0" w:line="169"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200" w:lineRule="exact"/>
        <w:rPr>
          <w:sz w:val="20"/>
          <w:szCs w:val="20"/>
          <w:color w:val="auto"/>
        </w:rPr>
      </w:pPr>
    </w:p>
    <w:p>
      <w:pPr>
        <w:ind w:left="720" w:hanging="360"/>
        <w:spacing w:after="0"/>
        <w:tabs>
          <w:tab w:leader="none" w:pos="720" w:val="left"/>
        </w:tabs>
        <w:numPr>
          <w:ilvl w:val="0"/>
          <w:numId w:val="23"/>
        </w:numPr>
        <w:rPr>
          <w:rFonts w:ascii="Arial" w:cs="Arial" w:eastAsia="Arial" w:hAnsi="Arial"/>
          <w:sz w:val="18"/>
          <w:szCs w:val="18"/>
          <w:color w:val="231F20"/>
        </w:rPr>
      </w:pPr>
      <w:r>
        <w:rPr>
          <w:rFonts w:ascii="Times New Roman" w:cs="Times New Roman" w:eastAsia="Times New Roman" w:hAnsi="Times New Roman"/>
          <w:sz w:val="20"/>
          <w:szCs w:val="20"/>
          <w:color w:val="231F20"/>
        </w:rPr>
        <w:t>the size and nature of the patient population;</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3"/>
        </w:numPr>
        <w:rPr>
          <w:rFonts w:ascii="Arial" w:cs="Arial" w:eastAsia="Arial" w:hAnsi="Arial"/>
          <w:sz w:val="18"/>
          <w:szCs w:val="18"/>
          <w:color w:val="231F20"/>
        </w:rPr>
      </w:pPr>
      <w:r>
        <w:rPr>
          <w:rFonts w:ascii="Times New Roman" w:cs="Times New Roman" w:eastAsia="Times New Roman" w:hAnsi="Times New Roman"/>
          <w:sz w:val="20"/>
          <w:szCs w:val="20"/>
          <w:color w:val="231F20"/>
        </w:rPr>
        <w:t>the severity of the disease under investigation;</w:t>
      </w:r>
    </w:p>
    <w:p>
      <w:pPr>
        <w:spacing w:after="0" w:line="240" w:lineRule="exact"/>
        <w:rPr>
          <w:rFonts w:ascii="Arial" w:cs="Arial" w:eastAsia="Arial" w:hAnsi="Arial"/>
          <w:sz w:val="18"/>
          <w:szCs w:val="18"/>
          <w:color w:val="231F20"/>
        </w:rPr>
      </w:pPr>
    </w:p>
    <w:p>
      <w:pPr>
        <w:ind w:left="720" w:right="60" w:hanging="360"/>
        <w:spacing w:after="0" w:line="277" w:lineRule="auto"/>
        <w:tabs>
          <w:tab w:leader="none" w:pos="720" w:val="left"/>
        </w:tabs>
        <w:numPr>
          <w:ilvl w:val="0"/>
          <w:numId w:val="23"/>
        </w:numPr>
        <w:rPr>
          <w:rFonts w:ascii="Arial" w:cs="Arial" w:eastAsia="Arial" w:hAnsi="Arial"/>
          <w:sz w:val="18"/>
          <w:szCs w:val="18"/>
          <w:color w:val="231F20"/>
        </w:rPr>
      </w:pPr>
      <w:r>
        <w:rPr>
          <w:rFonts w:ascii="Times New Roman" w:cs="Times New Roman" w:eastAsia="Times New Roman" w:hAnsi="Times New Roman"/>
          <w:sz w:val="20"/>
          <w:szCs w:val="20"/>
          <w:color w:val="231F20"/>
        </w:rPr>
        <w:t>the eligibility criteria for, and design of, the clinical trial in question, including factors such as frequency of required assessments, length of the study, and ongoing monitoring requirements;</w:t>
      </w:r>
    </w:p>
    <w:p>
      <w:pPr>
        <w:spacing w:after="0" w:line="169" w:lineRule="exact"/>
        <w:rPr>
          <w:rFonts w:ascii="Arial" w:cs="Arial" w:eastAsia="Arial" w:hAnsi="Arial"/>
          <w:sz w:val="18"/>
          <w:szCs w:val="18"/>
          <w:color w:val="231F20"/>
        </w:rPr>
      </w:pPr>
    </w:p>
    <w:p>
      <w:pPr>
        <w:ind w:left="720" w:right="80" w:hanging="360"/>
        <w:spacing w:after="0" w:line="277" w:lineRule="auto"/>
        <w:tabs>
          <w:tab w:leader="none" w:pos="720" w:val="left"/>
        </w:tabs>
        <w:numPr>
          <w:ilvl w:val="0"/>
          <w:numId w:val="23"/>
        </w:numPr>
        <w:rPr>
          <w:rFonts w:ascii="Arial" w:cs="Arial" w:eastAsia="Arial" w:hAnsi="Arial"/>
          <w:sz w:val="18"/>
          <w:szCs w:val="18"/>
          <w:color w:val="231F20"/>
        </w:rPr>
      </w:pPr>
      <w:r>
        <w:rPr>
          <w:rFonts w:ascii="Times New Roman" w:cs="Times New Roman" w:eastAsia="Times New Roman" w:hAnsi="Times New Roman"/>
          <w:sz w:val="20"/>
          <w:szCs w:val="20"/>
          <w:color w:val="231F20"/>
        </w:rPr>
        <w:t>the perceived risks and benefits of the product candidate under study, including the potential advantages or disadvantages of the product candidate being studied in relation to other available therapies;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3"/>
        </w:numPr>
        <w:rPr>
          <w:rFonts w:ascii="Arial" w:cs="Arial" w:eastAsia="Arial" w:hAnsi="Arial"/>
          <w:sz w:val="18"/>
          <w:szCs w:val="18"/>
          <w:color w:val="231F20"/>
        </w:rPr>
      </w:pPr>
      <w:r>
        <w:rPr>
          <w:rFonts w:ascii="Times New Roman" w:cs="Times New Roman" w:eastAsia="Times New Roman" w:hAnsi="Times New Roman"/>
          <w:sz w:val="20"/>
          <w:szCs w:val="20"/>
          <w:color w:val="231F20"/>
        </w:rPr>
        <w:t>competition in recruiting and enrolling patients in clinical trials;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3"/>
        </w:numPr>
        <w:rPr>
          <w:rFonts w:ascii="Arial" w:cs="Arial" w:eastAsia="Arial" w:hAnsi="Arial"/>
          <w:sz w:val="18"/>
          <w:szCs w:val="18"/>
          <w:color w:val="231F20"/>
        </w:rPr>
      </w:pPr>
      <w:r>
        <w:rPr>
          <w:rFonts w:ascii="Times New Roman" w:cs="Times New Roman" w:eastAsia="Times New Roman" w:hAnsi="Times New Roman"/>
          <w:sz w:val="20"/>
          <w:szCs w:val="20"/>
          <w:color w:val="231F20"/>
        </w:rPr>
        <w:t>the efforts to facilitate timely enrollment in clinical trials;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3"/>
        </w:numPr>
        <w:rPr>
          <w:rFonts w:ascii="Arial" w:cs="Arial" w:eastAsia="Arial" w:hAnsi="Arial"/>
          <w:sz w:val="18"/>
          <w:szCs w:val="18"/>
          <w:color w:val="231F20"/>
        </w:rPr>
      </w:pPr>
      <w:r>
        <w:rPr>
          <w:rFonts w:ascii="Times New Roman" w:cs="Times New Roman" w:eastAsia="Times New Roman" w:hAnsi="Times New Roman"/>
          <w:sz w:val="20"/>
          <w:szCs w:val="20"/>
          <w:color w:val="231F20"/>
        </w:rPr>
        <w:t>the patient referral practices of physicians;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3"/>
        </w:numPr>
        <w:rPr>
          <w:rFonts w:ascii="Arial" w:cs="Arial" w:eastAsia="Arial" w:hAnsi="Arial"/>
          <w:sz w:val="18"/>
          <w:szCs w:val="18"/>
          <w:color w:val="231F20"/>
        </w:rPr>
      </w:pPr>
      <w:r>
        <w:rPr>
          <w:rFonts w:ascii="Times New Roman" w:cs="Times New Roman" w:eastAsia="Times New Roman" w:hAnsi="Times New Roman"/>
          <w:sz w:val="20"/>
          <w:szCs w:val="20"/>
          <w:color w:val="231F20"/>
        </w:rPr>
        <w:t>effectiveness of publicity created by clinical trial sites regarding the trial;</w:t>
      </w:r>
    </w:p>
    <w:p>
      <w:pPr>
        <w:spacing w:after="0" w:line="240" w:lineRule="exact"/>
        <w:rPr>
          <w:rFonts w:ascii="Arial" w:cs="Arial" w:eastAsia="Arial" w:hAnsi="Arial"/>
          <w:sz w:val="18"/>
          <w:szCs w:val="18"/>
          <w:color w:val="231F20"/>
        </w:rPr>
      </w:pPr>
    </w:p>
    <w:p>
      <w:pPr>
        <w:ind w:left="720" w:right="80" w:hanging="360"/>
        <w:spacing w:after="0" w:line="277" w:lineRule="auto"/>
        <w:tabs>
          <w:tab w:leader="none" w:pos="720" w:val="left"/>
        </w:tabs>
        <w:numPr>
          <w:ilvl w:val="0"/>
          <w:numId w:val="23"/>
        </w:numPr>
        <w:rPr>
          <w:rFonts w:ascii="Arial" w:cs="Arial" w:eastAsia="Arial" w:hAnsi="Arial"/>
          <w:sz w:val="18"/>
          <w:szCs w:val="18"/>
          <w:color w:val="231F20"/>
        </w:rPr>
      </w:pPr>
      <w:r>
        <w:rPr>
          <w:rFonts w:ascii="Times New Roman" w:cs="Times New Roman" w:eastAsia="Times New Roman" w:hAnsi="Times New Roman"/>
          <w:sz w:val="20"/>
          <w:szCs w:val="20"/>
          <w:color w:val="231F20"/>
        </w:rPr>
        <w:t>patients’ ability to comply with the specific instructions related to the trial protocol, proper documentation, and use of the drug product;</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3"/>
        </w:numPr>
        <w:rPr>
          <w:rFonts w:ascii="Arial" w:cs="Arial" w:eastAsia="Arial" w:hAnsi="Arial"/>
          <w:sz w:val="18"/>
          <w:szCs w:val="18"/>
          <w:color w:val="231F20"/>
        </w:rPr>
      </w:pPr>
      <w:r>
        <w:rPr>
          <w:rFonts w:ascii="Times New Roman" w:cs="Times New Roman" w:eastAsia="Times New Roman" w:hAnsi="Times New Roman"/>
          <w:sz w:val="20"/>
          <w:szCs w:val="20"/>
          <w:color w:val="231F20"/>
        </w:rPr>
        <w:t>inability to obtain or maintain patient informed consents;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59</w:t>
      </w:r>
    </w:p>
    <w:p>
      <w:pPr>
        <w:sectPr>
          <w:pgSz w:w="12240" w:h="15840" w:orient="portrait"/>
          <w:cols w:equalWidth="0" w:num="1">
            <w:col w:w="9360"/>
          </w:cols>
          <w:pgMar w:left="1440" w:top="1420" w:right="1440" w:bottom="174" w:gutter="0" w:footer="0" w:header="0"/>
          <w:type w:val="continuous"/>
        </w:sectPr>
      </w:pPr>
    </w:p>
    <w:bookmarkStart w:id="61" w:name="page62"/>
    <w:bookmarkEnd w:id="61"/>
    <w:p>
      <w:pPr>
        <w:ind w:left="720" w:hanging="360"/>
        <w:spacing w:after="0"/>
        <w:tabs>
          <w:tab w:leader="none" w:pos="720" w:val="left"/>
        </w:tabs>
        <w:numPr>
          <w:ilvl w:val="0"/>
          <w:numId w:val="24"/>
        </w:numPr>
        <w:rPr>
          <w:rFonts w:ascii="Arial" w:cs="Arial" w:eastAsia="Arial" w:hAnsi="Arial"/>
          <w:sz w:val="18"/>
          <w:szCs w:val="18"/>
          <w:color w:val="231F20"/>
        </w:rPr>
      </w:pPr>
      <w:r>
        <w:rPr>
          <w:rFonts w:ascii="Times New Roman" w:cs="Times New Roman" w:eastAsia="Times New Roman" w:hAnsi="Times New Roman"/>
          <w:sz w:val="20"/>
          <w:szCs w:val="20"/>
          <w:color w:val="231F20"/>
        </w:rPr>
        <w:t>risk that enrolled patients will drop out before completion;</w:t>
      </w:r>
    </w:p>
    <w:p>
      <w:pPr>
        <w:spacing w:after="0" w:line="240" w:lineRule="exact"/>
        <w:rPr>
          <w:rFonts w:ascii="Arial" w:cs="Arial" w:eastAsia="Arial" w:hAnsi="Arial"/>
          <w:sz w:val="18"/>
          <w:szCs w:val="18"/>
          <w:color w:val="231F20"/>
        </w:rPr>
      </w:pPr>
    </w:p>
    <w:p>
      <w:pPr>
        <w:ind w:left="720" w:right="300" w:hanging="360"/>
        <w:spacing w:after="0" w:line="277" w:lineRule="auto"/>
        <w:tabs>
          <w:tab w:leader="none" w:pos="720" w:val="left"/>
        </w:tabs>
        <w:numPr>
          <w:ilvl w:val="0"/>
          <w:numId w:val="24"/>
        </w:numPr>
        <w:rPr>
          <w:rFonts w:ascii="Arial" w:cs="Arial" w:eastAsia="Arial" w:hAnsi="Arial"/>
          <w:sz w:val="18"/>
          <w:szCs w:val="18"/>
          <w:color w:val="231F20"/>
        </w:rPr>
      </w:pPr>
      <w:r>
        <w:rPr>
          <w:rFonts w:ascii="Times New Roman" w:cs="Times New Roman" w:eastAsia="Times New Roman" w:hAnsi="Times New Roman"/>
          <w:sz w:val="20"/>
          <w:szCs w:val="20"/>
          <w:color w:val="231F20"/>
        </w:rPr>
        <w:t>the ability to identify patients for enrollment and maintain a sufficient level of patient participants in our clinical studies;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4"/>
        </w:numPr>
        <w:rPr>
          <w:rFonts w:ascii="Arial" w:cs="Arial" w:eastAsia="Arial" w:hAnsi="Arial"/>
          <w:sz w:val="18"/>
          <w:szCs w:val="18"/>
          <w:color w:val="231F20"/>
        </w:rPr>
      </w:pPr>
      <w:r>
        <w:rPr>
          <w:rFonts w:ascii="Times New Roman" w:cs="Times New Roman" w:eastAsia="Times New Roman" w:hAnsi="Times New Roman"/>
          <w:sz w:val="20"/>
          <w:szCs w:val="20"/>
          <w:color w:val="231F20"/>
        </w:rPr>
        <w:t>the ability to monitor patients adequately during and after treatment; and</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4"/>
        </w:numPr>
        <w:rPr>
          <w:rFonts w:ascii="Arial" w:cs="Arial" w:eastAsia="Arial" w:hAnsi="Arial"/>
          <w:sz w:val="18"/>
          <w:szCs w:val="18"/>
          <w:color w:val="231F20"/>
        </w:rPr>
      </w:pPr>
      <w:r>
        <w:rPr>
          <w:rFonts w:ascii="Times New Roman" w:cs="Times New Roman" w:eastAsia="Times New Roman" w:hAnsi="Times New Roman"/>
          <w:sz w:val="20"/>
          <w:szCs w:val="20"/>
          <w:color w:val="231F20"/>
        </w:rPr>
        <w:t>the proximity and availability of clinical trial sites for prospective patients.</w:t>
      </w:r>
    </w:p>
    <w:p>
      <w:pPr>
        <w:spacing w:after="0" w:line="24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206"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231F20"/>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9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Development of combination product candidates may present more or different challenges than development of single agent product candidates.</w:t>
      </w:r>
    </w:p>
    <w:p>
      <w:pPr>
        <w:spacing w:after="0" w:line="169"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Certain product candidates of ours, including AXS-05,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product candidate manufacturing or formulation may result in additional costs or delay.</w:t>
      </w:r>
    </w:p>
    <w:p>
      <w:pPr>
        <w:spacing w:after="0" w:line="24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 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60</w:t>
      </w:r>
    </w:p>
    <w:p>
      <w:pPr>
        <w:sectPr>
          <w:pgSz w:w="12240" w:h="15840" w:orient="portrait"/>
          <w:cols w:equalWidth="0" w:num="1">
            <w:col w:w="9360"/>
          </w:cols>
          <w:pgMar w:left="1440" w:top="1420" w:right="1440" w:bottom="174" w:gutter="0" w:footer="0" w:header="0"/>
          <w:type w:val="continuous"/>
        </w:sectPr>
      </w:pPr>
    </w:p>
    <w:bookmarkStart w:id="62" w:name="page63"/>
    <w:bookmarkEnd w:id="62"/>
    <w:p>
      <w:pPr>
        <w:ind w:right="6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Failure to obtain marketing approval in international jurisdictions would prevent our products from being marketed abroad.</w:t>
      </w:r>
    </w:p>
    <w:p>
      <w:pPr>
        <w:spacing w:after="0" w:line="184" w:lineRule="exact"/>
        <w:rPr>
          <w:sz w:val="20"/>
          <w:szCs w:val="20"/>
          <w:color w:val="auto"/>
        </w:rPr>
      </w:pPr>
    </w:p>
    <w:p>
      <w:pPr>
        <w:ind w:right="80" w:firstLine="720"/>
        <w:spacing w:after="0" w:line="234" w:lineRule="exact"/>
        <w:rPr>
          <w:sz w:val="20"/>
          <w:szCs w:val="20"/>
          <w:color w:val="auto"/>
        </w:rPr>
      </w:pPr>
      <w:r>
        <w:rPr>
          <w:rFonts w:ascii="Times New Roman" w:cs="Times New Roman" w:eastAsia="Times New Roman" w:hAnsi="Times New Roman"/>
          <w:sz w:val="20"/>
          <w:szCs w:val="20"/>
          <w:color w:val="231F20"/>
        </w:rPr>
        <w:t>In order to market and sell our products in the EU, and many other jurisdictions, we or our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20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b w:val="1"/>
          <w:bCs w:val="1"/>
          <w:i w:val="1"/>
          <w:iCs w:val="1"/>
          <w:color w:val="231F20"/>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7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We have received a Fast Track product designation for AXS-05 for both the treatment of TRD as well as for the treatment of AD agitation, and we may seek Fast Track designation for our other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202"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 For instance, the FDA granted AXS-05 Priority Review on December 31, 2025, with a Prescription Drug User Fee Act (PDUFA) date of April 30, 2026, accelerating its review of Alzheimer’s disease agitation; however, Priority Review does not guarantee FDA approval and could still lead to further data requests or denial.</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61</w:t>
      </w:r>
    </w:p>
    <w:p>
      <w:pPr>
        <w:sectPr>
          <w:pgSz w:w="12240" w:h="15840" w:orient="portrait"/>
          <w:cols w:equalWidth="0" w:num="1">
            <w:col w:w="9360"/>
          </w:cols>
          <w:pgMar w:left="1440" w:top="1420" w:right="1440" w:bottom="174" w:gutter="0" w:footer="0" w:header="0"/>
          <w:type w:val="continuous"/>
        </w:sectPr>
      </w:pPr>
    </w:p>
    <w:bookmarkStart w:id="63" w:name="page64"/>
    <w:bookmarkEnd w:id="63"/>
    <w:p>
      <w:pPr>
        <w:ind w:right="160" w:firstLine="720"/>
        <w:spacing w:after="0" w:line="244" w:lineRule="auto"/>
        <w:rPr>
          <w:sz w:val="20"/>
          <w:szCs w:val="20"/>
          <w:color w:val="auto"/>
        </w:rPr>
      </w:pPr>
      <w:r>
        <w:rPr>
          <w:rFonts w:ascii="Times New Roman" w:cs="Times New Roman" w:eastAsia="Times New Roman" w:hAnsi="Times New Roman"/>
          <w:sz w:val="20"/>
          <w:szCs w:val="20"/>
          <w:color w:val="231F20"/>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206" w:lineRule="exact"/>
        <w:rPr>
          <w:sz w:val="20"/>
          <w:szCs w:val="20"/>
          <w:color w:val="auto"/>
        </w:rPr>
      </w:pPr>
    </w:p>
    <w:p>
      <w:pPr>
        <w:ind w:right="100"/>
        <w:spacing w:after="0" w:line="243" w:lineRule="exact"/>
        <w:rPr>
          <w:sz w:val="20"/>
          <w:szCs w:val="20"/>
          <w:color w:val="auto"/>
        </w:rPr>
      </w:pPr>
      <w:r>
        <w:rPr>
          <w:rFonts w:ascii="Times New Roman" w:cs="Times New Roman" w:eastAsia="Times New Roman" w:hAnsi="Times New Roman"/>
          <w:sz w:val="20"/>
          <w:szCs w:val="20"/>
          <w:b w:val="1"/>
          <w:bCs w:val="1"/>
          <w:i w:val="1"/>
          <w:iCs w:val="1"/>
          <w:color w:val="231F20"/>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Gothic" w:cs="MS Gothic" w:eastAsia="MS Gothic" w:hAnsi="MS Gothic"/>
          <w:sz w:val="20"/>
          <w:szCs w:val="20"/>
          <w:i w:val="1"/>
          <w:iCs w:val="1"/>
          <w:color w:val="231F20"/>
        </w:rPr>
        <w:t>‑</w:t>
      </w:r>
      <w:r>
        <w:rPr>
          <w:rFonts w:ascii="Times New Roman" w:cs="Times New Roman" w:eastAsia="Times New Roman" w:hAnsi="Times New Roman"/>
          <w:sz w:val="20"/>
          <w:szCs w:val="20"/>
          <w:b w:val="1"/>
          <w:bCs w:val="1"/>
          <w:i w:val="1"/>
          <w:iCs w:val="1"/>
          <w:color w:val="231F20"/>
        </w:rPr>
        <w:t>label” uses, resulting in damage to our reputation and business.</w:t>
      </w:r>
    </w:p>
    <w:p>
      <w:pPr>
        <w:spacing w:after="0" w:line="220" w:lineRule="exact"/>
        <w:rPr>
          <w:sz w:val="20"/>
          <w:szCs w:val="20"/>
          <w:color w:val="auto"/>
        </w:rPr>
      </w:pPr>
    </w:p>
    <w:p>
      <w:pPr>
        <w:ind w:right="160" w:firstLine="720"/>
        <w:spacing w:after="0" w:line="243" w:lineRule="auto"/>
        <w:rPr>
          <w:sz w:val="20"/>
          <w:szCs w:val="20"/>
          <w:color w:val="auto"/>
        </w:rPr>
      </w:pPr>
      <w:r>
        <w:rPr>
          <w:rFonts w:ascii="Times New Roman" w:cs="Times New Roman" w:eastAsia="Times New Roman" w:hAnsi="Times New Roman"/>
          <w:sz w:val="20"/>
          <w:szCs w:val="20"/>
          <w:color w:val="231F20"/>
        </w:rPr>
        <w:t>We, and any of our collaborators, must comply with laws, regulations, and other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OIG,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authorities’ approval for any desired uses or indications for our products and product candidates, we may not market or promote our products for those indications and uses, referred to as off label uses, and our business may be adversely affected. We further must be able to sufficiently substantiate any claims that we make for our products including claims comparing our products to other companies’ products.</w:t>
      </w:r>
    </w:p>
    <w:p>
      <w:pPr>
        <w:spacing w:after="0" w:line="209" w:lineRule="exact"/>
        <w:rPr>
          <w:sz w:val="20"/>
          <w:szCs w:val="20"/>
          <w:color w:val="auto"/>
        </w:rPr>
      </w:pPr>
    </w:p>
    <w:p>
      <w:pPr>
        <w:ind w:right="80" w:firstLine="720"/>
        <w:spacing w:after="0" w:line="240" w:lineRule="exact"/>
        <w:rPr>
          <w:sz w:val="20"/>
          <w:szCs w:val="20"/>
          <w:color w:val="auto"/>
        </w:rPr>
      </w:pPr>
      <w:r>
        <w:rPr>
          <w:rFonts w:ascii="Times New Roman" w:cs="Times New Roman" w:eastAsia="Times New Roman" w:hAnsi="Times New Roman"/>
          <w:sz w:val="20"/>
          <w:szCs w:val="20"/>
          <w:color w:val="231F20"/>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label use.</w:t>
      </w:r>
    </w:p>
    <w:p>
      <w:pPr>
        <w:spacing w:after="0" w:line="224" w:lineRule="exact"/>
        <w:rPr>
          <w:sz w:val="20"/>
          <w:szCs w:val="20"/>
          <w:color w:val="auto"/>
        </w:rPr>
      </w:pPr>
    </w:p>
    <w:p>
      <w:pPr>
        <w:ind w:right="40" w:firstLine="720"/>
        <w:spacing w:after="0" w:line="241" w:lineRule="exact"/>
        <w:rPr>
          <w:sz w:val="20"/>
          <w:szCs w:val="20"/>
          <w:color w:val="auto"/>
        </w:rPr>
      </w:pPr>
      <w:r>
        <w:rPr>
          <w:rFonts w:ascii="Times New Roman" w:cs="Times New Roman" w:eastAsia="Times New Roman" w:hAnsi="Times New Roman"/>
          <w:sz w:val="20"/>
          <w:szCs w:val="20"/>
          <w:color w:val="231F20"/>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62</w:t>
      </w:r>
    </w:p>
    <w:p>
      <w:pPr>
        <w:sectPr>
          <w:pgSz w:w="12240" w:h="15840" w:orient="portrait"/>
          <w:cols w:equalWidth="0" w:num="1">
            <w:col w:w="9360"/>
          </w:cols>
          <w:pgMar w:left="1440" w:top="1420" w:right="1440" w:bottom="174" w:gutter="0" w:footer="0" w:header="0"/>
          <w:type w:val="continuous"/>
        </w:sectPr>
      </w:pPr>
    </w:p>
    <w:bookmarkStart w:id="64" w:name="page65"/>
    <w:bookmarkEnd w:id="64"/>
    <w:p>
      <w:pPr>
        <w:ind w:firstLine="720"/>
        <w:spacing w:after="0" w:line="241" w:lineRule="auto"/>
        <w:rPr>
          <w:sz w:val="20"/>
          <w:szCs w:val="20"/>
          <w:color w:val="auto"/>
        </w:rPr>
      </w:pPr>
      <w:r>
        <w:rPr>
          <w:rFonts w:ascii="Times New Roman" w:cs="Times New Roman" w:eastAsia="Times New Roman" w:hAnsi="Times New Roman"/>
          <w:sz w:val="20"/>
          <w:szCs w:val="20"/>
          <w:color w:val="231F20"/>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damages, fines, and actions,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suspension or debarment from government procurement and potential adverse actions affecting future orders under existing contracts. Recent court decisions have impacted the FDA’s enforcement activity regarding off-label promotion in light of First Amendment considerations; however, there are still significant risks in this area, such as where communications are misleading or conduct is the alleged cause of false claims, in part due to the potential FCA exposure. The FCA allows a private individual to bring a qui tam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FCA, a penalty may be imposed for each false claim, which, for example, might be a claim for payment for each prescription for the product, and, when aggregated, these penalties often total millions of dollars and incentivize qui tam lawsuits. These FCA lawsuits against pharmaceutical companies have increased significantly in volume and breadth, leading to several substantial civil settlements and criminal resolutions,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other actions and, if we do not successfully defend against such actions, those actions may have a material adverse effect on our business, financial condition, results of operations, and prospects.</w:t>
      </w:r>
    </w:p>
    <w:p>
      <w:pPr>
        <w:spacing w:after="0" w:line="21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In the United States, the distribution of product samples to physicians must further comply with the requirements of the U.S. PDMA.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20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9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Our product(s) are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post-approval.</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63</w:t>
      </w:r>
    </w:p>
    <w:p>
      <w:pPr>
        <w:sectPr>
          <w:pgSz w:w="12240" w:h="15840" w:orient="portrait"/>
          <w:cols w:equalWidth="0" w:num="1">
            <w:col w:w="9360"/>
          </w:cols>
          <w:pgMar w:left="1440" w:top="1420" w:right="1440" w:bottom="174" w:gutter="0" w:footer="0" w:header="0"/>
          <w:type w:val="continuous"/>
        </w:sectPr>
      </w:pPr>
    </w:p>
    <w:bookmarkStart w:id="65" w:name="page66"/>
    <w:bookmarkEnd w:id="65"/>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For example, in early September 2025, following a presidential memorandum directing the FDA to “take appropriate action to enforce the Federal Food, Drug, and Cosmetic Act’s prescription drug advertising provisions, and otherwise ensure truthful and non-misleading information in direct-to-consumer (DTC) prescription drug advertisements”, the FDA issued more than 100 enforcement letters to pharmaceutical companies and compounding firms, alleging that certain promotional communications and DTC advertisements are false and misleading. Furthermore, the Department of Health and Human Services (HHS) and FDA have stated that they are committed to a “more expansive reading” of the FDA’s enforcement authorities than that taken by previous administrations. In connection with these developments, we received an untitled letter from the FDA’s Center for Drug Evaluation and Research, asserting that a particular DTC print advertisement for AUVELITY was false and misleading. We responded to the untitled letter, and the FDA confirmed via close-out letter that we adequately addressed the FDA’s concerns. Failure to comply with current or forthcoming FDA requirements may trigger enforcement by the FDA, Department of Justice, or HHS Office of Inspector General (as well as state authorities), which may result in warning letters, civil and criminal penalties, agreements restricting promotional practices, and significant reputational harm.</w:t>
      </w:r>
    </w:p>
    <w:p>
      <w:pPr>
        <w:spacing w:after="0" w:line="213"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We and any of our collaborators, including our contract manufacturers, could be subject to periodic unannounced inspections by the FDA to monitor and ensure compliance with cGMP and GCP. Notably, in May 2025, the FDA announced its intent to expand its use of unannounced inspections of foreign facilities manufacturing products for distribution in the United States, which may impact our operations. Further, application holders must further notify the FDA, and depending on the nature of the change, obtain FDA pre-approval for product and manufacturing changes. Application fees may apply to certain changes.</w:t>
      </w:r>
    </w:p>
    <w:p>
      <w:pPr>
        <w:spacing w:after="0" w:line="200" w:lineRule="exact"/>
        <w:rPr>
          <w:sz w:val="20"/>
          <w:szCs w:val="20"/>
          <w:color w:val="auto"/>
        </w:rPr>
      </w:pPr>
    </w:p>
    <w:p>
      <w:pPr>
        <w:jc w:val="both"/>
        <w:ind w:right="340" w:firstLine="720"/>
        <w:spacing w:after="0" w:line="258" w:lineRule="auto"/>
        <w:rPr>
          <w:sz w:val="20"/>
          <w:szCs w:val="20"/>
          <w:color w:val="auto"/>
        </w:rPr>
      </w:pPr>
      <w:r>
        <w:rPr>
          <w:rFonts w:ascii="Times New Roman" w:cs="Times New Roman" w:eastAsia="Times New Roman" w:hAnsi="Times New Roman"/>
          <w:sz w:val="20"/>
          <w:szCs w:val="20"/>
          <w:color w:val="231F20"/>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88" w:lineRule="exact"/>
        <w:rPr>
          <w:sz w:val="20"/>
          <w:szCs w:val="20"/>
          <w:color w:val="auto"/>
        </w:rPr>
      </w:pPr>
    </w:p>
    <w:p>
      <w:pPr>
        <w:ind w:left="720" w:hanging="360"/>
        <w:spacing w:after="0"/>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restrictions on manufacturing or distribution, or marketing of such products;</w:t>
      </w:r>
    </w:p>
    <w:p>
      <w:pPr>
        <w:spacing w:after="0" w:line="240" w:lineRule="exact"/>
        <w:rPr>
          <w:rFonts w:ascii="Arial" w:cs="Arial" w:eastAsia="Arial" w:hAnsi="Arial"/>
          <w:sz w:val="18"/>
          <w:szCs w:val="18"/>
          <w:color w:val="231F20"/>
        </w:rPr>
      </w:pPr>
    </w:p>
    <w:p>
      <w:pPr>
        <w:ind w:left="720" w:right="960" w:hanging="360"/>
        <w:spacing w:after="0" w:line="277" w:lineRule="auto"/>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restrictions on the labeling, including required additional warnings, such as black box warnings, contraindications, precautions, and restrictions on the approved indication or use;</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modifications to promotional pieces;</w:t>
      </w:r>
    </w:p>
    <w:p>
      <w:pPr>
        <w:spacing w:after="0" w:line="255" w:lineRule="exact"/>
        <w:rPr>
          <w:rFonts w:ascii="Arial" w:cs="Arial" w:eastAsia="Arial" w:hAnsi="Arial"/>
          <w:sz w:val="18"/>
          <w:szCs w:val="18"/>
          <w:color w:val="231F20"/>
        </w:rPr>
      </w:pPr>
    </w:p>
    <w:p>
      <w:pPr>
        <w:ind w:left="720" w:hanging="360"/>
        <w:spacing w:after="0" w:line="230" w:lineRule="exact"/>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requirements to conduct post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marketing studies or clinical trials;</w:t>
      </w:r>
    </w:p>
    <w:p>
      <w:pPr>
        <w:spacing w:after="0" w:line="254" w:lineRule="exact"/>
        <w:rPr>
          <w:rFonts w:ascii="Arial" w:cs="Arial" w:eastAsia="Arial" w:hAnsi="Arial"/>
          <w:sz w:val="18"/>
          <w:szCs w:val="18"/>
          <w:color w:val="231F20"/>
        </w:rPr>
      </w:pPr>
    </w:p>
    <w:p>
      <w:pPr>
        <w:ind w:left="720" w:hanging="360"/>
        <w:spacing w:after="0"/>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clinical holds or termination of clinical trials;</w:t>
      </w:r>
    </w:p>
    <w:p>
      <w:pPr>
        <w:spacing w:after="0" w:line="240" w:lineRule="exact"/>
        <w:rPr>
          <w:rFonts w:ascii="Arial" w:cs="Arial" w:eastAsia="Arial" w:hAnsi="Arial"/>
          <w:sz w:val="18"/>
          <w:szCs w:val="18"/>
          <w:color w:val="231F20"/>
        </w:rPr>
      </w:pPr>
    </w:p>
    <w:p>
      <w:pPr>
        <w:ind w:left="720" w:right="20" w:hanging="360"/>
        <w:spacing w:after="0" w:line="249" w:lineRule="auto"/>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96" w:lineRule="exact"/>
        <w:rPr>
          <w:rFonts w:ascii="Arial" w:cs="Arial" w:eastAsia="Arial" w:hAnsi="Arial"/>
          <w:sz w:val="18"/>
          <w:szCs w:val="18"/>
          <w:color w:val="231F20"/>
        </w:rPr>
      </w:pPr>
    </w:p>
    <w:p>
      <w:pPr>
        <w:ind w:left="720" w:hanging="360"/>
        <w:spacing w:after="0"/>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changes to the way the drug is administered;</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liability for harm caused to patients or subjects;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reputational harm;</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the drug becoming less competitive;</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warning or untitled letters;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20"/>
          <w:szCs w:val="20"/>
          <w:color w:val="231F20"/>
        </w:rPr>
        <w:t>suspension of marketing or withdrawal of the products from the market;</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64</w:t>
      </w:r>
    </w:p>
    <w:p>
      <w:pPr>
        <w:sectPr>
          <w:pgSz w:w="12240" w:h="15840" w:orient="portrait"/>
          <w:cols w:equalWidth="0" w:num="1">
            <w:col w:w="9360"/>
          </w:cols>
          <w:pgMar w:left="1440" w:top="1420" w:right="1440" w:bottom="174" w:gutter="0" w:footer="0" w:header="0"/>
          <w:type w:val="continuous"/>
        </w:sectPr>
      </w:pPr>
    </w:p>
    <w:bookmarkStart w:id="66" w:name="page67"/>
    <w:bookmarkEnd w:id="66"/>
    <w:p>
      <w:pPr>
        <w:ind w:left="720" w:right="480" w:hanging="360"/>
        <w:spacing w:after="0" w:line="277" w:lineRule="auto"/>
        <w:tabs>
          <w:tab w:leader="none" w:pos="720" w:val="left"/>
        </w:tabs>
        <w:numPr>
          <w:ilvl w:val="0"/>
          <w:numId w:val="26"/>
        </w:numPr>
        <w:rPr>
          <w:rFonts w:ascii="Arial" w:cs="Arial" w:eastAsia="Arial" w:hAnsi="Arial"/>
          <w:sz w:val="18"/>
          <w:szCs w:val="18"/>
          <w:color w:val="231F20"/>
        </w:rPr>
      </w:pPr>
      <w:r>
        <w:rPr>
          <w:rFonts w:ascii="Times New Roman" w:cs="Times New Roman" w:eastAsia="Times New Roman" w:hAnsi="Times New Roman"/>
          <w:sz w:val="20"/>
          <w:szCs w:val="20"/>
          <w:color w:val="231F20"/>
        </w:rPr>
        <w:t>regulatory authority issuance of safety alerts, Dear Healthcare Provider letters, press releases, or other communications containing warnings or other safety information about the drug;</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6"/>
        </w:numPr>
        <w:rPr>
          <w:rFonts w:ascii="Arial" w:cs="Arial" w:eastAsia="Arial" w:hAnsi="Arial"/>
          <w:sz w:val="18"/>
          <w:szCs w:val="18"/>
          <w:color w:val="231F20"/>
        </w:rPr>
      </w:pPr>
      <w:r>
        <w:rPr>
          <w:rFonts w:ascii="Times New Roman" w:cs="Times New Roman" w:eastAsia="Times New Roman" w:hAnsi="Times New Roman"/>
          <w:sz w:val="20"/>
          <w:szCs w:val="20"/>
          <w:color w:val="231F20"/>
        </w:rPr>
        <w:t>refusal to approve pending applications or supplements to approved applications that we submit;</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6"/>
        </w:numPr>
        <w:rPr>
          <w:rFonts w:ascii="Arial" w:cs="Arial" w:eastAsia="Arial" w:hAnsi="Arial"/>
          <w:sz w:val="18"/>
          <w:szCs w:val="18"/>
          <w:color w:val="231F20"/>
        </w:rPr>
      </w:pPr>
      <w:r>
        <w:rPr>
          <w:rFonts w:ascii="Times New Roman" w:cs="Times New Roman" w:eastAsia="Times New Roman" w:hAnsi="Times New Roman"/>
          <w:sz w:val="20"/>
          <w:szCs w:val="20"/>
          <w:color w:val="231F20"/>
        </w:rPr>
        <w:t>recall of products;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6"/>
        </w:numPr>
        <w:rPr>
          <w:rFonts w:ascii="Arial" w:cs="Arial" w:eastAsia="Arial" w:hAnsi="Arial"/>
          <w:sz w:val="18"/>
          <w:szCs w:val="18"/>
          <w:color w:val="231F20"/>
        </w:rPr>
      </w:pPr>
      <w:r>
        <w:rPr>
          <w:rFonts w:ascii="Times New Roman" w:cs="Times New Roman" w:eastAsia="Times New Roman" w:hAnsi="Times New Roman"/>
          <w:sz w:val="20"/>
          <w:szCs w:val="20"/>
          <w:color w:val="231F20"/>
        </w:rPr>
        <w:t>fines, damages, restitution, or disgorgement of profits or revenues;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6"/>
        </w:numPr>
        <w:rPr>
          <w:rFonts w:ascii="Arial" w:cs="Arial" w:eastAsia="Arial" w:hAnsi="Arial"/>
          <w:sz w:val="18"/>
          <w:szCs w:val="18"/>
          <w:color w:val="231F20"/>
        </w:rPr>
      </w:pPr>
      <w:r>
        <w:rPr>
          <w:rFonts w:ascii="Times New Roman" w:cs="Times New Roman" w:eastAsia="Times New Roman" w:hAnsi="Times New Roman"/>
          <w:sz w:val="20"/>
          <w:szCs w:val="20"/>
          <w:color w:val="231F20"/>
        </w:rPr>
        <w:t>suspension or withdrawal of marketing approvals;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6"/>
        </w:numPr>
        <w:rPr>
          <w:rFonts w:ascii="Arial" w:cs="Arial" w:eastAsia="Arial" w:hAnsi="Arial"/>
          <w:sz w:val="18"/>
          <w:szCs w:val="18"/>
          <w:color w:val="231F20"/>
        </w:rPr>
      </w:pPr>
      <w:r>
        <w:rPr>
          <w:rFonts w:ascii="Times New Roman" w:cs="Times New Roman" w:eastAsia="Times New Roman" w:hAnsi="Times New Roman"/>
          <w:sz w:val="20"/>
          <w:szCs w:val="20"/>
          <w:color w:val="231F20"/>
        </w:rPr>
        <w:t>refusal to permit the import or export of our products;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6"/>
        </w:numPr>
        <w:rPr>
          <w:rFonts w:ascii="Arial" w:cs="Arial" w:eastAsia="Arial" w:hAnsi="Arial"/>
          <w:sz w:val="18"/>
          <w:szCs w:val="18"/>
          <w:color w:val="231F20"/>
        </w:rPr>
      </w:pPr>
      <w:r>
        <w:rPr>
          <w:rFonts w:ascii="Times New Roman" w:cs="Times New Roman" w:eastAsia="Times New Roman" w:hAnsi="Times New Roman"/>
          <w:sz w:val="20"/>
          <w:szCs w:val="20"/>
          <w:color w:val="231F20"/>
        </w:rPr>
        <w:t>product seizure or detention;</w:t>
      </w:r>
    </w:p>
    <w:p>
      <w:pPr>
        <w:spacing w:after="0" w:line="240" w:lineRule="exact"/>
        <w:rPr>
          <w:rFonts w:ascii="Arial" w:cs="Arial" w:eastAsia="Arial" w:hAnsi="Arial"/>
          <w:sz w:val="18"/>
          <w:szCs w:val="18"/>
          <w:color w:val="231F20"/>
        </w:rPr>
      </w:pPr>
    </w:p>
    <w:p>
      <w:pPr>
        <w:ind w:left="720" w:right="160" w:hanging="360"/>
        <w:spacing w:after="0" w:line="258" w:lineRule="auto"/>
        <w:tabs>
          <w:tab w:leader="none" w:pos="720" w:val="left"/>
        </w:tabs>
        <w:numPr>
          <w:ilvl w:val="0"/>
          <w:numId w:val="26"/>
        </w:numPr>
        <w:rPr>
          <w:rFonts w:ascii="Arial" w:cs="Arial" w:eastAsia="Arial" w:hAnsi="Arial"/>
          <w:sz w:val="18"/>
          <w:szCs w:val="18"/>
          <w:color w:val="231F20"/>
        </w:rPr>
      </w:pPr>
      <w:r>
        <w:rPr>
          <w:rFonts w:ascii="Times New Roman" w:cs="Times New Roman" w:eastAsia="Times New Roman" w:hAnsi="Times New Roman"/>
          <w:sz w:val="20"/>
          <w:szCs w:val="20"/>
          <w:color w:val="231F20"/>
        </w:rPr>
        <w:t>FDA debarment, debarment from government contracts, and refusal of future orders under existing contracts, exclusion from federal healthcare programs, consent decrees, or corporate integrity agreements; or</w:t>
      </w:r>
    </w:p>
    <w:p>
      <w:pPr>
        <w:spacing w:after="0" w:line="188" w:lineRule="exact"/>
        <w:rPr>
          <w:rFonts w:ascii="Arial" w:cs="Arial" w:eastAsia="Arial" w:hAnsi="Arial"/>
          <w:sz w:val="18"/>
          <w:szCs w:val="18"/>
          <w:color w:val="231F20"/>
        </w:rPr>
      </w:pPr>
    </w:p>
    <w:p>
      <w:pPr>
        <w:ind w:left="720" w:hanging="360"/>
        <w:spacing w:after="0"/>
        <w:tabs>
          <w:tab w:leader="none" w:pos="720" w:val="left"/>
        </w:tabs>
        <w:numPr>
          <w:ilvl w:val="0"/>
          <w:numId w:val="26"/>
        </w:numPr>
        <w:rPr>
          <w:rFonts w:ascii="Arial" w:cs="Arial" w:eastAsia="Arial" w:hAnsi="Arial"/>
          <w:sz w:val="18"/>
          <w:szCs w:val="18"/>
          <w:color w:val="231F20"/>
        </w:rPr>
      </w:pPr>
      <w:r>
        <w:rPr>
          <w:rFonts w:ascii="Times New Roman" w:cs="Times New Roman" w:eastAsia="Times New Roman" w:hAnsi="Times New Roman"/>
          <w:sz w:val="20"/>
          <w:szCs w:val="20"/>
          <w:color w:val="231F20"/>
        </w:rPr>
        <w:t>injunctions or the imposition of civil or criminal penalties, including imprisonment.</w:t>
      </w:r>
    </w:p>
    <w:p>
      <w:pPr>
        <w:spacing w:after="0" w:line="24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Any of these events could prevent us from achieving or maintaining market acceptance of the particular product,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97"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97"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 xml:space="preserve">In addition, there is a great degree of uncertainty regarding how recent U.S. Supreme Court decisions, including </w:t>
      </w:r>
      <w:r>
        <w:rPr>
          <w:rFonts w:ascii="Times New Roman" w:cs="Times New Roman" w:eastAsia="Times New Roman" w:hAnsi="Times New Roman"/>
          <w:sz w:val="20"/>
          <w:szCs w:val="20"/>
          <w:i w:val="1"/>
          <w:iCs w:val="1"/>
          <w:color w:val="231F20"/>
        </w:rPr>
        <w:t>Loper Bright Enterprises v. Raimondo</w:t>
      </w:r>
      <w:r>
        <w:rPr>
          <w:rFonts w:ascii="Times New Roman" w:cs="Times New Roman" w:eastAsia="Times New Roman" w:hAnsi="Times New Roman"/>
          <w:sz w:val="20"/>
          <w:szCs w:val="20"/>
          <w:color w:val="231F20"/>
        </w:rPr>
        <w:t xml:space="preserve">, 603 U.S. 369 (2024) and </w:t>
      </w:r>
      <w:r>
        <w:rPr>
          <w:rFonts w:ascii="Times New Roman" w:cs="Times New Roman" w:eastAsia="Times New Roman" w:hAnsi="Times New Roman"/>
          <w:sz w:val="20"/>
          <w:szCs w:val="20"/>
          <w:i w:val="1"/>
          <w:iCs w:val="1"/>
          <w:color w:val="231F20"/>
        </w:rPr>
        <w:t>Corner Post, Inc. v. Board of Governors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of the Federal Reserve System</w:t>
      </w:r>
      <w:r>
        <w:rPr>
          <w:rFonts w:ascii="Times New Roman" w:cs="Times New Roman" w:eastAsia="Times New Roman" w:hAnsi="Times New Roman"/>
          <w:sz w:val="20"/>
          <w:szCs w:val="20"/>
          <w:color w:val="231F20"/>
        </w:rPr>
        <w:t>, 603 U.S. 799 (2024), will impact the FDA’s enforcement and decision-making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authority. </w:t>
      </w:r>
      <w:r>
        <w:rPr>
          <w:rFonts w:ascii="Times New Roman" w:cs="Times New Roman" w:eastAsia="Times New Roman" w:hAnsi="Times New Roman"/>
          <w:sz w:val="20"/>
          <w:szCs w:val="20"/>
          <w:i w:val="1"/>
          <w:iCs w:val="1"/>
          <w:color w:val="231F20"/>
        </w:rPr>
        <w:t>Loper Bright</w:t>
      </w:r>
      <w:r>
        <w:rPr>
          <w:rFonts w:ascii="Times New Roman" w:cs="Times New Roman" w:eastAsia="Times New Roman" w:hAnsi="Times New Roman"/>
          <w:sz w:val="20"/>
          <w:szCs w:val="20"/>
          <w:color w:val="231F20"/>
        </w:rPr>
        <w:t xml:space="preserve"> explicitly overturned </w:t>
      </w:r>
      <w:r>
        <w:rPr>
          <w:rFonts w:ascii="Times New Roman" w:cs="Times New Roman" w:eastAsia="Times New Roman" w:hAnsi="Times New Roman"/>
          <w:sz w:val="20"/>
          <w:szCs w:val="20"/>
          <w:i w:val="1"/>
          <w:iCs w:val="1"/>
          <w:color w:val="231F20"/>
        </w:rPr>
        <w:t>Chevron</w:t>
      </w:r>
      <w:r>
        <w:rPr>
          <w:rFonts w:ascii="Times New Roman" w:cs="Times New Roman" w:eastAsia="Times New Roman" w:hAnsi="Times New Roman"/>
          <w:sz w:val="20"/>
          <w:szCs w:val="20"/>
          <w:color w:val="231F20"/>
        </w:rPr>
        <w:t xml:space="preserve"> deference, which previously gave judicial deference to administrative action by agencies in the executive branch. Furthermore, the Supreme Court’s decision in </w:t>
      </w:r>
      <w:r>
        <w:rPr>
          <w:rFonts w:ascii="Times New Roman" w:cs="Times New Roman" w:eastAsia="Times New Roman" w:hAnsi="Times New Roman"/>
          <w:sz w:val="20"/>
          <w:szCs w:val="20"/>
          <w:i w:val="1"/>
          <w:iCs w:val="1"/>
          <w:color w:val="231F20"/>
        </w:rPr>
        <w:t>Corner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Post </w:t>
      </w:r>
      <w:r>
        <w:rPr>
          <w:rFonts w:ascii="Times New Roman" w:cs="Times New Roman" w:eastAsia="Times New Roman" w:hAnsi="Times New Roman"/>
          <w:sz w:val="20"/>
          <w:szCs w:val="20"/>
          <w:color w:val="231F20"/>
        </w:rPr>
        <w:t>may result in challenges to FDA decisions by new litigants long into the future. These decisions could result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20"/>
          <w:szCs w:val="20"/>
          <w:i w:val="1"/>
          <w:iCs w:val="1"/>
          <w:color w:val="231F20"/>
        </w:rPr>
        <w:t>Loper</w:t>
      </w:r>
      <w:r>
        <w:rPr>
          <w:rFonts w:ascii="Times New Roman" w:cs="Times New Roman" w:eastAsia="Times New Roman" w:hAnsi="Times New Roman"/>
          <w:sz w:val="20"/>
          <w:szCs w:val="20"/>
          <w:color w:val="231F20"/>
        </w:rPr>
        <w:t xml:space="preserve"> decision may result in increased regulatory uncertainty, inconsistent judicial interpretations, and could impact various aspects of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213" w:lineRule="exact"/>
        <w:rPr>
          <w:sz w:val="20"/>
          <w:szCs w:val="20"/>
          <w:color w:val="auto"/>
        </w:rPr>
      </w:pPr>
    </w:p>
    <w:p>
      <w:pPr>
        <w:ind w:right="400" w:firstLine="720"/>
        <w:spacing w:after="0" w:line="253" w:lineRule="exact"/>
        <w:rPr>
          <w:sz w:val="20"/>
          <w:szCs w:val="20"/>
          <w:color w:val="auto"/>
        </w:rPr>
      </w:pPr>
      <w:r>
        <w:rPr>
          <w:rFonts w:ascii="Times New Roman" w:cs="Times New Roman" w:eastAsia="Times New Roman" w:hAnsi="Times New Roman"/>
          <w:sz w:val="20"/>
          <w:szCs w:val="20"/>
          <w:color w:val="231F20"/>
        </w:rPr>
        <w:t>Should any of the above actions take place, they could adversely affect our ability to achieve or sustain profitability. Further, the cost of compliance with post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approval regulations may have a negative effect on our operating results and financial condition.</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65</w:t>
      </w:r>
    </w:p>
    <w:p>
      <w:pPr>
        <w:sectPr>
          <w:pgSz w:w="12240" w:h="15840" w:orient="portrait"/>
          <w:cols w:equalWidth="0" w:num="1">
            <w:col w:w="9360"/>
          </w:cols>
          <w:pgMar w:left="1440" w:top="1420" w:right="1440" w:bottom="174"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i w:val="1"/>
          <w:iCs w:val="1"/>
          <w:color w:val="231F20"/>
        </w:rPr>
        <w:t>A variety of risks associated with international operations could materially adversely affect our business.</w:t>
      </w:r>
    </w:p>
    <w:p>
      <w:pPr>
        <w:spacing w:after="0" w:line="240"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20"/>
          <w:szCs w:val="20"/>
          <w:color w:val="231F20"/>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88" w:lineRule="exact"/>
        <w:rPr>
          <w:sz w:val="20"/>
          <w:szCs w:val="20"/>
          <w:color w:val="auto"/>
        </w:rPr>
      </w:pPr>
    </w:p>
    <w:p>
      <w:pPr>
        <w:ind w:left="720" w:hanging="360"/>
        <w:spacing w:after="0"/>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different regulatory requirements for approval of drugs in foreign countries;</w:t>
      </w:r>
    </w:p>
    <w:p>
      <w:pPr>
        <w:spacing w:after="0" w:line="255" w:lineRule="exact"/>
        <w:rPr>
          <w:rFonts w:ascii="Arial" w:cs="Arial" w:eastAsia="Arial" w:hAnsi="Arial"/>
          <w:sz w:val="18"/>
          <w:szCs w:val="18"/>
          <w:color w:val="231F20"/>
        </w:rPr>
      </w:pPr>
    </w:p>
    <w:p>
      <w:pPr>
        <w:ind w:left="720" w:right="80" w:hanging="360"/>
        <w:spacing w:after="0" w:line="243" w:lineRule="exact"/>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the potential for so</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05" w:lineRule="exact"/>
        <w:rPr>
          <w:rFonts w:ascii="Arial" w:cs="Arial" w:eastAsia="Arial" w:hAnsi="Arial"/>
          <w:sz w:val="18"/>
          <w:szCs w:val="18"/>
          <w:color w:val="231F20"/>
        </w:rPr>
      </w:pPr>
    </w:p>
    <w:p>
      <w:pPr>
        <w:ind w:left="720" w:right="80" w:hanging="360"/>
        <w:spacing w:after="0" w:line="245" w:lineRule="auto"/>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stricter harmonized EU rules on data privacy and cybersecurity. These include enhanced rules on the processing of personal data, including health data, under the EU General Data Protection Regulation (GDPR), which became enforceable beginning May 25, 2018, as well as cybersecurity obligations under Directive (EU) 2022/2555 (NIS 2 Directive). The NIS 2 Directive establishes a harmonized cybersecurity framework for 18 critical sectors, including the health sector, and imposes significant compliance obligations on in-scope organizations, including risk management measures, incident prevention, detection and notification requirements, supply chain security controls, and enhanced governance and oversight, including potential personal liability at the Board level;</w:t>
      </w:r>
    </w:p>
    <w:p>
      <w:pPr>
        <w:spacing w:after="0" w:line="201" w:lineRule="exact"/>
        <w:rPr>
          <w:rFonts w:ascii="Arial" w:cs="Arial" w:eastAsia="Arial" w:hAnsi="Arial"/>
          <w:sz w:val="18"/>
          <w:szCs w:val="18"/>
          <w:color w:val="231F20"/>
        </w:rPr>
      </w:pPr>
    </w:p>
    <w:p>
      <w:pPr>
        <w:ind w:left="720" w:right="220" w:hanging="360"/>
        <w:spacing w:after="0" w:line="277" w:lineRule="auto"/>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challenges enforcing our contractual and intellectual property rights, especially in those foreign countries that do not respect and protect intellectual property rights to the same extent as the United States;</w:t>
      </w:r>
    </w:p>
    <w:p>
      <w:pPr>
        <w:spacing w:after="0" w:line="169" w:lineRule="exact"/>
        <w:rPr>
          <w:rFonts w:ascii="Arial" w:cs="Arial" w:eastAsia="Arial" w:hAnsi="Arial"/>
          <w:sz w:val="18"/>
          <w:szCs w:val="18"/>
          <w:color w:val="231F20"/>
        </w:rPr>
      </w:pPr>
    </w:p>
    <w:p>
      <w:pPr>
        <w:ind w:left="720" w:right="140" w:hanging="360"/>
        <w:spacing w:after="0" w:line="277" w:lineRule="auto"/>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unexpected changes in tariffs, trade barriers, and regulatory requirements and in the health care policies of foreign jurisdictions;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economic weakness, including inflation, or political instability in particular foreign economies and markets;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compliance with tax, employment, immigration, and labor laws for employees living or traveling abroad;</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foreign taxes, including withholding of payroll taxes;</w:t>
      </w:r>
    </w:p>
    <w:p>
      <w:pPr>
        <w:spacing w:after="0" w:line="240" w:lineRule="exact"/>
        <w:rPr>
          <w:rFonts w:ascii="Arial" w:cs="Arial" w:eastAsia="Arial" w:hAnsi="Arial"/>
          <w:sz w:val="18"/>
          <w:szCs w:val="18"/>
          <w:color w:val="231F20"/>
        </w:rPr>
      </w:pPr>
    </w:p>
    <w:p>
      <w:pPr>
        <w:ind w:left="720" w:right="320" w:hanging="360"/>
        <w:spacing w:after="0" w:line="277" w:lineRule="auto"/>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foreign currency fluctuations, which could result in increased operating expenses and reduced revenues, and other obligations incident to doing business in another country;</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difficulties staffing and managing foreign operations;</w:t>
      </w:r>
    </w:p>
    <w:p>
      <w:pPr>
        <w:spacing w:after="0" w:line="240" w:lineRule="exact"/>
        <w:rPr>
          <w:rFonts w:ascii="Arial" w:cs="Arial" w:eastAsia="Arial" w:hAnsi="Arial"/>
          <w:sz w:val="18"/>
          <w:szCs w:val="18"/>
          <w:color w:val="231F20"/>
        </w:rPr>
      </w:pPr>
    </w:p>
    <w:p>
      <w:pPr>
        <w:ind w:left="720" w:right="580" w:hanging="360"/>
        <w:spacing w:after="0" w:line="277" w:lineRule="auto"/>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workforce uncertainty in countries where labor unrest is more common than in the United States and worker rights tend to be stronger;</w:t>
      </w:r>
    </w:p>
    <w:p>
      <w:pPr>
        <w:spacing w:after="0" w:line="169" w:lineRule="exact"/>
        <w:rPr>
          <w:rFonts w:ascii="Arial" w:cs="Arial" w:eastAsia="Arial" w:hAnsi="Arial"/>
          <w:sz w:val="18"/>
          <w:szCs w:val="18"/>
          <w:color w:val="231F20"/>
        </w:rPr>
      </w:pPr>
    </w:p>
    <w:p>
      <w:pPr>
        <w:ind w:left="720" w:right="840" w:hanging="360"/>
        <w:spacing w:after="0" w:line="277" w:lineRule="auto"/>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costs of compliance with U.S. laws and regulations for foreign operations, including the FCPA or comparable foreign regulations, and the risks and costs of noncompliance;</w:t>
      </w:r>
    </w:p>
    <w:p>
      <w:pPr>
        <w:spacing w:after="0" w:line="169" w:lineRule="exact"/>
        <w:rPr>
          <w:rFonts w:ascii="Arial" w:cs="Arial" w:eastAsia="Arial" w:hAnsi="Arial"/>
          <w:sz w:val="18"/>
          <w:szCs w:val="18"/>
          <w:color w:val="231F20"/>
        </w:rPr>
      </w:pPr>
    </w:p>
    <w:p>
      <w:pPr>
        <w:ind w:left="720" w:right="80" w:hanging="360"/>
        <w:spacing w:after="0" w:line="277" w:lineRule="auto"/>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production shortages resulting from any events affecting raw material supply or manufacturing capabilities abroad; and</w:t>
      </w:r>
    </w:p>
    <w:p>
      <w:pPr>
        <w:spacing w:after="0" w:line="169" w:lineRule="exact"/>
        <w:rPr>
          <w:rFonts w:ascii="Arial" w:cs="Arial" w:eastAsia="Arial" w:hAnsi="Arial"/>
          <w:sz w:val="18"/>
          <w:szCs w:val="18"/>
          <w:color w:val="231F20"/>
        </w:rPr>
      </w:pPr>
    </w:p>
    <w:p>
      <w:pPr>
        <w:ind w:left="720" w:right="160" w:hanging="360"/>
        <w:spacing w:after="0" w:line="277" w:lineRule="auto"/>
        <w:tabs>
          <w:tab w:leader="none" w:pos="720" w:val="left"/>
        </w:tabs>
        <w:numPr>
          <w:ilvl w:val="0"/>
          <w:numId w:val="27"/>
        </w:numPr>
        <w:rPr>
          <w:rFonts w:ascii="Arial" w:cs="Arial" w:eastAsia="Arial" w:hAnsi="Arial"/>
          <w:sz w:val="18"/>
          <w:szCs w:val="18"/>
          <w:color w:val="231F20"/>
        </w:rPr>
      </w:pPr>
      <w:r>
        <w:rPr>
          <w:rFonts w:ascii="Times New Roman" w:cs="Times New Roman" w:eastAsia="Times New Roman" w:hAnsi="Times New Roman"/>
          <w:sz w:val="20"/>
          <w:szCs w:val="20"/>
          <w:color w:val="231F20"/>
        </w:rPr>
        <w:t>business interruptions resulting from geopolitical actions, including war and terrorism, or natural disasters including earthquakes, typhoons, floods, and fires.</w:t>
      </w:r>
    </w:p>
    <w:p>
      <w:pPr>
        <w:spacing w:after="0" w:line="169" w:lineRule="exact"/>
        <w:rPr>
          <w:sz w:val="20"/>
          <w:szCs w:val="20"/>
          <w:color w:val="auto"/>
        </w:rPr>
      </w:pPr>
    </w:p>
    <w:p>
      <w:pPr>
        <w:ind w:right="500" w:firstLine="720"/>
        <w:spacing w:after="0" w:line="277" w:lineRule="auto"/>
        <w:rPr>
          <w:sz w:val="20"/>
          <w:szCs w:val="20"/>
          <w:color w:val="auto"/>
        </w:rPr>
      </w:pPr>
      <w:r>
        <w:rPr>
          <w:rFonts w:ascii="Times New Roman" w:cs="Times New Roman" w:eastAsia="Times New Roman" w:hAnsi="Times New Roman"/>
          <w:sz w:val="20"/>
          <w:szCs w:val="20"/>
          <w:color w:val="231F20"/>
        </w:rPr>
        <w:t>These and other risks associated with our international operations may materially adversely affect our ability to attain or maintain profitable operations.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66</w:t>
      </w:r>
    </w:p>
    <w:p>
      <w:pPr>
        <w:sectPr>
          <w:pgSz w:w="12240" w:h="15840" w:orient="portrait"/>
          <w:cols w:equalWidth="0" w:num="1">
            <w:col w:w="9360"/>
          </w:cols>
          <w:pgMar w:left="1440" w:top="1420" w:right="1440" w:bottom="174"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exposed to market risk from fluctuations in currency exchange rates and interest rates.</w:t>
      </w:r>
    </w:p>
    <w:p>
      <w:pPr>
        <w:spacing w:after="0" w:line="240" w:lineRule="exact"/>
        <w:rPr>
          <w:sz w:val="20"/>
          <w:szCs w:val="20"/>
          <w:color w:val="auto"/>
        </w:rPr>
      </w:pPr>
    </w:p>
    <w:p>
      <w:pPr>
        <w:ind w:right="300" w:firstLine="720"/>
        <w:spacing w:after="0" w:line="258" w:lineRule="auto"/>
        <w:rPr>
          <w:sz w:val="20"/>
          <w:szCs w:val="20"/>
          <w:color w:val="auto"/>
        </w:rPr>
      </w:pPr>
      <w:r>
        <w:rPr>
          <w:rFonts w:ascii="Times New Roman" w:cs="Times New Roman" w:eastAsia="Times New Roman" w:hAnsi="Times New Roman"/>
          <w:sz w:val="20"/>
          <w:szCs w:val="20"/>
          <w:color w:val="231F20"/>
        </w:rPr>
        <w:t>We operate in multiple jurisdictions, and virtually all sales are denominated in currencies of the local jurisdiction. Additionally, we have entered and may enter into business development transactions, borrowings, or other financial transactions that may give rise to currency and interest rate exposure.</w:t>
      </w:r>
    </w:p>
    <w:p>
      <w:pPr>
        <w:spacing w:after="0" w:line="188"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231F20"/>
        </w:rPr>
        <w:t>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188"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231F20"/>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194" w:lineRule="exact"/>
        <w:rPr>
          <w:sz w:val="20"/>
          <w:szCs w:val="20"/>
          <w:color w:val="auto"/>
        </w:rPr>
      </w:pPr>
    </w:p>
    <w:p>
      <w:pPr>
        <w:ind w:right="34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We will need to obtain FDA approval (and that of comparable foreign regulatory authorities) of any proposed product names, and any failure or delay associated with such approval may adversely affect our business.</w:t>
      </w:r>
    </w:p>
    <w:p>
      <w:pPr>
        <w:spacing w:after="0" w:line="14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THE COMMERCIALIZATION OF OUR PRODUCTS</w:t>
      </w:r>
    </w:p>
    <w:p>
      <w:pPr>
        <w:spacing w:after="0" w:line="24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face significant competition from other pharmaceutical and biotechnology companies, academic institutions, government agencies, and other research organizations. Our operating results will suffer if we fail to compete effectively.</w:t>
      </w:r>
    </w:p>
    <w:p>
      <w:pPr>
        <w:spacing w:after="0" w:line="188"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231F20"/>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6"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Amgen Inc.; Avadel Pharmaceuticals plc; Biogen Inc.; Eli Lilly and Company; H. Lundbeck A/S; Harmony Biosciences LLC; Intra-Cellular Therapies, Inc.; Janssen; Jazz; Otsuka Pharmaceutical Co. Ltd.; Pfizer; and Takeda Pharmaceuticals Company.</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67</w:t>
      </w:r>
    </w:p>
    <w:p>
      <w:pPr>
        <w:sectPr>
          <w:pgSz w:w="12240" w:h="15840" w:orient="portrait"/>
          <w:cols w:equalWidth="0" w:num="1">
            <w:col w:w="9360"/>
          </w:cols>
          <w:pgMar w:left="1440" w:top="1420" w:right="1440" w:bottom="174" w:gutter="0" w:footer="0" w:header="0"/>
          <w:type w:val="continuous"/>
        </w:sectPr>
      </w:pPr>
    </w:p>
    <w:bookmarkStart w:id="69" w:name="page70"/>
    <w:bookmarkEnd w:id="69"/>
    <w:p>
      <w:pPr>
        <w:ind w:firstLine="720"/>
        <w:spacing w:after="0" w:line="244" w:lineRule="auto"/>
        <w:rPr>
          <w:sz w:val="20"/>
          <w:szCs w:val="20"/>
          <w:color w:val="auto"/>
        </w:rPr>
      </w:pPr>
      <w:r>
        <w:rPr>
          <w:rFonts w:ascii="Times New Roman" w:cs="Times New Roman" w:eastAsia="Times New Roman" w:hAnsi="Times New Roman"/>
          <w:sz w:val="20"/>
          <w:szCs w:val="20"/>
          <w:color w:val="231F20"/>
        </w:rPr>
        <w:t>Our commercial opportunities could be reduced or eliminated if our competitors develop and commercialize products that are safer, more effective, have fewer or less severe side effects, more convenient, or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206"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231F20"/>
        </w:rPr>
        <w:t>Generic forms of the active ingredients of our product candidates, including dextromethorphan, bupropion, meloxicam, rizatriptan, and reboxetine, are available in the United States and abroad and could be used off-label. Any such off -label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20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6"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94"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providing notification to the Company that Teva has submitted an ANDA to the FDA seeking approval to manufacture, use, or sell a generic version of AUVELITY. We settled the ensuing litigation in February 2025.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 We have reached settlement agreements in the ensuing litigation with five of the six filers. We remain in ongoing litigation with one remaining filer in the U.S. District Court for the District of New Jersey. More recently, in August 2025, Apotex sent a Paragraph IV certification notice regarding their ANDA submission to the FDA for a generic version of SYMBRAVO. In response, we filed a patent infringement lawsuit against Apotex, Inc. in the U.S. District Court for the District of New Jersey, which remains ongoing.</w:t>
      </w:r>
    </w:p>
    <w:p>
      <w:pPr>
        <w:spacing w:after="0" w:line="208" w:lineRule="exact"/>
        <w:rPr>
          <w:sz w:val="20"/>
          <w:szCs w:val="20"/>
          <w:color w:val="auto"/>
        </w:rPr>
      </w:pPr>
    </w:p>
    <w:p>
      <w:pPr>
        <w:ind w:right="20" w:firstLine="720"/>
        <w:spacing w:after="0" w:line="243" w:lineRule="exact"/>
        <w:rPr>
          <w:sz w:val="20"/>
          <w:szCs w:val="20"/>
          <w:color w:val="auto"/>
        </w:rPr>
      </w:pPr>
      <w:r>
        <w:rPr>
          <w:rFonts w:ascii="Times New Roman" w:cs="Times New Roman" w:eastAsia="Times New Roman" w:hAnsi="Times New Roman"/>
          <w:sz w:val="20"/>
          <w:szCs w:val="20"/>
          <w:color w:val="231F20"/>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payors. Thus, following the introduction of a generic drug, a significant percentage of the sales of any branded product or reference listed drug is typically lost to the generic product.</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68</w:t>
      </w:r>
    </w:p>
    <w:p>
      <w:pPr>
        <w:sectPr>
          <w:pgSz w:w="12240" w:h="15840" w:orient="portrait"/>
          <w:cols w:equalWidth="0" w:num="1">
            <w:col w:w="9360"/>
          </w:cols>
          <w:pgMar w:left="1440" w:top="1420" w:right="1440" w:bottom="174" w:gutter="0" w:footer="0" w:header="0"/>
          <w:type w:val="continuous"/>
        </w:sectPr>
      </w:pPr>
    </w:p>
    <w:bookmarkStart w:id="70" w:name="page71"/>
    <w:bookmarkEnd w:id="70"/>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94" w:lineRule="exact"/>
        <w:rPr>
          <w:sz w:val="20"/>
          <w:szCs w:val="20"/>
          <w:color w:val="auto"/>
        </w:rPr>
      </w:pPr>
    </w:p>
    <w:p>
      <w:pPr>
        <w:ind w:right="320" w:firstLine="720"/>
        <w:spacing w:after="0" w:line="258" w:lineRule="auto"/>
        <w:rPr>
          <w:sz w:val="20"/>
          <w:szCs w:val="20"/>
          <w:color w:val="auto"/>
        </w:rPr>
      </w:pPr>
      <w:r>
        <w:rPr>
          <w:rFonts w:ascii="Times New Roman" w:cs="Times New Roman" w:eastAsia="Times New Roman" w:hAnsi="Times New Roman"/>
          <w:sz w:val="20"/>
          <w:szCs w:val="20"/>
          <w:color w:val="231F20"/>
        </w:rPr>
        <w:t>Further, if we do not file a patent infringement lawsuit against a generic manufacturer within 45 days of receiving notice of its paragraph IV certification, the ANDA or 505(b)(2) applicant may not be subject to a</w:t>
      </w:r>
    </w:p>
    <w:p>
      <w:pPr>
        <w:spacing w:after="0" w:line="2" w:lineRule="exact"/>
        <w:rPr>
          <w:sz w:val="20"/>
          <w:szCs w:val="20"/>
          <w:color w:val="auto"/>
        </w:rPr>
      </w:pPr>
    </w:p>
    <w:p>
      <w:pPr>
        <w:ind w:right="180"/>
        <w:spacing w:after="0" w:line="236" w:lineRule="exact"/>
        <w:rPr>
          <w:sz w:val="20"/>
          <w:szCs w:val="20"/>
          <w:color w:val="auto"/>
        </w:rPr>
      </w:pPr>
      <w:r>
        <w:rPr>
          <w:rFonts w:ascii="Times New Roman" w:cs="Times New Roman" w:eastAsia="Times New Roman" w:hAnsi="Times New Roman"/>
          <w:sz w:val="20"/>
          <w:szCs w:val="20"/>
          <w:color w:val="231F20"/>
        </w:rPr>
        <w:t>30</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05" w:lineRule="exact"/>
        <w:rPr>
          <w:sz w:val="20"/>
          <w:szCs w:val="20"/>
          <w:color w:val="auto"/>
        </w:rPr>
      </w:pPr>
    </w:p>
    <w:p>
      <w:pPr>
        <w:jc w:val="both"/>
        <w:ind w:right="180" w:firstLine="720"/>
        <w:spacing w:after="0" w:line="258" w:lineRule="auto"/>
        <w:rPr>
          <w:sz w:val="20"/>
          <w:szCs w:val="20"/>
          <w:color w:val="auto"/>
        </w:rPr>
      </w:pPr>
      <w:r>
        <w:rPr>
          <w:rFonts w:ascii="Times New Roman" w:cs="Times New Roman" w:eastAsia="Times New Roman" w:hAnsi="Times New Roman"/>
          <w:sz w:val="20"/>
          <w:szCs w:val="20"/>
          <w:color w:val="231F20"/>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8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94" w:lineRule="exact"/>
        <w:rPr>
          <w:sz w:val="20"/>
          <w:szCs w:val="20"/>
          <w:color w:val="auto"/>
        </w:rPr>
      </w:pPr>
    </w:p>
    <w:p>
      <w:pPr>
        <w:ind w:right="280" w:firstLine="720"/>
        <w:spacing w:after="0" w:line="277" w:lineRule="auto"/>
        <w:rPr>
          <w:sz w:val="20"/>
          <w:szCs w:val="20"/>
          <w:color w:val="auto"/>
        </w:rPr>
      </w:pPr>
      <w:r>
        <w:rPr>
          <w:rFonts w:ascii="Times New Roman" w:cs="Times New Roman" w:eastAsia="Times New Roman" w:hAnsi="Times New Roman"/>
          <w:sz w:val="20"/>
          <w:szCs w:val="20"/>
          <w:color w:val="231F20"/>
        </w:rPr>
        <w:t>AXS-12 received Orphan Drug Designation from the FDA for the treatment of narcolepsy. We may also seek Orphan Drug Designation for our other products, as appropriate.</w:t>
      </w:r>
    </w:p>
    <w:p>
      <w:pPr>
        <w:spacing w:after="0" w:line="169"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20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The FDA or the EMA/EC may, under certain conditions,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In the EU, if another company is granted orphan exclusivity for a reboxetine containing product for the treatment of narcolepsy, we would be prevented from obtaining marketing authorization for AXS-12 for the treatment of narcolepsy for up to 10 years, which may be extended to 12 years under certain conditions. The EU Pharma Package will reduce the standard orphan exclusivity to 9 years, which may be extended to 11 years for certain products.</w:t>
      </w:r>
    </w:p>
    <w:p>
      <w:pPr>
        <w:spacing w:after="0" w:line="206"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69</w:t>
      </w:r>
    </w:p>
    <w:p>
      <w:pPr>
        <w:sectPr>
          <w:pgSz w:w="12240" w:h="15840" w:orient="portrait"/>
          <w:cols w:equalWidth="0" w:num="1">
            <w:col w:w="9360"/>
          </w:cols>
          <w:pgMar w:left="1440" w:top="1420" w:right="1440" w:bottom="174" w:gutter="0" w:footer="0" w:header="0"/>
          <w:type w:val="continuous"/>
        </w:sectPr>
      </w:pPr>
    </w:p>
    <w:bookmarkStart w:id="71" w:name="page72"/>
    <w:bookmarkEnd w:id="71"/>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establish effective marketing, sales and distribution capabilities or enter into agreements with third parties to market, sell and distribute our products, we may be unable to generate significant product awareness and that lack of awareness may limit the product revenues that we generate.</w:t>
      </w:r>
    </w:p>
    <w:p>
      <w:pPr>
        <w:spacing w:after="0" w:line="18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We recently expanded our commercial infrastructure for the marketing, sale, and distribution of pharmaceutical products, which included the creation of a sales force to launch our commercial stage products throughout the United States. This effort requires additional compliance with a range of federal and state laws. Additionally, we currently commercialize SUNOSI outside the United States. Each global market we commercialize SUNOSI in has its own set of applicable laws.</w:t>
      </w:r>
    </w:p>
    <w:p>
      <w:pPr>
        <w:spacing w:after="0" w:line="19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200" w:lineRule="exact"/>
        <w:rPr>
          <w:sz w:val="20"/>
          <w:szCs w:val="20"/>
          <w:color w:val="auto"/>
        </w:rPr>
      </w:pPr>
    </w:p>
    <w:p>
      <w:pPr>
        <w:ind w:left="720" w:right="700" w:hanging="360"/>
        <w:spacing w:after="0" w:line="277" w:lineRule="auto"/>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our inability to recruit, train, manage, and retain adequate numbers of effective sales and marketing personnel;</w:t>
      </w:r>
    </w:p>
    <w:p>
      <w:pPr>
        <w:spacing w:after="0" w:line="169" w:lineRule="exact"/>
        <w:rPr>
          <w:rFonts w:ascii="Arial" w:cs="Arial" w:eastAsia="Arial" w:hAnsi="Arial"/>
          <w:sz w:val="18"/>
          <w:szCs w:val="18"/>
          <w:color w:val="231F20"/>
        </w:rPr>
      </w:pPr>
    </w:p>
    <w:p>
      <w:pPr>
        <w:ind w:left="720" w:right="180" w:hanging="360"/>
        <w:spacing w:after="0" w:line="277" w:lineRule="auto"/>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the inability of sales personnel to obtain access to physicians or appropriately persuade adequate numbers of physicians to prescribe any of our current or future product candidates;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our inability to effectively oversee a geographically dispersed sales and marketing team;</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the application of federal and state drug distribution and supply chain requirements to our business;</w:t>
      </w:r>
    </w:p>
    <w:p>
      <w:pPr>
        <w:spacing w:after="0" w:line="240" w:lineRule="exact"/>
        <w:rPr>
          <w:rFonts w:ascii="Arial" w:cs="Arial" w:eastAsia="Arial" w:hAnsi="Arial"/>
          <w:sz w:val="18"/>
          <w:szCs w:val="18"/>
          <w:color w:val="231F20"/>
        </w:rPr>
      </w:pPr>
    </w:p>
    <w:p>
      <w:pPr>
        <w:ind w:left="720" w:right="20" w:hanging="360"/>
        <w:spacing w:after="0" w:line="277" w:lineRule="auto"/>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the costs associated with training sales and marketing personnel on legal and regulatory compliance matters and monitoring their actions;</w:t>
      </w:r>
    </w:p>
    <w:p>
      <w:pPr>
        <w:spacing w:after="0" w:line="169" w:lineRule="exact"/>
        <w:rPr>
          <w:rFonts w:ascii="Arial" w:cs="Arial" w:eastAsia="Arial" w:hAnsi="Arial"/>
          <w:sz w:val="18"/>
          <w:szCs w:val="18"/>
          <w:color w:val="231F20"/>
        </w:rPr>
      </w:pPr>
    </w:p>
    <w:p>
      <w:pPr>
        <w:ind w:left="720" w:right="80" w:hanging="360"/>
        <w:spacing w:after="0" w:line="277" w:lineRule="auto"/>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an inability to secure adequate or any coverage and reimbursement by government and private health plans or other payers;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the clinical indications and labeled claims for which the product is approved;</w:t>
      </w:r>
    </w:p>
    <w:p>
      <w:pPr>
        <w:spacing w:after="0" w:line="240" w:lineRule="exact"/>
        <w:rPr>
          <w:rFonts w:ascii="Arial" w:cs="Arial" w:eastAsia="Arial" w:hAnsi="Arial"/>
          <w:sz w:val="18"/>
          <w:szCs w:val="18"/>
          <w:color w:val="231F20"/>
        </w:rPr>
      </w:pPr>
    </w:p>
    <w:p>
      <w:pPr>
        <w:ind w:left="720" w:right="500" w:hanging="360"/>
        <w:spacing w:after="0" w:line="277" w:lineRule="auto"/>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limitations or warnings, including distribution or use restrictions, contained in the product’s approved labeling;</w:t>
      </w:r>
    </w:p>
    <w:p>
      <w:pPr>
        <w:spacing w:after="0" w:line="169" w:lineRule="exact"/>
        <w:rPr>
          <w:rFonts w:ascii="Arial" w:cs="Arial" w:eastAsia="Arial" w:hAnsi="Arial"/>
          <w:sz w:val="18"/>
          <w:szCs w:val="18"/>
          <w:color w:val="231F20"/>
        </w:rPr>
      </w:pPr>
    </w:p>
    <w:p>
      <w:pPr>
        <w:ind w:left="720" w:right="500" w:hanging="360"/>
        <w:spacing w:after="0" w:line="277" w:lineRule="auto"/>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any distribution and use restrictions imposed by the FDA or to which we agree as part of a mandatory REMS or voluntary risk management plan;</w:t>
      </w:r>
    </w:p>
    <w:p>
      <w:pPr>
        <w:spacing w:after="0" w:line="169" w:lineRule="exact"/>
        <w:rPr>
          <w:rFonts w:ascii="Arial" w:cs="Arial" w:eastAsia="Arial" w:hAnsi="Arial"/>
          <w:sz w:val="18"/>
          <w:szCs w:val="18"/>
          <w:color w:val="231F20"/>
        </w:rPr>
      </w:pPr>
    </w:p>
    <w:p>
      <w:pPr>
        <w:ind w:left="720" w:right="600" w:hanging="360"/>
        <w:spacing w:after="0" w:line="277" w:lineRule="auto"/>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liability for sales or marketing personnel who fail to comply with the applicable legal and regulatory requirements;</w:t>
      </w:r>
    </w:p>
    <w:p>
      <w:pPr>
        <w:spacing w:after="0" w:line="169" w:lineRule="exact"/>
        <w:rPr>
          <w:rFonts w:ascii="Arial" w:cs="Arial" w:eastAsia="Arial" w:hAnsi="Arial"/>
          <w:sz w:val="18"/>
          <w:szCs w:val="18"/>
          <w:color w:val="231F20"/>
        </w:rPr>
      </w:pPr>
    </w:p>
    <w:p>
      <w:pPr>
        <w:ind w:left="720" w:right="320" w:hanging="360"/>
        <w:spacing w:after="0" w:line="277" w:lineRule="auto"/>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the lack of complementary products to be offered by sales personnel, which may put us at a competitive disadvantage relative to companies with more extensive product lines; and</w:t>
      </w:r>
    </w:p>
    <w:p>
      <w:pPr>
        <w:spacing w:after="0" w:line="169" w:lineRule="exact"/>
        <w:rPr>
          <w:rFonts w:ascii="Arial" w:cs="Arial" w:eastAsia="Arial" w:hAnsi="Arial"/>
          <w:sz w:val="18"/>
          <w:szCs w:val="18"/>
          <w:color w:val="231F20"/>
        </w:rPr>
      </w:pPr>
    </w:p>
    <w:p>
      <w:pPr>
        <w:ind w:left="720" w:right="60" w:hanging="360"/>
        <w:spacing w:after="0" w:line="277" w:lineRule="auto"/>
        <w:tabs>
          <w:tab w:leader="none" w:pos="720" w:val="left"/>
        </w:tabs>
        <w:numPr>
          <w:ilvl w:val="0"/>
          <w:numId w:val="28"/>
        </w:numPr>
        <w:rPr>
          <w:rFonts w:ascii="Arial" w:cs="Arial" w:eastAsia="Arial" w:hAnsi="Arial"/>
          <w:sz w:val="18"/>
          <w:szCs w:val="18"/>
          <w:color w:val="231F20"/>
        </w:rPr>
      </w:pPr>
      <w:r>
        <w:rPr>
          <w:rFonts w:ascii="Times New Roman" w:cs="Times New Roman" w:eastAsia="Times New Roman" w:hAnsi="Times New Roman"/>
          <w:sz w:val="20"/>
          <w:szCs w:val="20"/>
          <w:color w:val="231F20"/>
        </w:rPr>
        <w:t>unforeseen costs and expenses associated with creating an independent sales and marketing organization or engaging a contract sales organization.</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70</w:t>
      </w:r>
    </w:p>
    <w:p>
      <w:pPr>
        <w:sectPr>
          <w:pgSz w:w="12240" w:h="15840" w:orient="portrait"/>
          <w:cols w:equalWidth="0" w:num="1">
            <w:col w:w="9360"/>
          </w:cols>
          <w:pgMar w:left="1440" w:top="1420" w:right="1440" w:bottom="174" w:gutter="0" w:footer="0" w:header="0"/>
          <w:type w:val="continuous"/>
        </w:sectPr>
      </w:pPr>
    </w:p>
    <w:bookmarkStart w:id="72" w:name="page73"/>
    <w:bookmarkEnd w:id="72"/>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97"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any of our products do not achieve broad market acceptance, the revenues that we generate from their sales will be limited.</w:t>
      </w:r>
    </w:p>
    <w:p>
      <w:pPr>
        <w:spacing w:after="0" w:line="169"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Our products, and, if approved, our product candidates, may not gain acceptance among physicians, patients, third-party payors, or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Physicians and their patients may likewise make decisions about therapies based on cost and insurance coverage and reimbursement. Further, patients often acclimate to the therapy that they are currently taking. While they may switch if their physicians recommend switching products, there is no guarantee. Additionally, they may also switch therapies due to lack of reimbursement for existing therapies or for other reasons. Even if physicians prescribe our products, third-party payors may not provide coverage, such as if they may not consider our products cost effective without a significant price concession, and, even when coverage is provided, may not provide adequate reimbursement, which in each such case could negatively impact our revenue. Third-party payors may also implement onerous access controls, which could further impede our efforts to effectively transition eligible patients to our therapies.</w:t>
      </w:r>
    </w:p>
    <w:p>
      <w:pPr>
        <w:spacing w:after="0" w:line="21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Efforts to educate the medical community and third-party payors on the benefits of our products may require significant resources and may not be successful. If our products or any of our product candidates that are approved do not achieve an adequate level of market acceptance, we may not generate significant revenues, and we may not become profitable. Even if the medical community accepts that one of our product candidates is safe and effective for its approved indications and third-party payors provide coverage and reimbursement for the same, physicians and patients may not immediately be receptive to such product candidate and may be slow to adopt it as an accepted treatment of the approved indication or may not accept it at all. It is unlikely that any labeling approved by the FDA will contain claims that one of our product candidates is safer or more effective than competitive products or will permit us to promote such product candidate as being superior to competing products. The degree of market acceptance of any of our products will depend on a number of factors, including:</w:t>
      </w:r>
    </w:p>
    <w:p>
      <w:pPr>
        <w:spacing w:after="0" w:line="202" w:lineRule="exact"/>
        <w:rPr>
          <w:sz w:val="20"/>
          <w:szCs w:val="20"/>
          <w:color w:val="auto"/>
        </w:rPr>
      </w:pPr>
    </w:p>
    <w:p>
      <w:pPr>
        <w:ind w:left="720" w:hanging="360"/>
        <w:spacing w:after="0"/>
        <w:tabs>
          <w:tab w:leader="none" w:pos="720" w:val="left"/>
        </w:tabs>
        <w:numPr>
          <w:ilvl w:val="0"/>
          <w:numId w:val="29"/>
        </w:numPr>
        <w:rPr>
          <w:rFonts w:ascii="Arial" w:cs="Arial" w:eastAsia="Arial" w:hAnsi="Arial"/>
          <w:sz w:val="18"/>
          <w:szCs w:val="18"/>
          <w:color w:val="231F20"/>
        </w:rPr>
      </w:pPr>
      <w:r>
        <w:rPr>
          <w:rFonts w:ascii="Times New Roman" w:cs="Times New Roman" w:eastAsia="Times New Roman" w:hAnsi="Times New Roman"/>
          <w:sz w:val="20"/>
          <w:szCs w:val="20"/>
          <w:color w:val="231F20"/>
        </w:rPr>
        <w:t>the efficacy of our products;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9"/>
        </w:numPr>
        <w:rPr>
          <w:rFonts w:ascii="Arial" w:cs="Arial" w:eastAsia="Arial" w:hAnsi="Arial"/>
          <w:sz w:val="18"/>
          <w:szCs w:val="18"/>
          <w:color w:val="231F20"/>
        </w:rPr>
      </w:pPr>
      <w:r>
        <w:rPr>
          <w:rFonts w:ascii="Times New Roman" w:cs="Times New Roman" w:eastAsia="Times New Roman" w:hAnsi="Times New Roman"/>
          <w:sz w:val="20"/>
          <w:szCs w:val="20"/>
          <w:color w:val="231F20"/>
        </w:rPr>
        <w:t>the prevalence and severity of adverse events associated with such product;</w:t>
      </w:r>
    </w:p>
    <w:p>
      <w:pPr>
        <w:spacing w:after="0" w:line="240" w:lineRule="exact"/>
        <w:rPr>
          <w:rFonts w:ascii="Arial" w:cs="Arial" w:eastAsia="Arial" w:hAnsi="Arial"/>
          <w:sz w:val="18"/>
          <w:szCs w:val="18"/>
          <w:color w:val="231F20"/>
        </w:rPr>
      </w:pPr>
    </w:p>
    <w:p>
      <w:pPr>
        <w:ind w:left="720" w:right="280" w:hanging="360"/>
        <w:spacing w:after="0" w:line="277" w:lineRule="auto"/>
        <w:tabs>
          <w:tab w:leader="none" w:pos="720" w:val="left"/>
        </w:tabs>
        <w:numPr>
          <w:ilvl w:val="0"/>
          <w:numId w:val="29"/>
        </w:numPr>
        <w:rPr>
          <w:rFonts w:ascii="Arial" w:cs="Arial" w:eastAsia="Arial" w:hAnsi="Arial"/>
          <w:sz w:val="18"/>
          <w:szCs w:val="18"/>
          <w:color w:val="231F20"/>
        </w:rPr>
      </w:pPr>
      <w:r>
        <w:rPr>
          <w:rFonts w:ascii="Times New Roman" w:cs="Times New Roman" w:eastAsia="Times New Roman" w:hAnsi="Times New Roman"/>
          <w:sz w:val="20"/>
          <w:szCs w:val="20"/>
          <w:color w:val="231F20"/>
        </w:rPr>
        <w:t>the clinical indications for which the product is approved and the approved claims that we may make for the product;</w:t>
      </w:r>
    </w:p>
    <w:p>
      <w:pPr>
        <w:spacing w:after="0" w:line="184" w:lineRule="exact"/>
        <w:rPr>
          <w:rFonts w:ascii="Arial" w:cs="Arial" w:eastAsia="Arial" w:hAnsi="Arial"/>
          <w:sz w:val="18"/>
          <w:szCs w:val="18"/>
          <w:color w:val="231F20"/>
        </w:rPr>
      </w:pPr>
    </w:p>
    <w:p>
      <w:pPr>
        <w:ind w:left="720" w:right="160" w:hanging="360"/>
        <w:spacing w:after="0" w:line="255" w:lineRule="exact"/>
        <w:tabs>
          <w:tab w:leader="none" w:pos="720" w:val="left"/>
        </w:tabs>
        <w:numPr>
          <w:ilvl w:val="0"/>
          <w:numId w:val="29"/>
        </w:numPr>
        <w:rPr>
          <w:rFonts w:ascii="Arial" w:cs="Arial" w:eastAsia="Arial" w:hAnsi="Arial"/>
          <w:sz w:val="17"/>
          <w:szCs w:val="17"/>
          <w:color w:val="231F20"/>
        </w:rPr>
      </w:pPr>
      <w:r>
        <w:rPr>
          <w:rFonts w:ascii="Times New Roman" w:cs="Times New Roman" w:eastAsia="Times New Roman" w:hAnsi="Times New Roman"/>
          <w:sz w:val="19"/>
          <w:szCs w:val="19"/>
          <w:color w:val="231F20"/>
        </w:rPr>
        <w:t>limitations or warnings contained in the product’s FDA</w:t>
      </w:r>
      <w:r>
        <w:rPr>
          <w:rFonts w:ascii="MS Gothic" w:cs="MS Gothic" w:eastAsia="MS Gothic" w:hAnsi="MS Gothic"/>
          <w:sz w:val="19"/>
          <w:szCs w:val="19"/>
          <w:color w:val="231F20"/>
        </w:rPr>
        <w:t>‑</w:t>
      </w:r>
      <w:r>
        <w:rPr>
          <w:rFonts w:ascii="Times New Roman" w:cs="Times New Roman" w:eastAsia="Times New Roman" w:hAnsi="Times New Roman"/>
          <w:sz w:val="19"/>
          <w:szCs w:val="19"/>
          <w:color w:val="231F20"/>
        </w:rPr>
        <w:t>approved labeling, including potential limitations or warnings for such product candidate, that may be more restrictive than other competitive products;</w:t>
      </w:r>
    </w:p>
    <w:p>
      <w:pPr>
        <w:spacing w:after="0" w:line="205" w:lineRule="exact"/>
        <w:rPr>
          <w:rFonts w:ascii="Arial" w:cs="Arial" w:eastAsia="Arial" w:hAnsi="Arial"/>
          <w:sz w:val="17"/>
          <w:szCs w:val="17"/>
          <w:color w:val="231F20"/>
        </w:rPr>
      </w:pPr>
    </w:p>
    <w:p>
      <w:pPr>
        <w:ind w:left="720" w:right="120" w:hanging="360"/>
        <w:spacing w:after="0" w:line="277" w:lineRule="auto"/>
        <w:tabs>
          <w:tab w:leader="none" w:pos="720" w:val="left"/>
        </w:tabs>
        <w:numPr>
          <w:ilvl w:val="0"/>
          <w:numId w:val="29"/>
        </w:numPr>
        <w:rPr>
          <w:rFonts w:ascii="Arial" w:cs="Arial" w:eastAsia="Arial" w:hAnsi="Arial"/>
          <w:sz w:val="18"/>
          <w:szCs w:val="18"/>
          <w:color w:val="231F20"/>
        </w:rPr>
      </w:pPr>
      <w:r>
        <w:rPr>
          <w:rFonts w:ascii="Times New Roman" w:cs="Times New Roman" w:eastAsia="Times New Roman" w:hAnsi="Times New Roman"/>
          <w:sz w:val="20"/>
          <w:szCs w:val="20"/>
          <w:color w:val="231F20"/>
        </w:rPr>
        <w:t>changes in the standard of care for the targeted indications for such product candidate, which could reduce the marketing impact of any claims that we could make following FDA approval, if obtained;</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29"/>
        </w:numPr>
        <w:rPr>
          <w:rFonts w:ascii="Arial" w:cs="Arial" w:eastAsia="Arial" w:hAnsi="Arial"/>
          <w:sz w:val="18"/>
          <w:szCs w:val="18"/>
          <w:color w:val="231F20"/>
        </w:rPr>
      </w:pPr>
      <w:r>
        <w:rPr>
          <w:rFonts w:ascii="Times New Roman" w:cs="Times New Roman" w:eastAsia="Times New Roman" w:hAnsi="Times New Roman"/>
          <w:sz w:val="20"/>
          <w:szCs w:val="20"/>
          <w:color w:val="231F20"/>
        </w:rPr>
        <w:t>the relative convenience and ease of administration of such product;</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29"/>
        </w:numPr>
        <w:rPr>
          <w:rFonts w:ascii="Arial" w:cs="Arial" w:eastAsia="Arial" w:hAnsi="Arial"/>
          <w:sz w:val="18"/>
          <w:szCs w:val="18"/>
          <w:color w:val="231F20"/>
        </w:rPr>
      </w:pPr>
      <w:r>
        <w:rPr>
          <w:rFonts w:ascii="Times New Roman" w:cs="Times New Roman" w:eastAsia="Times New Roman" w:hAnsi="Times New Roman"/>
          <w:sz w:val="20"/>
          <w:szCs w:val="20"/>
          <w:color w:val="231F20"/>
        </w:rPr>
        <w:t>cost of treatment versus economic and clinical benefit in relation to alternative treatments or therapies;</w:t>
      </w:r>
    </w:p>
    <w:p>
      <w:pPr>
        <w:spacing w:after="0" w:line="240" w:lineRule="exact"/>
        <w:rPr>
          <w:rFonts w:ascii="Arial" w:cs="Arial" w:eastAsia="Arial" w:hAnsi="Arial"/>
          <w:sz w:val="18"/>
          <w:szCs w:val="18"/>
          <w:color w:val="231F20"/>
        </w:rPr>
      </w:pPr>
    </w:p>
    <w:p>
      <w:pPr>
        <w:ind w:left="720" w:right="220" w:hanging="360"/>
        <w:spacing w:after="0" w:line="277" w:lineRule="auto"/>
        <w:tabs>
          <w:tab w:leader="none" w:pos="720" w:val="left"/>
        </w:tabs>
        <w:numPr>
          <w:ilvl w:val="0"/>
          <w:numId w:val="29"/>
        </w:numPr>
        <w:rPr>
          <w:rFonts w:ascii="Arial" w:cs="Arial" w:eastAsia="Arial" w:hAnsi="Arial"/>
          <w:sz w:val="18"/>
          <w:szCs w:val="18"/>
          <w:color w:val="231F20"/>
        </w:rPr>
      </w:pPr>
      <w:r>
        <w:rPr>
          <w:rFonts w:ascii="Times New Roman" w:cs="Times New Roman" w:eastAsia="Times New Roman" w:hAnsi="Times New Roman"/>
          <w:sz w:val="20"/>
          <w:szCs w:val="20"/>
          <w:color w:val="231F20"/>
        </w:rPr>
        <w:t>the availability of adequate coverage or reimbursement by third parties, such as insurance companies and other healthcare payors, and by government healthcare programs, including Medicare and Medicaid;</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71</w:t>
      </w:r>
    </w:p>
    <w:p>
      <w:pPr>
        <w:sectPr>
          <w:pgSz w:w="12240" w:h="15840" w:orient="portrait"/>
          <w:cols w:equalWidth="0" w:num="1">
            <w:col w:w="9360"/>
          </w:cols>
          <w:pgMar w:left="1440" w:top="1420" w:right="1440" w:bottom="174" w:gutter="0" w:footer="0" w:header="0"/>
          <w:type w:val="continuous"/>
        </w:sectPr>
      </w:pPr>
    </w:p>
    <w:bookmarkStart w:id="73" w:name="page74"/>
    <w:bookmarkEnd w:id="73"/>
    <w:p>
      <w:pPr>
        <w:ind w:left="720" w:right="640" w:hanging="360"/>
        <w:spacing w:after="0" w:line="277" w:lineRule="auto"/>
        <w:tabs>
          <w:tab w:leader="none" w:pos="720" w:val="left"/>
        </w:tabs>
        <w:numPr>
          <w:ilvl w:val="0"/>
          <w:numId w:val="30"/>
        </w:numPr>
        <w:rPr>
          <w:rFonts w:ascii="Arial" w:cs="Arial" w:eastAsia="Arial" w:hAnsi="Arial"/>
          <w:sz w:val="18"/>
          <w:szCs w:val="18"/>
          <w:color w:val="231F20"/>
        </w:rPr>
      </w:pPr>
      <w:r>
        <w:rPr>
          <w:rFonts w:ascii="Times New Roman" w:cs="Times New Roman" w:eastAsia="Times New Roman" w:hAnsi="Times New Roman"/>
          <w:sz w:val="20"/>
          <w:szCs w:val="20"/>
          <w:color w:val="231F20"/>
        </w:rPr>
        <w:t>the willingness of third-party payors to prefer other products, even if not approved for our product’s indication;</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30"/>
        </w:numPr>
        <w:rPr>
          <w:rFonts w:ascii="Arial" w:cs="Arial" w:eastAsia="Arial" w:hAnsi="Arial"/>
          <w:sz w:val="18"/>
          <w:szCs w:val="18"/>
          <w:color w:val="231F20"/>
        </w:rPr>
      </w:pPr>
      <w:r>
        <w:rPr>
          <w:rFonts w:ascii="Times New Roman" w:cs="Times New Roman" w:eastAsia="Times New Roman" w:hAnsi="Times New Roman"/>
          <w:sz w:val="20"/>
          <w:szCs w:val="20"/>
          <w:color w:val="231F20"/>
        </w:rPr>
        <w:t>the extent and strength of our marketing and distribution of such product;</w:t>
      </w:r>
    </w:p>
    <w:p>
      <w:pPr>
        <w:spacing w:after="0" w:line="240" w:lineRule="exact"/>
        <w:rPr>
          <w:rFonts w:ascii="Arial" w:cs="Arial" w:eastAsia="Arial" w:hAnsi="Arial"/>
          <w:sz w:val="18"/>
          <w:szCs w:val="18"/>
          <w:color w:val="231F20"/>
        </w:rPr>
      </w:pPr>
    </w:p>
    <w:p>
      <w:pPr>
        <w:ind w:left="720" w:right="160" w:hanging="360"/>
        <w:spacing w:after="0" w:line="277" w:lineRule="auto"/>
        <w:tabs>
          <w:tab w:leader="none" w:pos="720" w:val="left"/>
        </w:tabs>
        <w:numPr>
          <w:ilvl w:val="0"/>
          <w:numId w:val="30"/>
        </w:numPr>
        <w:rPr>
          <w:rFonts w:ascii="Arial" w:cs="Arial" w:eastAsia="Arial" w:hAnsi="Arial"/>
          <w:sz w:val="18"/>
          <w:szCs w:val="18"/>
          <w:color w:val="231F20"/>
        </w:rPr>
      </w:pPr>
      <w:r>
        <w:rPr>
          <w:rFonts w:ascii="Times New Roman" w:cs="Times New Roman" w:eastAsia="Times New Roman" w:hAnsi="Times New Roman"/>
          <w:sz w:val="20"/>
          <w:szCs w:val="20"/>
          <w:color w:val="231F20"/>
        </w:rPr>
        <w:t>the safety, efficacy, and other potential advantages over, and availability of, alternative treatments already used or that may later be approved for any of our intended indications;</w:t>
      </w:r>
    </w:p>
    <w:p>
      <w:pPr>
        <w:spacing w:after="0" w:line="169" w:lineRule="exact"/>
        <w:rPr>
          <w:rFonts w:ascii="Arial" w:cs="Arial" w:eastAsia="Arial" w:hAnsi="Arial"/>
          <w:sz w:val="18"/>
          <w:szCs w:val="18"/>
          <w:color w:val="231F20"/>
        </w:rPr>
      </w:pPr>
    </w:p>
    <w:p>
      <w:pPr>
        <w:ind w:left="720" w:right="160" w:hanging="360"/>
        <w:spacing w:after="0" w:line="277" w:lineRule="auto"/>
        <w:tabs>
          <w:tab w:leader="none" w:pos="720" w:val="left"/>
        </w:tabs>
        <w:numPr>
          <w:ilvl w:val="0"/>
          <w:numId w:val="30"/>
        </w:numPr>
        <w:rPr>
          <w:rFonts w:ascii="Arial" w:cs="Arial" w:eastAsia="Arial" w:hAnsi="Arial"/>
          <w:sz w:val="18"/>
          <w:szCs w:val="18"/>
          <w:color w:val="231F20"/>
        </w:rPr>
      </w:pPr>
      <w:r>
        <w:rPr>
          <w:rFonts w:ascii="Times New Roman" w:cs="Times New Roman" w:eastAsia="Times New Roman" w:hAnsi="Times New Roman"/>
          <w:sz w:val="20"/>
          <w:szCs w:val="20"/>
          <w:color w:val="231F20"/>
        </w:rPr>
        <w:t>distribution and use restrictions imposed by the FDA with respect to such product or to which we agree as part of a mandatory REMS or voluntary risk management plan;</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30"/>
        </w:numPr>
        <w:rPr>
          <w:rFonts w:ascii="Arial" w:cs="Arial" w:eastAsia="Arial" w:hAnsi="Arial"/>
          <w:sz w:val="18"/>
          <w:szCs w:val="18"/>
          <w:color w:val="231F20"/>
        </w:rPr>
      </w:pPr>
      <w:r>
        <w:rPr>
          <w:rFonts w:ascii="Times New Roman" w:cs="Times New Roman" w:eastAsia="Times New Roman" w:hAnsi="Times New Roman"/>
          <w:sz w:val="20"/>
          <w:szCs w:val="20"/>
          <w:color w:val="231F20"/>
        </w:rPr>
        <w:t>the timing of market introduction of such product, as well as competitive products;</w:t>
      </w:r>
    </w:p>
    <w:p>
      <w:pPr>
        <w:spacing w:after="0" w:line="240" w:lineRule="exact"/>
        <w:rPr>
          <w:rFonts w:ascii="Arial" w:cs="Arial" w:eastAsia="Arial" w:hAnsi="Arial"/>
          <w:sz w:val="18"/>
          <w:szCs w:val="18"/>
          <w:color w:val="231F20"/>
        </w:rPr>
      </w:pPr>
    </w:p>
    <w:p>
      <w:pPr>
        <w:ind w:left="720" w:right="880" w:hanging="360"/>
        <w:spacing w:after="0" w:line="277" w:lineRule="auto"/>
        <w:tabs>
          <w:tab w:leader="none" w:pos="720" w:val="left"/>
        </w:tabs>
        <w:numPr>
          <w:ilvl w:val="0"/>
          <w:numId w:val="30"/>
        </w:numPr>
        <w:rPr>
          <w:rFonts w:ascii="Arial" w:cs="Arial" w:eastAsia="Arial" w:hAnsi="Arial"/>
          <w:sz w:val="18"/>
          <w:szCs w:val="18"/>
          <w:color w:val="231F20"/>
        </w:rPr>
      </w:pPr>
      <w:r>
        <w:rPr>
          <w:rFonts w:ascii="Times New Roman" w:cs="Times New Roman" w:eastAsia="Times New Roman" w:hAnsi="Times New Roman"/>
          <w:sz w:val="20"/>
          <w:szCs w:val="20"/>
          <w:color w:val="231F20"/>
        </w:rPr>
        <w:t>our ability to offer such product candidate for sale at competitive prices, including prices that are competitive with generic products;</w:t>
      </w:r>
    </w:p>
    <w:p>
      <w:pPr>
        <w:spacing w:after="0" w:line="169" w:lineRule="exact"/>
        <w:rPr>
          <w:rFonts w:ascii="Arial" w:cs="Arial" w:eastAsia="Arial" w:hAnsi="Arial"/>
          <w:sz w:val="18"/>
          <w:szCs w:val="18"/>
          <w:color w:val="231F20"/>
        </w:rPr>
      </w:pPr>
    </w:p>
    <w:p>
      <w:pPr>
        <w:ind w:left="720" w:right="380" w:hanging="360"/>
        <w:spacing w:after="0" w:line="277" w:lineRule="auto"/>
        <w:tabs>
          <w:tab w:leader="none" w:pos="720" w:val="left"/>
        </w:tabs>
        <w:numPr>
          <w:ilvl w:val="0"/>
          <w:numId w:val="30"/>
        </w:numPr>
        <w:rPr>
          <w:rFonts w:ascii="Arial" w:cs="Arial" w:eastAsia="Arial" w:hAnsi="Arial"/>
          <w:sz w:val="18"/>
          <w:szCs w:val="18"/>
          <w:color w:val="231F20"/>
        </w:rPr>
      </w:pPr>
      <w:r>
        <w:rPr>
          <w:rFonts w:ascii="Times New Roman" w:cs="Times New Roman" w:eastAsia="Times New Roman" w:hAnsi="Times New Roman"/>
          <w:sz w:val="20"/>
          <w:szCs w:val="20"/>
          <w:color w:val="231F20"/>
        </w:rPr>
        <w:t>the willingness of the target patient population to try new therapies and of physicians to prescribe these therapies;</w:t>
      </w:r>
    </w:p>
    <w:p>
      <w:pPr>
        <w:spacing w:after="0" w:line="184" w:lineRule="exact"/>
        <w:rPr>
          <w:rFonts w:ascii="Arial" w:cs="Arial" w:eastAsia="Arial" w:hAnsi="Arial"/>
          <w:sz w:val="18"/>
          <w:szCs w:val="18"/>
          <w:color w:val="231F20"/>
        </w:rPr>
      </w:pPr>
    </w:p>
    <w:p>
      <w:pPr>
        <w:ind w:left="720" w:hanging="360"/>
        <w:spacing w:after="0" w:line="230" w:lineRule="exact"/>
        <w:tabs>
          <w:tab w:leader="none" w:pos="720" w:val="left"/>
        </w:tabs>
        <w:numPr>
          <w:ilvl w:val="0"/>
          <w:numId w:val="30"/>
        </w:numPr>
        <w:rPr>
          <w:rFonts w:ascii="Arial" w:cs="Arial" w:eastAsia="Arial" w:hAnsi="Arial"/>
          <w:sz w:val="18"/>
          <w:szCs w:val="18"/>
          <w:color w:val="231F20"/>
        </w:rPr>
      </w:pPr>
      <w:r>
        <w:rPr>
          <w:rFonts w:ascii="Times New Roman" w:cs="Times New Roman" w:eastAsia="Times New Roman" w:hAnsi="Times New Roman"/>
          <w:sz w:val="20"/>
          <w:szCs w:val="20"/>
          <w:color w:val="231F20"/>
        </w:rPr>
        <w:t>the extent and strength of our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manufacturer and supplier support;</w:t>
      </w:r>
    </w:p>
    <w:p>
      <w:pPr>
        <w:spacing w:after="0" w:line="254" w:lineRule="exact"/>
        <w:rPr>
          <w:rFonts w:ascii="Arial" w:cs="Arial" w:eastAsia="Arial" w:hAnsi="Arial"/>
          <w:sz w:val="18"/>
          <w:szCs w:val="18"/>
          <w:color w:val="231F20"/>
        </w:rPr>
      </w:pPr>
    </w:p>
    <w:p>
      <w:pPr>
        <w:ind w:left="720" w:hanging="360"/>
        <w:spacing w:after="0"/>
        <w:tabs>
          <w:tab w:leader="none" w:pos="720" w:val="left"/>
        </w:tabs>
        <w:numPr>
          <w:ilvl w:val="0"/>
          <w:numId w:val="30"/>
        </w:numPr>
        <w:rPr>
          <w:rFonts w:ascii="Arial" w:cs="Arial" w:eastAsia="Arial" w:hAnsi="Arial"/>
          <w:sz w:val="18"/>
          <w:szCs w:val="18"/>
          <w:color w:val="231F20"/>
        </w:rPr>
      </w:pPr>
      <w:r>
        <w:rPr>
          <w:rFonts w:ascii="Times New Roman" w:cs="Times New Roman" w:eastAsia="Times New Roman" w:hAnsi="Times New Roman"/>
          <w:sz w:val="20"/>
          <w:szCs w:val="20"/>
          <w:color w:val="231F20"/>
        </w:rPr>
        <w:t>the approval of other new products for the same indications;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0"/>
        </w:numPr>
        <w:rPr>
          <w:rFonts w:ascii="Arial" w:cs="Arial" w:eastAsia="Arial" w:hAnsi="Arial"/>
          <w:sz w:val="18"/>
          <w:szCs w:val="18"/>
          <w:color w:val="231F20"/>
        </w:rPr>
      </w:pPr>
      <w:r>
        <w:rPr>
          <w:rFonts w:ascii="Times New Roman" w:cs="Times New Roman" w:eastAsia="Times New Roman" w:hAnsi="Times New Roman"/>
          <w:sz w:val="20"/>
          <w:szCs w:val="20"/>
          <w:color w:val="231F20"/>
        </w:rPr>
        <w:t>adverse publicity about the product or favorable publicity about competitive products; and</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0"/>
        </w:numPr>
        <w:rPr>
          <w:rFonts w:ascii="Arial" w:cs="Arial" w:eastAsia="Arial" w:hAnsi="Arial"/>
          <w:sz w:val="18"/>
          <w:szCs w:val="18"/>
          <w:color w:val="231F20"/>
        </w:rPr>
      </w:pPr>
      <w:r>
        <w:rPr>
          <w:rFonts w:ascii="Times New Roman" w:cs="Times New Roman" w:eastAsia="Times New Roman" w:hAnsi="Times New Roman"/>
          <w:sz w:val="20"/>
          <w:szCs w:val="20"/>
          <w:color w:val="231F20"/>
        </w:rPr>
        <w:t>potential product liability claims.</w:t>
      </w:r>
    </w:p>
    <w:p>
      <w:pPr>
        <w:spacing w:after="0" w:line="240" w:lineRule="exact"/>
        <w:rPr>
          <w:sz w:val="20"/>
          <w:szCs w:val="20"/>
          <w:color w:val="auto"/>
        </w:rPr>
      </w:pPr>
    </w:p>
    <w:p>
      <w:pPr>
        <w:ind w:right="40" w:firstLine="720"/>
        <w:spacing w:after="0" w:line="239" w:lineRule="exact"/>
        <w:rPr>
          <w:sz w:val="20"/>
          <w:szCs w:val="20"/>
          <w:color w:val="auto"/>
        </w:rPr>
      </w:pPr>
      <w:r>
        <w:rPr>
          <w:rFonts w:ascii="Times New Roman" w:cs="Times New Roman" w:eastAsia="Times New Roman" w:hAnsi="Times New Roman"/>
          <w:sz w:val="20"/>
          <w:szCs w:val="20"/>
          <w:color w:val="231F20"/>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210"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face potential product liability exposure, and if successful claims are brought against us, we may incur substantial liability and may have to limit our products’ commercialization.</w:t>
      </w:r>
    </w:p>
    <w:p>
      <w:pPr>
        <w:spacing w:after="0" w:line="169" w:lineRule="exact"/>
        <w:rPr>
          <w:sz w:val="20"/>
          <w:szCs w:val="20"/>
          <w:color w:val="auto"/>
        </w:rPr>
      </w:pPr>
    </w:p>
    <w:p>
      <w:pPr>
        <w:ind w:right="220" w:firstLine="720"/>
        <w:spacing w:after="0" w:line="243" w:lineRule="auto"/>
        <w:rPr>
          <w:sz w:val="20"/>
          <w:szCs w:val="20"/>
          <w:color w:val="auto"/>
        </w:rPr>
      </w:pPr>
      <w:r>
        <w:rPr>
          <w:rFonts w:ascii="Times New Roman" w:cs="Times New Roman" w:eastAsia="Times New Roman" w:hAnsi="Times New Roman"/>
          <w:sz w:val="20"/>
          <w:szCs w:val="20"/>
          <w:color w:val="231F20"/>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including from:</w:t>
      </w:r>
    </w:p>
    <w:p>
      <w:pPr>
        <w:spacing w:after="0" w:line="206" w:lineRule="exact"/>
        <w:rPr>
          <w:sz w:val="20"/>
          <w:szCs w:val="20"/>
          <w:color w:val="auto"/>
        </w:rPr>
      </w:pPr>
    </w:p>
    <w:p>
      <w:pPr>
        <w:ind w:left="720" w:hanging="360"/>
        <w:spacing w:after="0"/>
        <w:tabs>
          <w:tab w:leader="none" w:pos="720" w:val="left"/>
        </w:tabs>
        <w:numPr>
          <w:ilvl w:val="0"/>
          <w:numId w:val="31"/>
        </w:numPr>
        <w:rPr>
          <w:rFonts w:ascii="Arial" w:cs="Arial" w:eastAsia="Arial" w:hAnsi="Arial"/>
          <w:sz w:val="18"/>
          <w:szCs w:val="18"/>
          <w:color w:val="231F20"/>
        </w:rPr>
      </w:pPr>
      <w:r>
        <w:rPr>
          <w:rFonts w:ascii="Times New Roman" w:cs="Times New Roman" w:eastAsia="Times New Roman" w:hAnsi="Times New Roman"/>
          <w:sz w:val="20"/>
          <w:szCs w:val="20"/>
          <w:color w:val="231F20"/>
        </w:rPr>
        <w:t>decreased demand for our products;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1"/>
        </w:numPr>
        <w:rPr>
          <w:rFonts w:ascii="Arial" w:cs="Arial" w:eastAsia="Arial" w:hAnsi="Arial"/>
          <w:sz w:val="18"/>
          <w:szCs w:val="18"/>
          <w:color w:val="231F20"/>
        </w:rPr>
      </w:pPr>
      <w:r>
        <w:rPr>
          <w:rFonts w:ascii="Times New Roman" w:cs="Times New Roman" w:eastAsia="Times New Roman" w:hAnsi="Times New Roman"/>
          <w:sz w:val="20"/>
          <w:szCs w:val="20"/>
          <w:color w:val="231F20"/>
        </w:rPr>
        <w:t>impairment of our business reputation or financial stability;</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72</w:t>
      </w:r>
    </w:p>
    <w:p>
      <w:pPr>
        <w:sectPr>
          <w:pgSz w:w="12240" w:h="15840" w:orient="portrait"/>
          <w:cols w:equalWidth="0" w:num="1">
            <w:col w:w="9360"/>
          </w:cols>
          <w:pgMar w:left="1440" w:top="1420" w:right="1440" w:bottom="174" w:gutter="0" w:footer="0" w:header="0"/>
          <w:type w:val="continuous"/>
        </w:sectPr>
      </w:pPr>
    </w:p>
    <w:bookmarkStart w:id="74" w:name="page75"/>
    <w:bookmarkEnd w:id="74"/>
    <w:p>
      <w:pPr>
        <w:ind w:left="720" w:hanging="360"/>
        <w:spacing w:after="0"/>
        <w:tabs>
          <w:tab w:leader="none" w:pos="720" w:val="left"/>
        </w:tabs>
        <w:numPr>
          <w:ilvl w:val="0"/>
          <w:numId w:val="32"/>
        </w:numPr>
        <w:rPr>
          <w:rFonts w:ascii="Arial" w:cs="Arial" w:eastAsia="Arial" w:hAnsi="Arial"/>
          <w:sz w:val="18"/>
          <w:szCs w:val="18"/>
          <w:color w:val="231F20"/>
        </w:rPr>
      </w:pPr>
      <w:r>
        <w:rPr>
          <w:rFonts w:ascii="Times New Roman" w:cs="Times New Roman" w:eastAsia="Times New Roman" w:hAnsi="Times New Roman"/>
          <w:sz w:val="20"/>
          <w:szCs w:val="20"/>
          <w:color w:val="231F20"/>
        </w:rPr>
        <w:t>costs of related litigation;</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2"/>
        </w:numPr>
        <w:rPr>
          <w:rFonts w:ascii="Arial" w:cs="Arial" w:eastAsia="Arial" w:hAnsi="Arial"/>
          <w:sz w:val="18"/>
          <w:szCs w:val="18"/>
          <w:color w:val="231F20"/>
        </w:rPr>
      </w:pPr>
      <w:r>
        <w:rPr>
          <w:rFonts w:ascii="Times New Roman" w:cs="Times New Roman" w:eastAsia="Times New Roman" w:hAnsi="Times New Roman"/>
          <w:sz w:val="20"/>
          <w:szCs w:val="20"/>
          <w:color w:val="231F20"/>
        </w:rPr>
        <w:t>substantial monetary awards to patients or other claimants;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2"/>
        </w:numPr>
        <w:rPr>
          <w:rFonts w:ascii="Arial" w:cs="Arial" w:eastAsia="Arial" w:hAnsi="Arial"/>
          <w:sz w:val="18"/>
          <w:szCs w:val="18"/>
          <w:color w:val="231F20"/>
        </w:rPr>
      </w:pPr>
      <w:r>
        <w:rPr>
          <w:rFonts w:ascii="Times New Roman" w:cs="Times New Roman" w:eastAsia="Times New Roman" w:hAnsi="Times New Roman"/>
          <w:sz w:val="20"/>
          <w:szCs w:val="20"/>
          <w:color w:val="231F20"/>
        </w:rPr>
        <w:t>diversion of management attention;</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2"/>
        </w:numPr>
        <w:rPr>
          <w:rFonts w:ascii="Arial" w:cs="Arial" w:eastAsia="Arial" w:hAnsi="Arial"/>
          <w:sz w:val="18"/>
          <w:szCs w:val="18"/>
          <w:color w:val="231F20"/>
        </w:rPr>
      </w:pPr>
      <w:r>
        <w:rPr>
          <w:rFonts w:ascii="Times New Roman" w:cs="Times New Roman" w:eastAsia="Times New Roman" w:hAnsi="Times New Roman"/>
          <w:sz w:val="20"/>
          <w:szCs w:val="20"/>
          <w:color w:val="231F20"/>
        </w:rPr>
        <w:t>loss of revenues;</w:t>
      </w:r>
    </w:p>
    <w:p>
      <w:pPr>
        <w:spacing w:after="0" w:line="240" w:lineRule="exact"/>
        <w:rPr>
          <w:rFonts w:ascii="Arial" w:cs="Arial" w:eastAsia="Arial" w:hAnsi="Arial"/>
          <w:sz w:val="18"/>
          <w:szCs w:val="18"/>
          <w:color w:val="231F20"/>
        </w:rPr>
      </w:pPr>
    </w:p>
    <w:p>
      <w:pPr>
        <w:ind w:left="720" w:right="480" w:hanging="360"/>
        <w:spacing w:after="0" w:line="277" w:lineRule="auto"/>
        <w:tabs>
          <w:tab w:leader="none" w:pos="720" w:val="left"/>
        </w:tabs>
        <w:numPr>
          <w:ilvl w:val="0"/>
          <w:numId w:val="32"/>
        </w:numPr>
        <w:rPr>
          <w:rFonts w:ascii="Arial" w:cs="Arial" w:eastAsia="Arial" w:hAnsi="Arial"/>
          <w:sz w:val="18"/>
          <w:szCs w:val="18"/>
          <w:color w:val="231F20"/>
        </w:rPr>
      </w:pPr>
      <w:r>
        <w:rPr>
          <w:rFonts w:ascii="Times New Roman" w:cs="Times New Roman" w:eastAsia="Times New Roman" w:hAnsi="Times New Roman"/>
          <w:sz w:val="20"/>
          <w:szCs w:val="20"/>
          <w:color w:val="231F20"/>
        </w:rPr>
        <w:t>withdrawal of clinical trial participants and potential termination of clinical trial sites or entire clinical programs;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32"/>
        </w:numPr>
        <w:rPr>
          <w:rFonts w:ascii="Arial" w:cs="Arial" w:eastAsia="Arial" w:hAnsi="Arial"/>
          <w:sz w:val="18"/>
          <w:szCs w:val="18"/>
          <w:color w:val="231F20"/>
        </w:rPr>
      </w:pPr>
      <w:r>
        <w:rPr>
          <w:rFonts w:ascii="Times New Roman" w:cs="Times New Roman" w:eastAsia="Times New Roman" w:hAnsi="Times New Roman"/>
          <w:sz w:val="20"/>
          <w:szCs w:val="20"/>
          <w:color w:val="231F20"/>
        </w:rPr>
        <w:t>the inability to commercialize our product candidates;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2"/>
        </w:numPr>
        <w:rPr>
          <w:rFonts w:ascii="Arial" w:cs="Arial" w:eastAsia="Arial" w:hAnsi="Arial"/>
          <w:sz w:val="18"/>
          <w:szCs w:val="18"/>
          <w:color w:val="231F20"/>
        </w:rPr>
      </w:pPr>
      <w:r>
        <w:rPr>
          <w:rFonts w:ascii="Times New Roman" w:cs="Times New Roman" w:eastAsia="Times New Roman" w:hAnsi="Times New Roman"/>
          <w:sz w:val="20"/>
          <w:szCs w:val="20"/>
          <w:color w:val="231F20"/>
        </w:rPr>
        <w:t>significant negative media attention;</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2"/>
        </w:numPr>
        <w:rPr>
          <w:rFonts w:ascii="Arial" w:cs="Arial" w:eastAsia="Arial" w:hAnsi="Arial"/>
          <w:sz w:val="18"/>
          <w:szCs w:val="18"/>
          <w:color w:val="231F20"/>
        </w:rPr>
      </w:pPr>
      <w:r>
        <w:rPr>
          <w:rFonts w:ascii="Times New Roman" w:cs="Times New Roman" w:eastAsia="Times New Roman" w:hAnsi="Times New Roman"/>
          <w:sz w:val="20"/>
          <w:szCs w:val="20"/>
          <w:color w:val="231F20"/>
        </w:rPr>
        <w:t>decrease in our stock price;</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2"/>
        </w:numPr>
        <w:rPr>
          <w:rFonts w:ascii="Arial" w:cs="Arial" w:eastAsia="Arial" w:hAnsi="Arial"/>
          <w:sz w:val="18"/>
          <w:szCs w:val="18"/>
          <w:color w:val="231F20"/>
        </w:rPr>
      </w:pPr>
      <w:r>
        <w:rPr>
          <w:rFonts w:ascii="Times New Roman" w:cs="Times New Roman" w:eastAsia="Times New Roman" w:hAnsi="Times New Roman"/>
          <w:sz w:val="20"/>
          <w:szCs w:val="20"/>
          <w:color w:val="231F20"/>
        </w:rPr>
        <w:t>initiation of investigations and enforcement actions by regulators; and</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2"/>
        </w:numPr>
        <w:rPr>
          <w:rFonts w:ascii="Arial" w:cs="Arial" w:eastAsia="Arial" w:hAnsi="Arial"/>
          <w:sz w:val="18"/>
          <w:szCs w:val="18"/>
          <w:color w:val="231F20"/>
        </w:rPr>
      </w:pPr>
      <w:r>
        <w:rPr>
          <w:rFonts w:ascii="Times New Roman" w:cs="Times New Roman" w:eastAsia="Times New Roman" w:hAnsi="Times New Roman"/>
          <w:sz w:val="20"/>
          <w:szCs w:val="20"/>
          <w:color w:val="231F20"/>
        </w:rPr>
        <w:t>product recalls, withdrawals, or labeling, marketing, or promotional restrictions.</w:t>
      </w:r>
    </w:p>
    <w:p>
      <w:pPr>
        <w:spacing w:after="0" w:line="240"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20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94"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have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73</w:t>
      </w:r>
    </w:p>
    <w:p>
      <w:pPr>
        <w:sectPr>
          <w:pgSz w:w="12240" w:h="15840" w:orient="portrait"/>
          <w:cols w:equalWidth="0" w:num="1">
            <w:col w:w="9360"/>
          </w:cols>
          <w:pgMar w:left="1440" w:top="1420" w:right="1440" w:bottom="174" w:gutter="0" w:footer="0" w:header="0"/>
          <w:type w:val="continuous"/>
        </w:sectPr>
      </w:pPr>
    </w:p>
    <w:bookmarkStart w:id="75" w:name="page76"/>
    <w:bookmarkEnd w:id="75"/>
    <w:p>
      <w:pPr>
        <w:ind w:right="100" w:firstLine="720"/>
        <w:spacing w:after="0" w:line="247" w:lineRule="auto"/>
        <w:rPr>
          <w:sz w:val="20"/>
          <w:szCs w:val="20"/>
          <w:color w:val="auto"/>
        </w:rPr>
      </w:pPr>
      <w:r>
        <w:rPr>
          <w:rFonts w:ascii="Times New Roman" w:cs="Times New Roman" w:eastAsia="Times New Roman" w:hAnsi="Times New Roman"/>
          <w:sz w:val="20"/>
          <w:szCs w:val="20"/>
          <w:color w:val="231F20"/>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200"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231F20"/>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inspections periodically or as needed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could have a material adverse effect on our business, results of operations, financial condition and growth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DEPENDENCE ON THIRD PARTIES</w:t>
      </w:r>
    </w:p>
    <w:p>
      <w:pPr>
        <w:spacing w:after="0" w:line="24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b w:val="1"/>
          <w:bCs w:val="1"/>
          <w:i w:val="1"/>
          <w:iCs w:val="1"/>
          <w:color w:val="231F20"/>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215" w:lineRule="exact"/>
        <w:rPr>
          <w:sz w:val="20"/>
          <w:szCs w:val="20"/>
          <w:color w:val="auto"/>
        </w:rPr>
      </w:pPr>
    </w:p>
    <w:p>
      <w:pPr>
        <w:ind w:right="40" w:firstLine="720"/>
        <w:spacing w:after="0" w:line="234" w:lineRule="exact"/>
        <w:rPr>
          <w:sz w:val="20"/>
          <w:szCs w:val="20"/>
          <w:color w:val="auto"/>
        </w:rPr>
      </w:pPr>
      <w:r>
        <w:rPr>
          <w:rFonts w:ascii="Times New Roman" w:cs="Times New Roman" w:eastAsia="Times New Roman" w:hAnsi="Times New Roman"/>
          <w:sz w:val="20"/>
          <w:szCs w:val="20"/>
          <w:color w:val="231F20"/>
        </w:rPr>
        <w:t>We rely on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213"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Our reliance on these third parties for development activities will reduce our control over these activities. Nevertheless, we are responsible for ensuring that each of our studies is conducted in accordance with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74</w:t>
      </w:r>
    </w:p>
    <w:p>
      <w:pPr>
        <w:sectPr>
          <w:pgSz w:w="12240" w:h="15840" w:orient="portrait"/>
          <w:cols w:equalWidth="0" w:num="1">
            <w:col w:w="9360"/>
          </w:cols>
          <w:pgMar w:left="1440" w:top="1420" w:right="1440" w:bottom="174" w:gutter="0" w:footer="0" w:header="0"/>
          <w:type w:val="continuous"/>
        </w:sectPr>
      </w:pPr>
    </w:p>
    <w:bookmarkStart w:id="76" w:name="page77"/>
    <w:bookmarkEnd w:id="76"/>
    <w:p>
      <w:pPr>
        <w:ind w:firstLine="720"/>
        <w:spacing w:after="0" w:line="239" w:lineRule="exact"/>
        <w:rPr>
          <w:sz w:val="20"/>
          <w:szCs w:val="20"/>
          <w:color w:val="auto"/>
        </w:rPr>
      </w:pPr>
      <w:r>
        <w:rPr>
          <w:rFonts w:ascii="Times New Roman" w:cs="Times New Roman" w:eastAsia="Times New Roman" w:hAnsi="Times New Roman"/>
          <w:sz w:val="20"/>
          <w:szCs w:val="20"/>
          <w:color w:val="231F20"/>
        </w:rPr>
        <w:t>In addition, when we submit an NDA for review, we are required to report certain financial interests of our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210"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19"/>
          <w:szCs w:val="19"/>
          <w:color w:val="231F20"/>
        </w:rPr>
        <w:t>We cannot assure you that upon inspection by a given regulatory authority, such regulatory authority will determine that any of our clinical trials comply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187"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212"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If any of our relationships with these third parties terminate,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20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94"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231F20"/>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75</w:t>
      </w:r>
    </w:p>
    <w:p>
      <w:pPr>
        <w:sectPr>
          <w:pgSz w:w="12240" w:h="15840" w:orient="portrait"/>
          <w:cols w:equalWidth="0" w:num="1">
            <w:col w:w="9360"/>
          </w:cols>
          <w:pgMar w:left="1440" w:top="1420" w:right="1440" w:bottom="174" w:gutter="0" w:footer="0" w:header="0"/>
          <w:type w:val="continuous"/>
        </w:sectPr>
      </w:pPr>
    </w:p>
    <w:bookmarkStart w:id="77" w:name="page78"/>
    <w:bookmarkEnd w:id="77"/>
    <w:p>
      <w:pPr>
        <w:ind w:right="40" w:firstLine="720"/>
        <w:spacing w:after="0" w:line="237" w:lineRule="exact"/>
        <w:rPr>
          <w:sz w:val="20"/>
          <w:szCs w:val="20"/>
          <w:color w:val="auto"/>
        </w:rPr>
      </w:pPr>
      <w:r>
        <w:rPr>
          <w:rFonts w:ascii="Times New Roman" w:cs="Times New Roman" w:eastAsia="Times New Roman" w:hAnsi="Times New Roman"/>
          <w:sz w:val="20"/>
          <w:szCs w:val="20"/>
          <w:color w:val="231F20"/>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manufacturers may breach, terminate, or not renew these agreements.</w:t>
      </w:r>
    </w:p>
    <w:p>
      <w:pPr>
        <w:spacing w:after="0" w:line="242" w:lineRule="exact"/>
        <w:rPr>
          <w:sz w:val="20"/>
          <w:szCs w:val="20"/>
          <w:color w:val="auto"/>
        </w:rPr>
      </w:pPr>
    </w:p>
    <w:p>
      <w:pPr>
        <w:ind w:right="60" w:firstLine="720"/>
        <w:spacing w:after="0" w:line="234" w:lineRule="exact"/>
        <w:rPr>
          <w:sz w:val="20"/>
          <w:szCs w:val="20"/>
          <w:color w:val="auto"/>
        </w:rPr>
      </w:pPr>
      <w:r>
        <w:rPr>
          <w:rFonts w:ascii="Times New Roman" w:cs="Times New Roman" w:eastAsia="Times New Roman" w:hAnsi="Times New Roman"/>
          <w:sz w:val="20"/>
          <w:szCs w:val="20"/>
          <w:color w:val="231F20"/>
        </w:rPr>
        <w:t>Any problems or delays we experience in preparing for commercial</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09" w:lineRule="exact"/>
        <w:rPr>
          <w:sz w:val="20"/>
          <w:szCs w:val="20"/>
          <w:color w:val="auto"/>
        </w:rPr>
      </w:pPr>
    </w:p>
    <w:p>
      <w:pPr>
        <w:ind w:firstLine="720"/>
        <w:spacing w:after="0" w:line="236" w:lineRule="exact"/>
        <w:rPr>
          <w:sz w:val="20"/>
          <w:szCs w:val="20"/>
          <w:color w:val="auto"/>
        </w:rPr>
      </w:pPr>
      <w:r>
        <w:rPr>
          <w:rFonts w:ascii="Times New Roman" w:cs="Times New Roman" w:eastAsia="Times New Roman" w:hAnsi="Times New Roman"/>
          <w:sz w:val="20"/>
          <w:szCs w:val="20"/>
          <w:color w:val="231F20"/>
        </w:rPr>
        <w:t>We have a limited number of contract manufacturers for our products. At times, we may have only one manufacturer for a product. In addition, we do not have any long</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76</w:t>
      </w:r>
    </w:p>
    <w:p>
      <w:pPr>
        <w:sectPr>
          <w:pgSz w:w="12240" w:h="15840" w:orient="portrait"/>
          <w:cols w:equalWidth="0" w:num="1">
            <w:col w:w="9360"/>
          </w:cols>
          <w:pgMar w:left="1440" w:top="1420" w:right="1440" w:bottom="174" w:gutter="0" w:footer="0" w:header="0"/>
          <w:type w:val="continuous"/>
        </w:sectPr>
      </w:pPr>
    </w:p>
    <w:bookmarkStart w:id="78" w:name="page79"/>
    <w:bookmarkEnd w:id="78"/>
    <w:p>
      <w:pPr>
        <w:ind w:right="20" w:firstLine="720"/>
        <w:spacing w:after="0" w:line="241" w:lineRule="auto"/>
        <w:rPr>
          <w:sz w:val="20"/>
          <w:szCs w:val="20"/>
          <w:color w:val="auto"/>
        </w:rPr>
      </w:pPr>
      <w:r>
        <w:rPr>
          <w:rFonts w:ascii="Times New Roman" w:cs="Times New Roman" w:eastAsia="Times New Roman" w:hAnsi="Times New Roman"/>
          <w:sz w:val="20"/>
          <w:szCs w:val="20"/>
          <w:color w:val="231F20"/>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on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FCA;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217" w:lineRule="exact"/>
        <w:rPr>
          <w:sz w:val="20"/>
          <w:szCs w:val="20"/>
          <w:color w:val="auto"/>
        </w:rPr>
      </w:pPr>
    </w:p>
    <w:p>
      <w:pPr>
        <w:ind w:right="280" w:firstLine="720"/>
        <w:spacing w:after="0" w:line="249" w:lineRule="auto"/>
        <w:rPr>
          <w:sz w:val="20"/>
          <w:szCs w:val="20"/>
          <w:color w:val="auto"/>
        </w:rPr>
      </w:pPr>
      <w:r>
        <w:rPr>
          <w:rFonts w:ascii="Times New Roman" w:cs="Times New Roman" w:eastAsia="Times New Roman" w:hAnsi="Times New Roman"/>
          <w:sz w:val="20"/>
          <w:szCs w:val="20"/>
          <w:color w:val="231F20"/>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9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97" w:lineRule="exact"/>
        <w:rPr>
          <w:sz w:val="20"/>
          <w:szCs w:val="20"/>
          <w:color w:val="auto"/>
        </w:rPr>
      </w:pPr>
    </w:p>
    <w:p>
      <w:pPr>
        <w:ind w:right="140" w:firstLine="720"/>
        <w:spacing w:after="0" w:line="243" w:lineRule="auto"/>
        <w:rPr>
          <w:sz w:val="20"/>
          <w:szCs w:val="20"/>
          <w:color w:val="auto"/>
        </w:rPr>
      </w:pPr>
      <w:r>
        <w:rPr>
          <w:rFonts w:ascii="Times New Roman" w:cs="Times New Roman" w:eastAsia="Times New Roman" w:hAnsi="Times New Roman"/>
          <w:sz w:val="20"/>
          <w:szCs w:val="20"/>
          <w:color w:val="231F20"/>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spacing w:after="0" w:line="206" w:lineRule="exact"/>
        <w:rPr>
          <w:sz w:val="20"/>
          <w:szCs w:val="20"/>
          <w:color w:val="auto"/>
        </w:rPr>
      </w:pPr>
    </w:p>
    <w:p>
      <w:pPr>
        <w:jc w:val="both"/>
        <w:ind w:right="180" w:firstLine="720"/>
        <w:spacing w:after="0" w:line="249" w:lineRule="auto"/>
        <w:rPr>
          <w:sz w:val="20"/>
          <w:szCs w:val="20"/>
          <w:color w:val="auto"/>
        </w:rPr>
      </w:pPr>
      <w:r>
        <w:rPr>
          <w:rFonts w:ascii="Times New Roman" w:cs="Times New Roman" w:eastAsia="Times New Roman" w:hAnsi="Times New Roman"/>
          <w:sz w:val="20"/>
          <w:szCs w:val="20"/>
          <w:color w:val="231F20"/>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77</w:t>
      </w:r>
    </w:p>
    <w:p>
      <w:pPr>
        <w:sectPr>
          <w:pgSz w:w="12240" w:h="15840" w:orient="portrait"/>
          <w:cols w:equalWidth="0" w:num="1">
            <w:col w:w="9360"/>
          </w:cols>
          <w:pgMar w:left="1440" w:top="1420" w:right="1440" w:bottom="174" w:gutter="0" w:footer="0" w:header="0"/>
          <w:type w:val="continuous"/>
        </w:sectPr>
      </w:pPr>
    </w:p>
    <w:bookmarkStart w:id="79" w:name="page80"/>
    <w:bookmarkEnd w:id="79"/>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FCA liability and other civil monetary penalties.</w:t>
      </w:r>
    </w:p>
    <w:p>
      <w:pPr>
        <w:spacing w:after="0" w:line="194" w:lineRule="exact"/>
        <w:rPr>
          <w:sz w:val="20"/>
          <w:szCs w:val="20"/>
          <w:color w:val="auto"/>
        </w:rPr>
      </w:pPr>
    </w:p>
    <w:p>
      <w:pPr>
        <w:ind w:right="4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Any collaboration arrangements that we are a party to or may enter into in the future may not be successful, which could adversely affect our ability to develop and commercialize our product candidates.</w:t>
      </w:r>
    </w:p>
    <w:p>
      <w:pPr>
        <w:spacing w:after="0" w:line="169"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12" w:lineRule="exact"/>
        <w:rPr>
          <w:sz w:val="20"/>
          <w:szCs w:val="20"/>
          <w:color w:val="auto"/>
        </w:rPr>
      </w:pPr>
    </w:p>
    <w:p>
      <w:pPr>
        <w:ind w:right="320" w:firstLine="720"/>
        <w:spacing w:after="0" w:line="252" w:lineRule="auto"/>
        <w:rPr>
          <w:sz w:val="20"/>
          <w:szCs w:val="20"/>
          <w:color w:val="auto"/>
        </w:rPr>
      </w:pPr>
      <w:r>
        <w:rPr>
          <w:rFonts w:ascii="Times New Roman" w:cs="Times New Roman" w:eastAsia="Times New Roman" w:hAnsi="Times New Roman"/>
          <w:sz w:val="20"/>
          <w:szCs w:val="20"/>
          <w:color w:val="231F20"/>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pacing w:after="0" w:line="194"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231F20"/>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88" w:lineRule="exact"/>
        <w:rPr>
          <w:sz w:val="20"/>
          <w:szCs w:val="20"/>
          <w:color w:val="auto"/>
        </w:rPr>
      </w:pPr>
    </w:p>
    <w:p>
      <w:pPr>
        <w:ind w:left="720" w:hanging="360"/>
        <w:spacing w:after="0"/>
        <w:tabs>
          <w:tab w:leader="none" w:pos="720" w:val="left"/>
        </w:tabs>
        <w:numPr>
          <w:ilvl w:val="0"/>
          <w:numId w:val="33"/>
        </w:numPr>
        <w:rPr>
          <w:rFonts w:ascii="Arial" w:cs="Arial" w:eastAsia="Arial" w:hAnsi="Arial"/>
          <w:sz w:val="18"/>
          <w:szCs w:val="18"/>
          <w:color w:val="231F20"/>
        </w:rPr>
      </w:pPr>
      <w:r>
        <w:rPr>
          <w:rFonts w:ascii="Times New Roman" w:cs="Times New Roman" w:eastAsia="Times New Roman" w:hAnsi="Times New Roman"/>
          <w:sz w:val="20"/>
          <w:szCs w:val="20"/>
          <w:color w:val="231F20"/>
        </w:rPr>
        <w:t>collaborators may not perform their obligations as expected;</w:t>
      </w:r>
    </w:p>
    <w:p>
      <w:pPr>
        <w:spacing w:after="0" w:line="240" w:lineRule="exact"/>
        <w:rPr>
          <w:rFonts w:ascii="Arial" w:cs="Arial" w:eastAsia="Arial" w:hAnsi="Arial"/>
          <w:sz w:val="18"/>
          <w:szCs w:val="18"/>
          <w:color w:val="231F20"/>
        </w:rPr>
      </w:pPr>
    </w:p>
    <w:p>
      <w:pPr>
        <w:ind w:left="720" w:right="40" w:hanging="360"/>
        <w:spacing w:after="0" w:line="252" w:lineRule="auto"/>
        <w:tabs>
          <w:tab w:leader="none" w:pos="720" w:val="left"/>
        </w:tabs>
        <w:numPr>
          <w:ilvl w:val="0"/>
          <w:numId w:val="33"/>
        </w:numPr>
        <w:rPr>
          <w:rFonts w:ascii="Arial" w:cs="Arial" w:eastAsia="Arial" w:hAnsi="Arial"/>
          <w:sz w:val="18"/>
          <w:szCs w:val="18"/>
          <w:color w:val="231F20"/>
        </w:rPr>
      </w:pPr>
      <w:r>
        <w:rPr>
          <w:rFonts w:ascii="Times New Roman" w:cs="Times New Roman" w:eastAsia="Times New Roman" w:hAnsi="Times New Roman"/>
          <w:sz w:val="20"/>
          <w:szCs w:val="20"/>
          <w:color w:val="231F20"/>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94" w:lineRule="exact"/>
        <w:rPr>
          <w:rFonts w:ascii="Arial" w:cs="Arial" w:eastAsia="Arial" w:hAnsi="Arial"/>
          <w:sz w:val="18"/>
          <w:szCs w:val="18"/>
          <w:color w:val="231F20"/>
        </w:rPr>
      </w:pPr>
    </w:p>
    <w:p>
      <w:pPr>
        <w:ind w:left="720" w:right="560" w:hanging="360"/>
        <w:spacing w:after="0" w:line="258" w:lineRule="auto"/>
        <w:tabs>
          <w:tab w:leader="none" w:pos="720" w:val="left"/>
        </w:tabs>
        <w:numPr>
          <w:ilvl w:val="0"/>
          <w:numId w:val="33"/>
        </w:numPr>
        <w:rPr>
          <w:rFonts w:ascii="Arial" w:cs="Arial" w:eastAsia="Arial" w:hAnsi="Arial"/>
          <w:sz w:val="18"/>
          <w:szCs w:val="18"/>
          <w:color w:val="231F20"/>
        </w:rPr>
      </w:pPr>
      <w:r>
        <w:rPr>
          <w:rFonts w:ascii="Times New Roman" w:cs="Times New Roman" w:eastAsia="Times New Roman" w:hAnsi="Times New Roman"/>
          <w:sz w:val="20"/>
          <w:szCs w:val="20"/>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8" w:lineRule="exact"/>
        <w:rPr>
          <w:rFonts w:ascii="Arial" w:cs="Arial" w:eastAsia="Arial" w:hAnsi="Arial"/>
          <w:sz w:val="18"/>
          <w:szCs w:val="18"/>
          <w:color w:val="231F20"/>
        </w:rPr>
      </w:pPr>
    </w:p>
    <w:p>
      <w:pPr>
        <w:ind w:left="720" w:hanging="360"/>
        <w:spacing w:after="0"/>
        <w:tabs>
          <w:tab w:leader="none" w:pos="720" w:val="left"/>
        </w:tabs>
        <w:numPr>
          <w:ilvl w:val="0"/>
          <w:numId w:val="33"/>
        </w:numPr>
        <w:rPr>
          <w:rFonts w:ascii="Arial" w:cs="Arial" w:eastAsia="Arial" w:hAnsi="Arial"/>
          <w:sz w:val="18"/>
          <w:szCs w:val="18"/>
          <w:color w:val="231F20"/>
        </w:rPr>
      </w:pPr>
      <w:r>
        <w:rPr>
          <w:rFonts w:ascii="Times New Roman" w:cs="Times New Roman" w:eastAsia="Times New Roman" w:hAnsi="Times New Roman"/>
          <w:sz w:val="20"/>
          <w:szCs w:val="20"/>
          <w:color w:val="231F20"/>
        </w:rPr>
        <w:t>collaborators could fail to make timely regulatory submissions for a product candidate;</w:t>
      </w:r>
    </w:p>
    <w:p>
      <w:pPr>
        <w:spacing w:after="0" w:line="240" w:lineRule="exact"/>
        <w:rPr>
          <w:rFonts w:ascii="Arial" w:cs="Arial" w:eastAsia="Arial" w:hAnsi="Arial"/>
          <w:sz w:val="18"/>
          <w:szCs w:val="18"/>
          <w:color w:val="231F20"/>
        </w:rPr>
      </w:pPr>
    </w:p>
    <w:p>
      <w:pPr>
        <w:ind w:left="720" w:right="180" w:hanging="360"/>
        <w:spacing w:after="0" w:line="277" w:lineRule="auto"/>
        <w:tabs>
          <w:tab w:leader="none" w:pos="720" w:val="left"/>
        </w:tabs>
        <w:numPr>
          <w:ilvl w:val="0"/>
          <w:numId w:val="33"/>
        </w:numPr>
        <w:rPr>
          <w:rFonts w:ascii="Arial" w:cs="Arial" w:eastAsia="Arial" w:hAnsi="Arial"/>
          <w:sz w:val="18"/>
          <w:szCs w:val="18"/>
          <w:color w:val="231F20"/>
        </w:rPr>
      </w:pPr>
      <w:r>
        <w:rPr>
          <w:rFonts w:ascii="Times New Roman" w:cs="Times New Roman" w:eastAsia="Times New Roman" w:hAnsi="Times New Roman"/>
          <w:sz w:val="20"/>
          <w:szCs w:val="20"/>
          <w:color w:val="231F20"/>
        </w:rPr>
        <w:t>collaborators may not comply with all applicable regulatory requirements or may fail to report safety data in accordance with all applicable regulatory requirements;</w:t>
      </w:r>
    </w:p>
    <w:p>
      <w:pPr>
        <w:spacing w:after="0" w:line="169" w:lineRule="exact"/>
        <w:rPr>
          <w:rFonts w:ascii="Arial" w:cs="Arial" w:eastAsia="Arial" w:hAnsi="Arial"/>
          <w:sz w:val="18"/>
          <w:szCs w:val="18"/>
          <w:color w:val="231F20"/>
        </w:rPr>
      </w:pPr>
    </w:p>
    <w:p>
      <w:pPr>
        <w:jc w:val="both"/>
        <w:ind w:left="720" w:right="40" w:hanging="360"/>
        <w:spacing w:after="0" w:line="252" w:lineRule="auto"/>
        <w:tabs>
          <w:tab w:leader="none" w:pos="720" w:val="left"/>
        </w:tabs>
        <w:numPr>
          <w:ilvl w:val="0"/>
          <w:numId w:val="33"/>
        </w:numPr>
        <w:rPr>
          <w:rFonts w:ascii="Arial" w:cs="Arial" w:eastAsia="Arial" w:hAnsi="Arial"/>
          <w:sz w:val="18"/>
          <w:szCs w:val="18"/>
          <w:color w:val="231F20"/>
        </w:rPr>
      </w:pPr>
      <w:r>
        <w:rPr>
          <w:rFonts w:ascii="Times New Roman" w:cs="Times New Roman" w:eastAsia="Times New Roman" w:hAnsi="Times New Roman"/>
          <w:sz w:val="20"/>
          <w:szCs w:val="20"/>
          <w:color w:val="231F20"/>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78</w:t>
      </w:r>
    </w:p>
    <w:p>
      <w:pPr>
        <w:sectPr>
          <w:pgSz w:w="12240" w:h="15840" w:orient="portrait"/>
          <w:cols w:equalWidth="0" w:num="1">
            <w:col w:w="9360"/>
          </w:cols>
          <w:pgMar w:left="1440" w:top="1420" w:right="1440" w:bottom="174" w:gutter="0" w:footer="0" w:header="0"/>
          <w:type w:val="continuous"/>
        </w:sectPr>
      </w:pPr>
    </w:p>
    <w:bookmarkStart w:id="80" w:name="page81"/>
    <w:bookmarkEnd w:id="80"/>
    <w:p>
      <w:pPr>
        <w:jc w:val="both"/>
        <w:ind w:left="720" w:right="100" w:hanging="360"/>
        <w:spacing w:after="0" w:line="258" w:lineRule="auto"/>
        <w:tabs>
          <w:tab w:leader="none" w:pos="720" w:val="left"/>
        </w:tabs>
        <w:numPr>
          <w:ilvl w:val="0"/>
          <w:numId w:val="34"/>
        </w:numPr>
        <w:rPr>
          <w:rFonts w:ascii="Arial" w:cs="Arial" w:eastAsia="Arial" w:hAnsi="Arial"/>
          <w:sz w:val="18"/>
          <w:szCs w:val="18"/>
          <w:color w:val="231F20"/>
        </w:rPr>
      </w:pPr>
      <w:r>
        <w:rPr>
          <w:rFonts w:ascii="Times New Roman" w:cs="Times New Roman" w:eastAsia="Times New Roman" w:hAnsi="Times New Roman"/>
          <w:sz w:val="20"/>
          <w:szCs w:val="20"/>
          <w:color w:val="231F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88" w:lineRule="exact"/>
        <w:rPr>
          <w:rFonts w:ascii="Arial" w:cs="Arial" w:eastAsia="Arial" w:hAnsi="Arial"/>
          <w:sz w:val="18"/>
          <w:szCs w:val="18"/>
          <w:color w:val="231F20"/>
        </w:rPr>
      </w:pPr>
    </w:p>
    <w:p>
      <w:pPr>
        <w:jc w:val="both"/>
        <w:ind w:left="720" w:right="120" w:hanging="360"/>
        <w:spacing w:after="0" w:line="258" w:lineRule="auto"/>
        <w:tabs>
          <w:tab w:leader="none" w:pos="720" w:val="left"/>
        </w:tabs>
        <w:numPr>
          <w:ilvl w:val="0"/>
          <w:numId w:val="34"/>
        </w:numPr>
        <w:rPr>
          <w:rFonts w:ascii="Arial" w:cs="Arial" w:eastAsia="Arial" w:hAnsi="Arial"/>
          <w:sz w:val="18"/>
          <w:szCs w:val="18"/>
          <w:color w:val="231F20"/>
        </w:rPr>
      </w:pPr>
      <w:r>
        <w:rPr>
          <w:rFonts w:ascii="Times New Roman" w:cs="Times New Roman" w:eastAsia="Times New Roman" w:hAnsi="Times New Roman"/>
          <w:sz w:val="20"/>
          <w:szCs w:val="20"/>
          <w:color w:val="231F20"/>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88" w:lineRule="exact"/>
        <w:rPr>
          <w:rFonts w:ascii="Arial" w:cs="Arial" w:eastAsia="Arial" w:hAnsi="Arial"/>
          <w:sz w:val="18"/>
          <w:szCs w:val="18"/>
          <w:color w:val="231F20"/>
        </w:rPr>
      </w:pPr>
    </w:p>
    <w:p>
      <w:pPr>
        <w:ind w:left="720" w:right="80" w:hanging="360"/>
        <w:spacing w:after="0" w:line="252" w:lineRule="auto"/>
        <w:tabs>
          <w:tab w:leader="none" w:pos="720" w:val="left"/>
        </w:tabs>
        <w:numPr>
          <w:ilvl w:val="0"/>
          <w:numId w:val="34"/>
        </w:numPr>
        <w:rPr>
          <w:rFonts w:ascii="Arial" w:cs="Arial" w:eastAsia="Arial" w:hAnsi="Arial"/>
          <w:sz w:val="18"/>
          <w:szCs w:val="18"/>
          <w:color w:val="231F20"/>
        </w:rPr>
      </w:pPr>
      <w:r>
        <w:rPr>
          <w:rFonts w:ascii="Times New Roman" w:cs="Times New Roman" w:eastAsia="Times New Roman" w:hAnsi="Times New Roman"/>
          <w:sz w:val="20"/>
          <w:szCs w:val="20"/>
          <w:color w:val="231F20"/>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94" w:lineRule="exact"/>
        <w:rPr>
          <w:rFonts w:ascii="Arial" w:cs="Arial" w:eastAsia="Arial" w:hAnsi="Arial"/>
          <w:sz w:val="18"/>
          <w:szCs w:val="18"/>
          <w:color w:val="231F20"/>
        </w:rPr>
      </w:pPr>
    </w:p>
    <w:p>
      <w:pPr>
        <w:jc w:val="both"/>
        <w:ind w:left="720" w:right="820" w:hanging="360"/>
        <w:spacing w:after="0" w:line="258" w:lineRule="auto"/>
        <w:tabs>
          <w:tab w:leader="none" w:pos="720" w:val="left"/>
        </w:tabs>
        <w:numPr>
          <w:ilvl w:val="0"/>
          <w:numId w:val="34"/>
        </w:numPr>
        <w:rPr>
          <w:rFonts w:ascii="Arial" w:cs="Arial" w:eastAsia="Arial" w:hAnsi="Arial"/>
          <w:sz w:val="18"/>
          <w:szCs w:val="18"/>
          <w:color w:val="231F20"/>
        </w:rPr>
      </w:pPr>
      <w:r>
        <w:rPr>
          <w:rFonts w:ascii="Times New Roman" w:cs="Times New Roman" w:eastAsia="Times New Roman" w:hAnsi="Times New Roman"/>
          <w:sz w:val="20"/>
          <w:szCs w:val="20"/>
          <w:color w:val="231F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88" w:lineRule="exact"/>
        <w:rPr>
          <w:rFonts w:ascii="Arial" w:cs="Arial" w:eastAsia="Arial" w:hAnsi="Arial"/>
          <w:sz w:val="18"/>
          <w:szCs w:val="18"/>
          <w:color w:val="231F20"/>
        </w:rPr>
      </w:pPr>
    </w:p>
    <w:p>
      <w:pPr>
        <w:ind w:left="720" w:right="20" w:hanging="360"/>
        <w:spacing w:after="0" w:line="277" w:lineRule="auto"/>
        <w:tabs>
          <w:tab w:leader="none" w:pos="720" w:val="left"/>
        </w:tabs>
        <w:numPr>
          <w:ilvl w:val="0"/>
          <w:numId w:val="34"/>
        </w:numPr>
        <w:rPr>
          <w:rFonts w:ascii="Arial" w:cs="Arial" w:eastAsia="Arial" w:hAnsi="Arial"/>
          <w:sz w:val="18"/>
          <w:szCs w:val="18"/>
          <w:color w:val="231F20"/>
        </w:rPr>
      </w:pPr>
      <w:r>
        <w:rPr>
          <w:rFonts w:ascii="Times New Roman" w:cs="Times New Roman" w:eastAsia="Times New Roman" w:hAnsi="Times New Roman"/>
          <w:sz w:val="20"/>
          <w:szCs w:val="20"/>
          <w:color w:val="231F20"/>
        </w:rPr>
        <w:t>collaborators may infringe the intellectual property rights of third parties, which may expose us to litigation and potential liability.</w:t>
      </w:r>
    </w:p>
    <w:p>
      <w:pPr>
        <w:spacing w:after="0" w:line="169"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97"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231F20"/>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INTELLECTUAL PROPERTY</w:t>
      </w:r>
    </w:p>
    <w:p>
      <w:pPr>
        <w:spacing w:after="0" w:line="244"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It is difficult and costly to protect our proprietary rights, and, as a result, we may not be able to ensure their protection. In addition, patents have a limited lifespan and will eventually expire.</w:t>
      </w:r>
    </w:p>
    <w:p>
      <w:pPr>
        <w:spacing w:after="0" w:line="16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Market exclusivity awarded by the FDA upon the approval of an NDA is limited in scope and duration. For example, our New Chemical Entity exclusivity for SUNOSI expired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that we would succeed in stopping the “at risk” launch of a generic version of either of our currently commercialized products during the pendency of litigation following expiry of the 30-month stay, or that we would commence such proceedings. Such a generic launch could materially impact our commercial success.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79</w:t>
      </w:r>
    </w:p>
    <w:p>
      <w:pPr>
        <w:sectPr>
          <w:pgSz w:w="12240" w:h="15840" w:orient="portrait"/>
          <w:cols w:equalWidth="0" w:num="1">
            <w:col w:w="9360"/>
          </w:cols>
          <w:pgMar w:left="1440" w:top="1420" w:right="1440" w:bottom="174" w:gutter="0" w:footer="0" w:header="0"/>
          <w:type w:val="continuous"/>
        </w:sectPr>
      </w:pPr>
    </w:p>
    <w:bookmarkStart w:id="81" w:name="page82"/>
    <w:bookmarkEnd w:id="81"/>
    <w:p>
      <w:pPr>
        <w:ind w:right="20" w:firstLine="720"/>
        <w:spacing w:after="0" w:line="241" w:lineRule="auto"/>
        <w:rPr>
          <w:sz w:val="20"/>
          <w:szCs w:val="20"/>
          <w:color w:val="auto"/>
        </w:rPr>
      </w:pPr>
      <w:r>
        <w:rPr>
          <w:rFonts w:ascii="Times New Roman" w:cs="Times New Roman" w:eastAsia="Times New Roman" w:hAnsi="Times New Roman"/>
          <w:sz w:val="20"/>
          <w:szCs w:val="20"/>
          <w:color w:val="231F20"/>
        </w:rPr>
        <w:t>We seek to protect intellectual property relating to our products and portfolio products by prosecuting patents in the United States and elsewhere. The patent prosecution process is expensive and time consuming, and we may not be able to and/or may choose not to file, prosecute, and maintain all necessary or desirable patent applications at a reasonable cost or in a timely manner. It is also possible that we will fail to identify patentable aspects of our research and development output before it is too late to obtain patent protection, or that we may choose not to pursue patent protection for all patentable aspects identified.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maintained,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reliably or accurately predict the breadth of claims that may be allowed or enforced in our patents and patent applications or in third party patents and patent applications. Further, the degree of future protection for our proprietary rights is uncertain, for example,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220" w:lineRule="exact"/>
        <w:rPr>
          <w:sz w:val="20"/>
          <w:szCs w:val="20"/>
          <w:color w:val="auto"/>
        </w:rPr>
      </w:pPr>
    </w:p>
    <w:p>
      <w:pPr>
        <w:ind w:left="720" w:right="120" w:hanging="360"/>
        <w:spacing w:after="0" w:line="277" w:lineRule="auto"/>
        <w:tabs>
          <w:tab w:leader="none" w:pos="720" w:val="left"/>
        </w:tabs>
        <w:numPr>
          <w:ilvl w:val="0"/>
          <w:numId w:val="35"/>
        </w:numPr>
        <w:rPr>
          <w:rFonts w:ascii="Arial" w:cs="Arial" w:eastAsia="Arial" w:hAnsi="Arial"/>
          <w:sz w:val="18"/>
          <w:szCs w:val="18"/>
          <w:color w:val="231F20"/>
        </w:rPr>
      </w:pPr>
      <w:r>
        <w:rPr>
          <w:rFonts w:ascii="Times New Roman" w:cs="Times New Roman" w:eastAsia="Times New Roman" w:hAnsi="Times New Roman"/>
          <w:sz w:val="20"/>
          <w:szCs w:val="20"/>
          <w:color w:val="231F20"/>
        </w:rPr>
        <w:t>we may not have been the first to conceive of and reduce to practice the inventions covered by each of our pending patent applications and issued patents;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35"/>
        </w:numPr>
        <w:rPr>
          <w:rFonts w:ascii="Arial" w:cs="Arial" w:eastAsia="Arial" w:hAnsi="Arial"/>
          <w:sz w:val="18"/>
          <w:szCs w:val="18"/>
          <w:color w:val="231F20"/>
        </w:rPr>
      </w:pPr>
      <w:r>
        <w:rPr>
          <w:rFonts w:ascii="Times New Roman" w:cs="Times New Roman" w:eastAsia="Times New Roman" w:hAnsi="Times New Roman"/>
          <w:sz w:val="20"/>
          <w:szCs w:val="20"/>
          <w:color w:val="231F20"/>
        </w:rPr>
        <w:t>we may not have been the first to file patent applications for these inventions;</w:t>
      </w:r>
    </w:p>
    <w:p>
      <w:pPr>
        <w:spacing w:after="0" w:line="240" w:lineRule="exact"/>
        <w:rPr>
          <w:rFonts w:ascii="Arial" w:cs="Arial" w:eastAsia="Arial" w:hAnsi="Arial"/>
          <w:sz w:val="18"/>
          <w:szCs w:val="18"/>
          <w:color w:val="231F20"/>
        </w:rPr>
      </w:pPr>
    </w:p>
    <w:p>
      <w:pPr>
        <w:ind w:left="720" w:right="580" w:hanging="360"/>
        <w:spacing w:after="0" w:line="277" w:lineRule="auto"/>
        <w:tabs>
          <w:tab w:leader="none" w:pos="720" w:val="left"/>
        </w:tabs>
        <w:numPr>
          <w:ilvl w:val="0"/>
          <w:numId w:val="35"/>
        </w:numPr>
        <w:rPr>
          <w:rFonts w:ascii="Arial" w:cs="Arial" w:eastAsia="Arial" w:hAnsi="Arial"/>
          <w:sz w:val="18"/>
          <w:szCs w:val="18"/>
          <w:color w:val="231F20"/>
        </w:rPr>
      </w:pPr>
      <w:r>
        <w:rPr>
          <w:rFonts w:ascii="Times New Roman" w:cs="Times New Roman" w:eastAsia="Times New Roman" w:hAnsi="Times New Roman"/>
          <w:sz w:val="20"/>
          <w:szCs w:val="20"/>
          <w:color w:val="231F20"/>
        </w:rPr>
        <w:t>others may independently develop similar or alternative technologies or duplicate any of our product candidates or technologies;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35"/>
        </w:numPr>
        <w:rPr>
          <w:rFonts w:ascii="Arial" w:cs="Arial" w:eastAsia="Arial" w:hAnsi="Arial"/>
          <w:sz w:val="18"/>
          <w:szCs w:val="18"/>
          <w:color w:val="231F20"/>
        </w:rPr>
      </w:pPr>
      <w:r>
        <w:rPr>
          <w:rFonts w:ascii="Times New Roman" w:cs="Times New Roman" w:eastAsia="Times New Roman" w:hAnsi="Times New Roman"/>
          <w:sz w:val="20"/>
          <w:szCs w:val="20"/>
          <w:color w:val="231F20"/>
        </w:rPr>
        <w:t>it is possible that none of the pending patent applications will result in issued patents;</w:t>
      </w:r>
    </w:p>
    <w:p>
      <w:pPr>
        <w:spacing w:after="0" w:line="240" w:lineRule="exact"/>
        <w:rPr>
          <w:rFonts w:ascii="Arial" w:cs="Arial" w:eastAsia="Arial" w:hAnsi="Arial"/>
          <w:sz w:val="18"/>
          <w:szCs w:val="18"/>
          <w:color w:val="231F20"/>
        </w:rPr>
      </w:pPr>
    </w:p>
    <w:p>
      <w:pPr>
        <w:ind w:left="720" w:right="80" w:hanging="360"/>
        <w:spacing w:after="0" w:line="252" w:lineRule="auto"/>
        <w:tabs>
          <w:tab w:leader="none" w:pos="720" w:val="left"/>
        </w:tabs>
        <w:numPr>
          <w:ilvl w:val="0"/>
          <w:numId w:val="35"/>
        </w:numPr>
        <w:rPr>
          <w:rFonts w:ascii="Arial" w:cs="Arial" w:eastAsia="Arial" w:hAnsi="Arial"/>
          <w:sz w:val="18"/>
          <w:szCs w:val="18"/>
          <w:color w:val="231F20"/>
        </w:rPr>
      </w:pPr>
      <w:r>
        <w:rPr>
          <w:rFonts w:ascii="Times New Roman" w:cs="Times New Roman" w:eastAsia="Times New Roman" w:hAnsi="Times New Roman"/>
          <w:sz w:val="20"/>
          <w:szCs w:val="20"/>
          <w:color w:val="231F20"/>
        </w:rPr>
        <w:t>the issued patents may not cover commercially viable active products, may not provide us with any competitive advantages, or may be successfully challenged by third parties, and we may not have a continuing application (e.g., divisional, continuation, continuation-in-part) pending that covers the relevant subject matter;</w:t>
      </w:r>
    </w:p>
    <w:p>
      <w:pPr>
        <w:spacing w:after="0" w:line="194" w:lineRule="exact"/>
        <w:rPr>
          <w:rFonts w:ascii="Arial" w:cs="Arial" w:eastAsia="Arial" w:hAnsi="Arial"/>
          <w:sz w:val="18"/>
          <w:szCs w:val="18"/>
          <w:color w:val="231F20"/>
        </w:rPr>
      </w:pPr>
    </w:p>
    <w:p>
      <w:pPr>
        <w:ind w:left="720" w:hanging="360"/>
        <w:spacing w:after="0"/>
        <w:tabs>
          <w:tab w:leader="none" w:pos="720" w:val="left"/>
        </w:tabs>
        <w:numPr>
          <w:ilvl w:val="0"/>
          <w:numId w:val="35"/>
        </w:numPr>
        <w:rPr>
          <w:rFonts w:ascii="Arial" w:cs="Arial" w:eastAsia="Arial" w:hAnsi="Arial"/>
          <w:sz w:val="18"/>
          <w:szCs w:val="18"/>
          <w:color w:val="231F20"/>
        </w:rPr>
      </w:pPr>
      <w:r>
        <w:rPr>
          <w:rFonts w:ascii="Times New Roman" w:cs="Times New Roman" w:eastAsia="Times New Roman" w:hAnsi="Times New Roman"/>
          <w:sz w:val="20"/>
          <w:szCs w:val="20"/>
          <w:color w:val="231F20"/>
        </w:rPr>
        <w:t>we may not develop additional proprietary technologies that are patentable;</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5"/>
        </w:numPr>
        <w:rPr>
          <w:rFonts w:ascii="Arial" w:cs="Arial" w:eastAsia="Arial" w:hAnsi="Arial"/>
          <w:sz w:val="18"/>
          <w:szCs w:val="18"/>
          <w:color w:val="231F20"/>
        </w:rPr>
      </w:pPr>
      <w:r>
        <w:rPr>
          <w:rFonts w:ascii="Times New Roman" w:cs="Times New Roman" w:eastAsia="Times New Roman" w:hAnsi="Times New Roman"/>
          <w:sz w:val="20"/>
          <w:szCs w:val="20"/>
          <w:color w:val="231F20"/>
        </w:rPr>
        <w:t>patents of others may have an adverse effect on our business;</w:t>
      </w:r>
    </w:p>
    <w:p>
      <w:pPr>
        <w:spacing w:after="0" w:line="240" w:lineRule="exact"/>
        <w:rPr>
          <w:rFonts w:ascii="Arial" w:cs="Arial" w:eastAsia="Arial" w:hAnsi="Arial"/>
          <w:sz w:val="18"/>
          <w:szCs w:val="18"/>
          <w:color w:val="231F20"/>
        </w:rPr>
      </w:pPr>
    </w:p>
    <w:p>
      <w:pPr>
        <w:jc w:val="both"/>
        <w:ind w:left="720" w:right="60" w:hanging="360"/>
        <w:spacing w:after="0" w:line="258" w:lineRule="auto"/>
        <w:tabs>
          <w:tab w:leader="none" w:pos="720" w:val="left"/>
        </w:tabs>
        <w:numPr>
          <w:ilvl w:val="0"/>
          <w:numId w:val="35"/>
        </w:numPr>
        <w:rPr>
          <w:rFonts w:ascii="Arial" w:cs="Arial" w:eastAsia="Arial" w:hAnsi="Arial"/>
          <w:sz w:val="18"/>
          <w:szCs w:val="18"/>
          <w:color w:val="231F20"/>
        </w:rPr>
      </w:pPr>
      <w:r>
        <w:rPr>
          <w:rFonts w:ascii="Times New Roman" w:cs="Times New Roman" w:eastAsia="Times New Roman" w:hAnsi="Times New Roman"/>
          <w:sz w:val="20"/>
          <w:szCs w:val="20"/>
          <w:color w:val="231F20"/>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88" w:lineRule="exact"/>
        <w:rPr>
          <w:rFonts w:ascii="Arial" w:cs="Arial" w:eastAsia="Arial" w:hAnsi="Arial"/>
          <w:sz w:val="18"/>
          <w:szCs w:val="18"/>
          <w:color w:val="231F20"/>
        </w:rPr>
      </w:pPr>
    </w:p>
    <w:p>
      <w:pPr>
        <w:ind w:left="720" w:right="220" w:hanging="360"/>
        <w:spacing w:after="0" w:line="252" w:lineRule="auto"/>
        <w:tabs>
          <w:tab w:leader="none" w:pos="720" w:val="left"/>
        </w:tabs>
        <w:numPr>
          <w:ilvl w:val="0"/>
          <w:numId w:val="35"/>
        </w:numPr>
        <w:rPr>
          <w:rFonts w:ascii="Arial" w:cs="Arial" w:eastAsia="Arial" w:hAnsi="Arial"/>
          <w:sz w:val="18"/>
          <w:szCs w:val="18"/>
          <w:color w:val="231F20"/>
        </w:rPr>
      </w:pPr>
      <w:r>
        <w:rPr>
          <w:rFonts w:ascii="Times New Roman" w:cs="Times New Roman" w:eastAsia="Times New Roman" w:hAnsi="Times New Roman"/>
          <w:sz w:val="20"/>
          <w:szCs w:val="20"/>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products and potential product candidates; or</w:t>
      </w:r>
    </w:p>
    <w:p>
      <w:pPr>
        <w:spacing w:after="0" w:line="194" w:lineRule="exact"/>
        <w:rPr>
          <w:rFonts w:ascii="Arial" w:cs="Arial" w:eastAsia="Arial" w:hAnsi="Arial"/>
          <w:sz w:val="18"/>
          <w:szCs w:val="18"/>
          <w:color w:val="231F20"/>
        </w:rPr>
      </w:pPr>
    </w:p>
    <w:p>
      <w:pPr>
        <w:ind w:left="720" w:right="40" w:hanging="360"/>
        <w:spacing w:after="0" w:line="258" w:lineRule="auto"/>
        <w:tabs>
          <w:tab w:leader="none" w:pos="720" w:val="left"/>
        </w:tabs>
        <w:numPr>
          <w:ilvl w:val="0"/>
          <w:numId w:val="35"/>
        </w:numPr>
        <w:rPr>
          <w:rFonts w:ascii="Arial" w:cs="Arial" w:eastAsia="Arial" w:hAnsi="Arial"/>
          <w:sz w:val="18"/>
          <w:szCs w:val="18"/>
          <w:color w:val="231F20"/>
        </w:rPr>
      </w:pPr>
      <w:r>
        <w:rPr>
          <w:rFonts w:ascii="Times New Roman" w:cs="Times New Roman" w:eastAsia="Times New Roman" w:hAnsi="Times New Roman"/>
          <w:sz w:val="20"/>
          <w:szCs w:val="20"/>
          <w:color w:val="231F20"/>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80</w:t>
      </w:r>
    </w:p>
    <w:p>
      <w:pPr>
        <w:sectPr>
          <w:pgSz w:w="12240" w:h="15840" w:orient="portrait"/>
          <w:cols w:equalWidth="0" w:num="1">
            <w:col w:w="9360"/>
          </w:cols>
          <w:pgMar w:left="1440" w:top="1420" w:right="1440" w:bottom="174" w:gutter="0" w:footer="0" w:header="0"/>
          <w:type w:val="continuous"/>
        </w:sectPr>
      </w:pPr>
    </w:p>
    <w:bookmarkStart w:id="82" w:name="page83"/>
    <w:bookmarkEnd w:id="82"/>
    <w:p>
      <w:pPr>
        <w:ind w:right="80" w:firstLine="720"/>
        <w:spacing w:after="0" w:line="242" w:lineRule="auto"/>
        <w:rPr>
          <w:sz w:val="20"/>
          <w:szCs w:val="20"/>
          <w:color w:val="auto"/>
        </w:rPr>
      </w:pPr>
      <w:r>
        <w:rPr>
          <w:rFonts w:ascii="Times New Roman" w:cs="Times New Roman" w:eastAsia="Times New Roman" w:hAnsi="Times New Roman"/>
          <w:sz w:val="20"/>
          <w:szCs w:val="20"/>
          <w:color w:val="231F20"/>
        </w:rPr>
        <w:t>Patents have a limited lifespan. In most countries, including the United States, the expiration of a utility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and regulatory review.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21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Patent reform legislation could increase the uncertainties and costs surrounding the prosecution of our patent applications and the enforcement or defense of our issued patents.</w:t>
      </w:r>
    </w:p>
    <w:p>
      <w:pPr>
        <w:spacing w:after="0" w:line="169"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231F20"/>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 -Smith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pacing w:after="0" w:line="20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88" w:lineRule="exact"/>
        <w:rPr>
          <w:sz w:val="20"/>
          <w:szCs w:val="20"/>
          <w:color w:val="auto"/>
        </w:rPr>
      </w:pPr>
    </w:p>
    <w:p>
      <w:pPr>
        <w:ind w:right="40" w:firstLine="720"/>
        <w:spacing w:after="0" w:line="239" w:lineRule="exact"/>
        <w:rPr>
          <w:sz w:val="20"/>
          <w:szCs w:val="20"/>
          <w:color w:val="auto"/>
        </w:rPr>
      </w:pPr>
      <w:r>
        <w:rPr>
          <w:rFonts w:ascii="Times New Roman" w:cs="Times New Roman" w:eastAsia="Times New Roman" w:hAnsi="Times New Roman"/>
          <w:sz w:val="20"/>
          <w:szCs w:val="20"/>
          <w:color w:val="231F20"/>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U.S. patent agencies for the patents and patent applications we own and those that we in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license. We also employ reputable law firms and other professionals to help us comply with the various documentary and other procedural requirements with respect to the patents and patent applications that we own and those that we in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81</w:t>
      </w:r>
    </w:p>
    <w:p>
      <w:pPr>
        <w:sectPr>
          <w:pgSz w:w="12240" w:h="15840" w:orient="portrait"/>
          <w:cols w:equalWidth="0" w:num="1">
            <w:col w:w="9360"/>
          </w:cols>
          <w:pgMar w:left="1440" w:top="1420" w:right="1440" w:bottom="174" w:gutter="0" w:footer="0" w:header="0"/>
          <w:type w:val="continuous"/>
        </w:sectPr>
      </w:pPr>
    </w:p>
    <w:bookmarkStart w:id="83" w:name="page84"/>
    <w:bookmarkEnd w:id="83"/>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or any future collaboration partner are sued for infringing intellectual property rights of third parties, it will be costly and time consuming, and an unfavorable outcome in any litigation would harm our business.</w:t>
      </w:r>
    </w:p>
    <w:p>
      <w:pPr>
        <w:spacing w:after="0" w:line="169"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9"/>
          <w:szCs w:val="19"/>
          <w:color w:val="231F20"/>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and/or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take time to publish and can take many years to issue, and because there is no way to guarantee we are aware of all third party patents and applications,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1" w:lineRule="exact"/>
        <w:rPr>
          <w:sz w:val="20"/>
          <w:szCs w:val="20"/>
          <w:color w:val="auto"/>
        </w:rPr>
      </w:pPr>
    </w:p>
    <w:p>
      <w:pPr>
        <w:ind w:right="200" w:firstLine="720"/>
        <w:spacing w:after="0" w:line="277" w:lineRule="auto"/>
        <w:rPr>
          <w:sz w:val="20"/>
          <w:szCs w:val="20"/>
          <w:color w:val="auto"/>
        </w:rPr>
      </w:pPr>
      <w:r>
        <w:rPr>
          <w:rFonts w:ascii="Times New Roman" w:cs="Times New Roman" w:eastAsia="Times New Roman" w:hAnsi="Times New Roman"/>
          <w:sz w:val="20"/>
          <w:szCs w:val="20"/>
          <w:color w:val="231F20"/>
        </w:rPr>
        <w:t>If a third party claims that we infringe their intellectual property rights, we could face a number of issues, including:</w:t>
      </w:r>
    </w:p>
    <w:p>
      <w:pPr>
        <w:spacing w:after="0" w:line="169" w:lineRule="exact"/>
        <w:rPr>
          <w:sz w:val="20"/>
          <w:szCs w:val="20"/>
          <w:color w:val="auto"/>
        </w:rPr>
      </w:pPr>
    </w:p>
    <w:p>
      <w:pPr>
        <w:ind w:left="720" w:right="320" w:hanging="360"/>
        <w:spacing w:after="0" w:line="277" w:lineRule="auto"/>
        <w:tabs>
          <w:tab w:leader="none" w:pos="720" w:val="left"/>
        </w:tabs>
        <w:numPr>
          <w:ilvl w:val="0"/>
          <w:numId w:val="36"/>
        </w:numPr>
        <w:rPr>
          <w:rFonts w:ascii="Arial" w:cs="Arial" w:eastAsia="Arial" w:hAnsi="Arial"/>
          <w:sz w:val="18"/>
          <w:szCs w:val="18"/>
          <w:color w:val="231F20"/>
        </w:rPr>
      </w:pPr>
      <w:r>
        <w:rPr>
          <w:rFonts w:ascii="Times New Roman" w:cs="Times New Roman" w:eastAsia="Times New Roman" w:hAnsi="Times New Roman"/>
          <w:sz w:val="20"/>
          <w:szCs w:val="20"/>
          <w:color w:val="231F20"/>
        </w:rPr>
        <w:t>infringement and other intellectual property claims which, whether meritorious or not, can be expensive and time consuming to litigate and can divert management’s attention from our core business;</w:t>
      </w:r>
    </w:p>
    <w:p>
      <w:pPr>
        <w:spacing w:after="0" w:line="169" w:lineRule="exact"/>
        <w:rPr>
          <w:rFonts w:ascii="Arial" w:cs="Arial" w:eastAsia="Arial" w:hAnsi="Arial"/>
          <w:sz w:val="18"/>
          <w:szCs w:val="18"/>
          <w:color w:val="231F20"/>
        </w:rPr>
      </w:pPr>
    </w:p>
    <w:p>
      <w:pPr>
        <w:ind w:left="720" w:right="360" w:hanging="360"/>
        <w:spacing w:after="0" w:line="277" w:lineRule="auto"/>
        <w:tabs>
          <w:tab w:leader="none" w:pos="720" w:val="left"/>
        </w:tabs>
        <w:numPr>
          <w:ilvl w:val="0"/>
          <w:numId w:val="36"/>
        </w:numPr>
        <w:rPr>
          <w:rFonts w:ascii="Arial" w:cs="Arial" w:eastAsia="Arial" w:hAnsi="Arial"/>
          <w:sz w:val="18"/>
          <w:szCs w:val="18"/>
          <w:color w:val="231F20"/>
        </w:rPr>
      </w:pPr>
      <w:r>
        <w:rPr>
          <w:rFonts w:ascii="Times New Roman" w:cs="Times New Roman" w:eastAsia="Times New Roman" w:hAnsi="Times New Roman"/>
          <w:sz w:val="20"/>
          <w:szCs w:val="20"/>
          <w:color w:val="231F20"/>
        </w:rPr>
        <w:t>substantial damages for past infringement which we may have to pay if a court decides that our product infringes on a competitor’s patent;</w:t>
      </w:r>
    </w:p>
    <w:p>
      <w:pPr>
        <w:spacing w:after="0" w:line="169" w:lineRule="exact"/>
        <w:rPr>
          <w:rFonts w:ascii="Arial" w:cs="Arial" w:eastAsia="Arial" w:hAnsi="Arial"/>
          <w:sz w:val="18"/>
          <w:szCs w:val="18"/>
          <w:color w:val="231F20"/>
        </w:rPr>
      </w:pPr>
    </w:p>
    <w:p>
      <w:pPr>
        <w:ind w:left="720" w:right="260" w:hanging="360"/>
        <w:spacing w:after="0" w:line="277" w:lineRule="auto"/>
        <w:tabs>
          <w:tab w:leader="none" w:pos="720" w:val="left"/>
        </w:tabs>
        <w:numPr>
          <w:ilvl w:val="0"/>
          <w:numId w:val="36"/>
        </w:numPr>
        <w:rPr>
          <w:rFonts w:ascii="Arial" w:cs="Arial" w:eastAsia="Arial" w:hAnsi="Arial"/>
          <w:sz w:val="18"/>
          <w:szCs w:val="18"/>
          <w:color w:val="231F20"/>
        </w:rPr>
      </w:pPr>
      <w:r>
        <w:rPr>
          <w:rFonts w:ascii="Times New Roman" w:cs="Times New Roman" w:eastAsia="Times New Roman" w:hAnsi="Times New Roman"/>
          <w:sz w:val="20"/>
          <w:szCs w:val="20"/>
          <w:color w:val="231F20"/>
        </w:rPr>
        <w:t>a court prohibiting us from selling or licensing our product unless the patent holder licenses the patent to us, which it would not be required to do;</w:t>
      </w:r>
    </w:p>
    <w:p>
      <w:pPr>
        <w:spacing w:after="0" w:line="169" w:lineRule="exact"/>
        <w:rPr>
          <w:rFonts w:ascii="Arial" w:cs="Arial" w:eastAsia="Arial" w:hAnsi="Arial"/>
          <w:sz w:val="18"/>
          <w:szCs w:val="18"/>
          <w:color w:val="231F20"/>
        </w:rPr>
      </w:pPr>
    </w:p>
    <w:p>
      <w:pPr>
        <w:ind w:left="720" w:right="660" w:hanging="360"/>
        <w:spacing w:after="0" w:line="277" w:lineRule="auto"/>
        <w:tabs>
          <w:tab w:leader="none" w:pos="720" w:val="left"/>
        </w:tabs>
        <w:numPr>
          <w:ilvl w:val="0"/>
          <w:numId w:val="36"/>
        </w:numPr>
        <w:rPr>
          <w:rFonts w:ascii="Arial" w:cs="Arial" w:eastAsia="Arial" w:hAnsi="Arial"/>
          <w:sz w:val="18"/>
          <w:szCs w:val="18"/>
          <w:color w:val="231F20"/>
        </w:rPr>
      </w:pPr>
      <w:r>
        <w:rPr>
          <w:rFonts w:ascii="Times New Roman" w:cs="Times New Roman" w:eastAsia="Times New Roman" w:hAnsi="Times New Roman"/>
          <w:sz w:val="20"/>
          <w:szCs w:val="20"/>
          <w:color w:val="231F20"/>
        </w:rPr>
        <w:t>if a license is available from a patent holder, we may have to pay substantial royalties or grant cross licenses to our patents; and</w:t>
      </w:r>
    </w:p>
    <w:p>
      <w:pPr>
        <w:spacing w:after="0" w:line="169" w:lineRule="exact"/>
        <w:rPr>
          <w:rFonts w:ascii="Arial" w:cs="Arial" w:eastAsia="Arial" w:hAnsi="Arial"/>
          <w:sz w:val="18"/>
          <w:szCs w:val="18"/>
          <w:color w:val="231F20"/>
        </w:rPr>
      </w:pPr>
    </w:p>
    <w:p>
      <w:pPr>
        <w:ind w:left="720" w:right="80" w:hanging="360"/>
        <w:spacing w:after="0" w:line="277" w:lineRule="auto"/>
        <w:tabs>
          <w:tab w:leader="none" w:pos="720" w:val="left"/>
        </w:tabs>
        <w:numPr>
          <w:ilvl w:val="0"/>
          <w:numId w:val="36"/>
        </w:numPr>
        <w:rPr>
          <w:rFonts w:ascii="Arial" w:cs="Arial" w:eastAsia="Arial" w:hAnsi="Arial"/>
          <w:sz w:val="18"/>
          <w:szCs w:val="18"/>
          <w:color w:val="231F20"/>
        </w:rPr>
      </w:pPr>
      <w:r>
        <w:rPr>
          <w:rFonts w:ascii="Times New Roman" w:cs="Times New Roman" w:eastAsia="Times New Roman" w:hAnsi="Times New Roman"/>
          <w:sz w:val="20"/>
          <w:szCs w:val="20"/>
          <w:color w:val="231F20"/>
        </w:rPr>
        <w:t>redesigning our products and processes so they do not infringe, which may not be possible or could require substantial funds and time.</w:t>
      </w:r>
    </w:p>
    <w:p>
      <w:pPr>
        <w:spacing w:after="0" w:line="169" w:lineRule="exact"/>
        <w:rPr>
          <w:sz w:val="20"/>
          <w:szCs w:val="20"/>
          <w:color w:val="auto"/>
        </w:rPr>
      </w:pPr>
    </w:p>
    <w:p>
      <w:pPr>
        <w:ind w:right="20" w:firstLine="720"/>
        <w:spacing w:after="0" w:line="236" w:lineRule="exact"/>
        <w:rPr>
          <w:sz w:val="20"/>
          <w:szCs w:val="20"/>
          <w:color w:val="auto"/>
        </w:rPr>
      </w:pPr>
      <w:r>
        <w:rPr>
          <w:rFonts w:ascii="Times New Roman" w:cs="Times New Roman" w:eastAsia="Times New Roman" w:hAnsi="Times New Roman"/>
          <w:sz w:val="20"/>
          <w:szCs w:val="20"/>
          <w:color w:val="231F20"/>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82</w:t>
      </w:r>
    </w:p>
    <w:p>
      <w:pPr>
        <w:sectPr>
          <w:pgSz w:w="12240" w:h="15840" w:orient="portrait"/>
          <w:cols w:equalWidth="0" w:num="1">
            <w:col w:w="9360"/>
          </w:cols>
          <w:pgMar w:left="1440" w:top="1420" w:right="1440" w:bottom="174" w:gutter="0" w:footer="0" w:header="0"/>
          <w:type w:val="continuous"/>
        </w:sectPr>
      </w:pPr>
    </w:p>
    <w:bookmarkStart w:id="84" w:name="page85"/>
    <w:bookmarkEnd w:id="84"/>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involved in lawsuits to protect or enforce our patents or the patents of our licensors, which could be expensive, time consuming, and unsuccessful.</w:t>
      </w:r>
    </w:p>
    <w:p>
      <w:pPr>
        <w:spacing w:after="0" w:line="169"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Any litigation proceeding or related proceeding at the USPTO could have adverse results, putting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12"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9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8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83</w:t>
      </w:r>
    </w:p>
    <w:p>
      <w:pPr>
        <w:sectPr>
          <w:pgSz w:w="12240" w:h="15840" w:orient="portrait"/>
          <w:cols w:equalWidth="0" w:num="1">
            <w:col w:w="9360"/>
          </w:cols>
          <w:pgMar w:left="1440" w:top="1420" w:right="1440" w:bottom="174" w:gutter="0" w:footer="0" w:header="0"/>
          <w:type w:val="continuous"/>
        </w:sectPr>
      </w:pPr>
    </w:p>
    <w:bookmarkStart w:id="85" w:name="page86"/>
    <w:bookmarkEnd w:id="85"/>
    <w:p>
      <w:pPr>
        <w:ind w:right="60" w:firstLine="720"/>
        <w:spacing w:after="0" w:line="241" w:lineRule="auto"/>
        <w:rPr>
          <w:sz w:val="20"/>
          <w:szCs w:val="20"/>
          <w:color w:val="auto"/>
        </w:rPr>
      </w:pPr>
      <w:r>
        <w:rPr>
          <w:rFonts w:ascii="Times New Roman" w:cs="Times New Roman" w:eastAsia="Times New Roman" w:hAnsi="Times New Roman"/>
          <w:sz w:val="20"/>
          <w:szCs w:val="20"/>
          <w:color w:val="231F20"/>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$97.54,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products in the United States and to seek and maintain regulatory approvals for the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218"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231F20"/>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 -product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204"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231F20"/>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84</w:t>
      </w:r>
    </w:p>
    <w:p>
      <w:pPr>
        <w:sectPr>
          <w:pgSz w:w="12240" w:h="15840" w:orient="portrait"/>
          <w:cols w:equalWidth="0" w:num="1">
            <w:col w:w="9360"/>
          </w:cols>
          <w:pgMar w:left="1440" w:top="1420" w:right="1440" w:bottom="174" w:gutter="0" w:footer="0" w:header="0"/>
          <w:type w:val="continuous"/>
        </w:sectPr>
      </w:pPr>
    </w:p>
    <w:bookmarkStart w:id="86" w:name="page87"/>
    <w:bookmarkEnd w:id="86"/>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In November 2025, we acquired all the outstanding shares of Baergic. The acquisition provided global rights to AZD7325 (AXS-17), an oral GABA</w:t>
      </w:r>
      <w:r>
        <w:rPr>
          <w:rFonts w:ascii="Times New Roman" w:cs="Times New Roman" w:eastAsia="Times New Roman" w:hAnsi="Times New Roman"/>
          <w:sz w:val="13"/>
          <w:szCs w:val="13"/>
          <w:color w:val="231F20"/>
        </w:rPr>
        <w:t>A</w:t>
      </w:r>
      <w:r>
        <w:rPr>
          <w:rFonts w:ascii="Times New Roman" w:cs="Times New Roman" w:eastAsia="Times New Roman" w:hAnsi="Times New Roman"/>
          <w:sz w:val="20"/>
          <w:szCs w:val="20"/>
          <w:color w:val="231F20"/>
        </w:rPr>
        <w:t xml:space="preserve"> receptor α2,3 subtype-selective PAM, originally licensed from AstraZeneca AB (AZ), for the potential treatment of epilepsy. We also assumed the AZD7325 license agreement between Baergic and AZ. The total upfront payment was $2.3 million, and the former Baergic shareholders and AZ are also eligible to receive contingent development, regulatory and sales-based milestone payments of up to $159.5 million and tiered low double-digit to mid-teen royalties on potential global net sales of AZD7325.</w:t>
      </w:r>
    </w:p>
    <w:p>
      <w:pPr>
        <w:spacing w:after="0" w:line="200"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231F20"/>
        </w:rPr>
        <w:t>In December 2025, we acquired the global rights to deuterium-stabilized S-bupropion from DeuteRx. DeuteRx is eligible to receive contingent development, regulatory and sales-based milestones of up to $523 million and a tiered low single-digit royalty on potential global net sales.</w:t>
      </w:r>
    </w:p>
    <w:p>
      <w:pPr>
        <w:spacing w:after="0" w:line="18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claims that our employees, independent contractors, or consultants have wrongfully used or disclosed alleged trade secrets of their former employers or other third parties.</w:t>
      </w:r>
    </w:p>
    <w:p>
      <w:pPr>
        <w:spacing w:after="0" w:line="169"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unable to adequately prevent disclosure of trade secrets and other proprietary information.</w:t>
      </w:r>
    </w:p>
    <w:p>
      <w:pPr>
        <w:spacing w:after="0" w:line="24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We rely on trade secrets to protect our proprietary technological advances and know 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proprietary information and may not provide an adequate remedy in the event of unauthorized disclosure of proprietary information. Costly and time 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or our licensors, may not be able to protect our intellectual property rights throughout the world.</w:t>
      </w:r>
    </w:p>
    <w:p>
      <w:pPr>
        <w:spacing w:after="0" w:line="24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Filing, prosecuting, enforcing,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85</w:t>
      </w:r>
    </w:p>
    <w:p>
      <w:pPr>
        <w:sectPr>
          <w:pgSz w:w="12240" w:h="15840" w:orient="portrait"/>
          <w:cols w:equalWidth="0" w:num="1">
            <w:col w:w="9360"/>
          </w:cols>
          <w:pgMar w:left="1440" w:top="1420" w:right="1440" w:bottom="174" w:gutter="0" w:footer="0" w:header="0"/>
          <w:type w:val="continuous"/>
        </w:sectPr>
      </w:pPr>
    </w:p>
    <w:bookmarkStart w:id="87" w:name="page88"/>
    <w:bookmarkEnd w:id="87"/>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Many companies have encountered significant problems in protecting, enforcing,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and/or our licensors’ intellectual property rights around the world may be inadequate to obtain a significant commercial advantage from the intellectual property that we develop or license.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LEGAL AND COMPLIANCE MATTERS</w:t>
      </w:r>
    </w:p>
    <w:p>
      <w:pPr>
        <w:spacing w:after="0" w:line="244"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9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As a pharmaceutical company, we are subject to many federal and state healthcare laws, including those described in the “Business—Government Regulation and Product Approval” section of this Annual Report on Form 10-K, such laws may include the federal Anti-Kickback Statute, the federal civil and criminal FCA, the CMP Law, the Medicaid Drug Rebate Statute and other price reporting requirements, the Veterans Health Care Act of 1992, the Sunshine Act, HIPAA, the FCPA, the ACA, and other state and foreign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We are subject to healthcare laws by both the federal government and the states in which we conduct our business as well as by other third parties, such as patients.</w:t>
      </w:r>
    </w:p>
    <w:p>
      <w:pPr>
        <w:spacing w:after="0" w:line="206"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There are numerous other laws and legislative and regulatory initiatives at the federal and state levels addressing privacy and security concerns, and some state privacy and security laws apply in broader circumstances than HIPAA and its implementing regulations. For example, the California Consumer Privacy Act, or CCPA, which went into effect on January 1, 2020, and was subsequently amended and expanded by the California Privacy Rights Act, or CPRA, taking full effect as of January 1, 2023, including the CPRA’s expansion of the “Right to Know” that impacts personal information collected on or after January 1, 2022. The CCPA and CPRA, among other things, create new data privacy obligations for covered companies and provide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Additional modifications may continue to be made to the CCPA and CPRA by the California legislature and their interpretation by regulators may continue to evolve. Since the passage of the CCPA, certain other states have passed similar laws that may also have similar impacts on our data processing practices and incurred costs. Some of these state laws or amendments to these laws are continuing to take effect, and we cannot predict if states will subsequently amend those laws, if other states will pass similar laws, or the costs and expenses that we will incur to comply with such laws. Therefore, the effects of these state data protection laws are significant and will likely require us to modify our data processing practices and may cause us to incur substantial costs and expenses to comply.</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86</w:t>
      </w:r>
    </w:p>
    <w:p>
      <w:pPr>
        <w:sectPr>
          <w:pgSz w:w="12240" w:h="15840" w:orient="portrait"/>
          <w:cols w:equalWidth="0" w:num="1">
            <w:col w:w="9360"/>
          </w:cols>
          <w:pgMar w:left="1440" w:top="1420" w:right="1440" w:bottom="174" w:gutter="0" w:footer="0" w:header="0"/>
          <w:type w:val="continuous"/>
        </w:sectPr>
      </w:pPr>
    </w:p>
    <w:bookmarkStart w:id="88" w:name="page89"/>
    <w:bookmarkEnd w:id="88"/>
    <w:p>
      <w:pPr>
        <w:ind w:right="40" w:firstLine="720"/>
        <w:spacing w:after="0" w:line="241" w:lineRule="auto"/>
        <w:rPr>
          <w:sz w:val="20"/>
          <w:szCs w:val="20"/>
          <w:color w:val="auto"/>
        </w:rPr>
      </w:pPr>
      <w:r>
        <w:rPr>
          <w:rFonts w:ascii="Times New Roman" w:cs="Times New Roman" w:eastAsia="Times New Roman" w:hAnsi="Times New Roman"/>
          <w:sz w:val="20"/>
          <w:szCs w:val="20"/>
          <w:color w:val="231F20"/>
        </w:rPr>
        <w:t>In addition, EU member states and other foreign jurisdictions, including Switzerland, have adopted data protection laws and regulations which impose significant compliance obligations. Moreover, the collection and use of personal data, including health data, relating to individuals located in the EU, which was formerly governed by the provisions of the EU Data Protection Directive 95/46, was replaced with the EU GDPR in May 2018. The GDPR, which is wide-ranging in scope, imposes several requirements including relating to the legal basis of the processing of personal data,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EEA to the U.S. and other non-EEA countries that do not provide a level of protection to personal data in line with the GDPR standard, provides an enforcement authority in each EU member state and imposes large penalties for noncompliance, including the potential for fines of up to €20 million or 4% of the annual global turnover of the noncompliant company, whichever is greater. The GDPR requirements apply not only to third-party transactions, but also to transfers of information between us and our subsidiaries, including employee information. The coming into force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20" w:lineRule="exact"/>
        <w:rPr>
          <w:sz w:val="20"/>
          <w:szCs w:val="20"/>
          <w:color w:val="auto"/>
        </w:rPr>
      </w:pPr>
    </w:p>
    <w:p>
      <w:pPr>
        <w:jc w:val="both"/>
        <w:ind w:right="80" w:firstLine="720"/>
        <w:spacing w:after="0" w:line="252" w:lineRule="auto"/>
        <w:rPr>
          <w:sz w:val="20"/>
          <w:szCs w:val="20"/>
          <w:color w:val="auto"/>
        </w:rPr>
      </w:pPr>
      <w:r>
        <w:rPr>
          <w:rFonts w:ascii="Times New Roman" w:cs="Times New Roman" w:eastAsia="Times New Roman" w:hAnsi="Times New Roman"/>
          <w:sz w:val="20"/>
          <w:szCs w:val="20"/>
          <w:color w:val="231F20"/>
        </w:rPr>
        <w:t>There are also federal and state laws on marketing and solicitation, such as CAN-SPAM. The CAN-SPAM Act, among other things, obligates the sender of commercial emails to provide recipients with the ability to opt out of receiving future commercial emails from the sender. Any failure by us to comply fully with the CAN-SPAM Act may leave us subject to substantial fines and penalties.</w:t>
      </w:r>
    </w:p>
    <w:p>
      <w:pPr>
        <w:spacing w:after="0" w:line="19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In addition, foreign jurisdictions, such as Canada, have enacted laws that regulate our ability to send commercial messages via email. For example, Canada’s Anti-Spam Legislation (“CASL”) prohibits email marketing without the recipient’s consent, with limited exceptions. The penalties for non-compliance with CASL are considerable, including administrative monetary penalties of up to $10 million and a private right of action.</w:t>
      </w:r>
    </w:p>
    <w:p>
      <w:pPr>
        <w:spacing w:after="0" w:line="194"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If we, or our operations, are found to be in violation of any federal or state healthcare, data or information privacy law, or any other governmental laws and regulations that apply to us, we may be subject to penalties or other enforcement actions,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such physicians or other healthcare providers or entities may be subject to criminal, civil, or administrative sanctions, including but not limited to, exclusions from participation in government healthcare programs, which could also materially affect our business.</w:t>
      </w:r>
    </w:p>
    <w:p>
      <w:pPr>
        <w:spacing w:after="0" w:line="20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87</w:t>
      </w:r>
    </w:p>
    <w:p>
      <w:pPr>
        <w:sectPr>
          <w:pgSz w:w="12240" w:h="15840" w:orient="portrait"/>
          <w:cols w:equalWidth="0" w:num="1">
            <w:col w:w="9360"/>
          </w:cols>
          <w:pgMar w:left="1440" w:top="1420" w:right="1440" w:bottom="174" w:gutter="0" w:footer="0" w:header="0"/>
          <w:type w:val="continuous"/>
        </w:sectPr>
      </w:pPr>
    </w:p>
    <w:bookmarkStart w:id="89" w:name="page90"/>
    <w:bookmarkEnd w:id="89"/>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If the government or third-party payors fail to provide adequate coverage and reimbursement for any of our products, or if such payors and health care providers including health maintenance organizations (HMOs) and long-term care facilities, choose to use therapies that are less expensive, our products may lose or fail to generate potential revenue and our prospects for profitability may be limited.</w:t>
      </w:r>
    </w:p>
    <w:p>
      <w:pPr>
        <w:spacing w:after="0" w:line="194"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In both domestic and foreign markets, sales of our products depend in part upon the availability of coverage and reimbursement from third-party payors. Such third-party payors include government health programs, such as Medicare and Medicaid, managed care organizations, private health insurers, and other similar programs and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or other third party is responsible to pay the full price, which can significantly limit utilization. If reimbursement is not available, or is available only up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212"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There is significant uncertainty related to third-party payor coverage and reimbursement of newly approved drugs. Marketing approvals, pricing, and reimbursement for new drug products varies widely from country to country. Current and future legislation and/or administrative action may significantly change the approval requirements in ways that could involve additional costs and cause delays in obtaining approvals. For example, on September 20, 2024, the Centers for Medicare &amp; Medicaid Services issued a final rule titled “Medicaid Program; Misclassification of Drugs, Program Integrity Updates Under the Medicaid Drug Rebate Program,” which may impact our reimbursement and rebate strategy.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healthcare programs, private health insurers, and other organizations. Regulatory authorities and third-party payors, such as private health insurers and HMOs,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88</w:t>
      </w:r>
    </w:p>
    <w:p>
      <w:pPr>
        <w:sectPr>
          <w:pgSz w:w="12240" w:h="15840" w:orient="portrait"/>
          <w:cols w:equalWidth="0" w:num="1">
            <w:col w:w="9360"/>
          </w:cols>
          <w:pgMar w:left="1440" w:top="1420" w:right="1440" w:bottom="174" w:gutter="0" w:footer="0" w:header="0"/>
          <w:type w:val="continuous"/>
        </w:sectPr>
      </w:pPr>
    </w:p>
    <w:bookmarkStart w:id="90" w:name="page91"/>
    <w:bookmarkEnd w:id="90"/>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202"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231F20"/>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of our products to the satisfaction of hospitals and other target customers and their third-party payors. Such studies might require us to commit a significant amount of management time and financial and other resources. Our products might not ultimately be considered cost effective. Third-party coverage and adequate reimbursement might not be available to enable us to maintain price levels sufficient to realize an appropriate return on investment in product development.</w:t>
      </w:r>
    </w:p>
    <w:p>
      <w:pPr>
        <w:spacing w:after="0" w:line="202"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231F20"/>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206"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231F20"/>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202"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89</w:t>
      </w:r>
    </w:p>
    <w:p>
      <w:pPr>
        <w:sectPr>
          <w:pgSz w:w="12240" w:h="15840" w:orient="portrait"/>
          <w:cols w:equalWidth="0" w:num="1">
            <w:col w:w="9360"/>
          </w:cols>
          <w:pgMar w:left="1440" w:top="1420" w:right="1440" w:bottom="174" w:gutter="0" w:footer="0" w:header="0"/>
          <w:type w:val="continuous"/>
        </w:sectPr>
      </w:pPr>
    </w:p>
    <w:bookmarkStart w:id="91" w:name="page92"/>
    <w:bookmarkEnd w:id="91"/>
    <w:p>
      <w:pPr>
        <w:ind w:firstLine="720"/>
        <w:spacing w:after="0" w:line="244" w:lineRule="auto"/>
        <w:rPr>
          <w:sz w:val="20"/>
          <w:szCs w:val="20"/>
          <w:color w:val="auto"/>
        </w:rPr>
      </w:pPr>
      <w:r>
        <w:rPr>
          <w:rFonts w:ascii="Times New Roman" w:cs="Times New Roman" w:eastAsia="Times New Roman" w:hAnsi="Times New Roman"/>
          <w:sz w:val="20"/>
          <w:szCs w:val="20"/>
          <w:color w:val="231F20"/>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of our product candidates for which we obtain marketing approval could have a material adverse effect on our operating results, ability to raise capital needed to commercialize products, and overall financial condition.</w:t>
      </w:r>
    </w:p>
    <w:p>
      <w:pPr>
        <w:spacing w:after="0" w:line="20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new legislation, regulatory proposals, and healthcare payor initiatives that may increase our costs of compliance, and adversely affect our ability to market our products, obtain collaborators, and raise capital.</w:t>
      </w:r>
    </w:p>
    <w:p>
      <w:pPr>
        <w:spacing w:after="0" w:line="188" w:lineRule="exact"/>
        <w:rPr>
          <w:sz w:val="20"/>
          <w:szCs w:val="20"/>
          <w:color w:val="auto"/>
        </w:rPr>
      </w:pPr>
    </w:p>
    <w:p>
      <w:pPr>
        <w:ind w:firstLine="720"/>
        <w:spacing w:after="0" w:line="238" w:lineRule="exact"/>
        <w:rPr>
          <w:sz w:val="20"/>
          <w:szCs w:val="20"/>
          <w:color w:val="auto"/>
        </w:rPr>
      </w:pPr>
      <w:r>
        <w:rPr>
          <w:rFonts w:ascii="Times New Roman" w:cs="Times New Roman" w:eastAsia="Times New Roman" w:hAnsi="Times New Roman"/>
          <w:sz w:val="20"/>
          <w:szCs w:val="20"/>
          <w:color w:val="231F20"/>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9" w:lineRule="exact"/>
        <w:rPr>
          <w:sz w:val="20"/>
          <w:szCs w:val="20"/>
          <w:color w:val="auto"/>
        </w:rPr>
      </w:pPr>
    </w:p>
    <w:p>
      <w:pPr>
        <w:ind w:right="40" w:firstLine="720"/>
        <w:spacing w:after="0" w:line="270" w:lineRule="auto"/>
        <w:rPr>
          <w:sz w:val="20"/>
          <w:szCs w:val="20"/>
          <w:color w:val="auto"/>
        </w:rPr>
      </w:pPr>
      <w:r>
        <w:rPr>
          <w:rFonts w:ascii="Times New Roman" w:cs="Times New Roman" w:eastAsia="Times New Roman" w:hAnsi="Times New Roman"/>
          <w:sz w:val="19"/>
          <w:szCs w:val="19"/>
          <w:color w:val="231F20"/>
        </w:rPr>
        <w:t>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77"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We expect that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Inflation Reduction Act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with the first negotiated prices effective as of January 1, 2026, and Medicare Part B drugs starting in 2028. The IRA’s changes include, by way of example, capping Medicare beneficiary out-of-pocket spending at $2,000 for 2025 and providing for no beneficiary cost sharing above the annual out-of-pocket threshold. Additionally, as of January 1, 2025, the existing Medicare Coverage Gap Discount Program ended and was replaced by the Manufacturer Discount Program, through which a manufacturer provides discounts for brand-name drugs and biologics in the initial and catastrophic coverage phases under the Medicare Part D benefit. These changes eliminated the Medicare Part D coverage gap benefit phase (commonly referred to as the “donut hole”), in which a Medicare beneficiary was originally responsible for 100% of the costs of covered prescription drugs following an initial coverage phase until the costs initiated a catastrophic coverage phase, but which was gradually phased out through the end of 2024.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90</w:t>
      </w:r>
    </w:p>
    <w:p>
      <w:pPr>
        <w:sectPr>
          <w:pgSz w:w="12240" w:h="15840" w:orient="portrait"/>
          <w:cols w:equalWidth="0" w:num="1">
            <w:col w:w="9360"/>
          </w:cols>
          <w:pgMar w:left="1440" w:top="1420" w:right="1440" w:bottom="174" w:gutter="0" w:footer="0" w:header="0"/>
          <w:type w:val="continuous"/>
        </w:sectPr>
      </w:pPr>
    </w:p>
    <w:bookmarkStart w:id="92" w:name="page93"/>
    <w:bookmarkEnd w:id="92"/>
    <w:p>
      <w:pPr>
        <w:ind w:firstLine="720"/>
        <w:spacing w:after="0" w:line="242" w:lineRule="auto"/>
        <w:rPr>
          <w:sz w:val="20"/>
          <w:szCs w:val="20"/>
          <w:color w:val="auto"/>
        </w:rPr>
      </w:pPr>
      <w:r>
        <w:rPr>
          <w:rFonts w:ascii="Times New Roman" w:cs="Times New Roman" w:eastAsia="Times New Roman" w:hAnsi="Times New Roman"/>
          <w:sz w:val="20"/>
          <w:szCs w:val="20"/>
          <w:color w:val="231F20"/>
        </w:rPr>
        <w:t>On April 15, 2025, the Administration issued an executive order (the “April 2025 EO”) that, among other directives, directs HHS to work with Congress to align the treatment of small molecule drugs and biologics in the Medicare price setting program under the IRA. It is currently unclear how such modifications would affect the timeframe in which Medicare price setting becomes applicable for selected drugs or biologics. The April 2025 EO also directs HHS to provide recommendations within 180 days to accelerate the approval of generics, biosimilars, combination products and second-in-class medications, as well as to address Medicaid drug rebates and Medicaid drug payment methodologies, and, within one year, to develop and implement a plan to test a payment model to enable Medicare to obtain pharmaceuticals at lower cost. Other Centers for Medicare &amp; Medicaid Services (CMS) policy changes and demonstration projects to test new care, delivery and payment models can also significantly affect how drugs, including our products, are covered and reimbursed. Legislative and regulatory proposals may also be made to expand post-approval requirements and restrict sales and promotional activities for drugs. To date, CMS has selected ten Medicare Part D drugs with prices to go into effect on January 1, 2026 and another 15 Part D drugs with prices to go into effect on January 1, 2027. Another 15 drugs from Medicare Part B or Medicare Part D will be selected by February 1, 2026, for the maximum price to be set and in effect by January 1, 2028.</w:t>
      </w:r>
    </w:p>
    <w:p>
      <w:pPr>
        <w:spacing w:after="0" w:line="213"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The list of negotiated Medicare drugs grows yearly, and by 2029, it will have reached around 60 high-cost, single-source drugs – those without generic or biosimilar alternatives.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 We continue to evaluate the impact of the IRA on our business, operations and financial condition.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02"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Further,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spacing w:after="0" w:line="20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In addition, there have been a number of other legislative and regulatory proposals aimed at changing the pharmaceutical industry. For instance, the enacted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The distribution of product samples continues to be regulated under the PDMA, and some states also impose regulations on drug sample distribution.</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91</w:t>
      </w:r>
    </w:p>
    <w:p>
      <w:pPr>
        <w:sectPr>
          <w:pgSz w:w="12240" w:h="15840" w:orient="portrait"/>
          <w:cols w:equalWidth="0" w:num="1">
            <w:col w:w="9360"/>
          </w:cols>
          <w:pgMar w:left="1440" w:top="1420" w:right="1440" w:bottom="174" w:gutter="0" w:footer="0" w:header="0"/>
          <w:type w:val="continuous"/>
        </w:sectPr>
      </w:pPr>
    </w:p>
    <w:bookmarkStart w:id="93" w:name="page94"/>
    <w:bookmarkEnd w:id="93"/>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The industry is currently analyzing the proposed Global Benchmark for Efficient Drug Pricing, or GLOBE Model, published by CMS in the Federal Register on December 23, 2025. This mandatory payment model pilot, aimed at implementing MFN drug pricing in Medicare Part B by using international benchmarks, is open for public comment until February 23, 2026, and would require pharmaceutical companies to pay additional rebates on certain medicines whose U.S. net-of-discount prices exceed those in certain other countries. If finalized as proposed, the model is expected to begin on October 1, 2026, and run through September 30, 2031. The implications of this rule, along with its companion, Guarding U.S. Medicare Against Rising Drug Costs, or GUARD Model, which is focused on Part D drugs, and other MFN pricing pressures, could lead to voluntary or involuntary manufacturer price changes, which could be either temporary or long term, but all of which could adversely affect our business. Furthermore, these actions may lead to legal challenges, introducing additional uncertainty into our business operations.</w:t>
      </w:r>
    </w:p>
    <w:p>
      <w:pPr>
        <w:spacing w:after="0" w:line="209" w:lineRule="exact"/>
        <w:rPr>
          <w:sz w:val="20"/>
          <w:szCs w:val="20"/>
          <w:color w:val="auto"/>
        </w:rPr>
      </w:pPr>
    </w:p>
    <w:p>
      <w:pPr>
        <w:ind w:right="320" w:firstLine="720"/>
        <w:spacing w:after="0" w:line="252" w:lineRule="auto"/>
        <w:rPr>
          <w:sz w:val="20"/>
          <w:szCs w:val="20"/>
          <w:color w:val="auto"/>
        </w:rPr>
      </w:pPr>
      <w:r>
        <w:rPr>
          <w:rFonts w:ascii="Times New Roman" w:cs="Times New Roman" w:eastAsia="Times New Roman" w:hAnsi="Times New Roman"/>
          <w:sz w:val="20"/>
          <w:szCs w:val="20"/>
          <w:color w:val="231F20"/>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94" w:lineRule="exact"/>
        <w:rPr>
          <w:sz w:val="20"/>
          <w:szCs w:val="20"/>
          <w:color w:val="auto"/>
        </w:rPr>
      </w:pPr>
    </w:p>
    <w:p>
      <w:pPr>
        <w:ind w:right="20" w:firstLine="720"/>
        <w:spacing w:after="0" w:line="277" w:lineRule="auto"/>
        <w:rPr>
          <w:sz w:val="20"/>
          <w:szCs w:val="20"/>
          <w:color w:val="auto"/>
        </w:rPr>
      </w:pPr>
      <w:r>
        <w:rPr>
          <w:rFonts w:ascii="Times New Roman" w:cs="Times New Roman" w:eastAsia="Times New Roman" w:hAnsi="Times New Roman"/>
          <w:sz w:val="20"/>
          <w:szCs w:val="20"/>
          <w:color w:val="231F20"/>
        </w:rPr>
        <w:t>In the EU, several recently adopted and pending legislation will impact regulatory procedures for medicinal products. Key developments include:</w:t>
      </w:r>
    </w:p>
    <w:p>
      <w:pPr>
        <w:spacing w:after="0" w:line="184" w:lineRule="exact"/>
        <w:rPr>
          <w:sz w:val="20"/>
          <w:szCs w:val="20"/>
          <w:color w:val="auto"/>
        </w:rPr>
      </w:pPr>
    </w:p>
    <w:p>
      <w:pPr>
        <w:ind w:left="980" w:right="180" w:hanging="490"/>
        <w:spacing w:after="0" w:line="247"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 EU Pharma Package – This is the largest reform of the EU’s Pharmaceutical Legislation in 20 years. The reform still requires formal approval and will enter into force upon publication in the EU’s Official Journal, expected in 2026. Most provisions are expected to apply from 2028, following a two-year transition period. The reform encompasses a broad range of measures, including changes to regulatory exclusivity, incentives to combat antimicrobial resistance, intellectual property exemptions for generic medicines, orphan products, and marketing authorization procedures;</w:t>
      </w:r>
    </w:p>
    <w:p>
      <w:pPr>
        <w:spacing w:after="0" w:line="213" w:lineRule="exact"/>
        <w:rPr>
          <w:rFonts w:ascii="Arial" w:cs="Arial" w:eastAsia="Arial" w:hAnsi="Arial"/>
          <w:sz w:val="20"/>
          <w:szCs w:val="20"/>
          <w:color w:val="231F20"/>
        </w:rPr>
      </w:pPr>
    </w:p>
    <w:p>
      <w:pPr>
        <w:ind w:left="980" w:hanging="490"/>
        <w:spacing w:after="0" w:line="249"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Regulation (EU) 2021/2282 on health technology assessment (HTA Regulation) – This became applicable in the EU on January 12, 2025, introducing a single EU-level submission file for joint clinical assessments for oncology medicines and advanced therapy medicinal products The EU HTA-R will be extended to orphan medicines in January 2028 and as of 2030, will cover all new centrally authorized medicinal products;</w:t>
      </w:r>
    </w:p>
    <w:p>
      <w:pPr>
        <w:spacing w:after="0" w:line="210" w:lineRule="exact"/>
        <w:rPr>
          <w:rFonts w:ascii="Arial" w:cs="Arial" w:eastAsia="Arial" w:hAnsi="Arial"/>
          <w:sz w:val="20"/>
          <w:szCs w:val="20"/>
          <w:color w:val="231F20"/>
        </w:rPr>
      </w:pPr>
    </w:p>
    <w:p>
      <w:pPr>
        <w:ind w:left="980" w:right="80" w:hanging="490"/>
        <w:spacing w:after="0" w:line="258" w:lineRule="auto"/>
        <w:tabs>
          <w:tab w:leader="none" w:pos="98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Other legislative initiatives include new rules on substances of human origin (Regulation (EU) 2024/1938 – SoHO Regulation) and the proposed SPC Regulation revision, Critical Medicines Act, and Biotech Act.</w:t>
      </w:r>
    </w:p>
    <w:p>
      <w:pPr>
        <w:spacing w:after="0" w:line="187" w:lineRule="exact"/>
        <w:rPr>
          <w:sz w:val="20"/>
          <w:szCs w:val="20"/>
          <w:color w:val="auto"/>
        </w:rPr>
      </w:pPr>
    </w:p>
    <w:p>
      <w:pPr>
        <w:ind w:right="60" w:firstLine="720"/>
        <w:spacing w:after="0" w:line="270" w:lineRule="auto"/>
        <w:rPr>
          <w:sz w:val="20"/>
          <w:szCs w:val="20"/>
          <w:color w:val="auto"/>
        </w:rPr>
      </w:pPr>
      <w:r>
        <w:rPr>
          <w:rFonts w:ascii="Times New Roman" w:cs="Times New Roman" w:eastAsia="Times New Roman" w:hAnsi="Times New Roman"/>
          <w:sz w:val="19"/>
          <w:szCs w:val="19"/>
          <w:color w:val="231F20"/>
        </w:rPr>
        <w:t>Moreover, other EU “horizontal” legislation may impact companies operating in the pharmaceutical sector, including Regulation (EU) 2024/1689 (AI Act), Regulation (EU) 2023/2854 (Data Act), Regulation (EU) 2025/327 (Health Data Space Regulation), and the NIS 2 Directive. Moreover, the EU is currently discussing the Digital Omnibus Package, which comprises a series of technical amendments to a wide body of EU digital legislation.</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92</w:t>
      </w:r>
    </w:p>
    <w:p>
      <w:pPr>
        <w:sectPr>
          <w:pgSz w:w="12240" w:h="15840" w:orient="portrait"/>
          <w:cols w:equalWidth="0" w:num="1">
            <w:col w:w="9360"/>
          </w:cols>
          <w:pgMar w:left="1440" w:top="1420" w:right="1440" w:bottom="174"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subject to a variety of U.S. and international laws and regulations.</w:t>
      </w:r>
    </w:p>
    <w:p>
      <w:pPr>
        <w:spacing w:after="0" w:line="240"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or other anti-bribery and corruption laws; (iii) new laws, regulations, and judicial or other governmental decisions affecting pricing, drug reimbursement, and access or marketing within or across jurisdictions; (iv) changes in intellectual property laws; (v) changes in accounting standards; (vi) new and increasing cybersecurity and data privacy regulations and enforcement, particularly in the EU, the U.S., and China; (vii) legislative mandates or preferences for local manufacturing of pharmaceutical products; (viii) emerging and new global regulatory requirements for reporting payments and other value transfers to healthcare professionals; (ix) environmental regulations, such as the EU’s Corporate Sustainability Reporting Directive; and (x) the potential impact of importation restrictions, embargoes, trade sanctions, and legislative and/or other regulatory changes.</w:t>
      </w:r>
    </w:p>
    <w:p>
      <w:pPr>
        <w:spacing w:after="0" w:line="203"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For example, the One Big Beautiful Bill Act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requirements. The OBBBA also includes other significant provisions, including tax cut extensions and modifications to the international tax framework. While we continue to evaluate the impact of these legislative changes as additional guidance becomes available, uncertainty remains regarding the timing and interpretation by tax authorities in affected jurisdictions.</w:t>
      </w:r>
    </w:p>
    <w:p>
      <w:pPr>
        <w:spacing w:after="0" w:line="20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Further, OBBBA enacted, among others, changes to eligibility requirements for premium tax credits, which are expected to result in less coverage in the ACA’s health insurance marketplace (“Marketplace”) over the next few years. The ACA’s enhanced premium tax credits expired at the end of 2025, which is expected to result in significant increases in the uninsured population who may have otherwise enrolled in insurance plans obtained through the Marketplace. In addition, the OBBBA made other changes to the enrollment and eligibility requirements for Medicaid, which resulted in the loss of coverage for certain individuals who were previously enrolled in Medicaid programs.</w:t>
      </w:r>
    </w:p>
    <w:p>
      <w:pPr>
        <w:spacing w:after="0" w:line="200"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Governments outside the United States tend to impose strict price controls, which may adversely affect our revenues, if any.</w:t>
      </w:r>
    </w:p>
    <w:p>
      <w:pPr>
        <w:spacing w:after="0" w:line="169" w:lineRule="exact"/>
        <w:rPr>
          <w:sz w:val="20"/>
          <w:szCs w:val="20"/>
          <w:color w:val="auto"/>
        </w:rPr>
      </w:pPr>
    </w:p>
    <w:p>
      <w:pPr>
        <w:ind w:right="100" w:firstLine="720"/>
        <w:spacing w:after="0" w:line="241" w:lineRule="exact"/>
        <w:rPr>
          <w:sz w:val="20"/>
          <w:szCs w:val="20"/>
          <w:color w:val="auto"/>
        </w:rPr>
      </w:pPr>
      <w:r>
        <w:rPr>
          <w:rFonts w:ascii="Times New Roman" w:cs="Times New Roman" w:eastAsia="Times New Roman" w:hAnsi="Times New Roman"/>
          <w:sz w:val="20"/>
          <w:szCs w:val="20"/>
          <w:color w:val="231F20"/>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effectiveness of our product candidate to other available therapies. There can be no assurance that our products will be considered cost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effective by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payors, that an adequate level of reimbursement will be available, or that the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93</w:t>
      </w:r>
    </w:p>
    <w:p>
      <w:pPr>
        <w:sectPr>
          <w:pgSz w:w="12240" w:h="15840" w:orient="portrait"/>
          <w:cols w:equalWidth="0" w:num="1">
            <w:col w:w="9360"/>
          </w:cols>
          <w:pgMar w:left="1440" w:top="1420" w:right="1440" w:bottom="174" w:gutter="0" w:footer="0" w:header="0"/>
          <w:type w:val="continuous"/>
        </w:sectPr>
      </w:pPr>
    </w:p>
    <w:bookmarkStart w:id="95" w:name="page96"/>
    <w:bookmarkEnd w:id="95"/>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88"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227" w:lineRule="exact"/>
        <w:rPr>
          <w:sz w:val="20"/>
          <w:szCs w:val="20"/>
          <w:color w:val="auto"/>
        </w:rPr>
      </w:pPr>
    </w:p>
    <w:p>
      <w:pPr>
        <w:jc w:val="both"/>
        <w:ind w:right="300"/>
        <w:spacing w:after="0" w:line="247" w:lineRule="exact"/>
        <w:rPr>
          <w:sz w:val="20"/>
          <w:szCs w:val="20"/>
          <w:color w:val="auto"/>
        </w:rPr>
      </w:pPr>
      <w:r>
        <w:rPr>
          <w:rFonts w:ascii="Times New Roman" w:cs="Times New Roman" w:eastAsia="Times New Roman" w:hAnsi="Times New Roman"/>
          <w:sz w:val="20"/>
          <w:szCs w:val="20"/>
          <w:b w:val="1"/>
          <w:bCs w:val="1"/>
          <w:i w:val="1"/>
          <w:iCs w:val="1"/>
          <w:color w:val="231F20"/>
        </w:rPr>
        <w:t>Our third</w:t>
      </w:r>
      <w:r>
        <w:rPr>
          <w:rFonts w:ascii="MS Gothic" w:cs="MS Gothic" w:eastAsia="MS Gothic" w:hAnsi="MS Gothic"/>
          <w:sz w:val="20"/>
          <w:szCs w:val="20"/>
          <w:i w:val="1"/>
          <w:iCs w:val="1"/>
          <w:color w:val="231F20"/>
        </w:rPr>
        <w:t>‑</w:t>
      </w:r>
      <w:r>
        <w:rPr>
          <w:rFonts w:ascii="Times New Roman" w:cs="Times New Roman" w:eastAsia="Times New Roman" w:hAnsi="Times New Roman"/>
          <w:sz w:val="20"/>
          <w:szCs w:val="20"/>
          <w:b w:val="1"/>
          <w:bCs w:val="1"/>
          <w:i w:val="1"/>
          <w:iCs w:val="1"/>
          <w:color w:val="231F20"/>
        </w:rPr>
        <w:t>party manufacturers may use hazardous materials in the production of our products and, if so, they must comply with environmental laws and regulations, which can be expensive and restrict how we or they do business.</w:t>
      </w:r>
    </w:p>
    <w:p>
      <w:pPr>
        <w:spacing w:after="0" w:line="206" w:lineRule="exact"/>
        <w:rPr>
          <w:sz w:val="20"/>
          <w:szCs w:val="20"/>
          <w:color w:val="auto"/>
        </w:rPr>
      </w:pPr>
    </w:p>
    <w:p>
      <w:pPr>
        <w:ind w:firstLine="720"/>
        <w:spacing w:after="0" w:line="240" w:lineRule="exact"/>
        <w:rPr>
          <w:sz w:val="20"/>
          <w:szCs w:val="20"/>
          <w:color w:val="auto"/>
        </w:rPr>
      </w:pPr>
      <w:r>
        <w:rPr>
          <w:rFonts w:ascii="Times New Roman" w:cs="Times New Roman" w:eastAsia="Times New Roman" w:hAnsi="Times New Roman"/>
          <w:sz w:val="20"/>
          <w:szCs w:val="20"/>
          <w:color w:val="231F20"/>
        </w:rPr>
        <w:t>Manufacturing activities for the production of our products involve the controlled storage, use, and disposal of hazardous materials, including the components of our products, and other hazardous compounds. Our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04"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7"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94</w:t>
      </w:r>
    </w:p>
    <w:p>
      <w:pPr>
        <w:sectPr>
          <w:pgSz w:w="12240" w:h="15840" w:orient="portrait"/>
          <w:cols w:equalWidth="0" w:num="1">
            <w:col w:w="9360"/>
          </w:cols>
          <w:pgMar w:left="1440" w:top="1420" w:right="1440" w:bottom="174"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OPERATIONS</w:t>
      </w:r>
    </w:p>
    <w:p>
      <w:pPr>
        <w:spacing w:after="0" w:line="24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204" w:lineRule="exact"/>
        <w:rPr>
          <w:sz w:val="20"/>
          <w:szCs w:val="20"/>
          <w:color w:val="auto"/>
        </w:rPr>
      </w:pPr>
    </w:p>
    <w:p>
      <w:pPr>
        <w:ind w:right="40" w:firstLine="720"/>
        <w:spacing w:after="0" w:line="236" w:lineRule="exact"/>
        <w:rPr>
          <w:sz w:val="20"/>
          <w:szCs w:val="20"/>
          <w:color w:val="auto"/>
        </w:rPr>
      </w:pPr>
      <w:r>
        <w:rPr>
          <w:rFonts w:ascii="Times New Roman" w:cs="Times New Roman" w:eastAsia="Times New Roman" w:hAnsi="Times New Roman"/>
          <w:sz w:val="20"/>
          <w:szCs w:val="20"/>
          <w:color w:val="231F20"/>
        </w:rPr>
        <w:t>As of February 16, 2026, we had 925 full</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9" w:lineRule="exact"/>
        <w:rPr>
          <w:sz w:val="20"/>
          <w:szCs w:val="20"/>
          <w:color w:val="auto"/>
        </w:rPr>
      </w:pPr>
    </w:p>
    <w:p>
      <w:pPr>
        <w:ind w:left="720" w:right="320" w:hanging="360"/>
        <w:spacing w:after="0" w:line="277" w:lineRule="auto"/>
        <w:tabs>
          <w:tab w:leader="none" w:pos="720" w:val="left"/>
        </w:tabs>
        <w:numPr>
          <w:ilvl w:val="0"/>
          <w:numId w:val="38"/>
        </w:numPr>
        <w:rPr>
          <w:rFonts w:ascii="Arial" w:cs="Arial" w:eastAsia="Arial" w:hAnsi="Arial"/>
          <w:sz w:val="18"/>
          <w:szCs w:val="18"/>
          <w:color w:val="231F20"/>
        </w:rPr>
      </w:pPr>
      <w:r>
        <w:rPr>
          <w:rFonts w:ascii="Times New Roman" w:cs="Times New Roman" w:eastAsia="Times New Roman" w:hAnsi="Times New Roman"/>
          <w:sz w:val="20"/>
          <w:szCs w:val="20"/>
          <w:color w:val="231F20"/>
        </w:rPr>
        <w:t>continue the hiring and training of personnel for our commercial organization, and maintain appropriate systems, policies and infrastructure to support that organization;</w:t>
      </w:r>
    </w:p>
    <w:p>
      <w:pPr>
        <w:spacing w:after="0" w:line="169" w:lineRule="exact"/>
        <w:rPr>
          <w:rFonts w:ascii="Arial" w:cs="Arial" w:eastAsia="Arial" w:hAnsi="Arial"/>
          <w:sz w:val="18"/>
          <w:szCs w:val="18"/>
          <w:color w:val="231F20"/>
        </w:rPr>
      </w:pPr>
    </w:p>
    <w:p>
      <w:pPr>
        <w:ind w:left="720" w:right="140" w:hanging="360"/>
        <w:spacing w:after="0" w:line="277" w:lineRule="auto"/>
        <w:tabs>
          <w:tab w:leader="none" w:pos="720" w:val="left"/>
        </w:tabs>
        <w:numPr>
          <w:ilvl w:val="0"/>
          <w:numId w:val="38"/>
        </w:numPr>
        <w:rPr>
          <w:rFonts w:ascii="Arial" w:cs="Arial" w:eastAsia="Arial" w:hAnsi="Arial"/>
          <w:sz w:val="18"/>
          <w:szCs w:val="18"/>
          <w:color w:val="231F20"/>
        </w:rPr>
      </w:pPr>
      <w:r>
        <w:rPr>
          <w:rFonts w:ascii="Times New Roman" w:cs="Times New Roman" w:eastAsia="Times New Roman" w:hAnsi="Times New Roman"/>
          <w:sz w:val="20"/>
          <w:szCs w:val="20"/>
          <w:color w:val="231F20"/>
        </w:rPr>
        <w:t>ensure that our consultants and other service providers successfully carry out their contractual obligations, provide high quality results, and meet expected deadlines;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38"/>
        </w:numPr>
        <w:rPr>
          <w:rFonts w:ascii="Arial" w:cs="Arial" w:eastAsia="Arial" w:hAnsi="Arial"/>
          <w:sz w:val="18"/>
          <w:szCs w:val="18"/>
          <w:color w:val="231F20"/>
        </w:rPr>
      </w:pPr>
      <w:r>
        <w:rPr>
          <w:rFonts w:ascii="Times New Roman" w:cs="Times New Roman" w:eastAsia="Times New Roman" w:hAnsi="Times New Roman"/>
          <w:sz w:val="20"/>
          <w:szCs w:val="20"/>
          <w:color w:val="231F20"/>
        </w:rPr>
        <w:t>continue to carry out our own contractual obligations to our licensors and other third parties; and</w:t>
      </w:r>
    </w:p>
    <w:p>
      <w:pPr>
        <w:spacing w:after="0" w:line="240" w:lineRule="exact"/>
        <w:rPr>
          <w:rFonts w:ascii="Arial" w:cs="Arial" w:eastAsia="Arial" w:hAnsi="Arial"/>
          <w:sz w:val="18"/>
          <w:szCs w:val="18"/>
          <w:color w:val="231F20"/>
        </w:rPr>
      </w:pPr>
    </w:p>
    <w:p>
      <w:pPr>
        <w:ind w:left="720" w:right="900" w:hanging="360"/>
        <w:spacing w:after="0" w:line="277" w:lineRule="auto"/>
        <w:tabs>
          <w:tab w:leader="none" w:pos="720" w:val="left"/>
        </w:tabs>
        <w:numPr>
          <w:ilvl w:val="0"/>
          <w:numId w:val="38"/>
        </w:numPr>
        <w:rPr>
          <w:rFonts w:ascii="Arial" w:cs="Arial" w:eastAsia="Arial" w:hAnsi="Arial"/>
          <w:sz w:val="18"/>
          <w:szCs w:val="18"/>
          <w:color w:val="231F20"/>
        </w:rPr>
      </w:pPr>
      <w:r>
        <w:rPr>
          <w:rFonts w:ascii="Times New Roman" w:cs="Times New Roman" w:eastAsia="Times New Roman" w:hAnsi="Times New Roman"/>
          <w:sz w:val="20"/>
          <w:szCs w:val="20"/>
          <w:color w:val="231F20"/>
        </w:rPr>
        <w:t>continue to improve our operational, financial, and management controls, reporting systems, and procedures.</w:t>
      </w:r>
    </w:p>
    <w:p>
      <w:pPr>
        <w:spacing w:after="0" w:line="169" w:lineRule="exact"/>
        <w:rPr>
          <w:sz w:val="20"/>
          <w:szCs w:val="20"/>
          <w:color w:val="auto"/>
        </w:rPr>
      </w:pPr>
    </w:p>
    <w:p>
      <w:pPr>
        <w:ind w:right="600" w:firstLine="720"/>
        <w:spacing w:after="0" w:line="277" w:lineRule="auto"/>
        <w:rPr>
          <w:sz w:val="20"/>
          <w:szCs w:val="20"/>
          <w:color w:val="auto"/>
        </w:rPr>
      </w:pPr>
      <w:r>
        <w:rPr>
          <w:rFonts w:ascii="Times New Roman" w:cs="Times New Roman" w:eastAsia="Times New Roman" w:hAnsi="Times New Roman"/>
          <w:sz w:val="20"/>
          <w:szCs w:val="20"/>
          <w:color w:val="231F20"/>
        </w:rPr>
        <w:t>We may be unable to successfully implement these tasks on a larger scale and, accordingly, may not achieve our development and commercialization goals.</w:t>
      </w:r>
    </w:p>
    <w:p>
      <w:pPr>
        <w:spacing w:after="0" w:line="169"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continued growth could strain our personnel resources and infrastructure, and if we are unable to implement appropriate controls and procedures to manage our growth, we will not be able to implement our business plan successfully.</w:t>
      </w:r>
    </w:p>
    <w:p>
      <w:pPr>
        <w:spacing w:after="0" w:line="18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206"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acquire businesses or products, or form strategic alliances in the future, and we may not realize the benefits of such acquisitions or alliances.</w:t>
      </w:r>
    </w:p>
    <w:p>
      <w:pPr>
        <w:spacing w:after="0" w:line="169"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231F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ectPr>
          <w:pgSz w:w="12240" w:h="15840" w:orient="portrait"/>
          <w:cols w:equalWidth="0" w:num="1">
            <w:col w:w="9360"/>
          </w:cols>
          <w:pgMar w:left="1440" w:top="1416"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95</w:t>
      </w:r>
    </w:p>
    <w:p>
      <w:pPr>
        <w:sectPr>
          <w:pgSz w:w="12240" w:h="15840" w:orient="portrait"/>
          <w:cols w:equalWidth="0" w:num="1">
            <w:col w:w="9360"/>
          </w:cols>
          <w:pgMar w:left="1440" w:top="1416" w:right="1440" w:bottom="174"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manage our business effectively if we are unable to attract and retain key personnel.</w:t>
      </w:r>
    </w:p>
    <w:p>
      <w:pPr>
        <w:spacing w:after="0" w:line="240"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231F20"/>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2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8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00"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212"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96</w:t>
      </w:r>
    </w:p>
    <w:p>
      <w:pPr>
        <w:sectPr>
          <w:pgSz w:w="12240" w:h="15840" w:orient="portrait"/>
          <w:cols w:equalWidth="0" w:num="1">
            <w:col w:w="9360"/>
          </w:cols>
          <w:pgMar w:left="1440" w:top="1420" w:right="1440" w:bottom="174" w:gutter="0" w:footer="0" w:header="0"/>
          <w:type w:val="continuous"/>
        </w:sectPr>
      </w:pPr>
    </w:p>
    <w:bookmarkStart w:id="98" w:name="page99"/>
    <w:bookmarkEnd w:id="98"/>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disclosure controls and procedures may not prevent or detect all errors or acts of fraud.</w:t>
      </w:r>
    </w:p>
    <w:p>
      <w:pPr>
        <w:spacing w:after="0" w:line="24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200"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231F20"/>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206"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business and operations would suffer in the event of system failures.</w:t>
      </w:r>
    </w:p>
    <w:p>
      <w:pPr>
        <w:spacing w:after="0" w:line="24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97</w:t>
      </w:r>
    </w:p>
    <w:p>
      <w:pPr>
        <w:sectPr>
          <w:pgSz w:w="12240" w:h="15840" w:orient="portrait"/>
          <w:cols w:equalWidth="0" w:num="1">
            <w:col w:w="9360"/>
          </w:cols>
          <w:pgMar w:left="1440" w:top="1420" w:right="1440" w:bottom="174"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i w:val="1"/>
          <w:iCs w:val="1"/>
          <w:color w:val="231F20"/>
        </w:rPr>
        <w:t>Environmental, social and governance matters may impact our business and reputation.</w:t>
      </w:r>
    </w:p>
    <w:p>
      <w:pPr>
        <w:spacing w:after="0" w:line="24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213" w:lineRule="exact"/>
        <w:rPr>
          <w:sz w:val="20"/>
          <w:szCs w:val="20"/>
          <w:color w:val="auto"/>
        </w:rPr>
      </w:pPr>
    </w:p>
    <w:p>
      <w:pPr>
        <w:jc w:val="both"/>
        <w:ind w:right="160" w:firstLine="720"/>
        <w:spacing w:after="0" w:line="258" w:lineRule="auto"/>
        <w:rPr>
          <w:sz w:val="20"/>
          <w:szCs w:val="20"/>
          <w:color w:val="auto"/>
        </w:rPr>
      </w:pPr>
      <w:r>
        <w:rPr>
          <w:rFonts w:ascii="Times New Roman" w:cs="Times New Roman" w:eastAsia="Times New Roman" w:hAnsi="Times New Roman"/>
          <w:sz w:val="20"/>
          <w:szCs w:val="20"/>
          <w:color w:val="231F20"/>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OWNERSHIP OF OUR COMMON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An active trading market for our common stock may not be sustained.</w:t>
      </w:r>
    </w:p>
    <w:p>
      <w:pPr>
        <w:spacing w:after="0" w:line="240"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231F20"/>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market price of our common stock may be highly volatile.</w:t>
      </w:r>
    </w:p>
    <w:p>
      <w:pPr>
        <w:spacing w:after="0" w:line="24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97" w:lineRule="exact"/>
        <w:rPr>
          <w:sz w:val="20"/>
          <w:szCs w:val="20"/>
          <w:color w:val="auto"/>
        </w:rPr>
      </w:pPr>
    </w:p>
    <w:p>
      <w:pPr>
        <w:ind w:left="720" w:hanging="360"/>
        <w:spacing w:after="0"/>
        <w:tabs>
          <w:tab w:leader="none" w:pos="720" w:val="left"/>
        </w:tabs>
        <w:numPr>
          <w:ilvl w:val="0"/>
          <w:numId w:val="39"/>
        </w:numPr>
        <w:rPr>
          <w:rFonts w:ascii="Arial" w:cs="Arial" w:eastAsia="Arial" w:hAnsi="Arial"/>
          <w:sz w:val="18"/>
          <w:szCs w:val="18"/>
          <w:color w:val="231F20"/>
        </w:rPr>
      </w:pPr>
      <w:r>
        <w:rPr>
          <w:rFonts w:ascii="Times New Roman" w:cs="Times New Roman" w:eastAsia="Times New Roman" w:hAnsi="Times New Roman"/>
          <w:sz w:val="20"/>
          <w:szCs w:val="20"/>
          <w:color w:val="231F20"/>
        </w:rPr>
        <w:t>the commercial success of our products;</w:t>
      </w:r>
    </w:p>
    <w:p>
      <w:pPr>
        <w:spacing w:after="0" w:line="240" w:lineRule="exact"/>
        <w:rPr>
          <w:rFonts w:ascii="Arial" w:cs="Arial" w:eastAsia="Arial" w:hAnsi="Arial"/>
          <w:sz w:val="18"/>
          <w:szCs w:val="18"/>
          <w:color w:val="231F20"/>
        </w:rPr>
      </w:pPr>
    </w:p>
    <w:p>
      <w:pPr>
        <w:ind w:left="720" w:right="320" w:hanging="360"/>
        <w:spacing w:after="0" w:line="277" w:lineRule="auto"/>
        <w:tabs>
          <w:tab w:leader="none" w:pos="720" w:val="left"/>
        </w:tabs>
        <w:numPr>
          <w:ilvl w:val="0"/>
          <w:numId w:val="39"/>
        </w:numPr>
        <w:rPr>
          <w:rFonts w:ascii="Arial" w:cs="Arial" w:eastAsia="Arial" w:hAnsi="Arial"/>
          <w:sz w:val="18"/>
          <w:szCs w:val="18"/>
          <w:color w:val="231F20"/>
        </w:rPr>
      </w:pPr>
      <w:r>
        <w:rPr>
          <w:rFonts w:ascii="Times New Roman" w:cs="Times New Roman" w:eastAsia="Times New Roman" w:hAnsi="Times New Roman"/>
          <w:sz w:val="20"/>
          <w:szCs w:val="20"/>
          <w:color w:val="231F20"/>
        </w:rPr>
        <w:t>delays in the commencement, enrollment, and ultimate completion, of our planned and ongoing Phase 3 clinical trials for our product candidates;</w:t>
      </w:r>
    </w:p>
    <w:p>
      <w:pPr>
        <w:spacing w:after="0" w:line="169" w:lineRule="exact"/>
        <w:rPr>
          <w:rFonts w:ascii="Arial" w:cs="Arial" w:eastAsia="Arial" w:hAnsi="Arial"/>
          <w:sz w:val="18"/>
          <w:szCs w:val="18"/>
          <w:color w:val="231F20"/>
        </w:rPr>
      </w:pPr>
    </w:p>
    <w:p>
      <w:pPr>
        <w:ind w:left="720" w:right="100" w:hanging="360"/>
        <w:spacing w:after="0" w:line="277" w:lineRule="auto"/>
        <w:tabs>
          <w:tab w:leader="none" w:pos="720" w:val="left"/>
        </w:tabs>
        <w:numPr>
          <w:ilvl w:val="0"/>
          <w:numId w:val="39"/>
        </w:numPr>
        <w:rPr>
          <w:rFonts w:ascii="Arial" w:cs="Arial" w:eastAsia="Arial" w:hAnsi="Arial"/>
          <w:sz w:val="18"/>
          <w:szCs w:val="18"/>
          <w:color w:val="231F20"/>
        </w:rPr>
      </w:pPr>
      <w:r>
        <w:rPr>
          <w:rFonts w:ascii="Times New Roman" w:cs="Times New Roman" w:eastAsia="Times New Roman" w:hAnsi="Times New Roman"/>
          <w:sz w:val="20"/>
          <w:szCs w:val="20"/>
          <w:color w:val="231F20"/>
        </w:rPr>
        <w:t>any delay or refusal on the part of the FDA in approving an NDA for any of our current and future product candidates;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39"/>
        </w:numPr>
        <w:rPr>
          <w:rFonts w:ascii="Arial" w:cs="Arial" w:eastAsia="Arial" w:hAnsi="Arial"/>
          <w:sz w:val="18"/>
          <w:szCs w:val="18"/>
          <w:color w:val="231F20"/>
        </w:rPr>
      </w:pPr>
      <w:r>
        <w:rPr>
          <w:rFonts w:ascii="Times New Roman" w:cs="Times New Roman" w:eastAsia="Times New Roman" w:hAnsi="Times New Roman"/>
          <w:sz w:val="20"/>
          <w:szCs w:val="20"/>
          <w:color w:val="231F20"/>
        </w:rPr>
        <w:t>operating and stock price performance of other companies that investors deem comparable to ours;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9"/>
        </w:numPr>
        <w:rPr>
          <w:rFonts w:ascii="Arial" w:cs="Arial" w:eastAsia="Arial" w:hAnsi="Arial"/>
          <w:sz w:val="18"/>
          <w:szCs w:val="18"/>
          <w:color w:val="231F20"/>
        </w:rPr>
      </w:pPr>
      <w:r>
        <w:rPr>
          <w:rFonts w:ascii="Times New Roman" w:cs="Times New Roman" w:eastAsia="Times New Roman" w:hAnsi="Times New Roman"/>
          <w:sz w:val="20"/>
          <w:szCs w:val="20"/>
          <w:color w:val="231F20"/>
        </w:rPr>
        <w:t>recommendations by securities analysts;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39"/>
        </w:numPr>
        <w:rPr>
          <w:rFonts w:ascii="Arial" w:cs="Arial" w:eastAsia="Arial" w:hAnsi="Arial"/>
          <w:sz w:val="18"/>
          <w:szCs w:val="18"/>
          <w:color w:val="231F20"/>
        </w:rPr>
      </w:pPr>
      <w:r>
        <w:rPr>
          <w:rFonts w:ascii="Times New Roman" w:cs="Times New Roman" w:eastAsia="Times New Roman" w:hAnsi="Times New Roman"/>
          <w:sz w:val="20"/>
          <w:szCs w:val="20"/>
          <w:color w:val="231F20"/>
        </w:rPr>
        <w:t>news relating to our industry as a whole and news relating to trends in our markets;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98</w:t>
      </w:r>
    </w:p>
    <w:p>
      <w:pPr>
        <w:sectPr>
          <w:pgSz w:w="12240" w:h="15840" w:orient="portrait"/>
          <w:cols w:equalWidth="0" w:num="1">
            <w:col w:w="9360"/>
          </w:cols>
          <w:pgMar w:left="1440" w:top="1420" w:right="1440" w:bottom="174" w:gutter="0" w:footer="0" w:header="0"/>
          <w:type w:val="continuous"/>
        </w:sectPr>
      </w:pPr>
    </w:p>
    <w:bookmarkStart w:id="100" w:name="page101"/>
    <w:bookmarkEnd w:id="100"/>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results of clinical trials of any of our current and future product candidates or those of our competitors;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actual or anticipated variations in quarterly or annual operating results;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failure to meet or exceed financial projections we provide to the public, if any;</w:t>
      </w:r>
    </w:p>
    <w:p>
      <w:pPr>
        <w:spacing w:after="0" w:line="240" w:lineRule="exact"/>
        <w:rPr>
          <w:rFonts w:ascii="Arial" w:cs="Arial" w:eastAsia="Arial" w:hAnsi="Arial"/>
          <w:sz w:val="18"/>
          <w:szCs w:val="18"/>
          <w:color w:val="231F20"/>
        </w:rPr>
      </w:pPr>
    </w:p>
    <w:p>
      <w:pPr>
        <w:ind w:left="720" w:right="220" w:hanging="360"/>
        <w:spacing w:after="0" w:line="277" w:lineRule="auto"/>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failure to meet or exceed the estimates and projections of the investment community, including securities analysts;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introduction of competitive products or technologies;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changes or developments in laws or regulations applicable to our product candidates;</w:t>
      </w:r>
    </w:p>
    <w:p>
      <w:pPr>
        <w:spacing w:after="0" w:line="240" w:lineRule="exact"/>
        <w:rPr>
          <w:rFonts w:ascii="Arial" w:cs="Arial" w:eastAsia="Arial" w:hAnsi="Arial"/>
          <w:sz w:val="18"/>
          <w:szCs w:val="18"/>
          <w:color w:val="231F20"/>
        </w:rPr>
      </w:pPr>
    </w:p>
    <w:p>
      <w:pPr>
        <w:ind w:left="720" w:right="400" w:hanging="360"/>
        <w:spacing w:after="0" w:line="277" w:lineRule="auto"/>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the perception of the pharmaceutical industry by the public, legislatures, regulators, and the investment community;</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general economic and market conditions and overall fluctuations in U.S. equity markets;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data or security breaches;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developments concerning our sources of manufacturing supply, warehousing, and inventory control;</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disputes or other developments relating to patents or other proprietary rights;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additions or departures of key scientific or management personnel;</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announcements of investigations or regulatory scrutiny of our operations or lawsuits filed against us;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capital commitments;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investors’ general perception of our company and our business;</w:t>
      </w:r>
    </w:p>
    <w:p>
      <w:pPr>
        <w:spacing w:after="0" w:line="240" w:lineRule="exact"/>
        <w:rPr>
          <w:rFonts w:ascii="Arial" w:cs="Arial" w:eastAsia="Arial" w:hAnsi="Arial"/>
          <w:sz w:val="18"/>
          <w:szCs w:val="18"/>
          <w:color w:val="231F20"/>
        </w:rPr>
      </w:pPr>
    </w:p>
    <w:p>
      <w:pPr>
        <w:ind w:left="720" w:right="260" w:hanging="360"/>
        <w:spacing w:after="0" w:line="277" w:lineRule="auto"/>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announcements and expectations of additional financing efforts, including the issuance of debt, equity or convertible securities;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sales of our common stock, including sales by our directors and officers or significant stockholders;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changes in the market valuations of companies similar to us;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7"/>
          <w:szCs w:val="17"/>
          <w:color w:val="231F20"/>
        </w:rPr>
      </w:pPr>
      <w:r>
        <w:rPr>
          <w:rFonts w:ascii="Times New Roman" w:cs="Times New Roman" w:eastAsia="Times New Roman" w:hAnsi="Times New Roman"/>
          <w:sz w:val="19"/>
          <w:szCs w:val="19"/>
          <w:color w:val="231F20"/>
        </w:rPr>
        <w:t>announcements by us or our competitors of significant acquisitions, strategic partnerships, or divestitures;</w:t>
      </w:r>
    </w:p>
    <w:p>
      <w:pPr>
        <w:spacing w:after="0" w:line="251" w:lineRule="exact"/>
        <w:rPr>
          <w:rFonts w:ascii="Arial" w:cs="Arial" w:eastAsia="Arial" w:hAnsi="Arial"/>
          <w:sz w:val="17"/>
          <w:szCs w:val="17"/>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general conditions or trends in our industry; and</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0"/>
        </w:numPr>
        <w:rPr>
          <w:rFonts w:ascii="Arial" w:cs="Arial" w:eastAsia="Arial" w:hAnsi="Arial"/>
          <w:sz w:val="18"/>
          <w:szCs w:val="18"/>
          <w:color w:val="231F20"/>
        </w:rPr>
      </w:pPr>
      <w:r>
        <w:rPr>
          <w:rFonts w:ascii="Times New Roman" w:cs="Times New Roman" w:eastAsia="Times New Roman" w:hAnsi="Times New Roman"/>
          <w:sz w:val="20"/>
          <w:szCs w:val="20"/>
          <w:color w:val="231F20"/>
        </w:rPr>
        <w:t>the other factors described in this “Risk Factors” section.</w:t>
      </w:r>
    </w:p>
    <w:p>
      <w:pPr>
        <w:spacing w:after="0" w:line="240"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231F20"/>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99</w:t>
      </w:r>
    </w:p>
    <w:p>
      <w:pPr>
        <w:sectPr>
          <w:pgSz w:w="12240" w:h="15840" w:orient="portrait"/>
          <w:cols w:equalWidth="0" w:num="1">
            <w:col w:w="9360"/>
          </w:cols>
          <w:pgMar w:left="1440" w:top="1420" w:right="1440" w:bottom="174" w:gutter="0" w:footer="0" w:header="0"/>
          <w:type w:val="continuous"/>
        </w:sectPr>
      </w:pPr>
    </w:p>
    <w:bookmarkStart w:id="101" w:name="page102"/>
    <w:bookmarkEnd w:id="101"/>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equity research analysts do not publish research or reports, or publish unfavorable research or reports, about us, our business, or our market, our stock price and trading volume could decline.</w:t>
      </w:r>
    </w:p>
    <w:p>
      <w:pPr>
        <w:spacing w:after="0" w:line="169"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231F20"/>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quarterly operating results may fluctuate significantly.</w:t>
      </w:r>
    </w:p>
    <w:p>
      <w:pPr>
        <w:spacing w:after="0" w:line="240" w:lineRule="exact"/>
        <w:rPr>
          <w:sz w:val="20"/>
          <w:szCs w:val="20"/>
          <w:color w:val="auto"/>
        </w:rPr>
      </w:pPr>
    </w:p>
    <w:p>
      <w:pPr>
        <w:ind w:right="380" w:firstLine="720"/>
        <w:spacing w:after="0" w:line="277" w:lineRule="auto"/>
        <w:rPr>
          <w:sz w:val="20"/>
          <w:szCs w:val="20"/>
          <w:color w:val="auto"/>
        </w:rPr>
      </w:pPr>
      <w:r>
        <w:rPr>
          <w:rFonts w:ascii="Times New Roman" w:cs="Times New Roman" w:eastAsia="Times New Roman" w:hAnsi="Times New Roman"/>
          <w:sz w:val="20"/>
          <w:szCs w:val="20"/>
          <w:color w:val="231F20"/>
        </w:rPr>
        <w:t>We expect our operating results to be subject to quarterly fluctuations. Our net loss and other operating results will be affected by numerous factors, including:</w:t>
      </w:r>
    </w:p>
    <w:p>
      <w:pPr>
        <w:spacing w:after="0" w:line="169" w:lineRule="exact"/>
        <w:rPr>
          <w:sz w:val="20"/>
          <w:szCs w:val="20"/>
          <w:color w:val="auto"/>
        </w:rPr>
      </w:pPr>
    </w:p>
    <w:p>
      <w:pPr>
        <w:ind w:left="720" w:hanging="360"/>
        <w:spacing w:after="0"/>
        <w:tabs>
          <w:tab w:leader="none" w:pos="720" w:val="left"/>
        </w:tabs>
        <w:numPr>
          <w:ilvl w:val="0"/>
          <w:numId w:val="41"/>
        </w:numPr>
        <w:rPr>
          <w:rFonts w:ascii="Arial" w:cs="Arial" w:eastAsia="Arial" w:hAnsi="Arial"/>
          <w:sz w:val="18"/>
          <w:szCs w:val="18"/>
          <w:color w:val="231F20"/>
        </w:rPr>
      </w:pPr>
      <w:r>
        <w:rPr>
          <w:rFonts w:ascii="Times New Roman" w:cs="Times New Roman" w:eastAsia="Times New Roman" w:hAnsi="Times New Roman"/>
          <w:sz w:val="20"/>
          <w:szCs w:val="20"/>
          <w:color w:val="231F20"/>
        </w:rPr>
        <w:t>the commercial success of our products;</w:t>
      </w:r>
    </w:p>
    <w:p>
      <w:pPr>
        <w:spacing w:after="0" w:line="240" w:lineRule="exact"/>
        <w:rPr>
          <w:rFonts w:ascii="Arial" w:cs="Arial" w:eastAsia="Arial" w:hAnsi="Arial"/>
          <w:sz w:val="18"/>
          <w:szCs w:val="18"/>
          <w:color w:val="231F20"/>
        </w:rPr>
      </w:pPr>
    </w:p>
    <w:p>
      <w:pPr>
        <w:ind w:left="720" w:right="100" w:hanging="360"/>
        <w:spacing w:after="0" w:line="277" w:lineRule="auto"/>
        <w:tabs>
          <w:tab w:leader="none" w:pos="720" w:val="left"/>
        </w:tabs>
        <w:numPr>
          <w:ilvl w:val="0"/>
          <w:numId w:val="41"/>
        </w:numPr>
        <w:rPr>
          <w:rFonts w:ascii="Arial" w:cs="Arial" w:eastAsia="Arial" w:hAnsi="Arial"/>
          <w:sz w:val="18"/>
          <w:szCs w:val="18"/>
          <w:color w:val="231F20"/>
        </w:rPr>
      </w:pPr>
      <w:r>
        <w:rPr>
          <w:rFonts w:ascii="Times New Roman" w:cs="Times New Roman" w:eastAsia="Times New Roman" w:hAnsi="Times New Roman"/>
          <w:sz w:val="20"/>
          <w:szCs w:val="20"/>
          <w:color w:val="231F20"/>
        </w:rPr>
        <w:t>whether the FDA requires us to complete additional, unanticipated studies, tests, or other activities prior to approving any of our current and future product candidates, which may delay any such approval;</w:t>
      </w:r>
    </w:p>
    <w:p>
      <w:pPr>
        <w:spacing w:after="0" w:line="184" w:lineRule="exact"/>
        <w:rPr>
          <w:rFonts w:ascii="Arial" w:cs="Arial" w:eastAsia="Arial" w:hAnsi="Arial"/>
          <w:sz w:val="18"/>
          <w:szCs w:val="18"/>
          <w:color w:val="231F20"/>
        </w:rPr>
      </w:pPr>
    </w:p>
    <w:p>
      <w:pPr>
        <w:ind w:left="720" w:right="60" w:hanging="360"/>
        <w:spacing w:after="0" w:line="255" w:lineRule="exact"/>
        <w:tabs>
          <w:tab w:leader="none" w:pos="720" w:val="left"/>
        </w:tabs>
        <w:numPr>
          <w:ilvl w:val="0"/>
          <w:numId w:val="41"/>
        </w:numPr>
        <w:rPr>
          <w:rFonts w:ascii="Arial" w:cs="Arial" w:eastAsia="Arial" w:hAnsi="Arial"/>
          <w:sz w:val="18"/>
          <w:szCs w:val="18"/>
          <w:color w:val="231F20"/>
        </w:rPr>
      </w:pPr>
      <w:r>
        <w:rPr>
          <w:rFonts w:ascii="Times New Roman" w:cs="Times New Roman" w:eastAsia="Times New Roman" w:hAnsi="Times New Roman"/>
          <w:sz w:val="20"/>
          <w:szCs w:val="20"/>
          <w:color w:val="231F20"/>
        </w:rPr>
        <w:t>our ability to identify and enter into third</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party manufacturing arrangements capable of manufacturing any of our current or future product candidates in commercial quantities;</w:t>
      </w:r>
    </w:p>
    <w:p>
      <w:pPr>
        <w:spacing w:after="0" w:line="205" w:lineRule="exact"/>
        <w:rPr>
          <w:rFonts w:ascii="Arial" w:cs="Arial" w:eastAsia="Arial" w:hAnsi="Arial"/>
          <w:sz w:val="18"/>
          <w:szCs w:val="18"/>
          <w:color w:val="231F20"/>
        </w:rPr>
      </w:pPr>
    </w:p>
    <w:p>
      <w:pPr>
        <w:ind w:left="720" w:right="40" w:hanging="360"/>
        <w:spacing w:after="0" w:line="277" w:lineRule="auto"/>
        <w:tabs>
          <w:tab w:leader="none" w:pos="720" w:val="left"/>
        </w:tabs>
        <w:numPr>
          <w:ilvl w:val="0"/>
          <w:numId w:val="41"/>
        </w:numPr>
        <w:rPr>
          <w:rFonts w:ascii="Arial" w:cs="Arial" w:eastAsia="Arial" w:hAnsi="Arial"/>
          <w:sz w:val="18"/>
          <w:szCs w:val="18"/>
          <w:color w:val="231F20"/>
        </w:rPr>
      </w:pPr>
      <w:r>
        <w:rPr>
          <w:rFonts w:ascii="Times New Roman" w:cs="Times New Roman" w:eastAsia="Times New Roman" w:hAnsi="Times New Roman"/>
          <w:sz w:val="20"/>
          <w:szCs w:val="20"/>
          <w:color w:val="231F20"/>
        </w:rPr>
        <w:t>our execution of other collaborative, licensing, or similar arrangements and the timing of payments we may make or receive under these arrangements;</w:t>
      </w:r>
    </w:p>
    <w:p>
      <w:pPr>
        <w:spacing w:after="0" w:line="169" w:lineRule="exact"/>
        <w:rPr>
          <w:rFonts w:ascii="Arial" w:cs="Arial" w:eastAsia="Arial" w:hAnsi="Arial"/>
          <w:sz w:val="18"/>
          <w:szCs w:val="18"/>
          <w:color w:val="231F20"/>
        </w:rPr>
      </w:pPr>
    </w:p>
    <w:p>
      <w:pPr>
        <w:ind w:left="720" w:hanging="360"/>
        <w:spacing w:after="0"/>
        <w:tabs>
          <w:tab w:leader="none" w:pos="720" w:val="left"/>
        </w:tabs>
        <w:numPr>
          <w:ilvl w:val="0"/>
          <w:numId w:val="41"/>
        </w:numPr>
        <w:rPr>
          <w:rFonts w:ascii="Arial" w:cs="Arial" w:eastAsia="Arial" w:hAnsi="Arial"/>
          <w:sz w:val="18"/>
          <w:szCs w:val="18"/>
          <w:color w:val="231F20"/>
        </w:rPr>
      </w:pPr>
      <w:r>
        <w:rPr>
          <w:rFonts w:ascii="Times New Roman" w:cs="Times New Roman" w:eastAsia="Times New Roman" w:hAnsi="Times New Roman"/>
          <w:sz w:val="20"/>
          <w:szCs w:val="20"/>
          <w:color w:val="231F20"/>
        </w:rPr>
        <w:t>variations in the level of expenses related to our future development programs;</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1"/>
        </w:numPr>
        <w:rPr>
          <w:rFonts w:ascii="Arial" w:cs="Arial" w:eastAsia="Arial" w:hAnsi="Arial"/>
          <w:sz w:val="18"/>
          <w:szCs w:val="18"/>
          <w:color w:val="231F20"/>
        </w:rPr>
      </w:pPr>
      <w:r>
        <w:rPr>
          <w:rFonts w:ascii="Times New Roman" w:cs="Times New Roman" w:eastAsia="Times New Roman" w:hAnsi="Times New Roman"/>
          <w:sz w:val="20"/>
          <w:szCs w:val="20"/>
          <w:color w:val="231F20"/>
        </w:rPr>
        <w:t>any product liability or intellectual property infringement lawsuit in which we may become involved;</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1"/>
        </w:numPr>
        <w:rPr>
          <w:rFonts w:ascii="Arial" w:cs="Arial" w:eastAsia="Arial" w:hAnsi="Arial"/>
          <w:sz w:val="18"/>
          <w:szCs w:val="18"/>
          <w:color w:val="231F20"/>
        </w:rPr>
      </w:pPr>
      <w:r>
        <w:rPr>
          <w:rFonts w:ascii="Times New Roman" w:cs="Times New Roman" w:eastAsia="Times New Roman" w:hAnsi="Times New Roman"/>
          <w:sz w:val="20"/>
          <w:szCs w:val="20"/>
          <w:color w:val="231F20"/>
        </w:rPr>
        <w:t>regulatory developments affecting our current products, or the products of our competitors; and</w:t>
      </w:r>
    </w:p>
    <w:p>
      <w:pPr>
        <w:spacing w:after="0" w:line="240" w:lineRule="exact"/>
        <w:rPr>
          <w:rFonts w:ascii="Arial" w:cs="Arial" w:eastAsia="Arial" w:hAnsi="Arial"/>
          <w:sz w:val="18"/>
          <w:szCs w:val="18"/>
          <w:color w:val="231F20"/>
        </w:rPr>
      </w:pPr>
    </w:p>
    <w:p>
      <w:pPr>
        <w:ind w:left="720" w:hanging="360"/>
        <w:spacing w:after="0"/>
        <w:tabs>
          <w:tab w:leader="none" w:pos="720" w:val="left"/>
        </w:tabs>
        <w:numPr>
          <w:ilvl w:val="0"/>
          <w:numId w:val="41"/>
        </w:numPr>
        <w:rPr>
          <w:rFonts w:ascii="Arial" w:cs="Arial" w:eastAsia="Arial" w:hAnsi="Arial"/>
          <w:sz w:val="18"/>
          <w:szCs w:val="18"/>
          <w:color w:val="231F20"/>
        </w:rPr>
      </w:pPr>
      <w:r>
        <w:rPr>
          <w:rFonts w:ascii="Times New Roman" w:cs="Times New Roman" w:eastAsia="Times New Roman" w:hAnsi="Times New Roman"/>
          <w:sz w:val="20"/>
          <w:szCs w:val="20"/>
          <w:color w:val="231F20"/>
        </w:rPr>
        <w:t>the level of underlying demand for our products.</w:t>
      </w:r>
    </w:p>
    <w:p>
      <w:pPr>
        <w:spacing w:after="0" w:line="240"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9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Raising additional funds by issuing securities may cause dilution to existing stockholders and raising funds through lending and licensing arrangements may restrict our operations or require us to relinquish proprietary rights.</w:t>
      </w:r>
    </w:p>
    <w:p>
      <w:pPr>
        <w:spacing w:after="0" w:line="188"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19"/>
          <w:szCs w:val="19"/>
          <w:color w:val="231F20"/>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100</w:t>
      </w:r>
    </w:p>
    <w:p>
      <w:pPr>
        <w:sectPr>
          <w:pgSz w:w="12240" w:h="15840" w:orient="portrait"/>
          <w:cols w:equalWidth="0" w:num="1">
            <w:col w:w="9360"/>
          </w:cols>
          <w:pgMar w:left="1440" w:top="1420" w:right="1440" w:bottom="174" w:gutter="0" w:footer="0" w:header="0"/>
          <w:type w:val="continuous"/>
        </w:sectPr>
      </w:pPr>
    </w:p>
    <w:bookmarkStart w:id="102" w:name="page103"/>
    <w:bookmarkEnd w:id="102"/>
    <w:p>
      <w:pPr>
        <w:ind w:firstLine="720"/>
        <w:spacing w:after="0" w:line="244" w:lineRule="auto"/>
        <w:rPr>
          <w:sz w:val="20"/>
          <w:szCs w:val="20"/>
          <w:color w:val="auto"/>
        </w:rPr>
      </w:pPr>
      <w:r>
        <w:rPr>
          <w:rFonts w:ascii="Times New Roman" w:cs="Times New Roman" w:eastAsia="Times New Roman" w:hAnsi="Times New Roman"/>
          <w:sz w:val="20"/>
          <w:szCs w:val="20"/>
          <w:color w:val="231F20"/>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principal stockholders and management own a significant percentage of our stock and may be able to exert significant control over matters subject to stockholder approval.</w:t>
      </w:r>
    </w:p>
    <w:p>
      <w:pPr>
        <w:spacing w:after="0" w:line="16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As of February 16, 2026, our executive officers, directors, and 5% stockholders and their affiliates beneficially owned an aggregate of approximately 33%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20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231F20"/>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206" w:lineRule="exact"/>
        <w:rPr>
          <w:sz w:val="20"/>
          <w:szCs w:val="20"/>
          <w:color w:val="auto"/>
        </w:rPr>
      </w:pPr>
    </w:p>
    <w:p>
      <w:pPr>
        <w:jc w:val="both"/>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Sales of a substantial number of shares of our common stock in the public market by our existing stockholders could cause our stock price to fall.</w:t>
      </w:r>
    </w:p>
    <w:p>
      <w:pPr>
        <w:spacing w:after="0" w:line="169" w:lineRule="exact"/>
        <w:rPr>
          <w:sz w:val="20"/>
          <w:szCs w:val="20"/>
          <w:color w:val="auto"/>
        </w:rPr>
      </w:pPr>
    </w:p>
    <w:p>
      <w:pPr>
        <w:jc w:val="both"/>
        <w:ind w:right="260" w:firstLine="720"/>
        <w:spacing w:after="0" w:line="252" w:lineRule="auto"/>
        <w:rPr>
          <w:sz w:val="20"/>
          <w:szCs w:val="20"/>
          <w:color w:val="auto"/>
        </w:rPr>
      </w:pPr>
      <w:r>
        <w:rPr>
          <w:rFonts w:ascii="Times New Roman" w:cs="Times New Roman" w:eastAsia="Times New Roman" w:hAnsi="Times New Roman"/>
          <w:sz w:val="20"/>
          <w:szCs w:val="20"/>
          <w:color w:val="231F20"/>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94"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As of February 16, 2026, we have outstanding 51,153,289 shares of common stock and 8,792,040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43,239,005 are freely tradable. The remainder of the outstanding shares of common stock are held by our affiliates and may be considered “control securities” for purposes of Rule 144 under the Securities Act.</w:t>
      </w:r>
    </w:p>
    <w:p>
      <w:pPr>
        <w:spacing w:after="0" w:line="215" w:lineRule="exact"/>
        <w:rPr>
          <w:sz w:val="20"/>
          <w:szCs w:val="20"/>
          <w:color w:val="auto"/>
        </w:rPr>
      </w:pPr>
    </w:p>
    <w:p>
      <w:pPr>
        <w:ind w:firstLine="720"/>
        <w:spacing w:after="0" w:line="238" w:lineRule="exact"/>
        <w:rPr>
          <w:sz w:val="20"/>
          <w:szCs w:val="20"/>
          <w:color w:val="auto"/>
        </w:rPr>
      </w:pPr>
      <w:r>
        <w:rPr>
          <w:rFonts w:ascii="Times New Roman" w:cs="Times New Roman" w:eastAsia="Times New Roman" w:hAnsi="Times New Roman"/>
          <w:sz w:val="20"/>
          <w:szCs w:val="20"/>
          <w:color w:val="231F20"/>
        </w:rPr>
        <w:t>In addition, we have filed, or will soon file, one or more registration statements on Form S</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8 registering the issuance of an aggregate of 17,546,713 shares of common stock subject to options or other equity awards issued or reserved for issuance under our 2025 Long-Term Incentive Plan and 1,100,000 shares of common stock reserved for issuance under our 2023 Employee Stock Purchase Plan. Shares registered under registration statements on Form S-8 will be available for sale in the public market subject to vesting arrangements and exercise of options, the lock-up agreements described above and the restrictions of Rule 144 in the case of our affiliates.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101</w:t>
      </w:r>
    </w:p>
    <w:p>
      <w:pPr>
        <w:sectPr>
          <w:pgSz w:w="12240" w:h="15840" w:orient="portrait"/>
          <w:cols w:equalWidth="0" w:num="1">
            <w:col w:w="9360"/>
          </w:cols>
          <w:pgMar w:left="1440" w:top="1420" w:right="1440" w:bottom="174" w:gutter="0" w:footer="0" w:header="0"/>
          <w:type w:val="continuous"/>
        </w:sectPr>
      </w:pPr>
    </w:p>
    <w:bookmarkStart w:id="103" w:name="page104"/>
    <w:bookmarkEnd w:id="103"/>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management will have broad discretion in the use of the net proceeds from our capital raises, including the proceeds from sales pursuant to our Sales Agreement, and may not use them effectively.</w:t>
      </w:r>
    </w:p>
    <w:p>
      <w:pPr>
        <w:spacing w:after="0" w:line="169" w:lineRule="exact"/>
        <w:rPr>
          <w:sz w:val="20"/>
          <w:szCs w:val="20"/>
          <w:color w:val="auto"/>
        </w:rPr>
      </w:pPr>
    </w:p>
    <w:p>
      <w:pPr>
        <w:ind w:right="80" w:firstLine="720"/>
        <w:spacing w:after="0" w:line="242" w:lineRule="auto"/>
        <w:rPr>
          <w:sz w:val="20"/>
          <w:szCs w:val="20"/>
          <w:color w:val="auto"/>
        </w:rPr>
      </w:pPr>
      <w:r>
        <w:rPr>
          <w:rFonts w:ascii="Times New Roman" w:cs="Times New Roman" w:eastAsia="Times New Roman" w:hAnsi="Times New Roman"/>
          <w:sz w:val="20"/>
          <w:szCs w:val="20"/>
          <w:color w:val="231F20"/>
        </w:rPr>
        <w:t>Our management will have broad discretion in the application of the net proceeds from our capital raises, which we refer to as our Capital Raises, including the proceeds from sales pursuant to the March 2022 Sales Agreement with Leerink Partners LLC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use of our net operating loss carryforwards and research tax credits may be limited.</w:t>
      </w:r>
    </w:p>
    <w:p>
      <w:pPr>
        <w:spacing w:after="0" w:line="24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Our net operating loss carryforwards and any future research and development tax credits may expire and not be used. As of December 31, 2025, we had U.S. federal net operating loss, or NOL, carryforwards of approximately $577.9 million and foreign NOL carryforwards of $281.3 million. U.S. federal net operating loss carry forwards amounting to $59.8 million generated before the 2018 tax year will start expiring beginning 2032, if we have not used them prior to that time, and the U.S. federal net operating losses of approximately $ 518.1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206"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Because we do not intend to pay dividends on our common stock, returns for our stockholders will be limited to any increase in the value of our stock.</w:t>
      </w:r>
    </w:p>
    <w:p>
      <w:pPr>
        <w:spacing w:after="0" w:line="169"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231F20"/>
        </w:rPr>
        <w:t>We have never declared or paid any cash dividends on our capital stock. In addition, the Blackstone Loan Agreement contains restrictive covenants that prohibit us from declaring or paying any dividends or making any other distributions on our common stock, except as may be expressly permitted under the facility.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102</w:t>
      </w:r>
    </w:p>
    <w:p>
      <w:pPr>
        <w:sectPr>
          <w:pgSz w:w="12240" w:h="15840" w:orient="portrait"/>
          <w:cols w:equalWidth="0" w:num="1">
            <w:col w:w="9360"/>
          </w:cols>
          <w:pgMar w:left="1440" w:top="1420" w:right="1440" w:bottom="174" w:gutter="0" w:footer="0" w:header="0"/>
          <w:type w:val="continuous"/>
        </w:sectPr>
      </w:pPr>
    </w:p>
    <w:bookmarkStart w:id="104" w:name="page105"/>
    <w:bookmarkEnd w:id="104"/>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8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221" w:lineRule="exact"/>
        <w:rPr>
          <w:sz w:val="20"/>
          <w:szCs w:val="20"/>
          <w:color w:val="auto"/>
        </w:rPr>
      </w:pPr>
    </w:p>
    <w:p>
      <w:pPr>
        <w:ind w:right="300" w:firstLine="720"/>
        <w:spacing w:after="0" w:line="237" w:lineRule="exact"/>
        <w:rPr>
          <w:sz w:val="20"/>
          <w:szCs w:val="20"/>
          <w:color w:val="auto"/>
        </w:rPr>
      </w:pPr>
      <w:r>
        <w:rPr>
          <w:rFonts w:ascii="Times New Roman" w:cs="Times New Roman" w:eastAsia="Times New Roman" w:hAnsi="Times New Roman"/>
          <w:sz w:val="20"/>
          <w:szCs w:val="20"/>
          <w:color w:val="231F20"/>
        </w:rPr>
        <w:t>In addition, we are subject to the anti</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94"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231F20"/>
        </w:rPr>
        <w:t>Our amended and restated certificate of incorporation provides that, unless we consent in writing to the selection of an alternate forum,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200"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231F20"/>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103</w:t>
      </w:r>
    </w:p>
    <w:p>
      <w:pPr>
        <w:sectPr>
          <w:pgSz w:w="12240" w:h="15840" w:orient="portrait"/>
          <w:cols w:equalWidth="0" w:num="1">
            <w:col w:w="9360"/>
          </w:cols>
          <w:pgMar w:left="1440" w:top="1420" w:right="1440" w:bottom="174" w:gutter="0" w:footer="0" w:header="0"/>
          <w:type w:val="continuous"/>
        </w:sectPr>
      </w:pPr>
    </w:p>
    <w:bookmarkStart w:id="105" w:name="page106"/>
    <w:bookmarkEnd w:id="105"/>
    <w:p>
      <w:pPr>
        <w:ind w:firstLine="720"/>
        <w:spacing w:after="0" w:line="249" w:lineRule="auto"/>
        <w:rPr>
          <w:sz w:val="20"/>
          <w:szCs w:val="20"/>
          <w:color w:val="auto"/>
        </w:rPr>
      </w:pPr>
      <w:r>
        <w:rPr>
          <w:rFonts w:ascii="Times New Roman" w:cs="Times New Roman" w:eastAsia="Times New Roman" w:hAnsi="Times New Roman"/>
          <w:sz w:val="20"/>
          <w:szCs w:val="20"/>
          <w:color w:val="231F20"/>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Cybersecurity Governance and Responsibilities</w:t>
      </w:r>
    </w:p>
    <w:p>
      <w:pPr>
        <w:spacing w:after="0" w:line="238"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The Board recognizes that cybersecurity represents an important component of the Company’s overall enterprise risk management, or ERM. The Company seeks to mitigate cybersecurity risks through a cross-functional approach, including its Cybersecurity Committee, focused on preserving the confidentiality, security, and availability of the information that the Company collects and stores by assessing, identifying, preventing, and managing risks from cybersecurity threats and effectively responding to cybersecurity incidents when they occur.</w:t>
      </w:r>
    </w:p>
    <w:p>
      <w:pPr>
        <w:spacing w:after="0" w:line="197"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231F20"/>
        </w:rPr>
        <w:t>Our Head of Information Technology (IT) oversees overall cybersecurity management, including appropriate risk mitigation strategies, systems, processes, and controls and provides periodic, but at least annually, reports to our Board or the Audit Committee of the Board of Directors, or the Audit Committee. The IT security team has over 40 years of combined technology experience, and over 20 years of experience in safeguarding and monitoring networks and systems, responding to incidents, and reducing the risk of business exposure. The Company’s Cybersecurity Committee is comprised of information technology, finance, legal, human resources, and data privacy employees, including the Head of IT. It meets regularly, but at least annually, to review and provide oversight of the Company’s cybersecurity risks and data security programs, policies, and strategies. Pursuant to internal policies, the Head of IT will notify the Cybersecurity Committee of significant cybersecurity incidents and breaches. The Cybersecurity Committee reviews, analyzes, and responds to cybersecurity incidents and breaches. Additional responsibilities and risk mitigation strategies relate to business continuity and business resiliency capabilities.</w:t>
      </w:r>
    </w:p>
    <w:p>
      <w:pPr>
        <w:spacing w:after="0" w:line="206"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The Company’s Audit Committee has the responsibility to review and discuss with management the Company’s guidelines, policies, and governance with respect to financial risk exposures and ERM, including with respect to cybersecurity, and to report to the Board annually. The Audit Committee is also responsible for overseeing the integrity and effectiveness of the Company’s disclosure controls and procedures, which are designed to ensure that information related to cybersecurity risks and incidents is recorded, processed, summarized, and reported accurately and on a timely basis, to allow for timely decisions regarding disclosure of any such incidents. Our Audit Committee receives regular presentations and reports on cybersecurity risks from the executive management leadership team, which address recent developments, evolving standards, vulnerability assessments, third-party and independent reviews, the threat environment, technological trends, and information security considerations arising with respect to the Company’s peers and third parties. The Audit Committee is also made aware of any potential material cybersecurity incident as well as ongoing updates regarding any such incident until it has been addressed by the executive management leadership team. On an annual basis, the Board discusses the Company’s approach to cybersecurity risk management with the Audit Committee members and management (including members of the Cybersecurity Committee). Throughout the year, the Board and its committees engage with management to discuss a wide range of enterprise risks related to the Company’s businesses, including cybersecurity, and they confirm the alignment of risk assessment and mitigation with business strategy.</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104</w:t>
      </w:r>
    </w:p>
    <w:p>
      <w:pPr>
        <w:sectPr>
          <w:pgSz w:w="12240" w:h="15840" w:orient="portrait"/>
          <w:cols w:equalWidth="0" w:num="1">
            <w:col w:w="9360"/>
          </w:cols>
          <w:pgMar w:left="1440" w:top="1420" w:right="1440" w:bottom="174" w:gutter="0" w:footer="0" w:header="0"/>
          <w:type w:val="continuous"/>
        </w:sectPr>
      </w:pPr>
    </w:p>
    <w:bookmarkStart w:id="106" w:name="page107"/>
    <w:bookmarkEnd w:id="106"/>
    <w:p>
      <w:pPr>
        <w:ind w:firstLine="720"/>
        <w:spacing w:after="0" w:line="245" w:lineRule="auto"/>
        <w:rPr>
          <w:sz w:val="20"/>
          <w:szCs w:val="20"/>
          <w:color w:val="auto"/>
        </w:rPr>
      </w:pPr>
      <w:r>
        <w:rPr>
          <w:rFonts w:ascii="Times New Roman" w:cs="Times New Roman" w:eastAsia="Times New Roman" w:hAnsi="Times New Roman"/>
          <w:sz w:val="20"/>
          <w:szCs w:val="20"/>
          <w:color w:val="231F20"/>
        </w:rPr>
        <w:t>The Company regularly assesses and tests its cybersecurity policies, standards, processes, and practices, including, but not limited to, audits, tabletop exercises, threat modeling, and penetration and vulnerability testing. The Company regularly engages outside advisors and experts to anticipate future threats and trends and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Cybersecurity Committee, Audit Committee and the Board, and the Company adjusts its cybersecurity policies, standards, processes, and practices as necessary based on the information provided by these assessments, audits, and reviews.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Cybersecurity Technical Safeguards</w:t>
      </w:r>
    </w:p>
    <w:p>
      <w:pPr>
        <w:spacing w:after="0" w:line="238"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color w:val="231F20"/>
        </w:rPr>
        <w:t>The Company invests in new information and cybersecurity services and technologies. Technical safeguards designed to protect the Company’s information systems from cybersecurity threats include firewalls, continuous threat detection and response system(s), data leak prevention, enhanced email protection, antimalware functionality, and access controls, which are evaluated and improved through periodic assessments and cybersecurity threat intelligence.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Cybersecurity Incident Response and Recovery Planning</w:t>
      </w:r>
    </w:p>
    <w:p>
      <w:pPr>
        <w:spacing w:after="0" w:line="238" w:lineRule="exact"/>
        <w:rPr>
          <w:sz w:val="20"/>
          <w:szCs w:val="20"/>
          <w:color w:val="auto"/>
        </w:rPr>
      </w:pPr>
    </w:p>
    <w:p>
      <w:pPr>
        <w:ind w:right="400" w:firstLine="720"/>
        <w:spacing w:after="0" w:line="258" w:lineRule="auto"/>
        <w:rPr>
          <w:sz w:val="20"/>
          <w:szCs w:val="20"/>
          <w:color w:val="auto"/>
        </w:rPr>
      </w:pPr>
      <w:r>
        <w:rPr>
          <w:rFonts w:ascii="Times New Roman" w:cs="Times New Roman" w:eastAsia="Times New Roman" w:hAnsi="Times New Roman"/>
          <w:sz w:val="20"/>
          <w:szCs w:val="20"/>
          <w:color w:val="231F20"/>
        </w:rPr>
        <w:t>The Company has established and maintains incident response and data recovery plans that address the Company’s response to a cybersecurity incident, and plans are reviewed by the Cybersecurity Committee and members of the IT department.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Third-Party Risk Management</w:t>
      </w:r>
    </w:p>
    <w:p>
      <w:pPr>
        <w:spacing w:after="0" w:line="238" w:lineRule="exact"/>
        <w:rPr>
          <w:sz w:val="20"/>
          <w:szCs w:val="20"/>
          <w:color w:val="auto"/>
        </w:rPr>
      </w:pPr>
    </w:p>
    <w:p>
      <w:pPr>
        <w:ind w:right="240" w:firstLine="720"/>
        <w:spacing w:after="0" w:line="252" w:lineRule="auto"/>
        <w:rPr>
          <w:sz w:val="20"/>
          <w:szCs w:val="20"/>
          <w:color w:val="auto"/>
        </w:rPr>
      </w:pPr>
      <w:r>
        <w:rPr>
          <w:rFonts w:ascii="Times New Roman" w:cs="Times New Roman" w:eastAsia="Times New Roman" w:hAnsi="Times New Roman"/>
          <w:sz w:val="20"/>
          <w:szCs w:val="20"/>
          <w:color w:val="231F20"/>
        </w:rPr>
        <w:t>The Company maintains a risk-based approach to identifying and overseeing risks from cybersecurity threats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Education and Awareness</w:t>
      </w:r>
    </w:p>
    <w:p>
      <w:pPr>
        <w:spacing w:after="0" w:line="238" w:lineRule="exact"/>
        <w:rPr>
          <w:sz w:val="20"/>
          <w:szCs w:val="20"/>
          <w:color w:val="auto"/>
        </w:rPr>
      </w:pPr>
    </w:p>
    <w:p>
      <w:pPr>
        <w:jc w:val="both"/>
        <w:ind w:right="220" w:firstLine="720"/>
        <w:spacing w:after="0" w:line="258" w:lineRule="auto"/>
        <w:rPr>
          <w:sz w:val="20"/>
          <w:szCs w:val="20"/>
          <w:color w:val="auto"/>
        </w:rPr>
      </w:pPr>
      <w:r>
        <w:rPr>
          <w:rFonts w:ascii="Times New Roman" w:cs="Times New Roman" w:eastAsia="Times New Roman" w:hAnsi="Times New Roman"/>
          <w:sz w:val="20"/>
          <w:szCs w:val="20"/>
          <w:color w:val="231F20"/>
        </w:rPr>
        <w:t>The Company provides regular training for personnel regarding cybersecurity threats as a means to equip the Company’s personnel with effective tools to address cybersecurity threats and to communicate the Company’s evolving information security policies, standards, processes, and practices.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Current Cybersecurity Risk Posture</w:t>
      </w:r>
    </w:p>
    <w:p>
      <w:pPr>
        <w:spacing w:after="0" w:line="238"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231F20"/>
        </w:rPr>
        <w:t xml:space="preserve">To date, cybersecurity threats, including as a result of any previous cybersecurity incidents, have not materially affected the Company, including its business strategy, results of operations, or financial condition. However, as discussed under “Risk Factors” in Part I, Item 1A of this Annual Report on Form 10-K, cybersecurity threats pose multiple risks to us, including potentially to our results of operations and financial condition. For additional information concerning risks related to cybersecurity, see “Item 1A. Risk Factors - </w:t>
      </w:r>
      <w:r>
        <w:rPr>
          <w:rFonts w:ascii="Times New Roman" w:cs="Times New Roman" w:eastAsia="Times New Roman" w:hAnsi="Times New Roman"/>
          <w:sz w:val="20"/>
          <w:szCs w:val="20"/>
          <w:i w:val="1"/>
          <w:iCs w:val="1"/>
          <w:color w:val="231F20"/>
        </w:rPr>
        <w:t>Our business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operations would suffer in the event of system failures.</w:t>
      </w:r>
      <w:r>
        <w:rPr>
          <w:rFonts w:ascii="Times New Roman" w:cs="Times New Roman" w:eastAsia="Times New Roman" w:hAnsi="Times New Roman"/>
          <w:sz w:val="20"/>
          <w:szCs w:val="20"/>
          <w:color w:val="231F20"/>
        </w:rPr>
        <w:t>”</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105</w:t>
      </w:r>
    </w:p>
    <w:p>
      <w:pPr>
        <w:sectPr>
          <w:pgSz w:w="12240" w:h="15840" w:orient="portrait"/>
          <w:cols w:equalWidth="0" w:num="1">
            <w:col w:w="9360"/>
          </w:cols>
          <w:pgMar w:left="1440" w:top="1420" w:right="1440" w:bottom="174"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244"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On February 21, 2023, we entered into a Sublease with Advance Magazine Publishers d/b/a Conde Nast for the entirety of the twenty-second floor of One World Trade Center in New York, NY (“Sublease”). This space is utilized by the Company for its corporate and executive offices. The Sublease commenced on April 7, 2023 and was for ten (10) years. The Company had a one-time option to terminate the Sublease on its fifth anniversary upon the payment of a fee to the sublandlord.</w:t>
      </w:r>
    </w:p>
    <w:p>
      <w:pPr>
        <w:spacing w:after="0" w:line="197" w:lineRule="exact"/>
        <w:rPr>
          <w:sz w:val="20"/>
          <w:szCs w:val="20"/>
          <w:color w:val="auto"/>
        </w:rPr>
      </w:pPr>
    </w:p>
    <w:p>
      <w:pPr>
        <w:jc w:val="both"/>
        <w:ind w:right="20" w:firstLine="720"/>
        <w:spacing w:after="0" w:line="247" w:lineRule="auto"/>
        <w:rPr>
          <w:sz w:val="20"/>
          <w:szCs w:val="20"/>
          <w:color w:val="auto"/>
        </w:rPr>
      </w:pPr>
      <w:r>
        <w:rPr>
          <w:rFonts w:ascii="Times New Roman" w:cs="Times New Roman" w:eastAsia="Times New Roman" w:hAnsi="Times New Roman"/>
          <w:sz w:val="20"/>
          <w:szCs w:val="20"/>
          <w:color w:val="231F20"/>
        </w:rPr>
        <w:t>On January 17, 2025, we entered into an Amendment to our Sublease (the “First Amendment”), pursuant to which we will relinquish our existing space in One World Trade Center and commence occupancy of different space within the building. The First Amendment extends the Sublease expiration date to January 31, 2036. We now have a one-time option to terminate the Sublease effective March 30, 2031 upon the payment of a fee to the sublandlord.</w:t>
      </w:r>
    </w:p>
    <w:p>
      <w:pPr>
        <w:spacing w:after="0" w:line="1"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231F20"/>
        </w:rPr>
        <w:t>The Company is responsible for base rent under the Sublease and certain additional customary variable costs, such as an allocable portion of building taxes and operating expenses. In connection with the Sublease and First Amendment, the Company received certain rent and work concessions from the sublandlord.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244"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20"/>
          <w:szCs w:val="20"/>
          <w:color w:val="231F20"/>
        </w:rPr>
        <w:t>Except as described in Note 10. Commitments and Contingencies,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Not applicable.</w:t>
      </w:r>
    </w:p>
    <w:p>
      <w:pPr>
        <w:sectPr>
          <w:pgSz w:w="12240" w:h="15840" w:orient="portrait"/>
          <w:cols w:equalWidth="0" w:num="1">
            <w:col w:w="9360"/>
          </w:cols>
          <w:pgMar w:left="1440" w:top="1416"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106</w:t>
      </w:r>
    </w:p>
    <w:p>
      <w:pPr>
        <w:sectPr>
          <w:pgSz w:w="12240" w:h="15840" w:orient="portrait"/>
          <w:cols w:equalWidth="0" w:num="1">
            <w:col w:w="9360"/>
          </w:cols>
          <w:pgMar w:left="1440" w:top="1416" w:right="1440" w:bottom="174"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4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Market Information</w:t>
      </w:r>
    </w:p>
    <w:p>
      <w:pPr>
        <w:spacing w:after="0" w:line="240"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231F20"/>
        </w:rPr>
        <w:t>Our common stock has been listed on The Nasdaq Global Market since March 3, 2017, under the symbol “AXSM.” Prior to that, our common stock was listed on The Nasdaq Capital Market since November 19, 2015, under the symbol “AXSM.” Prior to our initial public offering, there was no public market for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Common Stock Performance Graph</w:t>
      </w:r>
    </w:p>
    <w:p>
      <w:pPr>
        <w:spacing w:after="0" w:line="240" w:lineRule="exact"/>
        <w:rPr>
          <w:sz w:val="20"/>
          <w:szCs w:val="20"/>
          <w:color w:val="auto"/>
        </w:rPr>
      </w:pPr>
    </w:p>
    <w:p>
      <w:pPr>
        <w:ind w:right="340" w:firstLine="720"/>
        <w:spacing w:after="0" w:line="252" w:lineRule="auto"/>
        <w:rPr>
          <w:sz w:val="20"/>
          <w:szCs w:val="20"/>
          <w:color w:val="auto"/>
        </w:rPr>
      </w:pPr>
      <w:r>
        <w:rPr>
          <w:rFonts w:ascii="Times New Roman" w:cs="Times New Roman" w:eastAsia="Times New Roman" w:hAnsi="Times New Roman"/>
          <w:sz w:val="20"/>
          <w:szCs w:val="20"/>
          <w:color w:val="231F20"/>
        </w:rPr>
        <w:t>The graph below matches AXSOME Therapeutics, Inc.’s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12/31/2020 to 12/31/2025.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5943600" cy="4933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5943600" cy="4933950"/>
                    </a:xfrm>
                    <a:prstGeom prst="rect">
                      <a:avLst/>
                    </a:prstGeom>
                    <a:noFill/>
                  </pic:spPr>
                </pic:pic>
              </a:graphicData>
            </a:graphic>
          </wp:anchor>
        </w:drawing>
      </w:r>
    </w:p>
    <w:p>
      <w:pPr>
        <w:sectPr>
          <w:pgSz w:w="12240" w:h="15840" w:orient="portrait"/>
          <w:cols w:equalWidth="0" w:num="1">
            <w:col w:w="9360"/>
          </w:cols>
          <w:pgMar w:left="1440" w:top="1416"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107</w:t>
      </w:r>
    </w:p>
    <w:p>
      <w:pPr>
        <w:sectPr>
          <w:pgSz w:w="12240" w:h="15840" w:orient="portrait"/>
          <w:cols w:equalWidth="0" w:num="1">
            <w:col w:w="9360"/>
          </w:cols>
          <w:pgMar w:left="1440" w:top="1416" w:right="1440" w:bottom="174"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i w:val="1"/>
          <w:iCs w:val="1"/>
          <w:color w:val="231F20"/>
        </w:rPr>
        <w:t>Holders</w:t>
      </w:r>
    </w:p>
    <w:p>
      <w:pPr>
        <w:spacing w:after="0" w:line="24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The number of record holders of our common stock as of February 16, 2026, was 5. This number of holders of record does not reflect the beneficial holders of our common stock who hold shares in street name through brokerage accounts or other nominees. This number of holders of record also does not include stockholders whose shares may be held in trust by other entities. The actual number of holders of our common stock is therefore greater than this number of record 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Dividends</w:t>
      </w:r>
    </w:p>
    <w:p>
      <w:pPr>
        <w:spacing w:after="0" w:line="240"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231F20"/>
        </w:rPr>
        <w:t>We have never declared or paid any cash dividends on our common stock and do not anticipate paying any cash dividends in the foreseeable future. Any future determination to pay dividends will be at the discretion of our Board, subject to applicable laws, and will depend on a number of factors, including our financial condition, results of operations, capital requirements, contractual restrictions, general business conditions, and any other factors that our Board may deem relevant. In addition, the Blackstone Loan Agreement contains restrictive covenants that prohibit us from declaring or paying any dividends or making any other distributions on our common stock, except as may be expressly permitted under the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108</w:t>
      </w:r>
    </w:p>
    <w:p>
      <w:pPr>
        <w:sectPr>
          <w:pgSz w:w="12240" w:h="15840" w:orient="portrait"/>
          <w:cols w:equalWidth="0" w:num="1">
            <w:col w:w="9360"/>
          </w:cols>
          <w:pgMar w:left="1440" w:top="1420" w:right="1440" w:bottom="174" w:gutter="0" w:footer="0" w:header="0"/>
          <w:type w:val="continuous"/>
        </w:sectPr>
      </w:pPr>
    </w:p>
    <w:bookmarkStart w:id="110" w:name="page111"/>
    <w:bookmarkEnd w:id="110"/>
    <w:p>
      <w:pPr>
        <w:ind w:right="840"/>
        <w:spacing w:after="0" w:line="286" w:lineRule="auto"/>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56" w:lineRule="exact"/>
        <w:rPr>
          <w:sz w:val="20"/>
          <w:szCs w:val="20"/>
          <w:color w:val="auto"/>
        </w:rPr>
      </w:pPr>
    </w:p>
    <w:p>
      <w:pPr>
        <w:ind w:right="20" w:firstLine="720"/>
        <w:spacing w:after="0" w:line="268" w:lineRule="auto"/>
        <w:rPr>
          <w:sz w:val="20"/>
          <w:szCs w:val="20"/>
          <w:color w:val="auto"/>
        </w:rPr>
      </w:pPr>
      <w:r>
        <w:rPr>
          <w:rFonts w:ascii="Times New Roman" w:cs="Times New Roman" w:eastAsia="Times New Roman" w:hAnsi="Times New Roman"/>
          <w:sz w:val="19"/>
          <w:szCs w:val="19"/>
          <w:color w:val="231F20"/>
        </w:rPr>
        <w:t>The following discussion and analysis contain forward-looking statements about our plans and expectations of what may happen in the future. You should read the following discussion and analysis in conjunction with “Item</w:t>
      </w:r>
    </w:p>
    <w:p>
      <w:pPr>
        <w:ind w:right="100"/>
        <w:spacing w:after="0" w:line="241" w:lineRule="auto"/>
        <w:tabs>
          <w:tab w:leader="none" w:pos="20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Statements and Supplementary Data,” and our consolidated financial statements beginning on page F-1 of this report.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244"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We are a biopharmaceutical company dedicated to the development and commercialization of innovative medicines for people impacted by central nervous system (CNS) conditions. We deliver scientific breakthroughs by identifying critical gaps in care and developing differentiated medicines with a focus on novel mechanisms of action that have the potential to transform patient outcomes.</w:t>
      </w:r>
    </w:p>
    <w:p>
      <w:pPr>
        <w:spacing w:after="0" w:line="19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Our broad commercial portfolio is comprised of AUVELITY, SUNOSI, and SYMBRAVO. AUVELITY is the first and only oral NMDA receptor antagonist approved by the FDA for the treatment of MDD in adults, which we are further developing in additional psychiatric conditions, including Alzheimer’s disease agitation. SUNOSI is the first and only DNRI approved by the FDA for the treatment of excessive daytime sleepiness associated with obstructive sleep apnea and narcolepsy, for which we also receive royalty revenue associated with sales in out-licensed territories. SYMBRAVO is approved by the FDA for the acute treatment of migraine in adults with or without aura, which we recently launched in the U.S. We are also advancing a pipeline of novel product candidates addressing a broad range of serious neurological and psychiatric conditions, including narcolepsy, fibromyalgia, and ADHD. Refer to Part I, Item 1. “Business” for a summary of our marketed products and clinical development programs.</w:t>
      </w:r>
    </w:p>
    <w:p>
      <w:pPr>
        <w:spacing w:after="0" w:line="202"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Since our incorporation in January 2012, our operations to date have included organizing and staffing our company, business planning, raising capital, developing our compounds, engaging in other discovery and preclinical activities, the commercial launches of AUVELITY and SUNOSI, and preparatory activities for the launch of SYMBRAVO. Subsequent to our IPO, we financed our operations primarily through proceeds from sales of our common stock to equity investors and debt borrowings. For a further discussion, see the section entitled “Liquidity and Capital Resources” below.</w:t>
      </w:r>
    </w:p>
    <w:p>
      <w:pPr>
        <w:spacing w:after="0" w:line="200" w:lineRule="exact"/>
        <w:rPr>
          <w:sz w:val="20"/>
          <w:szCs w:val="20"/>
          <w:color w:val="auto"/>
        </w:rPr>
      </w:pPr>
    </w:p>
    <w:p>
      <w:pPr>
        <w:ind w:right="360" w:firstLine="720"/>
        <w:spacing w:after="0" w:line="258" w:lineRule="auto"/>
        <w:rPr>
          <w:sz w:val="20"/>
          <w:szCs w:val="20"/>
          <w:color w:val="auto"/>
        </w:rPr>
      </w:pPr>
      <w:r>
        <w:rPr>
          <w:rFonts w:ascii="Times New Roman" w:cs="Times New Roman" w:eastAsia="Times New Roman" w:hAnsi="Times New Roman"/>
          <w:sz w:val="20"/>
          <w:szCs w:val="20"/>
          <w:color w:val="231F20"/>
        </w:rPr>
        <w:t>Our ability to become profitable depends on our ability to generate revenue. We have recently begun commercial sales of AUVELITY and SUNOSI, and we launched SYMBRAVO, but we have limited experience with commercializing these, or any, products.</w:t>
      </w:r>
    </w:p>
    <w:p>
      <w:pPr>
        <w:spacing w:after="0" w:line="18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We have incurred significant operating and net losses since inception. We incurred net losses of $183.2 million and $287.2 million for the years ended December 31, 2025 and 2024, respectively. Our accumulated deficit as of December 31, 2025 was $1,306.0 million, and we expect to incur significant expenses and continuing operating losses.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ectPr>
          <w:pgSz w:w="12240" w:h="15840" w:orient="portrait"/>
          <w:cols w:equalWidth="0" w:num="1">
            <w:col w:w="9360"/>
          </w:cols>
          <w:pgMar w:left="1440" w:top="1416"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109</w:t>
      </w:r>
    </w:p>
    <w:p>
      <w:pPr>
        <w:sectPr>
          <w:pgSz w:w="12240" w:h="15840" w:orient="portrait"/>
          <w:cols w:equalWidth="0" w:num="1">
            <w:col w:w="9360"/>
          </w:cols>
          <w:pgMar w:left="1440" w:top="1416" w:right="1440" w:bottom="174"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231F20"/>
        </w:rPr>
        <w:t>Financial Overview</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40"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color w:val="231F20"/>
        </w:rPr>
        <w:t>We generated total revenues of $638.5 million and $385.7 million for the years ended December 31, 2025 and 2024, respectively.</w:t>
      </w:r>
    </w:p>
    <w:p>
      <w:pPr>
        <w:spacing w:after="0" w:line="169"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19"/>
          <w:szCs w:val="19"/>
          <w:color w:val="231F20"/>
        </w:rPr>
        <w:t>We expect that AUVELITY, SUNOSI, and SYMBRAVO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187"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231F20"/>
        </w:rPr>
        <w:t>Additionally, in the fourth quarter of 2024, we recorded a milestone revenue of $0.5 million related to an achievement of a regulatory milestone in China for SUNOSI from SK. In the first quarter of 2023, we recorded license revenue of $65.7 million related to the Pharmanovia License Agreement (as defined below). See below for more detail.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License Agreement with Pharmanovia</w:t>
      </w:r>
    </w:p>
    <w:p>
      <w:pPr>
        <w:spacing w:after="0" w:line="238"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231F20"/>
        </w:rPr>
        <w:t>In February 2023, we entered into the Pharmanovia License Agreement with Pharmanovia to commercialize and further develop SUNOSI in the Territory. Pharmanovia is a UK-based global life cycle management healthcare company that focuses on four core therapeutic areas – Oncology, Endocrinology, Neurology and Cardiovascular.</w:t>
      </w:r>
    </w:p>
    <w:p>
      <w:pPr>
        <w:spacing w:after="0" w:line="194"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231F20"/>
        </w:rPr>
        <w:t>We received an upfront payment of €62.0 million ($65.7 million) during the first quarter of 2023 and are eligible to receive sales-based and other milestone payments totaling up to €94.5 million. We will receive a royalty percentage in the mid-twenties on net sales of the Licensed Products (as defined in the Pharmanovia License Agreement) in the Territory. We recognized royalty revenue of $4.7 million and $3.5 million for the years ended December 31, 2025 and 2024, respectively, related to Pharmanovia’s sales of SUNOSI.</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w:t>
      </w:r>
    </w:p>
    <w:p>
      <w:pPr>
        <w:spacing w:after="0" w:line="24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Cost of revenue includes direct costs of formulating, manufacturing, and packaging drug product, overhead costs consisting of labor, customs, stock-based compensation, shipping, outside inventory management, royalty expense, and other miscellaneous operating costs. In the fourth quarter of 2024, we recorded a $ 2.5 million expense for the achievement of a sales-based milestone related to world-wide SUNOSI sales. In the first quarter of 2023, we recorded a $5.0 million license sharing expense related to the upfront license revenue received.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240" w:lineRule="exact"/>
        <w:rPr>
          <w:sz w:val="20"/>
          <w:szCs w:val="20"/>
          <w:color w:val="auto"/>
        </w:rPr>
      </w:pPr>
    </w:p>
    <w:p>
      <w:pPr>
        <w:ind w:right="240" w:firstLine="720"/>
        <w:spacing w:after="0" w:line="247" w:lineRule="auto"/>
        <w:rPr>
          <w:sz w:val="20"/>
          <w:szCs w:val="20"/>
          <w:color w:val="auto"/>
        </w:rPr>
      </w:pPr>
      <w:r>
        <w:rPr>
          <w:rFonts w:ascii="Times New Roman" w:cs="Times New Roman" w:eastAsia="Times New Roman" w:hAnsi="Times New Roman"/>
          <w:sz w:val="20"/>
          <w:szCs w:val="20"/>
          <w:color w:val="231F20"/>
        </w:rPr>
        <w:t>Research and development expenses primarily include preclinical studies, clinical trials, manufacturing costs, employee-related expenses including salaries, benefits, travel, and stock based compensation expense, contract services, including external research and development expenses incurred under arrangements with third parties, such as contract research organizations, or CROs, facilities costs, overhead costs, depreciation, and other related costs. In addition, research and development costs also include costs related to asset acquisitions involving clinical development programs that have not yet received regulatory approval.</w:t>
      </w:r>
    </w:p>
    <w:p>
      <w:pPr>
        <w:sectPr>
          <w:pgSz w:w="12240" w:h="15840" w:orient="portrait"/>
          <w:cols w:equalWidth="0" w:num="1">
            <w:col w:w="9360"/>
          </w:cols>
          <w:pgMar w:left="1440" w:top="1416"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110</w:t>
      </w:r>
    </w:p>
    <w:p>
      <w:pPr>
        <w:sectPr>
          <w:pgSz w:w="12240" w:h="15840" w:orient="portrait"/>
          <w:cols w:equalWidth="0" w:num="1">
            <w:col w:w="9360"/>
          </w:cols>
          <w:pgMar w:left="1440" w:top="1416" w:right="1440" w:bottom="174" w:gutter="0" w:footer="0" w:header="0"/>
          <w:type w:val="continuous"/>
        </w:sectPr>
      </w:pPr>
    </w:p>
    <w:bookmarkStart w:id="112" w:name="page113"/>
    <w:bookmarkEnd w:id="112"/>
    <w:p>
      <w:pPr>
        <w:ind w:right="160" w:firstLine="720"/>
        <w:spacing w:after="0" w:line="243" w:lineRule="auto"/>
        <w:rPr>
          <w:sz w:val="20"/>
          <w:szCs w:val="20"/>
          <w:color w:val="auto"/>
        </w:rPr>
      </w:pPr>
      <w:r>
        <w:rPr>
          <w:rFonts w:ascii="Times New Roman" w:cs="Times New Roman" w:eastAsia="Times New Roman" w:hAnsi="Times New Roman"/>
          <w:sz w:val="20"/>
          <w:szCs w:val="20"/>
          <w:color w:val="231F20"/>
        </w:rPr>
        <w:t>Research and development activities are central to our business model. We have and will incur substantial costs beyond our present and planned clinical trials in order to file an NDA for any of our product candidates. It is difficult to determine with certainty the costs and duration of our current or future clinical trials and preclinical studies, or to what extent we will generate revenue from the commercialization and sale of AUVELITY, SUNOSI, and SYMBRAVO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 expenses</w:t>
      </w:r>
    </w:p>
    <w:p>
      <w:pPr>
        <w:spacing w:after="0" w:line="24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Selling, general and administrative expenses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expense, net</w:t>
      </w:r>
    </w:p>
    <w:p>
      <w:pPr>
        <w:spacing w:after="0" w:line="240"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231F20"/>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 and cash equivalents.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Intangible asset amortization</w:t>
      </w:r>
    </w:p>
    <w:p>
      <w:pPr>
        <w:spacing w:after="0" w:line="240"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231F20"/>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life or that indicate the asset may be impaired.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Fair value in contingent consideration</w:t>
      </w:r>
    </w:p>
    <w:p>
      <w:pPr>
        <w:spacing w:after="0" w:line="240"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231F20"/>
        </w:rPr>
        <w:t>Consideration paid in a business combination may include potential future payments that are contingent upon the acquired business achieving certain milestones in the future (“contingent consideration”). The royalty payments due to Jazz are a high single-digit royalty on our U.S. net sales of SUNOSI in the current indication and a mid single-digit royalty on our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We estimate the fair value of the contingent consideration as of the acquisition date and reporting periods thereafter using the estimated future cash outflows based on future sales.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111</w:t>
      </w:r>
    </w:p>
    <w:p>
      <w:pPr>
        <w:sectPr>
          <w:pgSz w:w="12240" w:h="15840" w:orient="portrait"/>
          <w:cols w:equalWidth="0" w:num="1">
            <w:col w:w="9360"/>
          </w:cols>
          <w:pgMar w:left="1440" w:top="1420" w:right="1440" w:bottom="174"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Significant Judgments and Estimates</w:t>
      </w:r>
    </w:p>
    <w:p>
      <w:pPr>
        <w:spacing w:after="0" w:line="244"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231F20"/>
        </w:rPr>
        <w:t>This discussion and analysis of our financial condition and results of operations is based on our consolidated financial statements, which have been prepared in accordance with generally accepted accounting principles in the United States of America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202"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231F20"/>
        </w:rPr>
        <w:t>Management considers many factors in developing the estimates and assumptions that are used in the preparation of our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206"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231F20"/>
        </w:rPr>
        <w:t>While our significant accounting policies are more fully described in Note 2 to our audited consolidated financial statements appearing elsewhere in this report, we believe the following accounting policies are critical to the judgments and estimates we use in the preparation of our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24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Revenues from product sales are recorded at the net sales price, which includes estimates of variable consideration that result from: invoice discounts for prompt payment and distribution service fees, government rebates, PBMs and Managed Care Organization rebates, chargebacks, discounts and fees, product returns and costs of co-pay assistance programs for patients. Reserves are established for the estimates of variable consideration based on the amounts earned or to be claimed on the related sales. The reserves are classified as reductions to Accounts receivable, net or accrued expenses and other current liabilities. Our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our best estimate of the amount of consideration to which we are entitled to based on the terms of the contracts.</w:t>
      </w:r>
    </w:p>
    <w:p>
      <w:pPr>
        <w:spacing w:after="0" w:line="202"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We make significant estimates and judgments that materially affect our recognition of net product revenue. Claims by third parties for rebates, chargebacks and discounts frequently are submitted to us significantly after the related sales, potentially resulting in adjustments in the period in which the new information becomes known. Rebates apply to: Medicaid, managed care, and supplemental rebates to all applicable states as defined by the statutory government 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PBMs and Managed Care Organizations. Rebates are paid to these entities upon receipt of an invoice from the contracted entity, which is based on the utilization of the product by the members of the contracted entity We estimate these rebates and records such estimates in the same period the related product sales is recognized, resulting in a reduction to product sales as well as a component of accrued expenses and other current liabilities. We will adjust our estimates based on new information, including information regarding actual rebates, chargebacks and discounts for our products, as it becomes available.</w:t>
      </w:r>
    </w:p>
    <w:p>
      <w:pPr>
        <w:sectPr>
          <w:pgSz w:w="12240" w:h="15840" w:orient="portrait"/>
          <w:cols w:equalWidth="0" w:num="1">
            <w:col w:w="9360"/>
          </w:cols>
          <w:pgMar w:left="1440" w:top="1416"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112</w:t>
      </w:r>
    </w:p>
    <w:p>
      <w:pPr>
        <w:sectPr>
          <w:pgSz w:w="12240" w:h="15840" w:orient="portrait"/>
          <w:cols w:equalWidth="0" w:num="1">
            <w:col w:w="9360"/>
          </w:cols>
          <w:pgMar w:left="1440" w:top="1416" w:right="1440" w:bottom="174"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i w:val="1"/>
          <w:iCs w:val="1"/>
          <w:color w:val="231F20"/>
        </w:rPr>
        <w:t>License revenue</w:t>
      </w:r>
    </w:p>
    <w:p>
      <w:pPr>
        <w:spacing w:after="0" w:line="240" w:lineRule="exact"/>
        <w:rPr>
          <w:sz w:val="20"/>
          <w:szCs w:val="20"/>
          <w:color w:val="auto"/>
        </w:rPr>
      </w:pPr>
    </w:p>
    <w:p>
      <w:pPr>
        <w:ind w:right="280" w:firstLine="720"/>
        <w:spacing w:after="0" w:line="252" w:lineRule="auto"/>
        <w:rPr>
          <w:sz w:val="20"/>
          <w:szCs w:val="20"/>
          <w:color w:val="auto"/>
        </w:rPr>
      </w:pPr>
      <w:r>
        <w:rPr>
          <w:rFonts w:ascii="Times New Roman" w:cs="Times New Roman" w:eastAsia="Times New Roman" w:hAnsi="Times New Roman"/>
          <w:sz w:val="20"/>
          <w:szCs w:val="20"/>
          <w:color w:val="231F20"/>
        </w:rPr>
        <w:t>We generate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94"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231F20"/>
        </w:rPr>
        <w:t>If a license to the intellectual property is determined to be distinct from the other performance obligations identified in the arrangement, we recognize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206" w:lineRule="exact"/>
        <w:rPr>
          <w:sz w:val="20"/>
          <w:szCs w:val="20"/>
          <w:color w:val="auto"/>
        </w:rPr>
      </w:pPr>
    </w:p>
    <w:p>
      <w:pPr>
        <w:ind w:right="180" w:firstLine="720"/>
        <w:spacing w:after="0" w:line="244" w:lineRule="auto"/>
        <w:rPr>
          <w:sz w:val="20"/>
          <w:szCs w:val="20"/>
          <w:color w:val="auto"/>
        </w:rPr>
      </w:pPr>
      <w:r>
        <w:rPr>
          <w:rFonts w:ascii="Times New Roman" w:cs="Times New Roman" w:eastAsia="Times New Roman" w:hAnsi="Times New Roman"/>
          <w:sz w:val="20"/>
          <w:szCs w:val="20"/>
          <w:color w:val="231F20"/>
        </w:rPr>
        <w:t>Contingent milestones at contract inception are estimated to the extent that it is probable that a significant revenue reversal would not occur and included in the transaction price using the most likely amount method. Milestone payments that are not within our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achieving development or sales-based milestone payments that a significant revenue reversal would not occur and, if necessary, adjust the estimate of the overall transaction price. Any such adjustments are recorded on a cumulative catch-up basis, which would affect license and other revenue, as well as earnings, in the period of adjustment.</w:t>
      </w:r>
    </w:p>
    <w:p>
      <w:pPr>
        <w:spacing w:after="0" w:line="202"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231F20"/>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Acquisitions</w:t>
      </w:r>
    </w:p>
    <w:p>
      <w:pPr>
        <w:spacing w:after="0" w:line="240"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To determine whether acquisitions should be accounted for as an acquisition of a business or as an acquisition of an asset, we make certain judgments, which include evaluating whether the acquired set of activities and assets would meet the definition of a business. If, based upon our evaluation, we determine that the inputs, processes, and outputs associated with the acquired set of activities and assets in a transaction include an input and a substantive process that together significantly contribute to the ability to create outputs, the transaction is treated as an acquisition of a business. If we determine that substantially all of the fair value of assets acquired in a transaction is concentrated in a single asset or a group of similar assets, the transaction is treated as an acquisition of assets.</w:t>
      </w:r>
    </w:p>
    <w:p>
      <w:pPr>
        <w:spacing w:after="0" w:line="200"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An acquisition of a business is accounted for under the acquisition method of accounting, which requires that assets acquired and liabilities assumed be recorded at their fair values as of the acquisition date. Significant judgments and estimates are used in determining the fair value of assets acquired and liabilities assumed. The fair values of identifiable intangible assets related to currently marketed products are determined by using an income approach, through which fair value is estimated based on each asset’s discounted projected net cash flows. Inputs used in the projected cash flows include historical and projected pricing, the underlying asset patent life, our ability to manufacture and commercialize the asset, the ability to obtain regulatory approvals and the extent and timing of potential new product introductions by competitors in the marketplace. An acquisition of a business also can include the potential for future payment of consideration that is contingent upon the achievement of certain milestones, including royalty payments on future product sales. The fair value of contingent consideration liabilities is determined at the acquisition date using unobservable inputs. Consideration in excess over the fair value of net assets acquired is recorded as goodwill.</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113</w:t>
      </w:r>
    </w:p>
    <w:p>
      <w:pPr>
        <w:sectPr>
          <w:pgSz w:w="12240" w:h="15840" w:orient="portrait"/>
          <w:cols w:equalWidth="0" w:num="1">
            <w:col w:w="9360"/>
          </w:cols>
          <w:pgMar w:left="1440" w:top="1420" w:right="1440" w:bottom="174" w:gutter="0" w:footer="0" w:header="0"/>
          <w:type w:val="continuous"/>
        </w:sectPr>
      </w:pPr>
    </w:p>
    <w:bookmarkStart w:id="115" w:name="page116"/>
    <w:bookmarkEnd w:id="115"/>
    <w:p>
      <w:pPr>
        <w:ind w:right="200" w:firstLine="720"/>
        <w:spacing w:after="0" w:line="247" w:lineRule="auto"/>
        <w:rPr>
          <w:sz w:val="20"/>
          <w:szCs w:val="20"/>
          <w:color w:val="auto"/>
        </w:rPr>
      </w:pPr>
      <w:r>
        <w:rPr>
          <w:rFonts w:ascii="Times New Roman" w:cs="Times New Roman" w:eastAsia="Times New Roman" w:hAnsi="Times New Roman"/>
          <w:sz w:val="20"/>
          <w:szCs w:val="20"/>
          <w:color w:val="231F20"/>
        </w:rPr>
        <w:t>If the acquired set of activities and assets does not meet the definition of a business, the acquisition is treated as an acquisition of an asset. In an acquisition of an asset, in-process research and development (IPR&amp;D) projects are recorded as research and development expense at the acquisition date unless there is an alternative future use, no goodwill is recorded, and contingent consideration relating to development, regulatory and commercial milestones are not recognized at the acquisition date and instead are recorded when it is probable they will occur and can be reasonably estimated.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Research and development expenses</w:t>
      </w:r>
    </w:p>
    <w:p>
      <w:pPr>
        <w:spacing w:after="0" w:line="24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Research and development costs are expensed as incurred. Research and development expenses consist primarily of personnel costs for our research and development employees,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reviewing contracts, vendor agreements,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w:t>
      </w:r>
    </w:p>
    <w:p>
      <w:pPr>
        <w:spacing w:after="0" w:line="24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Goodwill is deemed to have an indefinite life and therefore not amortized. We test the carrying amounts of goodwill for recoverability on an annual basis or more frequently if events or changes in circumstances indicate that the asset might be impaired. When reviewing goodwill for impairment, we first evaluate the qualitative factors to determine whether it is more likely than not that the fair value of a reporting unit is less than its carrying amount. The qualitative assessment involves consideration of factors including macroeconomic conditions, conditions specific to the industry, external cost factors that could have a significant effect on earnings or cash flows, all of which requires significant judgment.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our consolidated statements of operations. As of December 31, 2025, we determined that we have one reporting unit. We have not identified any events or changes in circumstances that indicate the existence of potential impairment of goodwill during the year ended December 31,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Intangible asset</w:t>
      </w:r>
    </w:p>
    <w:p>
      <w:pPr>
        <w:spacing w:after="0" w:line="24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lives or that indicate the asset may be impaired. When impairment indicators are present, we assess the undiscounted projected cash flow for the asset and compare this estimated amount to carrying amount. If the carrying amount is greater, we record an impairment loss for the amount equal to the excess carrying amount over fair value. Due to the nature of estimating project cash flows for an asset, there is significant judgment involved in determining the fair value of an intangible asset. We have not identified any events or changes in circumstances that indicate the existence of potential impairment of the intangible asset during the year ended December 31, 2025.</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114</w:t>
      </w:r>
    </w:p>
    <w:p>
      <w:pPr>
        <w:sectPr>
          <w:pgSz w:w="12240" w:h="15840" w:orient="portrait"/>
          <w:cols w:equalWidth="0" w:num="1">
            <w:col w:w="9360"/>
          </w:cols>
          <w:pgMar w:left="1440" w:top="1420" w:right="1440" w:bottom="174"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i w:val="1"/>
          <w:iCs w:val="1"/>
          <w:color w:val="231F20"/>
        </w:rPr>
        <w:t>Contingent consideration</w:t>
      </w:r>
    </w:p>
    <w:p>
      <w:pPr>
        <w:spacing w:after="0" w:line="24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Consideration paid in a business combination may include contingent consideration. In connection with the Acquisition, we have obligations to make royalty payments to Jazz in the high single-digits on our U.S. net sales of SUNOSI in the current indication and a mid single-digit royalty on our U.S. net sales of SUNOSI for future indications. We estimate fair value of contingent consideration liabilities using the probability weighted income approach as of the date of acquisition, with subsequent changes in fair value recorded in the consolidated statements of operations during such period a change is recognized. During each reporting period, significant assumptions are required in determining fair value, including estimating the future sales of SUNOSI in current and future indications, timing of regulatory and commercial milestone achievements, probability of technical and regulatory success rates, and discount rates. Significant judgment is used in assessing the appropriateness of these assumptions as one or more may involve inputs that are not observable in the market. Accordingly, changes in the assumptions may have a material impact on the change in fair value of contingent consideration liabilities recorded in any given period.</w:t>
      </w:r>
    </w:p>
    <w:p>
      <w:pPr>
        <w:spacing w:after="0" w:line="209"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The fair value measurement of the contingent consideration is sensitive to the change in discount rates. As of December 31, 2025, if the discount rate increases or decreases by approximately 1%, the fair value of the contingent consideration would range from $79.5 million to $89.5 million. As of December 31, 2025, if the revenue discount rate increases or decreases by approximately 1%, the fair value of the contingent consideration would range from $80.6 million to $88.3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240"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231F20"/>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202"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December 31, 2025, we recognized gross uncertain tax positions which have been recognized as a reduction to deferred tax assets.</w:t>
      </w:r>
    </w:p>
    <w:p>
      <w:pPr>
        <w:spacing w:after="0" w:line="197"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As of December 31, 2025, we had U.S. federal net operating loss carryforwards of approximately $577.9 million and foreign NOL carryforwards of $281.3 million. U.S. federal NOLs amounting to $59.8 million generated before the 2018 tax year will start expiring beginning 2032, and the NOLs of approximately $518.1 million generated in 2018 and later have an indefinite carryforward period.</w:t>
      </w:r>
    </w:p>
    <w:p>
      <w:pPr>
        <w:spacing w:after="0" w:line="194" w:lineRule="exact"/>
        <w:rPr>
          <w:sz w:val="20"/>
          <w:szCs w:val="20"/>
          <w:color w:val="auto"/>
        </w:rPr>
      </w:pPr>
    </w:p>
    <w:p>
      <w:pPr>
        <w:ind w:right="400" w:firstLine="720"/>
        <w:spacing w:after="0" w:line="252" w:lineRule="auto"/>
        <w:rPr>
          <w:sz w:val="20"/>
          <w:szCs w:val="20"/>
          <w:color w:val="auto"/>
        </w:rPr>
      </w:pPr>
      <w:r>
        <w:rPr>
          <w:rFonts w:ascii="Times New Roman" w:cs="Times New Roman" w:eastAsia="Times New Roman" w:hAnsi="Times New Roman"/>
          <w:sz w:val="20"/>
          <w:szCs w:val="20"/>
          <w:color w:val="231F20"/>
        </w:rPr>
        <w:t>Utilization of the NOLs may be subject to a substantial annual limitation due to ownership change limitations provided by the Internal Revenue Code of 1986, as amended. The annual limitation for net operating losses incurred before the 2018 tax year may result in expiration before we can use them. We have recorded a valuation allowance against substantially all of our deferred tax assets.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115</w:t>
      </w:r>
    </w:p>
    <w:p>
      <w:pPr>
        <w:sectPr>
          <w:pgSz w:w="12240" w:h="15840" w:orient="portrait"/>
          <w:cols w:equalWidth="0" w:num="1">
            <w:col w:w="9360"/>
          </w:cols>
          <w:pgMar w:left="1440" w:top="1420" w:right="1440" w:bottom="174" w:gutter="0" w:footer="0" w:header="0"/>
          <w:type w:val="continuous"/>
        </w:sectPr>
      </w:pPr>
    </w:p>
    <w:bookmarkStart w:id="117" w:name="page118"/>
    <w:bookmarkEnd w:id="117"/>
    <w:p>
      <w:pPr>
        <w:spacing w:after="0" w:line="230" w:lineRule="exact"/>
        <w:rPr>
          <w:sz w:val="20"/>
          <w:szCs w:val="20"/>
          <w:color w:val="auto"/>
        </w:rPr>
      </w:pPr>
      <w:r>
        <w:rPr>
          <w:rFonts w:ascii="Times New Roman" w:cs="Times New Roman" w:eastAsia="Times New Roman" w:hAnsi="Times New Roman"/>
          <w:sz w:val="20"/>
          <w:szCs w:val="20"/>
          <w:b w:val="1"/>
          <w:bCs w:val="1"/>
          <w:i w:val="1"/>
          <w:iCs w:val="1"/>
          <w:color w:val="231F20"/>
        </w:rPr>
        <w:t>Stock</w:t>
      </w:r>
      <w:r>
        <w:rPr>
          <w:rFonts w:ascii="MS Gothic" w:cs="MS Gothic" w:eastAsia="MS Gothic" w:hAnsi="MS Gothic"/>
          <w:sz w:val="20"/>
          <w:szCs w:val="20"/>
          <w:b w:val="1"/>
          <w:bCs w:val="1"/>
          <w:i w:val="1"/>
          <w:iCs w:val="1"/>
          <w:color w:val="231F20"/>
        </w:rPr>
        <w:t>‑</w:t>
      </w:r>
      <w:r>
        <w:rPr>
          <w:rFonts w:ascii="Times New Roman" w:cs="Times New Roman" w:eastAsia="Times New Roman" w:hAnsi="Times New Roman"/>
          <w:sz w:val="20"/>
          <w:szCs w:val="20"/>
          <w:b w:val="1"/>
          <w:bCs w:val="1"/>
          <w:i w:val="1"/>
          <w:iCs w:val="1"/>
          <w:color w:val="231F20"/>
        </w:rPr>
        <w:t>based compensation</w:t>
      </w:r>
    </w:p>
    <w:p>
      <w:pPr>
        <w:spacing w:after="0" w:line="255"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For issued stock options, we estimate the grant date fair value of each option using the Black-Scholes option pricing model. The Black-Scholes model requires management to make assumptions, including expected volatility of our common stock, the risk-free interest rate, the expected term of the option, the fair value of our common stock, expected dividend yield, and the exercise price. Certain assumptions utilized in the Black-Scholes calculation involve a number of variables, uncertainties, and application of management judgment that are inherently subjective. Significant changes in these assumptions can materially affect the fair value and ultimately the amount of stock-based compensation expense that is recognized.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Comparison of the Years Ended December 31, 2025 and 2024</w:t>
      </w:r>
    </w:p>
    <w:p>
      <w:pPr>
        <w:spacing w:after="0" w:line="24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our results of operations for the years ended December 31, 2025 and 2024 (in thousands, except share and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0" w:type="dxa"/>
            <w:vAlign w:val="bottom"/>
          </w:tcPr>
          <w:p>
            <w:pPr>
              <w:spacing w:after="0"/>
              <w:rPr>
                <w:sz w:val="1"/>
                <w:szCs w:val="1"/>
                <w:color w:val="auto"/>
              </w:rPr>
            </w:pPr>
          </w:p>
        </w:tc>
      </w:tr>
      <w:tr>
        <w:trPr>
          <w:trHeight w:val="193"/>
        </w:trPr>
        <w:tc>
          <w:tcPr>
            <w:tcW w:w="6340" w:type="dxa"/>
            <w:vAlign w:val="bottom"/>
            <w:tcBorders>
              <w:bottom w:val="single" w:sz="8" w:color="EBECEC"/>
            </w:tcBorders>
          </w:tcPr>
          <w:p>
            <w:pPr>
              <w:spacing w:after="0"/>
              <w:rPr>
                <w:sz w:val="16"/>
                <w:szCs w:val="16"/>
                <w:color w:val="auto"/>
              </w:rPr>
            </w:pPr>
          </w:p>
        </w:tc>
        <w:tc>
          <w:tcPr>
            <w:tcW w:w="280" w:type="dxa"/>
            <w:vAlign w:val="bottom"/>
            <w:tcBorders>
              <w:top w:val="single" w:sz="8" w:color="231F20"/>
              <w:bottom w:val="single" w:sz="8" w:color="231F20"/>
            </w:tcBorders>
          </w:tcPr>
          <w:p>
            <w:pPr>
              <w:spacing w:after="0"/>
              <w:rPr>
                <w:sz w:val="16"/>
                <w:szCs w:val="16"/>
                <w:color w:val="auto"/>
              </w:rPr>
            </w:pPr>
          </w:p>
        </w:tc>
        <w:tc>
          <w:tcPr>
            <w:tcW w:w="1080" w:type="dxa"/>
            <w:vAlign w:val="bottom"/>
            <w:tcBorders>
              <w:top w:val="single" w:sz="8" w:color="231F20"/>
              <w:bottom w:val="single" w:sz="8" w:color="231F20"/>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top w:val="single" w:sz="8" w:color="231F20"/>
              <w:bottom w:val="single" w:sz="8" w:color="EBECEC"/>
            </w:tcBorders>
          </w:tcPr>
          <w:p>
            <w:pPr>
              <w:spacing w:after="0"/>
              <w:rPr>
                <w:sz w:val="16"/>
                <w:szCs w:val="16"/>
                <w:color w:val="auto"/>
              </w:rPr>
            </w:pPr>
          </w:p>
        </w:tc>
        <w:tc>
          <w:tcPr>
            <w:tcW w:w="260" w:type="dxa"/>
            <w:vAlign w:val="bottom"/>
            <w:tcBorders>
              <w:top w:val="single" w:sz="8" w:color="231F20"/>
              <w:bottom w:val="single" w:sz="8" w:color="231F20"/>
            </w:tcBorders>
          </w:tcPr>
          <w:p>
            <w:pPr>
              <w:spacing w:after="0"/>
              <w:rPr>
                <w:sz w:val="16"/>
                <w:szCs w:val="16"/>
                <w:color w:val="auto"/>
              </w:rPr>
            </w:pPr>
          </w:p>
        </w:tc>
        <w:tc>
          <w:tcPr>
            <w:tcW w:w="1080" w:type="dxa"/>
            <w:vAlign w:val="bottom"/>
            <w:tcBorders>
              <w:top w:val="single" w:sz="8" w:color="231F20"/>
              <w:bottom w:val="single" w:sz="8" w:color="231F20"/>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BECEC"/>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Revenues:</w:t>
            </w:r>
          </w:p>
        </w:tc>
        <w:tc>
          <w:tcPr>
            <w:tcW w:w="280" w:type="dxa"/>
            <w:vAlign w:val="bottom"/>
            <w:shd w:val="clear" w:color="auto" w:fill="EBECEC"/>
          </w:tcPr>
          <w:p>
            <w:pPr>
              <w:spacing w:after="0"/>
              <w:rPr>
                <w:sz w:val="20"/>
                <w:szCs w:val="20"/>
                <w:color w:val="auto"/>
              </w:rPr>
            </w:pPr>
          </w:p>
        </w:tc>
        <w:tc>
          <w:tcPr>
            <w:tcW w:w="108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spacing w:after="0"/>
              <w:rPr>
                <w:sz w:val="20"/>
                <w:szCs w:val="20"/>
                <w:color w:val="auto"/>
              </w:rPr>
            </w:pPr>
          </w:p>
        </w:tc>
        <w:tc>
          <w:tcPr>
            <w:tcW w:w="108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Product sales, net</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633,796</w:t>
            </w:r>
          </w:p>
        </w:tc>
        <w:tc>
          <w:tcPr>
            <w:tcW w:w="24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381,677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Royalty revenue and milestone revenue</w:t>
            </w:r>
          </w:p>
        </w:tc>
        <w:tc>
          <w:tcPr>
            <w:tcW w:w="280" w:type="dxa"/>
            <w:vAlign w:val="bottom"/>
            <w:tcBorders>
              <w:bottom w:val="single" w:sz="8" w:color="231F20"/>
            </w:tcBorders>
            <w:shd w:val="clear" w:color="auto" w:fill="EBECEC"/>
          </w:tcPr>
          <w:p>
            <w:pPr>
              <w:spacing w:after="0"/>
              <w:rPr>
                <w:sz w:val="21"/>
                <w:szCs w:val="21"/>
                <w:color w:val="auto"/>
              </w:rPr>
            </w:pPr>
          </w:p>
        </w:tc>
        <w:tc>
          <w:tcPr>
            <w:tcW w:w="10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4,700</w:t>
            </w:r>
          </w:p>
        </w:tc>
        <w:tc>
          <w:tcPr>
            <w:tcW w:w="240" w:type="dxa"/>
            <w:vAlign w:val="bottom"/>
            <w:shd w:val="clear" w:color="auto" w:fill="EBECEC"/>
          </w:tcPr>
          <w:p>
            <w:pPr>
              <w:spacing w:after="0"/>
              <w:rPr>
                <w:sz w:val="21"/>
                <w:szCs w:val="21"/>
                <w:color w:val="auto"/>
              </w:rPr>
            </w:pPr>
          </w:p>
        </w:tc>
        <w:tc>
          <w:tcPr>
            <w:tcW w:w="260" w:type="dxa"/>
            <w:vAlign w:val="bottom"/>
            <w:tcBorders>
              <w:bottom w:val="single" w:sz="8" w:color="231F20"/>
            </w:tcBorders>
            <w:shd w:val="clear" w:color="auto" w:fill="EBECEC"/>
          </w:tcPr>
          <w:p>
            <w:pPr>
              <w:spacing w:after="0"/>
              <w:rPr>
                <w:sz w:val="21"/>
                <w:szCs w:val="21"/>
                <w:color w:val="auto"/>
              </w:rPr>
            </w:pPr>
          </w:p>
        </w:tc>
        <w:tc>
          <w:tcPr>
            <w:tcW w:w="10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4,016</w:t>
            </w:r>
          </w:p>
        </w:tc>
        <w:tc>
          <w:tcPr>
            <w:tcW w:w="8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4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Total revenues</w:t>
            </w:r>
          </w:p>
        </w:tc>
        <w:tc>
          <w:tcPr>
            <w:tcW w:w="28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638,496</w:t>
            </w:r>
          </w:p>
        </w:tc>
        <w:tc>
          <w:tcPr>
            <w:tcW w:w="240" w:type="dxa"/>
            <w:vAlign w:val="bottom"/>
            <w:tcBorders>
              <w:bottom w:val="single" w:sz="8" w:color="EBECEC"/>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385,693</w:t>
            </w:r>
          </w:p>
        </w:tc>
        <w:tc>
          <w:tcPr>
            <w:tcW w:w="80" w:type="dxa"/>
            <w:vAlign w:val="bottom"/>
            <w:tcBorders>
              <w:bottom w:val="single" w:sz="8" w:color="EBECEC"/>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280" w:type="dxa"/>
            <w:vAlign w:val="bottom"/>
            <w:shd w:val="clear" w:color="auto" w:fill="EBECEC"/>
          </w:tcPr>
          <w:p>
            <w:pPr>
              <w:spacing w:after="0"/>
              <w:rPr>
                <w:sz w:val="20"/>
                <w:szCs w:val="20"/>
                <w:color w:val="auto"/>
              </w:rPr>
            </w:pPr>
          </w:p>
        </w:tc>
        <w:tc>
          <w:tcPr>
            <w:tcW w:w="108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spacing w:after="0"/>
              <w:rPr>
                <w:sz w:val="20"/>
                <w:szCs w:val="20"/>
                <w:color w:val="auto"/>
              </w:rPr>
            </w:pPr>
          </w:p>
        </w:tc>
        <w:tc>
          <w:tcPr>
            <w:tcW w:w="108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Cost of revenue (excluding amortization and depreciation)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47,478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33,303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280" w:type="dxa"/>
            <w:vAlign w:val="bottom"/>
            <w:shd w:val="clear" w:color="auto" w:fill="EBECEC"/>
          </w:tcPr>
          <w:p>
            <w:pPr>
              <w:spacing w:after="0"/>
              <w:rPr>
                <w:sz w:val="21"/>
                <w:szCs w:val="21"/>
                <w:color w:val="auto"/>
              </w:rPr>
            </w:pPr>
          </w:p>
        </w:tc>
        <w:tc>
          <w:tcPr>
            <w:tcW w:w="10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183,279</w:t>
            </w:r>
          </w:p>
        </w:tc>
        <w:tc>
          <w:tcPr>
            <w:tcW w:w="24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10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187,077</w:t>
            </w:r>
          </w:p>
        </w:tc>
        <w:tc>
          <w:tcPr>
            <w:tcW w:w="8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Selling, general and administrative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570,599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411,359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Loss (Gain) in fair value of contingent consideration</w:t>
            </w:r>
          </w:p>
        </w:tc>
        <w:tc>
          <w:tcPr>
            <w:tcW w:w="280" w:type="dxa"/>
            <w:vAlign w:val="bottom"/>
            <w:shd w:val="clear" w:color="auto" w:fill="EBECEC"/>
          </w:tcPr>
          <w:p>
            <w:pPr>
              <w:spacing w:after="0"/>
              <w:rPr>
                <w:sz w:val="21"/>
                <w:szCs w:val="21"/>
                <w:color w:val="auto"/>
              </w:rPr>
            </w:pPr>
          </w:p>
        </w:tc>
        <w:tc>
          <w:tcPr>
            <w:tcW w:w="1320" w:type="dxa"/>
            <w:vAlign w:val="bottom"/>
            <w:gridSpan w:val="2"/>
            <w:shd w:val="clear" w:color="auto" w:fill="EBECEC"/>
          </w:tcPr>
          <w:p>
            <w:pPr>
              <w:jc w:val="right"/>
              <w:ind w:right="180"/>
              <w:spacing w:after="0"/>
              <w:rPr>
                <w:sz w:val="20"/>
                <w:szCs w:val="20"/>
                <w:color w:val="auto"/>
              </w:rPr>
            </w:pPr>
            <w:r>
              <w:rPr>
                <w:rFonts w:ascii="Times New Roman" w:cs="Times New Roman" w:eastAsia="Times New Roman" w:hAnsi="Times New Roman"/>
                <w:sz w:val="20"/>
                <w:szCs w:val="20"/>
                <w:color w:val="231F20"/>
              </w:rPr>
              <w:t>(2,473)</w:t>
            </w:r>
          </w:p>
        </w:tc>
        <w:tc>
          <w:tcPr>
            <w:tcW w:w="260" w:type="dxa"/>
            <w:vAlign w:val="bottom"/>
            <w:shd w:val="clear" w:color="auto" w:fill="EBECEC"/>
          </w:tcPr>
          <w:p>
            <w:pPr>
              <w:spacing w:after="0"/>
              <w:rPr>
                <w:sz w:val="21"/>
                <w:szCs w:val="21"/>
                <w:color w:val="auto"/>
              </w:rPr>
            </w:pPr>
          </w:p>
        </w:tc>
        <w:tc>
          <w:tcPr>
            <w:tcW w:w="10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28,124</w:t>
            </w:r>
          </w:p>
        </w:tc>
        <w:tc>
          <w:tcPr>
            <w:tcW w:w="8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Intangible asset amortization</w:t>
            </w:r>
          </w:p>
        </w:tc>
        <w:tc>
          <w:tcPr>
            <w:tcW w:w="28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6,375</w:t>
            </w:r>
          </w:p>
        </w:tc>
        <w:tc>
          <w:tcPr>
            <w:tcW w:w="240" w:type="dxa"/>
            <w:vAlign w:val="bottom"/>
            <w:tcBorders>
              <w:bottom w:val="single" w:sz="8" w:color="EBECEC"/>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6,392</w:t>
            </w:r>
          </w:p>
        </w:tc>
        <w:tc>
          <w:tcPr>
            <w:tcW w:w="80" w:type="dxa"/>
            <w:vAlign w:val="bottom"/>
            <w:tcBorders>
              <w:bottom w:val="single" w:sz="8" w:color="EBECEC"/>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 operating expenses</w:t>
            </w:r>
          </w:p>
        </w:tc>
        <w:tc>
          <w:tcPr>
            <w:tcW w:w="280" w:type="dxa"/>
            <w:vAlign w:val="bottom"/>
            <w:tcBorders>
              <w:bottom w:val="single" w:sz="8" w:color="231F20"/>
            </w:tcBorders>
            <w:shd w:val="clear" w:color="auto" w:fill="EBECEC"/>
          </w:tcPr>
          <w:p>
            <w:pPr>
              <w:spacing w:after="0"/>
              <w:rPr>
                <w:sz w:val="20"/>
                <w:szCs w:val="20"/>
                <w:color w:val="auto"/>
              </w:rPr>
            </w:pPr>
          </w:p>
        </w:tc>
        <w:tc>
          <w:tcPr>
            <w:tcW w:w="10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805,258</w:t>
            </w:r>
          </w:p>
        </w:tc>
        <w:tc>
          <w:tcPr>
            <w:tcW w:w="240" w:type="dxa"/>
            <w:vAlign w:val="bottom"/>
            <w:shd w:val="clear" w:color="auto" w:fill="EBECEC"/>
          </w:tcPr>
          <w:p>
            <w:pPr>
              <w:spacing w:after="0"/>
              <w:rPr>
                <w:sz w:val="20"/>
                <w:szCs w:val="20"/>
                <w:color w:val="auto"/>
              </w:rPr>
            </w:pPr>
          </w:p>
        </w:tc>
        <w:tc>
          <w:tcPr>
            <w:tcW w:w="260" w:type="dxa"/>
            <w:vAlign w:val="bottom"/>
            <w:tcBorders>
              <w:bottom w:val="single" w:sz="8" w:color="231F20"/>
            </w:tcBorders>
            <w:shd w:val="clear" w:color="auto" w:fill="EBECEC"/>
          </w:tcPr>
          <w:p>
            <w:pPr>
              <w:spacing w:after="0"/>
              <w:rPr>
                <w:sz w:val="20"/>
                <w:szCs w:val="20"/>
                <w:color w:val="auto"/>
              </w:rPr>
            </w:pPr>
          </w:p>
        </w:tc>
        <w:tc>
          <w:tcPr>
            <w:tcW w:w="10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666,255</w:t>
            </w: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Loss from operations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(166,762)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(280,562)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Interest expense, net</w:t>
            </w:r>
          </w:p>
        </w:tc>
        <w:tc>
          <w:tcPr>
            <w:tcW w:w="280" w:type="dxa"/>
            <w:vAlign w:val="bottom"/>
            <w:shd w:val="clear" w:color="auto" w:fill="EBECEC"/>
          </w:tcPr>
          <w:p>
            <w:pPr>
              <w:spacing w:after="0"/>
              <w:rPr>
                <w:sz w:val="21"/>
                <w:szCs w:val="21"/>
                <w:color w:val="auto"/>
              </w:rPr>
            </w:pPr>
          </w:p>
        </w:tc>
        <w:tc>
          <w:tcPr>
            <w:tcW w:w="1320" w:type="dxa"/>
            <w:vAlign w:val="bottom"/>
            <w:gridSpan w:val="2"/>
            <w:shd w:val="clear" w:color="auto" w:fill="EBECEC"/>
          </w:tcPr>
          <w:p>
            <w:pPr>
              <w:jc w:val="right"/>
              <w:ind w:right="180"/>
              <w:spacing w:after="0"/>
              <w:rPr>
                <w:sz w:val="20"/>
                <w:szCs w:val="20"/>
                <w:color w:val="auto"/>
              </w:rPr>
            </w:pPr>
            <w:r>
              <w:rPr>
                <w:rFonts w:ascii="Times New Roman" w:cs="Times New Roman" w:eastAsia="Times New Roman" w:hAnsi="Times New Roman"/>
                <w:sz w:val="20"/>
                <w:szCs w:val="20"/>
                <w:color w:val="231F20"/>
              </w:rPr>
              <w:t>(6,557)</w:t>
            </w:r>
          </w:p>
        </w:tc>
        <w:tc>
          <w:tcPr>
            <w:tcW w:w="260" w:type="dxa"/>
            <w:vAlign w:val="bottom"/>
            <w:shd w:val="clear" w:color="auto" w:fill="EBECEC"/>
          </w:tcPr>
          <w:p>
            <w:pPr>
              <w:spacing w:after="0"/>
              <w:rPr>
                <w:sz w:val="21"/>
                <w:szCs w:val="21"/>
                <w:color w:val="auto"/>
              </w:rPr>
            </w:pPr>
          </w:p>
        </w:tc>
        <w:tc>
          <w:tcPr>
            <w:tcW w:w="116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(6,569)</w:t>
            </w:r>
          </w:p>
        </w:tc>
        <w:tc>
          <w:tcPr>
            <w:tcW w:w="0" w:type="dxa"/>
            <w:vAlign w:val="bottom"/>
          </w:tcPr>
          <w:p>
            <w:pPr>
              <w:spacing w:after="0"/>
              <w:rPr>
                <w:sz w:val="1"/>
                <w:szCs w:val="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Loss on debt extinguishment</w:t>
            </w: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(10,385)</w:t>
            </w:r>
          </w:p>
        </w:tc>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9"/>
        </w:trPr>
        <w:tc>
          <w:tcPr>
            <w:tcW w:w="6340" w:type="dxa"/>
            <w:vAlign w:val="bottom"/>
            <w:tcBorders>
              <w:top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Loss before income taxes</w:t>
            </w:r>
          </w:p>
        </w:tc>
        <w:tc>
          <w:tcPr>
            <w:tcW w:w="280" w:type="dxa"/>
            <w:vAlign w:val="bottom"/>
            <w:tcBorders>
              <w:top w:val="single" w:sz="8" w:color="231F20"/>
            </w:tcBorders>
            <w:shd w:val="clear" w:color="auto" w:fill="EBECEC"/>
          </w:tcPr>
          <w:p>
            <w:pPr>
              <w:spacing w:after="0"/>
              <w:rPr>
                <w:sz w:val="20"/>
                <w:szCs w:val="20"/>
                <w:color w:val="auto"/>
              </w:rPr>
            </w:pPr>
          </w:p>
        </w:tc>
        <w:tc>
          <w:tcPr>
            <w:tcW w:w="108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(183,704)</w:t>
            </w:r>
          </w:p>
        </w:tc>
        <w:tc>
          <w:tcPr>
            <w:tcW w:w="240" w:type="dxa"/>
            <w:vAlign w:val="bottom"/>
            <w:tcBorders>
              <w:top w:val="single" w:sz="8" w:color="EBECEC"/>
            </w:tcBorders>
            <w:shd w:val="clear" w:color="auto" w:fill="EBECEC"/>
          </w:tcPr>
          <w:p>
            <w:pPr>
              <w:spacing w:after="0"/>
              <w:rPr>
                <w:sz w:val="20"/>
                <w:szCs w:val="20"/>
                <w:color w:val="auto"/>
              </w:rPr>
            </w:pPr>
          </w:p>
        </w:tc>
        <w:tc>
          <w:tcPr>
            <w:tcW w:w="260" w:type="dxa"/>
            <w:vAlign w:val="bottom"/>
            <w:tcBorders>
              <w:top w:val="single" w:sz="8" w:color="231F20"/>
            </w:tcBorders>
            <w:shd w:val="clear" w:color="auto" w:fill="EBECEC"/>
          </w:tcPr>
          <w:p>
            <w:pPr>
              <w:spacing w:after="0"/>
              <w:rPr>
                <w:sz w:val="20"/>
                <w:szCs w:val="20"/>
                <w:color w:val="auto"/>
              </w:rPr>
            </w:pPr>
          </w:p>
        </w:tc>
        <w:tc>
          <w:tcPr>
            <w:tcW w:w="108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(287,131)</w:t>
            </w:r>
          </w:p>
        </w:tc>
        <w:tc>
          <w:tcPr>
            <w:tcW w:w="80" w:type="dxa"/>
            <w:vAlign w:val="bottom"/>
            <w:tcBorders>
              <w:top w:val="single" w:sz="8" w:color="EBECEC"/>
            </w:tcBorders>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Income tax benefit (expense)</w:t>
            </w:r>
          </w:p>
        </w:tc>
        <w:tc>
          <w:tcPr>
            <w:tcW w:w="28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530</w:t>
            </w:r>
          </w:p>
        </w:tc>
        <w:tc>
          <w:tcPr>
            <w:tcW w:w="240" w:type="dxa"/>
            <w:vAlign w:val="bottom"/>
            <w:tcBorders>
              <w:bottom w:val="single" w:sz="8" w:color="EBECEC"/>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(85)</w:t>
            </w:r>
          </w:p>
        </w:tc>
        <w:tc>
          <w:tcPr>
            <w:tcW w:w="80" w:type="dxa"/>
            <w:vAlign w:val="bottom"/>
            <w:tcBorders>
              <w:bottom w:val="single" w:sz="8" w:color="EBECEC"/>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Net loss</w:t>
            </w:r>
          </w:p>
        </w:tc>
        <w:tc>
          <w:tcPr>
            <w:tcW w:w="280" w:type="dxa"/>
            <w:vAlign w:val="bottom"/>
            <w:tcBorders>
              <w:bottom w:val="single" w:sz="8" w:color="231F20"/>
            </w:tcBorders>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(183,174)</w:t>
            </w:r>
          </w:p>
        </w:tc>
        <w:tc>
          <w:tcPr>
            <w:tcW w:w="240" w:type="dxa"/>
            <w:vAlign w:val="bottom"/>
            <w:shd w:val="clear" w:color="auto" w:fill="EBECEC"/>
          </w:tcPr>
          <w:p>
            <w:pPr>
              <w:spacing w:after="0"/>
              <w:rPr>
                <w:sz w:val="20"/>
                <w:szCs w:val="20"/>
                <w:color w:val="auto"/>
              </w:rPr>
            </w:pPr>
          </w:p>
        </w:tc>
        <w:tc>
          <w:tcPr>
            <w:tcW w:w="260" w:type="dxa"/>
            <w:vAlign w:val="bottom"/>
            <w:tcBorders>
              <w:bottom w:val="single" w:sz="8" w:color="231F20"/>
            </w:tcBorders>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(287,216)</w:t>
            </w: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Net loss per common share, basic and diluted</w:t>
            </w:r>
          </w:p>
        </w:tc>
        <w:tc>
          <w:tcPr>
            <w:tcW w:w="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340" w:type="dxa"/>
            <w:vAlign w:val="bottom"/>
            <w:tcBorders>
              <w:bottom w:val="single" w:sz="8" w:color="EBECEC"/>
            </w:tcBorders>
            <w:vMerge w:val="continue"/>
          </w:tcPr>
          <w:p>
            <w:pPr>
              <w:spacing w:after="0"/>
              <w:rPr>
                <w:sz w:val="23"/>
                <w:szCs w:val="23"/>
                <w:color w:val="auto"/>
              </w:rPr>
            </w:pPr>
          </w:p>
        </w:tc>
        <w:tc>
          <w:tcPr>
            <w:tcW w:w="280" w:type="dxa"/>
            <w:vAlign w:val="bottom"/>
            <w:tcBorders>
              <w:top w:val="single" w:sz="8" w:color="231F20"/>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(3.68)</w:t>
            </w:r>
          </w:p>
        </w:tc>
        <w:tc>
          <w:tcPr>
            <w:tcW w:w="240" w:type="dxa"/>
            <w:vAlign w:val="bottom"/>
            <w:tcBorders>
              <w:bottom w:val="single" w:sz="8" w:color="EBECEC"/>
            </w:tcBorders>
          </w:tcPr>
          <w:p>
            <w:pPr>
              <w:spacing w:after="0"/>
              <w:rPr>
                <w:sz w:val="23"/>
                <w:szCs w:val="23"/>
                <w:color w:val="auto"/>
              </w:rPr>
            </w:pPr>
          </w:p>
        </w:tc>
        <w:tc>
          <w:tcPr>
            <w:tcW w:w="260" w:type="dxa"/>
            <w:vAlign w:val="bottom"/>
            <w:tcBorders>
              <w:top w:val="single" w:sz="8" w:color="231F20"/>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(5.99)</w:t>
            </w:r>
          </w:p>
        </w:tc>
        <w:tc>
          <w:tcPr>
            <w:tcW w:w="80" w:type="dxa"/>
            <w:vAlign w:val="bottom"/>
            <w:tcBorders>
              <w:bottom w:val="single" w:sz="8" w:color="EBECEC"/>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Weighted average common shares outstanding, basic and diluted</w:t>
            </w:r>
          </w:p>
        </w:tc>
        <w:tc>
          <w:tcPr>
            <w:tcW w:w="280" w:type="dxa"/>
            <w:vAlign w:val="bottom"/>
            <w:tcBorders>
              <w:bottom w:val="single" w:sz="8" w:color="231F20"/>
            </w:tcBorders>
            <w:shd w:val="clear" w:color="auto" w:fill="EBECEC"/>
          </w:tcPr>
          <w:p>
            <w:pPr>
              <w:spacing w:after="0"/>
              <w:rPr>
                <w:sz w:val="19"/>
                <w:szCs w:val="19"/>
                <w:color w:val="auto"/>
              </w:rPr>
            </w:pPr>
          </w:p>
        </w:tc>
        <w:tc>
          <w:tcPr>
            <w:tcW w:w="10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49,747,178</w:t>
            </w:r>
          </w:p>
        </w:tc>
        <w:tc>
          <w:tcPr>
            <w:tcW w:w="240" w:type="dxa"/>
            <w:vAlign w:val="bottom"/>
            <w:shd w:val="clear" w:color="auto" w:fill="EBECEC"/>
          </w:tcPr>
          <w:p>
            <w:pPr>
              <w:spacing w:after="0"/>
              <w:rPr>
                <w:sz w:val="19"/>
                <w:szCs w:val="19"/>
                <w:color w:val="auto"/>
              </w:rPr>
            </w:pPr>
          </w:p>
        </w:tc>
        <w:tc>
          <w:tcPr>
            <w:tcW w:w="260" w:type="dxa"/>
            <w:vAlign w:val="bottom"/>
            <w:tcBorders>
              <w:bottom w:val="single" w:sz="8" w:color="231F20"/>
            </w:tcBorders>
            <w:shd w:val="clear" w:color="auto" w:fill="EBECEC"/>
          </w:tcPr>
          <w:p>
            <w:pPr>
              <w:spacing w:after="0"/>
              <w:rPr>
                <w:sz w:val="19"/>
                <w:szCs w:val="19"/>
                <w:color w:val="auto"/>
              </w:rPr>
            </w:pPr>
          </w:p>
        </w:tc>
        <w:tc>
          <w:tcPr>
            <w:tcW w:w="10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47,914,253</w:t>
            </w:r>
          </w:p>
        </w:tc>
        <w:tc>
          <w:tcPr>
            <w:tcW w:w="80" w:type="dxa"/>
            <w:vAlign w:val="bottom"/>
            <w:shd w:val="clear" w:color="auto" w:fill="EBECE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Product sales, net. </w:t>
      </w:r>
      <w:r>
        <w:rPr>
          <w:rFonts w:ascii="Times New Roman" w:cs="Times New Roman" w:eastAsia="Times New Roman" w:hAnsi="Times New Roman"/>
          <w:sz w:val="20"/>
          <w:szCs w:val="20"/>
          <w:color w:val="231F20"/>
        </w:rPr>
        <w:t>AUVELITY U.S. net sales were $ 507.1 million and $291.4 million for the years ended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December 31, 2025 and 2024, respectively. SUNOSI net sales were $120.1 million and $90.3 million for the years ended December 31, 2025 and 2024, respectively. We began commercial sales of SYMBRAVO in June 2025 and had U.S. net sales of $6.6 million for the year ended December 31, 2025. There were no SYMBRAVO sales recorded in 2024, which reflects the timing of the SYMBRAVO approval and launch. The increases were primarily due to the increase in unit sales volume for both AUVELITY and SUNOSI, and commercial launch of SYMBRAVO in June 2025.</w:t>
      </w:r>
    </w:p>
    <w:p>
      <w:pPr>
        <w:sectPr>
          <w:pgSz w:w="12240" w:h="15840" w:orient="portrait"/>
          <w:cols w:equalWidth="0" w:num="1">
            <w:col w:w="9360"/>
          </w:cols>
          <w:pgMar w:left="1440" w:top="1435"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116</w:t>
      </w:r>
    </w:p>
    <w:p>
      <w:pPr>
        <w:sectPr>
          <w:pgSz w:w="12240" w:h="15840" w:orient="portrait"/>
          <w:cols w:equalWidth="0" w:num="1">
            <w:col w:w="9360"/>
          </w:cols>
          <w:pgMar w:left="1440" w:top="1435" w:right="1440" w:bottom="174" w:gutter="0" w:footer="0" w:header="0"/>
          <w:type w:val="continuous"/>
        </w:sectPr>
      </w:pPr>
    </w:p>
    <w:bookmarkStart w:id="118" w:name="page119"/>
    <w:bookmarkEnd w:id="118"/>
    <w:p>
      <w:pPr>
        <w:ind w:right="500" w:firstLine="72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activity of our sales allowance and reserves as of and for the year ended December 31, 2025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9"/>
              </w:rPr>
              <w:t>Commercial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rPr>
              <w:t>discounts and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231F20"/>
              </w:rPr>
              <w:t>rebates,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231F20"/>
              </w:rPr>
              <w:t>Cash</w:t>
            </w:r>
          </w:p>
        </w:tc>
        <w:tc>
          <w:tcPr>
            <w:tcW w:w="6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231F20"/>
              </w:rPr>
              <w:t>Medicaid and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231F20"/>
                <w:w w:val="99"/>
              </w:rPr>
              <w:t>returns and</w:t>
            </w:r>
          </w:p>
        </w:tc>
        <w:tc>
          <w:tcPr>
            <w:tcW w:w="6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231F20"/>
              </w:rPr>
              <w:t>discounts and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Medicare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w w:val="98"/>
              </w:rPr>
              <w:t>other</w:t>
            </w:r>
          </w:p>
        </w:tc>
        <w:tc>
          <w:tcPr>
            <w:tcW w:w="60" w:type="dxa"/>
            <w:vAlign w:val="bottom"/>
          </w:tcPr>
          <w:p>
            <w:pPr>
              <w:spacing w:after="0"/>
              <w:rPr>
                <w:sz w:val="17"/>
                <w:szCs w:val="17"/>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231F20"/>
              </w:rPr>
              <w:t>chargebacks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rebates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39"/>
        </w:trPr>
        <w:tc>
          <w:tcPr>
            <w:tcW w:w="4720" w:type="dxa"/>
            <w:vAlign w:val="bottom"/>
            <w:tcBorders>
              <w:top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Balance at December 31, 2024</w:t>
            </w:r>
          </w:p>
        </w:tc>
        <w:tc>
          <w:tcPr>
            <w:tcW w:w="20" w:type="dxa"/>
            <w:vAlign w:val="bottom"/>
          </w:tcPr>
          <w:p>
            <w:pPr>
              <w:spacing w:after="0"/>
              <w:rPr>
                <w:sz w:val="20"/>
                <w:szCs w:val="20"/>
                <w:color w:val="auto"/>
              </w:rPr>
            </w:pPr>
          </w:p>
        </w:tc>
        <w:tc>
          <w:tcPr>
            <w:tcW w:w="14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EBECEC"/>
              </w:rPr>
              <w:t>$</w:t>
            </w:r>
          </w:p>
        </w:tc>
        <w:tc>
          <w:tcPr>
            <w:tcW w:w="82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55,412</w:t>
            </w:r>
          </w:p>
        </w:tc>
        <w:tc>
          <w:tcPr>
            <w:tcW w:w="140" w:type="dxa"/>
            <w:vAlign w:val="bottom"/>
            <w:tcBorders>
              <w:top w:val="single" w:sz="8" w:color="EBECEC"/>
            </w:tcBorders>
            <w:shd w:val="clear" w:color="auto" w:fill="EBECEC"/>
          </w:tcPr>
          <w:p>
            <w:pPr>
              <w:spacing w:after="0"/>
              <w:rPr>
                <w:sz w:val="20"/>
                <w:szCs w:val="20"/>
                <w:color w:val="auto"/>
              </w:rPr>
            </w:pPr>
          </w:p>
        </w:tc>
        <w:tc>
          <w:tcPr>
            <w:tcW w:w="60" w:type="dxa"/>
            <w:vAlign w:val="bottom"/>
            <w:tcBorders>
              <w:top w:val="single" w:sz="8" w:color="EBECEC"/>
            </w:tcBorders>
            <w:shd w:val="clear" w:color="auto" w:fill="EBECEC"/>
          </w:tcPr>
          <w:p>
            <w:pPr>
              <w:spacing w:after="0"/>
              <w:rPr>
                <w:sz w:val="20"/>
                <w:szCs w:val="20"/>
                <w:color w:val="auto"/>
              </w:rPr>
            </w:pPr>
          </w:p>
        </w:tc>
        <w:tc>
          <w:tcPr>
            <w:tcW w:w="180" w:type="dxa"/>
            <w:vAlign w:val="bottom"/>
            <w:tcBorders>
              <w:top w:val="single" w:sz="8" w:color="231F20"/>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shd w:val="clear" w:color="auto" w:fill="EBECEC"/>
              </w:rPr>
              <w:t>$</w:t>
            </w:r>
          </w:p>
        </w:tc>
        <w:tc>
          <w:tcPr>
            <w:tcW w:w="82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13,504</w:t>
            </w:r>
          </w:p>
        </w:tc>
        <w:tc>
          <w:tcPr>
            <w:tcW w:w="140" w:type="dxa"/>
            <w:vAlign w:val="bottom"/>
            <w:tcBorders>
              <w:top w:val="single" w:sz="8" w:color="EBECEC"/>
            </w:tcBorders>
            <w:shd w:val="clear" w:color="auto" w:fill="EBECEC"/>
          </w:tcPr>
          <w:p>
            <w:pPr>
              <w:spacing w:after="0"/>
              <w:rPr>
                <w:sz w:val="20"/>
                <w:szCs w:val="20"/>
                <w:color w:val="auto"/>
              </w:rPr>
            </w:pPr>
          </w:p>
        </w:tc>
        <w:tc>
          <w:tcPr>
            <w:tcW w:w="60" w:type="dxa"/>
            <w:vAlign w:val="bottom"/>
            <w:tcBorders>
              <w:top w:val="single" w:sz="8" w:color="EBECEC"/>
            </w:tcBorders>
            <w:shd w:val="clear" w:color="auto" w:fill="EBECEC"/>
          </w:tcPr>
          <w:p>
            <w:pPr>
              <w:spacing w:after="0"/>
              <w:rPr>
                <w:sz w:val="20"/>
                <w:szCs w:val="20"/>
                <w:color w:val="auto"/>
              </w:rPr>
            </w:pPr>
          </w:p>
        </w:tc>
        <w:tc>
          <w:tcPr>
            <w:tcW w:w="140" w:type="dxa"/>
            <w:vAlign w:val="bottom"/>
            <w:tcBorders>
              <w:top w:val="single" w:sz="8" w:color="231F20"/>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shd w:val="clear" w:color="auto" w:fill="EBECEC"/>
              </w:rPr>
              <w:t>$</w:t>
            </w:r>
          </w:p>
        </w:tc>
        <w:tc>
          <w:tcPr>
            <w:tcW w:w="84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18,538</w:t>
            </w:r>
          </w:p>
        </w:tc>
        <w:tc>
          <w:tcPr>
            <w:tcW w:w="140" w:type="dxa"/>
            <w:vAlign w:val="bottom"/>
            <w:tcBorders>
              <w:top w:val="single" w:sz="8" w:color="EBECEC"/>
            </w:tcBorders>
            <w:shd w:val="clear" w:color="auto" w:fill="EBECEC"/>
          </w:tcPr>
          <w:p>
            <w:pPr>
              <w:spacing w:after="0"/>
              <w:rPr>
                <w:sz w:val="20"/>
                <w:szCs w:val="20"/>
                <w:color w:val="auto"/>
              </w:rPr>
            </w:pPr>
          </w:p>
        </w:tc>
        <w:tc>
          <w:tcPr>
            <w:tcW w:w="60" w:type="dxa"/>
            <w:vAlign w:val="bottom"/>
            <w:tcBorders>
              <w:top w:val="single" w:sz="8" w:color="EBECEC"/>
            </w:tcBorders>
            <w:shd w:val="clear" w:color="auto" w:fill="EBECEC"/>
          </w:tcPr>
          <w:p>
            <w:pPr>
              <w:spacing w:after="0"/>
              <w:rPr>
                <w:sz w:val="20"/>
                <w:szCs w:val="20"/>
                <w:color w:val="auto"/>
              </w:rPr>
            </w:pPr>
          </w:p>
        </w:tc>
        <w:tc>
          <w:tcPr>
            <w:tcW w:w="18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99"/>
                <w:shd w:val="clear" w:color="auto" w:fill="EBECEC"/>
              </w:rPr>
              <w:t>$</w:t>
            </w:r>
          </w:p>
        </w:tc>
        <w:tc>
          <w:tcPr>
            <w:tcW w:w="82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87,454</w:t>
            </w:r>
          </w:p>
        </w:tc>
        <w:tc>
          <w:tcPr>
            <w:tcW w:w="80" w:type="dxa"/>
            <w:vAlign w:val="bottom"/>
            <w:tcBorders>
              <w:top w:val="single" w:sz="8" w:color="EBECEC"/>
            </w:tcBorders>
            <w:shd w:val="clear" w:color="auto" w:fill="EBECEC"/>
          </w:tcPr>
          <w:p>
            <w:pPr>
              <w:spacing w:after="0"/>
              <w:rPr>
                <w:sz w:val="20"/>
                <w:szCs w:val="20"/>
                <w:color w:val="auto"/>
              </w:rPr>
            </w:pPr>
          </w:p>
        </w:tc>
      </w:tr>
      <w:tr>
        <w:trPr>
          <w:trHeight w:val="244"/>
        </w:trPr>
        <w:tc>
          <w:tcPr>
            <w:tcW w:w="47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Provisions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372,126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147,097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98,237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617,460</w:t>
            </w:r>
          </w:p>
        </w:tc>
        <w:tc>
          <w:tcPr>
            <w:tcW w:w="80" w:type="dxa"/>
            <w:vAlign w:val="bottom"/>
          </w:tcPr>
          <w:p>
            <w:pPr>
              <w:spacing w:after="0"/>
              <w:rPr>
                <w:sz w:val="21"/>
                <w:szCs w:val="21"/>
                <w:color w:val="auto"/>
              </w:rPr>
            </w:pPr>
          </w:p>
        </w:tc>
      </w:tr>
      <w:tr>
        <w:trPr>
          <w:trHeight w:val="244"/>
        </w:trPr>
        <w:tc>
          <w:tcPr>
            <w:tcW w:w="47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Payments/credits</w:t>
            </w:r>
          </w:p>
        </w:tc>
        <w:tc>
          <w:tcPr>
            <w:tcW w:w="2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960" w:type="dxa"/>
            <w:vAlign w:val="bottom"/>
            <w:gridSpan w:val="2"/>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rPr>
              <w:t>(322,535)</w:t>
            </w:r>
          </w:p>
        </w:tc>
        <w:tc>
          <w:tcPr>
            <w:tcW w:w="6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96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(138,391)</w:t>
            </w:r>
          </w:p>
        </w:tc>
        <w:tc>
          <w:tcPr>
            <w:tcW w:w="6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980" w:type="dxa"/>
            <w:vAlign w:val="bottom"/>
            <w:gridSpan w:val="2"/>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rPr>
              <w:t>(71,533)</w:t>
            </w:r>
          </w:p>
        </w:tc>
        <w:tc>
          <w:tcPr>
            <w:tcW w:w="6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90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(532,459)</w:t>
            </w:r>
          </w:p>
        </w:tc>
      </w:tr>
      <w:tr>
        <w:trPr>
          <w:trHeight w:val="23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Balance at December 31, 2025</w:t>
            </w:r>
          </w:p>
        </w:tc>
        <w:tc>
          <w:tcPr>
            <w:tcW w:w="2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105,003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231F20"/>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22,210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231F20"/>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45,242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172,455</w:t>
            </w:r>
          </w:p>
        </w:tc>
        <w:tc>
          <w:tcPr>
            <w:tcW w:w="8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Royalty and milestone revenue. </w:t>
      </w:r>
      <w:r>
        <w:rPr>
          <w:rFonts w:ascii="Times New Roman" w:cs="Times New Roman" w:eastAsia="Times New Roman" w:hAnsi="Times New Roman"/>
          <w:sz w:val="20"/>
          <w:szCs w:val="20"/>
          <w:color w:val="231F20"/>
        </w:rPr>
        <w:t>Royalty revenue was $4.7 million for the year ended December 31, 2025,</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as compared to $3.5 million for the year ended December 31, 2024 attributable to Pharmanovia sales of SUNOSI in the out-licensed markets. The increase was in line with the increase in unit sales volume of SUNOSI in certain ex-U.S. markets. Further, in the fourth quarter of 2024, we recognized milestone revenue of $0.5 million related to an achievement of a regulatory milestone in China for SUNOSI from SK.</w:t>
      </w:r>
    </w:p>
    <w:p>
      <w:pPr>
        <w:spacing w:after="0" w:line="197"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Cost of revenue. </w:t>
      </w:r>
      <w:r>
        <w:rPr>
          <w:rFonts w:ascii="Times New Roman" w:cs="Times New Roman" w:eastAsia="Times New Roman" w:hAnsi="Times New Roman"/>
          <w:sz w:val="20"/>
          <w:szCs w:val="20"/>
          <w:color w:val="231F20"/>
        </w:rPr>
        <w:t>Cost of revenue was $47.5 million for the year ended December 31, 2025, as compared to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$33.3 million for the year ended December 31, 2024. The increase was in line with the increase in sales of AUVELITY and SUNOSI. Cost of revenue for the year ended December 31, 2024 includes a $2.5 million expense for the achievement of a sales-based milestone related to world-wide SUNOSI sales.</w:t>
      </w:r>
    </w:p>
    <w:p>
      <w:pPr>
        <w:spacing w:after="0" w:line="194" w:lineRule="exact"/>
        <w:rPr>
          <w:sz w:val="20"/>
          <w:szCs w:val="20"/>
          <w:color w:val="auto"/>
        </w:rPr>
      </w:pPr>
    </w:p>
    <w:p>
      <w:pPr>
        <w:ind w:right="300" w:firstLine="720"/>
        <w:spacing w:after="0" w:line="277" w:lineRule="auto"/>
        <w:rPr>
          <w:sz w:val="20"/>
          <w:szCs w:val="20"/>
          <w:color w:val="auto"/>
        </w:rPr>
      </w:pPr>
      <w:r>
        <w:rPr>
          <w:rFonts w:ascii="Times New Roman" w:cs="Times New Roman" w:eastAsia="Times New Roman" w:hAnsi="Times New Roman"/>
          <w:sz w:val="20"/>
          <w:szCs w:val="20"/>
          <w:i w:val="1"/>
          <w:iCs w:val="1"/>
          <w:color w:val="231F20"/>
        </w:rPr>
        <w:t xml:space="preserve">Research and development. </w:t>
      </w:r>
      <w:r>
        <w:rPr>
          <w:rFonts w:ascii="Times New Roman" w:cs="Times New Roman" w:eastAsia="Times New Roman" w:hAnsi="Times New Roman"/>
          <w:sz w:val="20"/>
          <w:szCs w:val="20"/>
          <w:color w:val="231F20"/>
        </w:rPr>
        <w:t>The following table summarizes our research and development expenses for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our primary products for the years ended December 31, 2025 and 2024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2660" w:type="dxa"/>
            <w:vAlign w:val="bottom"/>
            <w:tcBorders>
              <w:bottom w:val="single" w:sz="8" w:color="231F20"/>
            </w:tcBorders>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60" w:type="dxa"/>
            <w:vAlign w:val="bottom"/>
          </w:tcPr>
          <w:p>
            <w:pPr>
              <w:spacing w:after="0"/>
              <w:rPr>
                <w:sz w:val="17"/>
                <w:szCs w:val="17"/>
                <w:color w:val="auto"/>
              </w:rPr>
            </w:pPr>
          </w:p>
        </w:tc>
      </w:tr>
      <w:tr>
        <w:trPr>
          <w:trHeight w:val="193"/>
        </w:trPr>
        <w:tc>
          <w:tcPr>
            <w:tcW w:w="6340" w:type="dxa"/>
            <w:vAlign w:val="bottom"/>
            <w:tcBorders>
              <w:bottom w:val="single" w:sz="8" w:color="EBECEC"/>
            </w:tcBorders>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BECEC"/>
            </w:tcBorders>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Borders>
              <w:bottom w:val="single" w:sz="8" w:color="EBECEC"/>
            </w:tcBorders>
          </w:tcPr>
          <w:p>
            <w:pPr>
              <w:spacing w:after="0"/>
              <w:rPr>
                <w:sz w:val="16"/>
                <w:szCs w:val="16"/>
                <w:color w:val="auto"/>
              </w:rPr>
            </w:pPr>
          </w:p>
        </w:tc>
      </w:tr>
      <w:tr>
        <w:trPr>
          <w:trHeight w:val="239"/>
        </w:trPr>
        <w:tc>
          <w:tcPr>
            <w:tcW w:w="63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Solriamfetol</w:t>
            </w:r>
          </w:p>
        </w:tc>
        <w:tc>
          <w:tcPr>
            <w:tcW w:w="300" w:type="dxa"/>
            <w:vAlign w:val="bottom"/>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42,106</w:t>
            </w:r>
          </w:p>
        </w:tc>
        <w:tc>
          <w:tcPr>
            <w:tcW w:w="240" w:type="dxa"/>
            <w:vAlign w:val="bottom"/>
            <w:shd w:val="clear" w:color="auto" w:fill="EBECEC"/>
          </w:tcPr>
          <w:p>
            <w:pPr>
              <w:spacing w:after="0"/>
              <w:rPr>
                <w:sz w:val="20"/>
                <w:szCs w:val="20"/>
                <w:color w:val="auto"/>
              </w:rPr>
            </w:pPr>
          </w:p>
        </w:tc>
        <w:tc>
          <w:tcPr>
            <w:tcW w:w="300" w:type="dxa"/>
            <w:vAlign w:val="bottom"/>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53,678</w:t>
            </w:r>
          </w:p>
        </w:tc>
        <w:tc>
          <w:tcPr>
            <w:tcW w:w="60" w:type="dxa"/>
            <w:vAlign w:val="bottom"/>
            <w:shd w:val="clear" w:color="auto" w:fill="EBECEC"/>
          </w:tcPr>
          <w:p>
            <w:pPr>
              <w:spacing w:after="0"/>
              <w:rPr>
                <w:sz w:val="20"/>
                <w:szCs w:val="20"/>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AXS-05</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55,312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62,877</w:t>
            </w:r>
          </w:p>
        </w:tc>
        <w:tc>
          <w:tcPr>
            <w:tcW w:w="60" w:type="dxa"/>
            <w:vAlign w:val="bottom"/>
          </w:tcPr>
          <w:p>
            <w:pPr>
              <w:spacing w:after="0"/>
              <w:rPr>
                <w:sz w:val="21"/>
                <w:szCs w:val="21"/>
                <w:color w:val="auto"/>
              </w:rPr>
            </w:pPr>
          </w:p>
        </w:tc>
      </w:tr>
      <w:tr>
        <w:trPr>
          <w:trHeight w:val="244"/>
        </w:trPr>
        <w:tc>
          <w:tcPr>
            <w:tcW w:w="63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AXS-07</w:t>
            </w:r>
          </w:p>
        </w:tc>
        <w:tc>
          <w:tcPr>
            <w:tcW w:w="300" w:type="dxa"/>
            <w:vAlign w:val="bottom"/>
            <w:shd w:val="clear" w:color="auto" w:fill="EBECEC"/>
          </w:tcPr>
          <w:p>
            <w:pPr>
              <w:spacing w:after="0"/>
              <w:rPr>
                <w:sz w:val="21"/>
                <w:szCs w:val="21"/>
                <w:color w:val="auto"/>
              </w:rPr>
            </w:pPr>
          </w:p>
        </w:tc>
        <w:tc>
          <w:tcPr>
            <w:tcW w:w="10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21,421</w:t>
            </w:r>
          </w:p>
        </w:tc>
        <w:tc>
          <w:tcPr>
            <w:tcW w:w="240" w:type="dxa"/>
            <w:vAlign w:val="bottom"/>
            <w:shd w:val="clear" w:color="auto" w:fill="EBECEC"/>
          </w:tcPr>
          <w:p>
            <w:pPr>
              <w:spacing w:after="0"/>
              <w:rPr>
                <w:sz w:val="21"/>
                <w:szCs w:val="21"/>
                <w:color w:val="auto"/>
              </w:rPr>
            </w:pPr>
          </w:p>
        </w:tc>
        <w:tc>
          <w:tcPr>
            <w:tcW w:w="300" w:type="dxa"/>
            <w:vAlign w:val="bottom"/>
            <w:shd w:val="clear" w:color="auto" w:fill="EBECEC"/>
          </w:tcPr>
          <w:p>
            <w:pPr>
              <w:spacing w:after="0"/>
              <w:rPr>
                <w:sz w:val="21"/>
                <w:szCs w:val="21"/>
                <w:color w:val="auto"/>
              </w:rPr>
            </w:pPr>
          </w:p>
        </w:tc>
        <w:tc>
          <w:tcPr>
            <w:tcW w:w="10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15,587</w:t>
            </w:r>
          </w:p>
        </w:tc>
        <w:tc>
          <w:tcPr>
            <w:tcW w:w="60" w:type="dxa"/>
            <w:vAlign w:val="bottom"/>
            <w:shd w:val="clear" w:color="auto" w:fill="EBECEC"/>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AXS-12</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8,482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9,362</w:t>
            </w:r>
          </w:p>
        </w:tc>
        <w:tc>
          <w:tcPr>
            <w:tcW w:w="60" w:type="dxa"/>
            <w:vAlign w:val="bottom"/>
          </w:tcPr>
          <w:p>
            <w:pPr>
              <w:spacing w:after="0"/>
              <w:rPr>
                <w:sz w:val="21"/>
                <w:szCs w:val="21"/>
                <w:color w:val="auto"/>
              </w:rPr>
            </w:pPr>
          </w:p>
        </w:tc>
      </w:tr>
      <w:tr>
        <w:trPr>
          <w:trHeight w:val="244"/>
        </w:trPr>
        <w:tc>
          <w:tcPr>
            <w:tcW w:w="63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AXS-14</w:t>
            </w:r>
          </w:p>
        </w:tc>
        <w:tc>
          <w:tcPr>
            <w:tcW w:w="300" w:type="dxa"/>
            <w:vAlign w:val="bottom"/>
            <w:shd w:val="clear" w:color="auto" w:fill="EBECEC"/>
          </w:tcPr>
          <w:p>
            <w:pPr>
              <w:spacing w:after="0"/>
              <w:rPr>
                <w:sz w:val="21"/>
                <w:szCs w:val="21"/>
                <w:color w:val="auto"/>
              </w:rPr>
            </w:pPr>
          </w:p>
        </w:tc>
        <w:tc>
          <w:tcPr>
            <w:tcW w:w="10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8,485</w:t>
            </w:r>
          </w:p>
        </w:tc>
        <w:tc>
          <w:tcPr>
            <w:tcW w:w="240" w:type="dxa"/>
            <w:vAlign w:val="bottom"/>
            <w:shd w:val="clear" w:color="auto" w:fill="EBECEC"/>
          </w:tcPr>
          <w:p>
            <w:pPr>
              <w:spacing w:after="0"/>
              <w:rPr>
                <w:sz w:val="21"/>
                <w:szCs w:val="21"/>
                <w:color w:val="auto"/>
              </w:rPr>
            </w:pPr>
          </w:p>
        </w:tc>
        <w:tc>
          <w:tcPr>
            <w:tcW w:w="300" w:type="dxa"/>
            <w:vAlign w:val="bottom"/>
            <w:shd w:val="clear" w:color="auto" w:fill="EBECEC"/>
          </w:tcPr>
          <w:p>
            <w:pPr>
              <w:spacing w:after="0"/>
              <w:rPr>
                <w:sz w:val="21"/>
                <w:szCs w:val="21"/>
                <w:color w:val="auto"/>
              </w:rPr>
            </w:pPr>
          </w:p>
        </w:tc>
        <w:tc>
          <w:tcPr>
            <w:tcW w:w="10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11,881</w:t>
            </w:r>
          </w:p>
        </w:tc>
        <w:tc>
          <w:tcPr>
            <w:tcW w:w="60" w:type="dxa"/>
            <w:vAlign w:val="bottom"/>
            <w:shd w:val="clear" w:color="auto" w:fill="EBECEC"/>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 research and development (*)</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20,645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12,274</w:t>
            </w:r>
          </w:p>
        </w:tc>
        <w:tc>
          <w:tcPr>
            <w:tcW w:w="60" w:type="dxa"/>
            <w:vAlign w:val="bottom"/>
          </w:tcPr>
          <w:p>
            <w:pPr>
              <w:spacing w:after="0"/>
              <w:rPr>
                <w:sz w:val="21"/>
                <w:szCs w:val="21"/>
                <w:color w:val="auto"/>
              </w:rPr>
            </w:pPr>
          </w:p>
        </w:tc>
      </w:tr>
      <w:tr>
        <w:trPr>
          <w:trHeight w:val="264"/>
        </w:trPr>
        <w:tc>
          <w:tcPr>
            <w:tcW w:w="6340" w:type="dxa"/>
            <w:vAlign w:val="bottom"/>
            <w:tcBorders>
              <w:bottom w:val="single" w:sz="8" w:color="EBECEC"/>
            </w:tcBorders>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300" w:type="dxa"/>
            <w:vAlign w:val="bottom"/>
            <w:tcBorders>
              <w:bottom w:val="single" w:sz="8" w:color="231F20"/>
            </w:tcBorders>
            <w:shd w:val="clear" w:color="auto" w:fill="EBECEC"/>
          </w:tcPr>
          <w:p>
            <w:pPr>
              <w:spacing w:after="0"/>
              <w:rPr>
                <w:sz w:val="22"/>
                <w:szCs w:val="22"/>
                <w:color w:val="auto"/>
              </w:rPr>
            </w:pPr>
          </w:p>
        </w:tc>
        <w:tc>
          <w:tcPr>
            <w:tcW w:w="10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26,828</w:t>
            </w:r>
          </w:p>
        </w:tc>
        <w:tc>
          <w:tcPr>
            <w:tcW w:w="240" w:type="dxa"/>
            <w:vAlign w:val="bottom"/>
            <w:tcBorders>
              <w:bottom w:val="single" w:sz="8" w:color="EBECEC"/>
            </w:tcBorders>
            <w:shd w:val="clear" w:color="auto" w:fill="EBECEC"/>
          </w:tcPr>
          <w:p>
            <w:pPr>
              <w:spacing w:after="0"/>
              <w:rPr>
                <w:sz w:val="22"/>
                <w:szCs w:val="22"/>
                <w:color w:val="auto"/>
              </w:rPr>
            </w:pPr>
          </w:p>
        </w:tc>
        <w:tc>
          <w:tcPr>
            <w:tcW w:w="300" w:type="dxa"/>
            <w:vAlign w:val="bottom"/>
            <w:tcBorders>
              <w:bottom w:val="single" w:sz="8" w:color="231F20"/>
            </w:tcBorders>
            <w:shd w:val="clear" w:color="auto" w:fill="EBECEC"/>
          </w:tcPr>
          <w:p>
            <w:pPr>
              <w:spacing w:after="0"/>
              <w:rPr>
                <w:sz w:val="22"/>
                <w:szCs w:val="22"/>
                <w:color w:val="auto"/>
              </w:rPr>
            </w:pPr>
          </w:p>
        </w:tc>
        <w:tc>
          <w:tcPr>
            <w:tcW w:w="10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21,418</w:t>
            </w:r>
          </w:p>
        </w:tc>
        <w:tc>
          <w:tcPr>
            <w:tcW w:w="60" w:type="dxa"/>
            <w:vAlign w:val="bottom"/>
            <w:tcBorders>
              <w:bottom w:val="single" w:sz="8" w:color="EBECEC"/>
            </w:tcBorders>
            <w:shd w:val="clear" w:color="auto" w:fill="EBECEC"/>
          </w:tcPr>
          <w:p>
            <w:pPr>
              <w:spacing w:after="0"/>
              <w:rPr>
                <w:sz w:val="22"/>
                <w:szCs w:val="22"/>
                <w:color w:val="auto"/>
              </w:rPr>
            </w:pPr>
          </w:p>
        </w:tc>
      </w:tr>
      <w:tr>
        <w:trPr>
          <w:trHeight w:val="219"/>
        </w:trPr>
        <w:tc>
          <w:tcPr>
            <w:tcW w:w="63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research and development expenses</w:t>
            </w:r>
          </w:p>
        </w:tc>
        <w:tc>
          <w:tcPr>
            <w:tcW w:w="300" w:type="dxa"/>
            <w:vAlign w:val="bottom"/>
            <w:tcBorders>
              <w:bottom w:val="single" w:sz="8" w:color="231F20"/>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183,279</w:t>
            </w:r>
          </w:p>
        </w:tc>
        <w:tc>
          <w:tcPr>
            <w:tcW w:w="240" w:type="dxa"/>
            <w:vAlign w:val="bottom"/>
          </w:tcPr>
          <w:p>
            <w:pPr>
              <w:spacing w:after="0"/>
              <w:rPr>
                <w:sz w:val="19"/>
                <w:szCs w:val="19"/>
                <w:color w:val="auto"/>
              </w:rPr>
            </w:pPr>
          </w:p>
        </w:tc>
        <w:tc>
          <w:tcPr>
            <w:tcW w:w="300" w:type="dxa"/>
            <w:vAlign w:val="bottom"/>
            <w:tcBorders>
              <w:bottom w:val="single" w:sz="8" w:color="231F20"/>
            </w:tcBorders>
          </w:tcPr>
          <w:p>
            <w:pPr>
              <w:jc w:val="right"/>
              <w:ind w:right="10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187,077</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9" w:lineRule="exact"/>
        <w:rPr>
          <w:sz w:val="20"/>
          <w:szCs w:val="20"/>
          <w:color w:val="auto"/>
        </w:rPr>
      </w:pPr>
    </w:p>
    <w:p>
      <w:pPr>
        <w:ind w:right="280"/>
        <w:spacing w:after="0" w:line="277" w:lineRule="auto"/>
        <w:tabs>
          <w:tab w:leader="none" w:pos="227"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research and development expenses primarily consist of facilities charges, third party consultant costs, costs related to other product candidates, costs related to asset acquisitions, and other unallocated costs.</w:t>
      </w:r>
    </w:p>
    <w:p>
      <w:pPr>
        <w:spacing w:after="0" w:line="160" w:lineRule="exact"/>
        <w:rPr>
          <w:sz w:val="20"/>
          <w:szCs w:val="20"/>
          <w:color w:val="auto"/>
        </w:rPr>
      </w:pPr>
    </w:p>
    <w:p>
      <w:pPr>
        <w:ind w:right="200" w:firstLine="720"/>
        <w:spacing w:after="0" w:line="228" w:lineRule="auto"/>
        <w:rPr>
          <w:sz w:val="20"/>
          <w:szCs w:val="20"/>
          <w:color w:val="auto"/>
        </w:rPr>
      </w:pPr>
      <w:r>
        <w:rPr>
          <w:rFonts w:ascii="Times New Roman" w:cs="Times New Roman" w:eastAsia="Times New Roman" w:hAnsi="Times New Roman"/>
          <w:sz w:val="20"/>
          <w:szCs w:val="20"/>
          <w:color w:val="231F20"/>
        </w:rPr>
        <w:t>Research and development expenses decreased by $3.8 million for the year ended December 31, 2025, as compared to the year ended December 31, 2024. The decrease was primarily due to the completion of trials for solriamfetol in ADHD and MDD, and trials for AXS-05 in AD agitation, partially offset by asset acquisition costs and higher CMC costs for AXS-07. We expect research and development costs to moderately increase in 2026 as new development programs commence while certain development programs near completion.</w:t>
      </w:r>
    </w:p>
    <w:p>
      <w:pPr>
        <w:spacing w:after="0" w:line="183" w:lineRule="exact"/>
        <w:rPr>
          <w:sz w:val="20"/>
          <w:szCs w:val="20"/>
          <w:color w:val="auto"/>
        </w:rPr>
      </w:pPr>
    </w:p>
    <w:p>
      <w:pPr>
        <w:ind w:right="200" w:firstLine="720"/>
        <w:spacing w:after="0" w:line="224" w:lineRule="auto"/>
        <w:rPr>
          <w:sz w:val="20"/>
          <w:szCs w:val="20"/>
          <w:color w:val="auto"/>
        </w:rPr>
      </w:pPr>
      <w:r>
        <w:rPr>
          <w:rFonts w:ascii="Times New Roman" w:cs="Times New Roman" w:eastAsia="Times New Roman" w:hAnsi="Times New Roman"/>
          <w:sz w:val="20"/>
          <w:szCs w:val="20"/>
          <w:i w:val="1"/>
          <w:iCs w:val="1"/>
          <w:color w:val="231F20"/>
        </w:rPr>
        <w:t xml:space="preserve">Selling, general and administrative. </w:t>
      </w:r>
      <w:r>
        <w:rPr>
          <w:rFonts w:ascii="Times New Roman" w:cs="Times New Roman" w:eastAsia="Times New Roman" w:hAnsi="Times New Roman"/>
          <w:sz w:val="20"/>
          <w:szCs w:val="20"/>
          <w:color w:val="231F20"/>
        </w:rPr>
        <w:t>Selling, general and administrative expenses were $570.6 million for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the year ended December 31, 2025, as compared to $411.4 million for the year ended December 31, 2024. The increase was primarily related to higher commercial activities for AUVELITY, including a national direct-to-consumer advertising campaign and sales force expansion, the commercial launch of SYMBRAVO, and higher personnel costs related to organizational growth, including non-cash stock-based compensation. We anticipate SG&amp;A expenses to increase in 2026 as we increase marketing and promotional spending for AUVELITY and continue launch support for SYMBRAVO.</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117</w:t>
      </w:r>
    </w:p>
    <w:p>
      <w:pPr>
        <w:sectPr>
          <w:pgSz w:w="12240" w:h="15840" w:orient="portrait"/>
          <w:cols w:equalWidth="0" w:num="1">
            <w:col w:w="9360"/>
          </w:cols>
          <w:pgMar w:left="1440" w:top="1420" w:right="1440" w:bottom="174" w:gutter="0" w:footer="0" w:header="0"/>
          <w:type w:val="continuous"/>
        </w:sectPr>
      </w:pPr>
    </w:p>
    <w:bookmarkStart w:id="119" w:name="page120"/>
    <w:bookmarkEnd w:id="119"/>
    <w:p>
      <w:pPr>
        <w:ind w:right="320" w:firstLine="720"/>
        <w:spacing w:after="0" w:line="231" w:lineRule="auto"/>
        <w:rPr>
          <w:sz w:val="20"/>
          <w:szCs w:val="20"/>
          <w:color w:val="auto"/>
        </w:rPr>
      </w:pPr>
      <w:r>
        <w:rPr>
          <w:rFonts w:ascii="Times New Roman" w:cs="Times New Roman" w:eastAsia="Times New Roman" w:hAnsi="Times New Roman"/>
          <w:sz w:val="20"/>
          <w:szCs w:val="20"/>
          <w:i w:val="1"/>
          <w:iCs w:val="1"/>
          <w:color w:val="231F20"/>
        </w:rPr>
        <w:t xml:space="preserve">Loss (Gain) in Fair Value of Contingent Consideration. </w:t>
      </w:r>
      <w:r>
        <w:rPr>
          <w:rFonts w:ascii="Times New Roman" w:cs="Times New Roman" w:eastAsia="Times New Roman" w:hAnsi="Times New Roman"/>
          <w:sz w:val="20"/>
          <w:szCs w:val="20"/>
          <w:color w:val="231F20"/>
        </w:rPr>
        <w:t>The $2.5 million change for the year ended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December 31, 2025, as compared to a $28.1 million change for the year ended December 31, 2024 was primarily related to changes in significant unobservable inputs, including discount rates, and significant assumptions, including future sales estimates.</w:t>
      </w:r>
    </w:p>
    <w:p>
      <w:pPr>
        <w:spacing w:after="0" w:line="183" w:lineRule="exact"/>
        <w:rPr>
          <w:sz w:val="20"/>
          <w:szCs w:val="20"/>
          <w:color w:val="auto"/>
        </w:rPr>
      </w:pPr>
    </w:p>
    <w:p>
      <w:pPr>
        <w:ind w:right="160" w:firstLine="720"/>
        <w:spacing w:after="0" w:line="236" w:lineRule="auto"/>
        <w:rPr>
          <w:sz w:val="20"/>
          <w:szCs w:val="20"/>
          <w:color w:val="auto"/>
        </w:rPr>
      </w:pPr>
      <w:r>
        <w:rPr>
          <w:rFonts w:ascii="Times New Roman" w:cs="Times New Roman" w:eastAsia="Times New Roman" w:hAnsi="Times New Roman"/>
          <w:sz w:val="20"/>
          <w:szCs w:val="20"/>
          <w:i w:val="1"/>
          <w:iCs w:val="1"/>
          <w:color w:val="231F20"/>
        </w:rPr>
        <w:t>Intangible asset amortization</w:t>
      </w:r>
      <w:r>
        <w:rPr>
          <w:rFonts w:ascii="Times New Roman" w:cs="Times New Roman" w:eastAsia="Times New Roman" w:hAnsi="Times New Roman"/>
          <w:sz w:val="20"/>
          <w:szCs w:val="20"/>
          <w:color w:val="231F20"/>
        </w:rPr>
        <w:t>. We amortize the intangible asset, which we recognized as part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Acquisition, over its useful life of 10 years. Intangible asset amortization was $6.4 million for both the years ended December 31, 2025 and 2024.</w:t>
      </w:r>
    </w:p>
    <w:p>
      <w:pPr>
        <w:spacing w:after="0" w:line="183" w:lineRule="exact"/>
        <w:rPr>
          <w:sz w:val="20"/>
          <w:szCs w:val="20"/>
          <w:color w:val="auto"/>
        </w:rPr>
      </w:pPr>
    </w:p>
    <w:p>
      <w:pPr>
        <w:ind w:right="220" w:firstLine="720"/>
        <w:spacing w:after="0" w:line="253" w:lineRule="auto"/>
        <w:rPr>
          <w:sz w:val="20"/>
          <w:szCs w:val="20"/>
          <w:color w:val="auto"/>
        </w:rPr>
      </w:pPr>
      <w:r>
        <w:rPr>
          <w:rFonts w:ascii="Times New Roman" w:cs="Times New Roman" w:eastAsia="Times New Roman" w:hAnsi="Times New Roman"/>
          <w:sz w:val="20"/>
          <w:szCs w:val="20"/>
          <w:i w:val="1"/>
          <w:iCs w:val="1"/>
          <w:color w:val="231F20"/>
        </w:rPr>
        <w:t xml:space="preserve">Interest expense, net. </w:t>
      </w:r>
      <w:r>
        <w:rPr>
          <w:rFonts w:ascii="Times New Roman" w:cs="Times New Roman" w:eastAsia="Times New Roman" w:hAnsi="Times New Roman"/>
          <w:sz w:val="20"/>
          <w:szCs w:val="20"/>
          <w:color w:val="231F20"/>
        </w:rPr>
        <w:t>Interest expense, net, was $6.6 million for both the years ended December 31, 2025</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2024.</w:t>
      </w:r>
    </w:p>
    <w:p>
      <w:pPr>
        <w:spacing w:after="0" w:line="169" w:lineRule="exact"/>
        <w:rPr>
          <w:sz w:val="20"/>
          <w:szCs w:val="20"/>
          <w:color w:val="auto"/>
        </w:rPr>
      </w:pPr>
    </w:p>
    <w:p>
      <w:pPr>
        <w:ind w:right="20" w:firstLine="720"/>
        <w:spacing w:after="0" w:line="231" w:lineRule="auto"/>
        <w:rPr>
          <w:sz w:val="20"/>
          <w:szCs w:val="20"/>
          <w:color w:val="auto"/>
        </w:rPr>
      </w:pPr>
      <w:r>
        <w:rPr>
          <w:rFonts w:ascii="Times New Roman" w:cs="Times New Roman" w:eastAsia="Times New Roman" w:hAnsi="Times New Roman"/>
          <w:sz w:val="20"/>
          <w:szCs w:val="20"/>
          <w:i w:val="1"/>
          <w:iCs w:val="1"/>
          <w:color w:val="231F20"/>
        </w:rPr>
        <w:t xml:space="preserve">Income tax expense. </w:t>
      </w:r>
      <w:r>
        <w:rPr>
          <w:rFonts w:ascii="Times New Roman" w:cs="Times New Roman" w:eastAsia="Times New Roman" w:hAnsi="Times New Roman"/>
          <w:sz w:val="20"/>
          <w:szCs w:val="20"/>
          <w:color w:val="231F20"/>
        </w:rPr>
        <w:t>We recorded an income tax benefit of $0.5 million for the year ended December 31,</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2025 due to favorable return-to-provision adjustments attributable to certain foreign tax returns filed during the year. We recorded an income tax expense of $0.1 million for the year ended December 31, 2024 due to state taxes that we expect to pay based on minimum tax requirements in various states.</w:t>
      </w:r>
    </w:p>
    <w:p>
      <w:pPr>
        <w:spacing w:after="0" w:line="183" w:lineRule="exact"/>
        <w:rPr>
          <w:sz w:val="20"/>
          <w:szCs w:val="20"/>
          <w:color w:val="auto"/>
        </w:rPr>
      </w:pPr>
    </w:p>
    <w:p>
      <w:pPr>
        <w:ind w:right="40" w:firstLine="720"/>
        <w:spacing w:after="0" w:line="226" w:lineRule="auto"/>
        <w:rPr>
          <w:sz w:val="20"/>
          <w:szCs w:val="20"/>
          <w:color w:val="auto"/>
        </w:rPr>
      </w:pPr>
      <w:r>
        <w:rPr>
          <w:rFonts w:ascii="Times New Roman" w:cs="Times New Roman" w:eastAsia="Times New Roman" w:hAnsi="Times New Roman"/>
          <w:sz w:val="20"/>
          <w:szCs w:val="20"/>
          <w:i w:val="1"/>
          <w:iCs w:val="1"/>
          <w:color w:val="231F20"/>
        </w:rPr>
        <w:t xml:space="preserve">Net loss. </w:t>
      </w:r>
      <w:r>
        <w:rPr>
          <w:rFonts w:ascii="Times New Roman" w:cs="Times New Roman" w:eastAsia="Times New Roman" w:hAnsi="Times New Roman"/>
          <w:sz w:val="20"/>
          <w:szCs w:val="20"/>
          <w:color w:val="231F20"/>
        </w:rPr>
        <w:t>Net loss for the year ended December 31, 2025 was $ 183.2 million as compared to $ 287.2 million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for the year ended December 31, 2024. The decrease was primarily due to higher net product revenues from AUVELITY and SUNOSI, which was partially offset by higher selling, general and administrative expenses from commercial activities for AUVELITY, including a national direct-to-consumer advertising campaign and sales force expansion, the commercial launch of SYMBRAVO, and higher personnel costs related to organizational growth, including non-cash stock-based compensation.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244" w:lineRule="exact"/>
        <w:rPr>
          <w:sz w:val="20"/>
          <w:szCs w:val="20"/>
          <w:color w:val="auto"/>
        </w:rPr>
      </w:pPr>
    </w:p>
    <w:p>
      <w:pPr>
        <w:ind w:right="620" w:firstLine="720"/>
        <w:spacing w:after="0" w:line="277" w:lineRule="auto"/>
        <w:rPr>
          <w:sz w:val="20"/>
          <w:szCs w:val="20"/>
          <w:color w:val="auto"/>
        </w:rPr>
      </w:pPr>
      <w:r>
        <w:rPr>
          <w:rFonts w:ascii="Times New Roman" w:cs="Times New Roman" w:eastAsia="Times New Roman" w:hAnsi="Times New Roman"/>
          <w:sz w:val="20"/>
          <w:szCs w:val="20"/>
          <w:color w:val="231F20"/>
        </w:rPr>
        <w:t>Since our inception through December 31, 2025, we have financed our operations primarily through proceeds from equity offerings, debt borrowings, and proceeds from product sales. See discussion below.</w:t>
      </w:r>
    </w:p>
    <w:p>
      <w:pPr>
        <w:spacing w:after="0" w:line="16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In March 2022, we entered into a sales agreement with Leerink, or the March 2022 Sales Agreement with Leerink, and filed a prospectus supplement. The March 2022 Sales Agreement supersedes the sales agreement, dated December 5, 2019, by and between us and Leerink. We exhausted sales of shares of our common stock under our prior at-the-market offering program.</w:t>
      </w:r>
    </w:p>
    <w:p>
      <w:pPr>
        <w:spacing w:after="0" w:line="194"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For the year ended December 31, 2025, we received approximately $52.9 million in gross proceeds through the sale of 451,176 shares, of which net proceeds were approximately $51.9 million. For the year ended December 31, 2024, we received approximately $40.8 million in gross proceeds through the sale of 466,108 shares, of which net proceeds were approximately $40.0 million. We did not utilize the March 2022 Sales Agreement with Leerink during the year ended December 31, 2023.</w:t>
      </w:r>
    </w:p>
    <w:p>
      <w:pPr>
        <w:spacing w:after="0" w:line="197" w:lineRule="exact"/>
        <w:rPr>
          <w:sz w:val="20"/>
          <w:szCs w:val="20"/>
          <w:color w:val="auto"/>
        </w:rPr>
      </w:pPr>
    </w:p>
    <w:p>
      <w:pPr>
        <w:ind w:right="100" w:firstLine="720"/>
        <w:spacing w:after="0" w:line="263" w:lineRule="auto"/>
        <w:rPr>
          <w:sz w:val="20"/>
          <w:szCs w:val="20"/>
          <w:color w:val="auto"/>
        </w:rPr>
      </w:pPr>
      <w:r>
        <w:rPr>
          <w:rFonts w:ascii="Times New Roman" w:cs="Times New Roman" w:eastAsia="Times New Roman" w:hAnsi="Times New Roman"/>
          <w:sz w:val="19"/>
          <w:szCs w:val="19"/>
          <w:color w:val="231F20"/>
        </w:rPr>
        <w:t>In June 2023, we completed an underwritten public offering of our common stock and sold 3.0 million shares of our common stock at a public offering price of $ 75.00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spacing w:after="0" w:line="184"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231F20"/>
        </w:rPr>
        <w:t>In the future, we may conduct additional offerings of one or more of the securities covered by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spacing w:after="0" w:line="197"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231F20"/>
        </w:rPr>
        <w:t>On February 21, 2023, we entered into a Sublease with Advance Magazine Publishers d/b/a Conde Nast for the entirety of the twenty-second floor of One World Trade Center in New York, NY, or the Sublease.</w:t>
      </w:r>
    </w:p>
    <w:p>
      <w:pPr>
        <w:sectPr>
          <w:pgSz w:w="12240" w:h="15840" w:orient="portrait"/>
          <w:cols w:equalWidth="0" w:num="1">
            <w:col w:w="9360"/>
          </w:cols>
          <w:pgMar w:left="1440" w:top="1401"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118</w:t>
      </w:r>
    </w:p>
    <w:p>
      <w:pPr>
        <w:sectPr>
          <w:pgSz w:w="12240" w:h="15840" w:orient="portrait"/>
          <w:cols w:equalWidth="0" w:num="1">
            <w:col w:w="9360"/>
          </w:cols>
          <w:pgMar w:left="1440" w:top="1401" w:right="1440" w:bottom="174" w:gutter="0" w:footer="0" w:header="0"/>
          <w:type w:val="continuous"/>
        </w:sectPr>
      </w:pPr>
    </w:p>
    <w:bookmarkStart w:id="120" w:name="page121"/>
    <w:bookmarkEnd w:id="120"/>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On January 17, 2025, we entered into an Amendment to our Sublease, or the First Amendment, pursuant to which we relinquished our then existing space in One World Trade Center and commenced occupancy of different space within the building. This space is utilized as our corporate and executive offices. The First Amendment extends the Sublease expiration date to January 31, 2036. We now have a one-time option to terminate the Sublease effective March 30, 2031 upon the payment of a fee to the sublandlord. The Company is responsible for base rent under the Sublease and certain additional customary variable costs, such as an allocable portion of building taxes and operating expenses. In connection with the Sublease and First Amendment, we received certain rent and work concessions from the sublandlord.</w:t>
      </w:r>
    </w:p>
    <w:p>
      <w:pPr>
        <w:spacing w:after="0" w:line="202"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231F20"/>
        </w:rPr>
        <w:t>The Company entered into a fleet lease program in the first quarter of 2024. The lease agreement includes an initial 12-month noncancelable period with monthly renewal options thereafter. Lease terms range from approximately 40 to 50 months and are classified as finance leases. See Note 10. Commitments and Contingencies for further information on future contractual obligations.</w:t>
      </w:r>
    </w:p>
    <w:p>
      <w:pPr>
        <w:spacing w:after="0" w:line="194"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19"/>
          <w:szCs w:val="19"/>
          <w:color w:val="231F20"/>
        </w:rPr>
        <w:t>As described below in the “Loan Agreement with Blackstone” section, on May 8, 2025, we entered into the Blackstone Loan Agreement with Blackstone, certain subsidiaries of our party thereto as guarantors, Wilmington Trust, and the Lenders. The Blackstone Loan Agreement provides for Loans in an aggregate principal amount of up to $570.0 million. Further, we entered into a securities purchase agreement with Blackstone, and its affiliates, for the private placement (the “Private Placement”) of an aggregate of 140,000 shares of our common stock, at a purchase price of $107.14 per share. Gross proceeds from the Private Placement were approximately $15.0 million. The closing of the Private Placement occurred contemporaneously with the closing of the Blackstone Loan Agreement.</w:t>
      </w:r>
    </w:p>
    <w:p>
      <w:pPr>
        <w:spacing w:after="0" w:line="187"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231F20"/>
        </w:rPr>
        <w:t>On May 8, 2025, we repaid in full our obligations under the Hercules Loan Agreement using proceeds from the Blackstone Loan Agreement. As of December 31, 2025, there are no outstanding obligations under the Hercules Loan Agreement.</w:t>
      </w:r>
    </w:p>
    <w:p>
      <w:pPr>
        <w:spacing w:after="0" w:line="188"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240" w:lineRule="exact"/>
        <w:rPr>
          <w:sz w:val="20"/>
          <w:szCs w:val="20"/>
          <w:color w:val="auto"/>
        </w:rPr>
      </w:pPr>
    </w:p>
    <w:p>
      <w:pPr>
        <w:ind w:right="780" w:firstLine="72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our primary sources and uses of cash for the periods indicated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r>
      <w:tr>
        <w:trPr>
          <w:trHeight w:val="179"/>
        </w:trPr>
        <w:tc>
          <w:tcPr>
            <w:tcW w:w="6340" w:type="dxa"/>
            <w:vAlign w:val="bottom"/>
            <w:tcBorders>
              <w:bottom w:val="single" w:sz="8" w:color="EBECEC"/>
            </w:tcBorders>
          </w:tcPr>
          <w:p>
            <w:pPr>
              <w:spacing w:after="0"/>
              <w:rPr>
                <w:sz w:val="15"/>
                <w:szCs w:val="15"/>
                <w:color w:val="auto"/>
              </w:rPr>
            </w:pPr>
          </w:p>
        </w:tc>
        <w:tc>
          <w:tcPr>
            <w:tcW w:w="320" w:type="dxa"/>
            <w:vAlign w:val="bottom"/>
            <w:tcBorders>
              <w:top w:val="single" w:sz="8" w:color="231F20"/>
              <w:bottom w:val="single" w:sz="8" w:color="231F20"/>
            </w:tcBorders>
          </w:tcPr>
          <w:p>
            <w:pPr>
              <w:spacing w:after="0"/>
              <w:rPr>
                <w:sz w:val="15"/>
                <w:szCs w:val="15"/>
                <w:color w:val="auto"/>
              </w:rPr>
            </w:pPr>
          </w:p>
        </w:tc>
        <w:tc>
          <w:tcPr>
            <w:tcW w:w="1040" w:type="dxa"/>
            <w:vAlign w:val="bottom"/>
            <w:tcBorders>
              <w:top w:val="single" w:sz="8" w:color="231F20"/>
              <w:bottom w:val="single" w:sz="8" w:color="231F20"/>
            </w:tcBorders>
          </w:tcPr>
          <w:p>
            <w:pPr>
              <w:jc w:val="right"/>
              <w:ind w:right="427"/>
              <w:spacing w:after="0" w:line="179" w:lineRule="exact"/>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top w:val="single" w:sz="8" w:color="231F20"/>
              <w:bottom w:val="single" w:sz="8" w:color="EBECEC"/>
            </w:tcBorders>
          </w:tcPr>
          <w:p>
            <w:pPr>
              <w:spacing w:after="0"/>
              <w:rPr>
                <w:sz w:val="15"/>
                <w:szCs w:val="15"/>
                <w:color w:val="auto"/>
              </w:rPr>
            </w:pPr>
          </w:p>
        </w:tc>
        <w:tc>
          <w:tcPr>
            <w:tcW w:w="300" w:type="dxa"/>
            <w:vAlign w:val="bottom"/>
            <w:tcBorders>
              <w:top w:val="single" w:sz="8" w:color="231F20"/>
              <w:bottom w:val="single" w:sz="8" w:color="231F20"/>
            </w:tcBorders>
          </w:tcPr>
          <w:p>
            <w:pPr>
              <w:spacing w:after="0"/>
              <w:rPr>
                <w:sz w:val="15"/>
                <w:szCs w:val="15"/>
                <w:color w:val="auto"/>
              </w:rPr>
            </w:pPr>
          </w:p>
        </w:tc>
        <w:tc>
          <w:tcPr>
            <w:tcW w:w="1040" w:type="dxa"/>
            <w:vAlign w:val="bottom"/>
            <w:tcBorders>
              <w:top w:val="single" w:sz="8" w:color="231F20"/>
              <w:bottom w:val="single" w:sz="8" w:color="231F20"/>
            </w:tcBorders>
          </w:tcPr>
          <w:p>
            <w:pPr>
              <w:jc w:val="right"/>
              <w:ind w:right="424"/>
              <w:spacing w:after="0" w:line="179" w:lineRule="exact"/>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BECEC"/>
            </w:tcBorders>
          </w:tcPr>
          <w:p>
            <w:pPr>
              <w:spacing w:after="0"/>
              <w:rPr>
                <w:sz w:val="15"/>
                <w:szCs w:val="15"/>
                <w:color w:val="auto"/>
              </w:rPr>
            </w:pPr>
          </w:p>
        </w:tc>
      </w:tr>
      <w:tr>
        <w:trPr>
          <w:trHeight w:val="225"/>
        </w:trPr>
        <w:tc>
          <w:tcPr>
            <w:tcW w:w="634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Net cash (used in) provided by:</w:t>
            </w:r>
          </w:p>
        </w:tc>
        <w:tc>
          <w:tcPr>
            <w:tcW w:w="320" w:type="dxa"/>
            <w:vAlign w:val="bottom"/>
            <w:shd w:val="clear" w:color="auto" w:fill="EBECEC"/>
          </w:tcPr>
          <w:p>
            <w:pPr>
              <w:spacing w:after="0"/>
              <w:rPr>
                <w:sz w:val="19"/>
                <w:szCs w:val="19"/>
                <w:color w:val="auto"/>
              </w:rPr>
            </w:pPr>
          </w:p>
        </w:tc>
        <w:tc>
          <w:tcPr>
            <w:tcW w:w="1040" w:type="dxa"/>
            <w:vAlign w:val="bottom"/>
            <w:shd w:val="clear" w:color="auto" w:fill="EBECEC"/>
          </w:tcPr>
          <w:p>
            <w:pPr>
              <w:spacing w:after="0"/>
              <w:rPr>
                <w:sz w:val="19"/>
                <w:szCs w:val="19"/>
                <w:color w:val="auto"/>
              </w:rPr>
            </w:pPr>
          </w:p>
        </w:tc>
        <w:tc>
          <w:tcPr>
            <w:tcW w:w="240" w:type="dxa"/>
            <w:vAlign w:val="bottom"/>
            <w:shd w:val="clear" w:color="auto" w:fill="EBECEC"/>
          </w:tcPr>
          <w:p>
            <w:pPr>
              <w:spacing w:after="0"/>
              <w:rPr>
                <w:sz w:val="19"/>
                <w:szCs w:val="19"/>
                <w:color w:val="auto"/>
              </w:rPr>
            </w:pPr>
          </w:p>
        </w:tc>
        <w:tc>
          <w:tcPr>
            <w:tcW w:w="300" w:type="dxa"/>
            <w:vAlign w:val="bottom"/>
            <w:shd w:val="clear" w:color="auto" w:fill="EBECEC"/>
          </w:tcPr>
          <w:p>
            <w:pPr>
              <w:spacing w:after="0"/>
              <w:rPr>
                <w:sz w:val="19"/>
                <w:szCs w:val="19"/>
                <w:color w:val="auto"/>
              </w:rPr>
            </w:pPr>
          </w:p>
        </w:tc>
        <w:tc>
          <w:tcPr>
            <w:tcW w:w="1040" w:type="dxa"/>
            <w:vAlign w:val="bottom"/>
            <w:shd w:val="clear" w:color="auto" w:fill="EBECEC"/>
          </w:tcPr>
          <w:p>
            <w:pPr>
              <w:spacing w:after="0"/>
              <w:rPr>
                <w:sz w:val="19"/>
                <w:szCs w:val="19"/>
                <w:color w:val="auto"/>
              </w:rPr>
            </w:pPr>
          </w:p>
        </w:tc>
        <w:tc>
          <w:tcPr>
            <w:tcW w:w="80" w:type="dxa"/>
            <w:vAlign w:val="bottom"/>
            <w:shd w:val="clear" w:color="auto" w:fill="EBECEC"/>
          </w:tcPr>
          <w:p>
            <w:pPr>
              <w:spacing w:after="0"/>
              <w:rPr>
                <w:sz w:val="19"/>
                <w:szCs w:val="19"/>
                <w:color w:val="auto"/>
              </w:rPr>
            </w:pPr>
          </w:p>
        </w:tc>
      </w:tr>
      <w:tr>
        <w:trPr>
          <w:trHeight w:val="230"/>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activities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(93,405)</w:t>
            </w:r>
          </w:p>
        </w:tc>
        <w:tc>
          <w:tcPr>
            <w:tcW w:w="24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(128,410)</w:t>
            </w:r>
          </w:p>
        </w:tc>
        <w:tc>
          <w:tcPr>
            <w:tcW w:w="80" w:type="dxa"/>
            <w:vAlign w:val="bottom"/>
          </w:tcPr>
          <w:p>
            <w:pPr>
              <w:spacing w:after="0"/>
              <w:rPr>
                <w:sz w:val="20"/>
                <w:szCs w:val="20"/>
                <w:color w:val="auto"/>
              </w:rPr>
            </w:pPr>
          </w:p>
        </w:tc>
      </w:tr>
      <w:tr>
        <w:trPr>
          <w:trHeight w:val="230"/>
        </w:trPr>
        <w:tc>
          <w:tcPr>
            <w:tcW w:w="63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Investing activities</w:t>
            </w:r>
          </w:p>
        </w:tc>
        <w:tc>
          <w:tcPr>
            <w:tcW w:w="320" w:type="dxa"/>
            <w:vAlign w:val="bottom"/>
            <w:shd w:val="clear" w:color="auto" w:fill="EBECEC"/>
          </w:tcPr>
          <w:p>
            <w:pPr>
              <w:spacing w:after="0"/>
              <w:rPr>
                <w:sz w:val="20"/>
                <w:szCs w:val="20"/>
                <w:color w:val="auto"/>
              </w:rPr>
            </w:pPr>
          </w:p>
        </w:tc>
        <w:tc>
          <w:tcPr>
            <w:tcW w:w="1280" w:type="dxa"/>
            <w:vAlign w:val="bottom"/>
            <w:gridSpan w:val="2"/>
            <w:shd w:val="clear" w:color="auto" w:fill="EBECEC"/>
          </w:tcPr>
          <w:p>
            <w:pPr>
              <w:jc w:val="right"/>
              <w:ind w:right="180"/>
              <w:spacing w:after="0"/>
              <w:rPr>
                <w:sz w:val="20"/>
                <w:szCs w:val="20"/>
                <w:color w:val="auto"/>
              </w:rPr>
            </w:pPr>
            <w:r>
              <w:rPr>
                <w:rFonts w:ascii="Times New Roman" w:cs="Times New Roman" w:eastAsia="Times New Roman" w:hAnsi="Times New Roman"/>
                <w:sz w:val="20"/>
                <w:szCs w:val="20"/>
                <w:color w:val="231F20"/>
              </w:rPr>
              <w:t>(480)</w:t>
            </w:r>
          </w:p>
        </w:tc>
        <w:tc>
          <w:tcPr>
            <w:tcW w:w="300" w:type="dxa"/>
            <w:vAlign w:val="bottom"/>
            <w:shd w:val="clear" w:color="auto" w:fill="EBECEC"/>
          </w:tcPr>
          <w:p>
            <w:pPr>
              <w:spacing w:after="0"/>
              <w:rPr>
                <w:sz w:val="20"/>
                <w:szCs w:val="20"/>
                <w:color w:val="auto"/>
              </w:rPr>
            </w:pPr>
          </w:p>
        </w:tc>
        <w:tc>
          <w:tcPr>
            <w:tcW w:w="112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(270)</w:t>
            </w:r>
          </w:p>
        </w:tc>
      </w:tr>
      <w:tr>
        <w:trPr>
          <w:trHeight w:val="230"/>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Financing activities</w:t>
            </w:r>
          </w:p>
        </w:tc>
        <w:tc>
          <w:tcPr>
            <w:tcW w:w="3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101,465</w:t>
            </w:r>
          </w:p>
        </w:tc>
        <w:tc>
          <w:tcPr>
            <w:tcW w:w="3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57,840</w:t>
            </w:r>
          </w:p>
        </w:tc>
      </w:tr>
      <w:tr>
        <w:trPr>
          <w:trHeight w:val="225"/>
        </w:trPr>
        <w:tc>
          <w:tcPr>
            <w:tcW w:w="6340" w:type="dxa"/>
            <w:vAlign w:val="bottom"/>
            <w:tcBorders>
              <w:top w:val="single" w:sz="8" w:color="EBECEC"/>
            </w:tcBorders>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Net increase (decrease) in cash</w:t>
            </w:r>
          </w:p>
        </w:tc>
        <w:tc>
          <w:tcPr>
            <w:tcW w:w="320" w:type="dxa"/>
            <w:vAlign w:val="bottom"/>
            <w:tcBorders>
              <w:top w:val="single" w:sz="8" w:color="231F20"/>
              <w:bottom w:val="single" w:sz="8" w:color="231F20"/>
            </w:tcBorders>
            <w:shd w:val="clear" w:color="auto" w:fill="EBECEC"/>
          </w:tcPr>
          <w:p>
            <w:pPr>
              <w:jc w:val="right"/>
              <w:ind w:right="12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top w:val="single" w:sz="8" w:color="231F20"/>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7,580</w:t>
            </w:r>
          </w:p>
        </w:tc>
        <w:tc>
          <w:tcPr>
            <w:tcW w:w="240" w:type="dxa"/>
            <w:vAlign w:val="bottom"/>
            <w:tcBorders>
              <w:top w:val="single" w:sz="8" w:color="EBECEC"/>
            </w:tcBorders>
            <w:shd w:val="clear" w:color="auto" w:fill="EBECEC"/>
          </w:tcPr>
          <w:p>
            <w:pPr>
              <w:spacing w:after="0"/>
              <w:rPr>
                <w:sz w:val="19"/>
                <w:szCs w:val="19"/>
                <w:color w:val="auto"/>
              </w:rPr>
            </w:pPr>
          </w:p>
        </w:tc>
        <w:tc>
          <w:tcPr>
            <w:tcW w:w="300" w:type="dxa"/>
            <w:vAlign w:val="bottom"/>
            <w:tcBorders>
              <w:top w:val="single" w:sz="8" w:color="231F20"/>
              <w:bottom w:val="single" w:sz="8" w:color="231F20"/>
            </w:tcBorders>
            <w:shd w:val="clear" w:color="auto" w:fill="EBECEC"/>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Borders>
              <w:top w:val="single" w:sz="8" w:color="231F20"/>
              <w:bottom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(70,840)</w:t>
            </w:r>
          </w:p>
        </w:tc>
        <w:tc>
          <w:tcPr>
            <w:tcW w:w="80" w:type="dxa"/>
            <w:vAlign w:val="bottom"/>
            <w:tcBorders>
              <w:top w:val="single" w:sz="8" w:color="EBECEC"/>
            </w:tcBorders>
            <w:shd w:val="clear" w:color="auto" w:fill="EBECEC"/>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Operating Activities. </w:t>
      </w:r>
      <w:r>
        <w:rPr>
          <w:rFonts w:ascii="Times New Roman" w:cs="Times New Roman" w:eastAsia="Times New Roman" w:hAnsi="Times New Roman"/>
          <w:sz w:val="20"/>
          <w:szCs w:val="20"/>
          <w:color w:val="231F20"/>
        </w:rPr>
        <w:t>Cash used in operating activities for the year ended December 31, 2025 was $93.4</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million as compared to $ 128.4 million for the year ended December 31, 2024. The decrease of $ 35.0 million was mainly due to higher net product revenues from AUVELITY and SUNOSI, which was offset by the increase in cash used in commercial activities in 2025.</w:t>
      </w:r>
    </w:p>
    <w:p>
      <w:pPr>
        <w:spacing w:after="0" w:line="194" w:lineRule="exact"/>
        <w:rPr>
          <w:sz w:val="20"/>
          <w:szCs w:val="20"/>
          <w:color w:val="auto"/>
        </w:rPr>
      </w:pPr>
    </w:p>
    <w:p>
      <w:pPr>
        <w:ind w:right="360" w:firstLine="720"/>
        <w:spacing w:after="0" w:line="258" w:lineRule="auto"/>
        <w:rPr>
          <w:sz w:val="20"/>
          <w:szCs w:val="20"/>
          <w:color w:val="auto"/>
        </w:rPr>
      </w:pPr>
      <w:r>
        <w:rPr>
          <w:rFonts w:ascii="Times New Roman" w:cs="Times New Roman" w:eastAsia="Times New Roman" w:hAnsi="Times New Roman"/>
          <w:sz w:val="20"/>
          <w:szCs w:val="20"/>
          <w:i w:val="1"/>
          <w:iCs w:val="1"/>
          <w:color w:val="231F20"/>
        </w:rPr>
        <w:t xml:space="preserve">Investing Activities. </w:t>
      </w:r>
      <w:r>
        <w:rPr>
          <w:rFonts w:ascii="Times New Roman" w:cs="Times New Roman" w:eastAsia="Times New Roman" w:hAnsi="Times New Roman"/>
          <w:sz w:val="20"/>
          <w:szCs w:val="20"/>
          <w:color w:val="231F20"/>
        </w:rPr>
        <w:t>Cash used in investing activities for the year ended December 31, 2025 was $480</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thousand, as compared to $270 thousand for the year ended December 31, 2024. The increase was mainly due to additional equipment purchases to support our organizational growth.</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119</w:t>
      </w:r>
    </w:p>
    <w:p>
      <w:pPr>
        <w:sectPr>
          <w:pgSz w:w="12240" w:h="15840" w:orient="portrait"/>
          <w:cols w:equalWidth="0" w:num="1">
            <w:col w:w="9360"/>
          </w:cols>
          <w:pgMar w:left="1440" w:top="1420" w:right="1440" w:bottom="174" w:gutter="0" w:footer="0" w:header="0"/>
          <w:type w:val="continuous"/>
        </w:sectPr>
      </w:pPr>
    </w:p>
    <w:bookmarkStart w:id="121" w:name="page122"/>
    <w:bookmarkEnd w:id="121"/>
    <w:p>
      <w:pPr>
        <w:ind w:right="40" w:firstLine="72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Financing Activities. </w:t>
      </w:r>
      <w:r>
        <w:rPr>
          <w:rFonts w:ascii="Times New Roman" w:cs="Times New Roman" w:eastAsia="Times New Roman" w:hAnsi="Times New Roman"/>
          <w:sz w:val="20"/>
          <w:szCs w:val="20"/>
          <w:color w:val="231F20"/>
        </w:rPr>
        <w:t>Cash provided by financing activities was $101.5 million for the year ended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December 31, 2025, which primarily included net proceeds of $66.7 million from issuance of common stock for financing purposes as well as proceeds of $59.6 million from the issuance of common stock upon the exercise of employee stock options and under the 2023 Employee Stock Purchase Plan, or ESPP, which was partially offset by payments of contingent consideration and tax withholdings on stock awards, for a total of $17.1 million. Financing activities also include $330.0 million in gross proceeds from the Blackstone term loan and revolving credit facilities and $332.0 million in repayments for the Hercules term loan and Blackstone revolving credit facilities. Cash provided by financing activities was $57.8 million for the year ended December 31, 2024, which included net proceeds of $40.0 million from issuance of common stock for financing purposes as well as proceeds of $30.7 million from the issuance of common stock upon the exercise of employee stock options and under the ESPP, which was partially offset by payments of contingent consideration and tax withholdings on stock awards, for a total of $11.8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Funding Requirements</w:t>
      </w:r>
    </w:p>
    <w:p>
      <w:pPr>
        <w:spacing w:after="0" w:line="244"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231F20"/>
        </w:rPr>
        <w:t>We have not achieved profitability since our inception, and we expect to continue to have losses as we continue the development of, and seek regulatory approvals for, our product candidates, while further investing in AUVELITY, SUNOSI, and SYMBRAVO. We are subject to all of the risks pertinent to the development of new product candidates, and we may encounter unforeseen expenses, difficulties, complications, delays, and other unknown factors that may harm our business.</w:t>
      </w:r>
    </w:p>
    <w:p>
      <w:pPr>
        <w:spacing w:after="0" w:line="197"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color w:val="231F20"/>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214" w:lineRule="exact"/>
        <w:rPr>
          <w:sz w:val="20"/>
          <w:szCs w:val="20"/>
          <w:color w:val="auto"/>
        </w:rPr>
      </w:pPr>
    </w:p>
    <w:p>
      <w:pPr>
        <w:ind w:left="720" w:hanging="360"/>
        <w:spacing w:after="0"/>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rate of progress, results, and cost of our clinical studies and other related activities;</w:t>
      </w:r>
    </w:p>
    <w:p>
      <w:pPr>
        <w:spacing w:after="0" w:line="253" w:lineRule="exact"/>
        <w:rPr>
          <w:rFonts w:ascii="Arial" w:cs="Arial" w:eastAsia="Arial" w:hAnsi="Arial"/>
          <w:sz w:val="20"/>
          <w:szCs w:val="20"/>
          <w:color w:val="231F20"/>
        </w:rPr>
      </w:pPr>
    </w:p>
    <w:p>
      <w:pPr>
        <w:ind w:left="720" w:hanging="360"/>
        <w:spacing w:after="0" w:line="276" w:lineRule="auto"/>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enter into collaborative agreements for the development and commercialization of our product candidates;</w:t>
      </w:r>
    </w:p>
    <w:p>
      <w:pPr>
        <w:spacing w:after="0" w:line="184" w:lineRule="exact"/>
        <w:rPr>
          <w:rFonts w:ascii="Arial" w:cs="Arial" w:eastAsia="Arial" w:hAnsi="Arial"/>
          <w:sz w:val="20"/>
          <w:szCs w:val="20"/>
          <w:color w:val="231F20"/>
        </w:rPr>
      </w:pPr>
    </w:p>
    <w:p>
      <w:pPr>
        <w:ind w:left="720" w:hanging="360"/>
        <w:spacing w:after="0"/>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number and development requirements of any other product candidates that we pursue;</w:t>
      </w:r>
    </w:p>
    <w:p>
      <w:pPr>
        <w:spacing w:after="0" w:line="253" w:lineRule="exact"/>
        <w:rPr>
          <w:rFonts w:ascii="Arial" w:cs="Arial" w:eastAsia="Arial" w:hAnsi="Arial"/>
          <w:sz w:val="20"/>
          <w:szCs w:val="20"/>
          <w:color w:val="231F20"/>
        </w:rPr>
      </w:pPr>
    </w:p>
    <w:p>
      <w:pPr>
        <w:ind w:left="720" w:hanging="360"/>
        <w:spacing w:after="0"/>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timing, and outcome of regulatory reviews of our product candidates;</w:t>
      </w:r>
    </w:p>
    <w:p>
      <w:pPr>
        <w:spacing w:after="0" w:line="253" w:lineRule="exact"/>
        <w:rPr>
          <w:rFonts w:ascii="Arial" w:cs="Arial" w:eastAsia="Arial" w:hAnsi="Arial"/>
          <w:sz w:val="20"/>
          <w:szCs w:val="20"/>
          <w:color w:val="231F20"/>
        </w:rPr>
      </w:pPr>
    </w:p>
    <w:p>
      <w:pPr>
        <w:ind w:left="720" w:hanging="360"/>
        <w:spacing w:after="0" w:line="276" w:lineRule="auto"/>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and timing of our commercialization activities, including product manufacturing, marketing, sales, and distribution, for any of our products and product candidates for which we receive marketing approval;</w:t>
      </w:r>
    </w:p>
    <w:p>
      <w:pPr>
        <w:spacing w:after="0" w:line="184" w:lineRule="exact"/>
        <w:rPr>
          <w:rFonts w:ascii="Arial" w:cs="Arial" w:eastAsia="Arial" w:hAnsi="Arial"/>
          <w:sz w:val="20"/>
          <w:szCs w:val="20"/>
          <w:color w:val="231F20"/>
        </w:rPr>
      </w:pPr>
    </w:p>
    <w:p>
      <w:pPr>
        <w:ind w:left="720" w:hanging="360"/>
        <w:spacing w:after="0"/>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any product liability or other lawsuits related to our product candidates;</w:t>
      </w:r>
    </w:p>
    <w:p>
      <w:pPr>
        <w:spacing w:after="0" w:line="253" w:lineRule="exact"/>
        <w:rPr>
          <w:rFonts w:ascii="Arial" w:cs="Arial" w:eastAsia="Arial" w:hAnsi="Arial"/>
          <w:sz w:val="20"/>
          <w:szCs w:val="20"/>
          <w:color w:val="231F20"/>
        </w:rPr>
      </w:pPr>
    </w:p>
    <w:p>
      <w:pPr>
        <w:ind w:left="720" w:hanging="360"/>
        <w:spacing w:after="0"/>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expenses needed to attract and retain skilled personnel;</w:t>
      </w:r>
    </w:p>
    <w:p>
      <w:pPr>
        <w:spacing w:after="0" w:line="253" w:lineRule="exact"/>
        <w:rPr>
          <w:rFonts w:ascii="Arial" w:cs="Arial" w:eastAsia="Arial" w:hAnsi="Arial"/>
          <w:sz w:val="20"/>
          <w:szCs w:val="20"/>
          <w:color w:val="231F20"/>
        </w:rPr>
      </w:pPr>
    </w:p>
    <w:p>
      <w:pPr>
        <w:ind w:left="720" w:hanging="360"/>
        <w:spacing w:after="0"/>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general and administrative expenses related to being a public company;</w:t>
      </w:r>
    </w:p>
    <w:p>
      <w:pPr>
        <w:spacing w:after="0" w:line="253" w:lineRule="exact"/>
        <w:rPr>
          <w:rFonts w:ascii="Arial" w:cs="Arial" w:eastAsia="Arial" w:hAnsi="Arial"/>
          <w:sz w:val="20"/>
          <w:szCs w:val="20"/>
          <w:color w:val="231F20"/>
        </w:rPr>
      </w:pPr>
    </w:p>
    <w:p>
      <w:pPr>
        <w:ind w:left="720" w:right="220" w:hanging="360"/>
        <w:spacing w:after="0" w:line="276" w:lineRule="auto"/>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revenue received from commercial sales of our products and product candidates for which we receive marketing approval; and</w:t>
      </w:r>
    </w:p>
    <w:p>
      <w:pPr>
        <w:spacing w:after="0" w:line="184" w:lineRule="exact"/>
        <w:rPr>
          <w:rFonts w:ascii="Arial" w:cs="Arial" w:eastAsia="Arial" w:hAnsi="Arial"/>
          <w:sz w:val="20"/>
          <w:szCs w:val="20"/>
          <w:color w:val="231F20"/>
        </w:rPr>
      </w:pPr>
    </w:p>
    <w:p>
      <w:pPr>
        <w:ind w:left="720" w:right="180" w:hanging="360"/>
        <w:spacing w:after="0" w:line="256" w:lineRule="exact"/>
        <w:tabs>
          <w:tab w:leader="none" w:pos="72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costs involved in preparing, filing, and prosecuting patent applications, maintaining and enforcing our intellectual property rights, and defending our intellectual property</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related claims.</w:t>
      </w:r>
    </w:p>
    <w:p>
      <w:pPr>
        <w:spacing w:after="0" w:line="219" w:lineRule="exact"/>
        <w:rPr>
          <w:rFonts w:ascii="Arial" w:cs="Arial" w:eastAsia="Arial" w:hAnsi="Arial"/>
          <w:sz w:val="20"/>
          <w:szCs w:val="20"/>
          <w:color w:val="231F20"/>
        </w:rPr>
      </w:pPr>
    </w:p>
    <w:p>
      <w:pPr>
        <w:ind w:left="720"/>
        <w:spacing w:after="0"/>
        <w:rPr>
          <w:rFonts w:ascii="Arial" w:cs="Arial" w:eastAsia="Arial" w:hAnsi="Arial"/>
          <w:sz w:val="20"/>
          <w:szCs w:val="20"/>
          <w:color w:val="231F20"/>
        </w:rPr>
      </w:pPr>
      <w:r>
        <w:rPr>
          <w:rFonts w:ascii="Times New Roman" w:cs="Times New Roman" w:eastAsia="Times New Roman" w:hAnsi="Times New Roman"/>
          <w:sz w:val="20"/>
          <w:szCs w:val="20"/>
          <w:color w:val="231F20"/>
        </w:rPr>
        <w:t>Please see “Risk Factors” for additional risks associated with our substantial capital requirements.</w:t>
      </w:r>
    </w:p>
    <w:p>
      <w:pPr>
        <w:sectPr>
          <w:pgSz w:w="12240" w:h="15840" w:orient="portrait"/>
          <w:cols w:equalWidth="0" w:num="1">
            <w:col w:w="9360"/>
          </w:cols>
          <w:pgMar w:left="1440" w:top="1420"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120</w:t>
      </w:r>
    </w:p>
    <w:p>
      <w:pPr>
        <w:sectPr>
          <w:pgSz w:w="12240" w:h="15840" w:orient="portrait"/>
          <w:cols w:equalWidth="0" w:num="1">
            <w:col w:w="9360"/>
          </w:cols>
          <w:pgMar w:left="1440" w:top="1420" w:right="1440" w:bottom="174"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color w:val="231F20"/>
        </w:rPr>
        <w:t>Contractual Obligations and Commitments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License agreement with Pfizer</w:t>
      </w:r>
    </w:p>
    <w:p>
      <w:pPr>
        <w:spacing w:after="0" w:line="238"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200"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Pfizer can also receive up to $323 million upon the achievement of certain regulatory and sales milestones, and tiered mid-single to low double-digit royalties on future sales of any such approved clinical products containing compounds reboxetine and esreboxetine. Pfizer will also have a right of first negotiation on any potential future strategic transactions involving AXS-12 and AXS-14.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License agreements with Antecip Bioventures</w:t>
      </w:r>
    </w:p>
    <w:p>
      <w:pPr>
        <w:spacing w:after="0" w:line="23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Under three exclusive license agreements with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9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In connection with the Blackstone Loan Agreement (see below), Antecip consented to the collateral assignment of one of the license agreements, among other things, under a direct agreement among us, Antecip, a related party, and Blackstone. This new direct agreement superseded the prior direct agreement among us, Antecip, a related party, and Hercules Capital, Inc. (“Hercules”) that had been entered into in connection with the Hercules Loan Agreement, which terminated automatically upon repayment of our Hercules loan obligations in full on May 8,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Asset Acquisitions</w:t>
      </w:r>
    </w:p>
    <w:p>
      <w:pPr>
        <w:spacing w:after="0" w:line="238"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In November 2025, we acquired all the outstanding shares of Baergic. The acquisition provided global rights to AZD7325 (AXS-17), an oral GABA</w:t>
      </w:r>
      <w:r>
        <w:rPr>
          <w:rFonts w:ascii="Times New Roman" w:cs="Times New Roman" w:eastAsia="Times New Roman" w:hAnsi="Times New Roman"/>
          <w:sz w:val="13"/>
          <w:szCs w:val="13"/>
          <w:color w:val="231F20"/>
        </w:rPr>
        <w:t>A</w:t>
      </w:r>
      <w:r>
        <w:rPr>
          <w:rFonts w:ascii="Times New Roman" w:cs="Times New Roman" w:eastAsia="Times New Roman" w:hAnsi="Times New Roman"/>
          <w:sz w:val="20"/>
          <w:szCs w:val="20"/>
          <w:color w:val="231F20"/>
        </w:rPr>
        <w:t xml:space="preserve"> receptor α2,3 subtype-selective PAM, originally licensed from AstraZeneca AB (AZ), for the potential treatment of epilepsy. We also assumed the AZD7325 license agreement between Baergic and AZ. The total upfront payment was $2.3 million, and the former Baergic shareholders and AZ are also eligible to receive contingent development, regulatory and sales-based milestone payments of up to $159.5 million and tiered low double-digit to mid-teen royalties on potential global net sales of AZD7325.</w:t>
      </w:r>
    </w:p>
    <w:p>
      <w:pPr>
        <w:spacing w:after="0" w:line="200"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231F20"/>
        </w:rPr>
        <w:t>In December 2025, we acquired the global rights to deuterium-stabilized S-bupropion from DeuteRx. DeuteRx is eligible to receive contingent development, regulatory and sales-based milestones of up to $523 million and a tiered low single-digit royalty on potential global net sales.</w:t>
      </w:r>
    </w:p>
    <w:p>
      <w:pPr>
        <w:sectPr>
          <w:pgSz w:w="12240" w:h="15840" w:orient="portrait"/>
          <w:cols w:equalWidth="0" w:num="1">
            <w:col w:w="9360"/>
          </w:cols>
          <w:pgMar w:left="1440" w:top="1416"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121</w:t>
      </w:r>
    </w:p>
    <w:p>
      <w:pPr>
        <w:sectPr>
          <w:pgSz w:w="12240" w:h="15840" w:orient="portrait"/>
          <w:cols w:equalWidth="0" w:num="1">
            <w:col w:w="9360"/>
          </w:cols>
          <w:pgMar w:left="1440" w:top="1416" w:right="1440" w:bottom="174"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i w:val="1"/>
          <w:iCs w:val="1"/>
          <w:color w:val="231F20"/>
        </w:rPr>
        <w:t>Loan Agreement with Blackstone.</w:t>
      </w:r>
    </w:p>
    <w:p>
      <w:pPr>
        <w:spacing w:after="0" w:line="238"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On the Closing Date, we entered into the Blackstone Loan Agreement with Blackstone, certain subsidiaries of ours party thereto as guarantors, Wilmington Trust, and the Lenders, providing for loans in an aggregate principal amount of up to $ 570.0 million, consisting of (i) a first lien senior secured term loan in an aggregate principal amount of $ 120.0 million funded to us on the Closing Date, (ii) a $ 180.0 million senior secured term loan which is available to us at our option, of which $90.0 million is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approximately $10.4 million in the Company’s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w:t>
      </w:r>
    </w:p>
    <w:p>
      <w:pPr>
        <w:spacing w:after="0" w:line="206"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231F20"/>
        </w:rPr>
        <w:t>On May 8, 2025, we repaid in full our obligations under the Hercules Loan Agreement using proceeds from the Blackstone Loan Agreement. As of December 31, 2025, there are no outstanding obligations under the Hercules Loan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Royalty Agreements</w:t>
      </w:r>
    </w:p>
    <w:p>
      <w:pPr>
        <w:spacing w:after="0" w:line="238"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231F20"/>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97"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$162.5 million based on revenue milestones and $1.0 million based on development milestones.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Shelf Registration Statement</w:t>
      </w:r>
    </w:p>
    <w:p>
      <w:pPr>
        <w:spacing w:after="0" w:line="24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On November 3, 2025, we filed an automatic shelf registration statement (File No. 333-291228) with the SEC for the issuance of common stock, preferred stock, warrants, rights, debt securities, and units up to an unlimited amount, which we refer to as the 2025 Shelf Registration Statement. In the future, we may conduct additional offerings of one or more of these securities utilizing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spacing w:after="0" w:line="20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231F20"/>
        </w:rPr>
        <w:t>Also in connection with the 2025 Shelf Registration Statement, we filed a new sales agreement prospectus to replace the prior prospectus supplement filed in December 2022, which would have expired in December 2025. The new sales agreement prospectus covered the issuance and sale by us of up to the same $250 million of our common stock that may be issued and sold from time to time through Leerink, as the sales agent, under the March 2022 Sales Agreement.</w:t>
      </w:r>
    </w:p>
    <w:p>
      <w:pPr>
        <w:sectPr>
          <w:pgSz w:w="12240" w:h="15840" w:orient="portrait"/>
          <w:cols w:equalWidth="0" w:num="1">
            <w:col w:w="9360"/>
          </w:cols>
          <w:pgMar w:left="1440" w:top="1422"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122</w:t>
      </w:r>
    </w:p>
    <w:p>
      <w:pPr>
        <w:sectPr>
          <w:pgSz w:w="12240" w:h="15840" w:orient="portrait"/>
          <w:cols w:equalWidth="0" w:num="1">
            <w:col w:w="9360"/>
          </w:cols>
          <w:pgMar w:left="1440" w:top="1422" w:right="1440" w:bottom="174"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color w:val="231F20"/>
        </w:rPr>
        <w:t>Off-Balance Sheet Arrangements</w:t>
      </w:r>
    </w:p>
    <w:p>
      <w:pPr>
        <w:spacing w:after="0" w:line="259" w:lineRule="exact"/>
        <w:rPr>
          <w:sz w:val="20"/>
          <w:szCs w:val="20"/>
          <w:color w:val="auto"/>
        </w:rPr>
      </w:pPr>
    </w:p>
    <w:p>
      <w:pPr>
        <w:ind w:right="740" w:firstLine="720"/>
        <w:spacing w:after="0" w:line="255" w:lineRule="exact"/>
        <w:rPr>
          <w:sz w:val="20"/>
          <w:szCs w:val="20"/>
          <w:color w:val="auto"/>
        </w:rPr>
      </w:pPr>
      <w:r>
        <w:rPr>
          <w:rFonts w:ascii="Times New Roman" w:cs="Times New Roman" w:eastAsia="Times New Roman" w:hAnsi="Times New Roman"/>
          <w:sz w:val="20"/>
          <w:szCs w:val="20"/>
          <w:color w:val="231F20"/>
        </w:rPr>
        <w:t>We did not have during the periods presented, and we do not currently have, any off</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balance sheet arrangements, as defined by applicable SEC regulations.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244" w:lineRule="exact"/>
        <w:rPr>
          <w:sz w:val="20"/>
          <w:szCs w:val="20"/>
          <w:color w:val="auto"/>
        </w:rPr>
      </w:pPr>
    </w:p>
    <w:p>
      <w:pPr>
        <w:ind w:right="480" w:firstLine="720"/>
        <w:spacing w:after="0" w:line="258" w:lineRule="auto"/>
        <w:rPr>
          <w:sz w:val="20"/>
          <w:szCs w:val="20"/>
          <w:color w:val="auto"/>
        </w:rPr>
      </w:pPr>
      <w:r>
        <w:rPr>
          <w:rFonts w:ascii="Times New Roman" w:cs="Times New Roman" w:eastAsia="Times New Roman" w:hAnsi="Times New Roman"/>
          <w:sz w:val="20"/>
          <w:szCs w:val="20"/>
          <w:color w:val="231F20"/>
        </w:rPr>
        <w:t>Refer to Note 2. Summary of Significant Accounting Policies to our consolidated financial statements included in Part IV, Exhibits and Financial Statement Schedules, of this Annual Report on Form 10-K for a discussion of recently issued accounting pronouncements.</w:t>
      </w:r>
    </w:p>
    <w:p>
      <w:pPr>
        <w:sectPr>
          <w:pgSz w:w="12240" w:h="15840" w:orient="portrait"/>
          <w:cols w:equalWidth="0" w:num="1">
            <w:col w:w="9360"/>
          </w:cols>
          <w:pgMar w:left="1440" w:top="1416" w:right="144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123</w:t>
      </w:r>
    </w:p>
    <w:p>
      <w:pPr>
        <w:sectPr>
          <w:pgSz w:w="12240" w:h="15840" w:orient="portrait"/>
          <w:cols w:equalWidth="0" w:num="1">
            <w:col w:w="9360"/>
          </w:cols>
          <w:pgMar w:left="1440" w:top="1416" w:right="1440" w:bottom="174" w:gutter="0" w:footer="0" w:header="0"/>
          <w:type w:val="continuous"/>
        </w:sectPr>
      </w:pPr>
    </w:p>
    <w:bookmarkStart w:id="125" w:name="page126"/>
    <w:bookmarkEnd w:id="125"/>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 ABOUT MARKET RISK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Interest Rate Risk</w:t>
      </w:r>
    </w:p>
    <w:p>
      <w:pPr>
        <w:spacing w:after="0" w:line="219" w:lineRule="exact"/>
        <w:rPr>
          <w:sz w:val="20"/>
          <w:szCs w:val="20"/>
          <w:color w:val="auto"/>
        </w:rPr>
      </w:pPr>
    </w:p>
    <w:p>
      <w:pPr>
        <w:ind w:right="40" w:firstLine="720"/>
        <w:spacing w:after="0" w:line="218" w:lineRule="exact"/>
        <w:rPr>
          <w:sz w:val="20"/>
          <w:szCs w:val="20"/>
          <w:color w:val="auto"/>
        </w:rPr>
      </w:pPr>
      <w:r>
        <w:rPr>
          <w:rFonts w:ascii="Times New Roman" w:cs="Times New Roman" w:eastAsia="Times New Roman" w:hAnsi="Times New Roman"/>
          <w:sz w:val="20"/>
          <w:szCs w:val="20"/>
          <w:color w:val="231F20"/>
        </w:rPr>
        <w:t>We are exposed to market risks in the ordinary course of our business. These market risks are principally limited to interest rate fluctuations. We had cash of $322.9 million as of December 31, 2025. The primary objective of our investment activities is to preserve principal and liquidity while maximizing income without significantly increasing risk. We do not enter into investments for trading or speculative purposes. Due to the short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term nature of our investment portfolio and debt agreement, which use short-term interest rates and the SOFR,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Foreign Currency Exchange Risk</w:t>
      </w:r>
    </w:p>
    <w:p>
      <w:pPr>
        <w:spacing w:after="0" w:line="215" w:lineRule="exact"/>
        <w:rPr>
          <w:sz w:val="20"/>
          <w:szCs w:val="20"/>
          <w:color w:val="auto"/>
        </w:rPr>
      </w:pPr>
    </w:p>
    <w:p>
      <w:pPr>
        <w:ind w:right="140" w:firstLine="720"/>
        <w:spacing w:after="0" w:line="224" w:lineRule="auto"/>
        <w:rPr>
          <w:sz w:val="20"/>
          <w:szCs w:val="20"/>
          <w:color w:val="auto"/>
        </w:rPr>
      </w:pPr>
      <w:r>
        <w:rPr>
          <w:rFonts w:ascii="Times New Roman" w:cs="Times New Roman" w:eastAsia="Times New Roman" w:hAnsi="Times New Roman"/>
          <w:sz w:val="20"/>
          <w:szCs w:val="20"/>
          <w:color w:val="231F20"/>
        </w:rPr>
        <w:t>We contract with vendors and third-party manufacturers located in Europe and certain invoices are denominated in foreign currencies. Royalty revenues from Pharmanovia are derived from their sales of SUNOSI in ex-U.S markets and those sales are primarily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86" w:lineRule="exact"/>
        <w:rPr>
          <w:sz w:val="20"/>
          <w:szCs w:val="20"/>
          <w:color w:val="auto"/>
        </w:rPr>
      </w:pPr>
    </w:p>
    <w:p>
      <w:pPr>
        <w:ind w:right="440" w:firstLine="720"/>
        <w:spacing w:after="0" w:line="253" w:lineRule="auto"/>
        <w:rPr>
          <w:sz w:val="20"/>
          <w:szCs w:val="20"/>
          <w:color w:val="auto"/>
        </w:rPr>
      </w:pPr>
      <w:r>
        <w:rPr>
          <w:rFonts w:ascii="Times New Roman" w:cs="Times New Roman" w:eastAsia="Times New Roman" w:hAnsi="Times New Roman"/>
          <w:sz w:val="20"/>
          <w:szCs w:val="20"/>
          <w:color w:val="231F20"/>
        </w:rPr>
        <w:t>We do not believe a 10% change in these currencies on December 31, 2025 would have had a material effect on our results of operations or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Inflation Risk</w:t>
      </w:r>
    </w:p>
    <w:p>
      <w:pPr>
        <w:spacing w:after="0" w:line="215" w:lineRule="exact"/>
        <w:rPr>
          <w:sz w:val="20"/>
          <w:szCs w:val="20"/>
          <w:color w:val="auto"/>
        </w:rPr>
      </w:pPr>
    </w:p>
    <w:p>
      <w:pPr>
        <w:jc w:val="both"/>
        <w:ind w:firstLine="720"/>
        <w:spacing w:after="0" w:line="236" w:lineRule="auto"/>
        <w:rPr>
          <w:sz w:val="20"/>
          <w:szCs w:val="20"/>
          <w:color w:val="auto"/>
        </w:rPr>
      </w:pPr>
      <w:r>
        <w:rPr>
          <w:rFonts w:ascii="Times New Roman" w:cs="Times New Roman" w:eastAsia="Times New Roman" w:hAnsi="Times New Roman"/>
          <w:sz w:val="20"/>
          <w:szCs w:val="20"/>
          <w:color w:val="231F20"/>
        </w:rPr>
        <w:t>Inflation generally affects us by increasing our cost of labor and pricing of contracts. We do not believe that inflation has had a material effect on our business, financial condition, or results of operations during the year ended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244" w:lineRule="exact"/>
        <w:rPr>
          <w:sz w:val="20"/>
          <w:szCs w:val="20"/>
          <w:color w:val="auto"/>
        </w:rPr>
      </w:pPr>
    </w:p>
    <w:p>
      <w:pPr>
        <w:ind w:right="440" w:firstLine="720"/>
        <w:spacing w:after="0" w:line="277" w:lineRule="auto"/>
        <w:rPr>
          <w:sz w:val="20"/>
          <w:szCs w:val="20"/>
          <w:color w:val="auto"/>
        </w:rPr>
      </w:pPr>
      <w:r>
        <w:rPr>
          <w:rFonts w:ascii="Times New Roman" w:cs="Times New Roman" w:eastAsia="Times New Roman" w:hAnsi="Times New Roman"/>
          <w:sz w:val="20"/>
          <w:szCs w:val="20"/>
          <w:color w:val="231F20"/>
        </w:rPr>
        <w:t>Our consolidated financial statements and the notes thereto, included in Part IV, Item 15(a), part 1, are incorporated by reference into this Item 8.</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FINANCIAL DISCLOSURE.</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124</w:t>
      </w:r>
    </w:p>
    <w:p>
      <w:pPr>
        <w:sectPr>
          <w:pgSz w:w="12240" w:h="15840" w:orient="portrait"/>
          <w:cols w:equalWidth="0" w:num="1">
            <w:col w:w="9360"/>
          </w:cols>
          <w:pgMar w:left="1440" w:top="1440" w:right="1440" w:bottom="175"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244"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i w:val="1"/>
          <w:iCs w:val="1"/>
          <w:color w:val="231F20"/>
        </w:rPr>
        <w:t xml:space="preserve">Evaluation of Disclosure Controls and Procedures. </w:t>
      </w:r>
      <w:r>
        <w:rPr>
          <w:rFonts w:ascii="Times New Roman" w:cs="Times New Roman" w:eastAsia="Times New Roman" w:hAnsi="Times New Roman"/>
          <w:sz w:val="20"/>
          <w:szCs w:val="20"/>
          <w:color w:val="231F20"/>
        </w:rPr>
        <w:t>Our management, with the participation of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principal executive officer and principal financial officer, evaluated the effectiveness of our disclosure controls and procedures as of December 31, 2025.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principal executive officer and principal financial officer concluded that, as of such date, our disclosure controls and procedures were effective.</w:t>
      </w:r>
    </w:p>
    <w:p>
      <w:pPr>
        <w:spacing w:after="0" w:line="212" w:lineRule="exact"/>
        <w:rPr>
          <w:sz w:val="20"/>
          <w:szCs w:val="20"/>
          <w:color w:val="auto"/>
        </w:rPr>
      </w:pPr>
    </w:p>
    <w:p>
      <w:pPr>
        <w:ind w:right="200" w:firstLine="7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Management’s Annual Report on Internal Controls over Financial Reporting. </w:t>
      </w:r>
      <w:r>
        <w:rPr>
          <w:rFonts w:ascii="Times New Roman" w:cs="Times New Roman" w:eastAsia="Times New Roman" w:hAnsi="Times New Roman"/>
          <w:sz w:val="20"/>
          <w:szCs w:val="20"/>
          <w:color w:val="231F20"/>
        </w:rPr>
        <w:t>Our management is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responsible for establishing and maintaining adequate internal controls over financial reporting (as defined in Rule 13a-15(f) or Rule 15d-15(f) under the Exchange Act). Our management assessed the effectiveness of our internal controls over financial reporting as of December 31, 2025. In making this assessment, our management used the criteria established in Internal Control – Integrated Framework (2013) issued by the Committee of Sponsoring Organizations of the Treadway Commission, or COSO Framework. Our management has concluded that, as of December 31, 2025, our internal control over financial reporting was effective based on these criteria.</w:t>
      </w:r>
    </w:p>
    <w:p>
      <w:pPr>
        <w:spacing w:after="0" w:line="20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231F20"/>
        </w:rPr>
        <w:t>The independent registered public accounting firm, Deloitte &amp; Touche LLP, has issued an attestation report on our internal control over financial reporting. The report on the audit of internal control over financial reporting is included in this Annual Report on Form 10-K.</w:t>
      </w:r>
    </w:p>
    <w:p>
      <w:pPr>
        <w:spacing w:after="0" w:line="18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i w:val="1"/>
          <w:iCs w:val="1"/>
          <w:color w:val="231F20"/>
        </w:rPr>
        <w:t xml:space="preserve">Inherent Limitations on Effectiveness of Controls. </w:t>
      </w:r>
      <w:r>
        <w:rPr>
          <w:rFonts w:ascii="Times New Roman" w:cs="Times New Roman" w:eastAsia="Times New Roman" w:hAnsi="Times New Roman"/>
          <w:sz w:val="20"/>
          <w:szCs w:val="20"/>
          <w:color w:val="231F20"/>
        </w:rPr>
        <w:t>Our management, including our principal executive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officer and principal financial officer, does not expect that our internal controls over financial reporting and procedures will prevent all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2"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Changes in Internal Controls over Financial Reporting. </w:t>
      </w:r>
      <w:r>
        <w:rPr>
          <w:rFonts w:ascii="Times New Roman" w:cs="Times New Roman" w:eastAsia="Times New Roman" w:hAnsi="Times New Roman"/>
          <w:sz w:val="20"/>
          <w:szCs w:val="20"/>
          <w:color w:val="231F20"/>
        </w:rPr>
        <w:t>There has been no change in our internal controls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over financial reporting (as defined in Rule 13a-15(f) of the Exchange Act) that occurred during the period covered by this report, that materially affected, or are reasonably likely to materially affect, our internal control over financial reporting.</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125</w:t>
      </w:r>
    </w:p>
    <w:p>
      <w:pPr>
        <w:sectPr>
          <w:pgSz w:w="12240" w:h="15840" w:orient="portrait"/>
          <w:cols w:equalWidth="0" w:num="1">
            <w:col w:w="9360"/>
          </w:cols>
          <w:pgMar w:left="1440" w:top="1416" w:right="1440" w:bottom="175"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244"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231F20"/>
        </w:rPr>
        <w:t>During the fourth quarter of 2025, the Company did not adopt or terminate a Rule 10b5-1 trading arrangement (as defined in Item 408(a)(1)(i) of Regulation S-K) for the purchase or sale of securities of the Company, whether or not intended to satisfy the affirmative defense conditions of Rule 10b5-1(c) of the Exchange Act.</w:t>
      </w:r>
    </w:p>
    <w:p>
      <w:pPr>
        <w:spacing w:after="0" w:line="194"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During the fourth quarter of 2025,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1880" w:type="dxa"/>
            <w:vAlign w:val="bottom"/>
            <w:tcBorders>
              <w:top w:val="single" w:sz="8" w:color="231F20"/>
              <w:left w:val="single" w:sz="8" w:color="231F20"/>
              <w:right w:val="single" w:sz="8" w:color="231F20"/>
            </w:tcBorders>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231F20"/>
              </w:rPr>
              <w:t>Name</w:t>
            </w:r>
          </w:p>
        </w:tc>
        <w:tc>
          <w:tcPr>
            <w:tcW w:w="1880" w:type="dxa"/>
            <w:vAlign w:val="bottom"/>
            <w:tcBorders>
              <w:top w:val="single" w:sz="8" w:color="231F20"/>
              <w:right w:val="single" w:sz="8" w:color="231F20"/>
            </w:tcBorders>
          </w:tcPr>
          <w:p>
            <w:pPr>
              <w:ind w:left="120"/>
              <w:spacing w:after="0" w:line="227" w:lineRule="exact"/>
              <w:rPr>
                <w:sz w:val="20"/>
                <w:szCs w:val="20"/>
                <w:color w:val="auto"/>
              </w:rPr>
            </w:pPr>
            <w:r>
              <w:rPr>
                <w:rFonts w:ascii="Times New Roman" w:cs="Times New Roman" w:eastAsia="Times New Roman" w:hAnsi="Times New Roman"/>
                <w:sz w:val="20"/>
                <w:szCs w:val="20"/>
                <w:b w:val="1"/>
                <w:bCs w:val="1"/>
                <w:color w:val="231F20"/>
              </w:rPr>
              <w:t>Title</w:t>
            </w:r>
          </w:p>
        </w:tc>
        <w:tc>
          <w:tcPr>
            <w:tcW w:w="1860" w:type="dxa"/>
            <w:vAlign w:val="bottom"/>
            <w:tcBorders>
              <w:top w:val="single" w:sz="8" w:color="231F20"/>
              <w:right w:val="single" w:sz="8" w:color="231F20"/>
            </w:tcBorders>
          </w:tcPr>
          <w:p>
            <w:pPr>
              <w:ind w:left="100"/>
              <w:spacing w:after="0" w:line="227" w:lineRule="exact"/>
              <w:rPr>
                <w:sz w:val="20"/>
                <w:szCs w:val="20"/>
                <w:color w:val="auto"/>
              </w:rPr>
            </w:pPr>
            <w:r>
              <w:rPr>
                <w:rFonts w:ascii="Times New Roman" w:cs="Times New Roman" w:eastAsia="Times New Roman" w:hAnsi="Times New Roman"/>
                <w:sz w:val="20"/>
                <w:szCs w:val="20"/>
                <w:b w:val="1"/>
                <w:bCs w:val="1"/>
                <w:color w:val="231F20"/>
              </w:rPr>
              <w:t>Date of Adoption</w:t>
            </w:r>
          </w:p>
        </w:tc>
        <w:tc>
          <w:tcPr>
            <w:tcW w:w="1880" w:type="dxa"/>
            <w:vAlign w:val="bottom"/>
            <w:tcBorders>
              <w:top w:val="single" w:sz="8" w:color="231F20"/>
              <w:right w:val="single" w:sz="8" w:color="231F20"/>
            </w:tcBorders>
          </w:tcPr>
          <w:p>
            <w:pPr>
              <w:ind w:left="100"/>
              <w:spacing w:after="0" w:line="227" w:lineRule="exact"/>
              <w:rPr>
                <w:sz w:val="20"/>
                <w:szCs w:val="20"/>
                <w:color w:val="auto"/>
              </w:rPr>
            </w:pPr>
            <w:r>
              <w:rPr>
                <w:rFonts w:ascii="Times New Roman" w:cs="Times New Roman" w:eastAsia="Times New Roman" w:hAnsi="Times New Roman"/>
                <w:sz w:val="20"/>
                <w:szCs w:val="20"/>
                <w:b w:val="1"/>
                <w:bCs w:val="1"/>
                <w:color w:val="231F20"/>
              </w:rPr>
              <w:t>Scheduled</w:t>
            </w:r>
          </w:p>
        </w:tc>
        <w:tc>
          <w:tcPr>
            <w:tcW w:w="1860" w:type="dxa"/>
            <w:vAlign w:val="bottom"/>
            <w:tcBorders>
              <w:top w:val="single" w:sz="8" w:color="231F20"/>
              <w:right w:val="single" w:sz="8" w:color="231F20"/>
            </w:tcBorders>
          </w:tcPr>
          <w:p>
            <w:pPr>
              <w:ind w:left="100"/>
              <w:spacing w:after="0" w:line="227" w:lineRule="exact"/>
              <w:rPr>
                <w:sz w:val="20"/>
                <w:szCs w:val="20"/>
                <w:color w:val="auto"/>
              </w:rPr>
            </w:pPr>
            <w:r>
              <w:rPr>
                <w:rFonts w:ascii="Times New Roman" w:cs="Times New Roman" w:eastAsia="Times New Roman" w:hAnsi="Times New Roman"/>
                <w:sz w:val="20"/>
                <w:szCs w:val="20"/>
                <w:b w:val="1"/>
                <w:bCs w:val="1"/>
                <w:color w:val="231F20"/>
              </w:rPr>
              <w:t>Aggregate</w:t>
            </w:r>
          </w:p>
        </w:tc>
      </w:tr>
      <w:tr>
        <w:trPr>
          <w:trHeight w:val="230"/>
        </w:trPr>
        <w:tc>
          <w:tcPr>
            <w:tcW w:w="1880" w:type="dxa"/>
            <w:vAlign w:val="bottom"/>
            <w:tcBorders>
              <w:left w:val="single" w:sz="8" w:color="231F20"/>
              <w:right w:val="single" w:sz="8" w:color="231F20"/>
            </w:tcBorders>
          </w:tcPr>
          <w:p>
            <w:pPr>
              <w:spacing w:after="0"/>
              <w:rPr>
                <w:sz w:val="20"/>
                <w:szCs w:val="20"/>
                <w:color w:val="auto"/>
              </w:rPr>
            </w:pPr>
          </w:p>
        </w:tc>
        <w:tc>
          <w:tcPr>
            <w:tcW w:w="1880" w:type="dxa"/>
            <w:vAlign w:val="bottom"/>
            <w:tcBorders>
              <w:right w:val="single" w:sz="8" w:color="231F20"/>
            </w:tcBorders>
          </w:tcPr>
          <w:p>
            <w:pPr>
              <w:spacing w:after="0"/>
              <w:rPr>
                <w:sz w:val="20"/>
                <w:szCs w:val="20"/>
                <w:color w:val="auto"/>
              </w:rPr>
            </w:pPr>
          </w:p>
        </w:tc>
        <w:tc>
          <w:tcPr>
            <w:tcW w:w="186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20"/>
                <w:szCs w:val="20"/>
                <w:b w:val="1"/>
                <w:bCs w:val="1"/>
                <w:color w:val="231F20"/>
              </w:rPr>
              <w:t>of Rule 10b5-1</w:t>
            </w:r>
          </w:p>
        </w:tc>
        <w:tc>
          <w:tcPr>
            <w:tcW w:w="18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20"/>
                <w:szCs w:val="20"/>
                <w:b w:val="1"/>
                <w:bCs w:val="1"/>
                <w:color w:val="231F20"/>
              </w:rPr>
              <w:t>Expiration Date of</w:t>
            </w:r>
          </w:p>
        </w:tc>
        <w:tc>
          <w:tcPr>
            <w:tcW w:w="186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20"/>
                <w:szCs w:val="20"/>
                <w:b w:val="1"/>
                <w:bCs w:val="1"/>
                <w:color w:val="231F20"/>
              </w:rPr>
              <w:t>Number of</w:t>
            </w:r>
          </w:p>
        </w:tc>
      </w:tr>
      <w:tr>
        <w:trPr>
          <w:trHeight w:val="230"/>
        </w:trPr>
        <w:tc>
          <w:tcPr>
            <w:tcW w:w="1880" w:type="dxa"/>
            <w:vAlign w:val="bottom"/>
            <w:tcBorders>
              <w:left w:val="single" w:sz="8" w:color="231F20"/>
              <w:right w:val="single" w:sz="8" w:color="231F20"/>
            </w:tcBorders>
          </w:tcPr>
          <w:p>
            <w:pPr>
              <w:spacing w:after="0"/>
              <w:rPr>
                <w:sz w:val="20"/>
                <w:szCs w:val="20"/>
                <w:color w:val="auto"/>
              </w:rPr>
            </w:pPr>
          </w:p>
        </w:tc>
        <w:tc>
          <w:tcPr>
            <w:tcW w:w="1880" w:type="dxa"/>
            <w:vAlign w:val="bottom"/>
            <w:tcBorders>
              <w:right w:val="single" w:sz="8" w:color="231F20"/>
            </w:tcBorders>
          </w:tcPr>
          <w:p>
            <w:pPr>
              <w:spacing w:after="0"/>
              <w:rPr>
                <w:sz w:val="20"/>
                <w:szCs w:val="20"/>
                <w:color w:val="auto"/>
              </w:rPr>
            </w:pPr>
          </w:p>
        </w:tc>
        <w:tc>
          <w:tcPr>
            <w:tcW w:w="186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20"/>
                <w:szCs w:val="20"/>
                <w:b w:val="1"/>
                <w:bCs w:val="1"/>
                <w:color w:val="231F20"/>
              </w:rPr>
              <w:t>Trading</w:t>
            </w:r>
          </w:p>
        </w:tc>
        <w:tc>
          <w:tcPr>
            <w:tcW w:w="18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20"/>
                <w:szCs w:val="20"/>
                <w:b w:val="1"/>
                <w:bCs w:val="1"/>
                <w:color w:val="231F20"/>
              </w:rPr>
              <w:t>Rule 10b5-1</w:t>
            </w:r>
          </w:p>
        </w:tc>
        <w:tc>
          <w:tcPr>
            <w:tcW w:w="186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20"/>
                <w:szCs w:val="20"/>
                <w:b w:val="1"/>
                <w:bCs w:val="1"/>
                <w:color w:val="231F20"/>
              </w:rPr>
              <w:t>Securities to Be</w:t>
            </w:r>
          </w:p>
        </w:tc>
      </w:tr>
      <w:tr>
        <w:trPr>
          <w:trHeight w:val="230"/>
        </w:trPr>
        <w:tc>
          <w:tcPr>
            <w:tcW w:w="1880" w:type="dxa"/>
            <w:vAlign w:val="bottom"/>
            <w:tcBorders>
              <w:left w:val="single" w:sz="8" w:color="231F20"/>
              <w:right w:val="single" w:sz="8" w:color="231F20"/>
            </w:tcBorders>
          </w:tcPr>
          <w:p>
            <w:pPr>
              <w:spacing w:after="0"/>
              <w:rPr>
                <w:sz w:val="20"/>
                <w:szCs w:val="20"/>
                <w:color w:val="auto"/>
              </w:rPr>
            </w:pPr>
          </w:p>
        </w:tc>
        <w:tc>
          <w:tcPr>
            <w:tcW w:w="1880" w:type="dxa"/>
            <w:vAlign w:val="bottom"/>
            <w:tcBorders>
              <w:right w:val="single" w:sz="8" w:color="231F20"/>
            </w:tcBorders>
          </w:tcPr>
          <w:p>
            <w:pPr>
              <w:spacing w:after="0"/>
              <w:rPr>
                <w:sz w:val="20"/>
                <w:szCs w:val="20"/>
                <w:color w:val="auto"/>
              </w:rPr>
            </w:pPr>
          </w:p>
        </w:tc>
        <w:tc>
          <w:tcPr>
            <w:tcW w:w="1860" w:type="dxa"/>
            <w:vAlign w:val="bottom"/>
            <w:tcBorders>
              <w:right w:val="single" w:sz="8" w:color="231F20"/>
            </w:tcBorders>
          </w:tcPr>
          <w:p>
            <w:pPr>
              <w:ind w:left="100"/>
              <w:spacing w:after="0" w:line="230" w:lineRule="exact"/>
              <w:rPr>
                <w:sz w:val="20"/>
                <w:szCs w:val="20"/>
                <w:color w:val="auto"/>
              </w:rPr>
            </w:pPr>
            <w:r>
              <w:rPr>
                <w:rFonts w:ascii="Times New Roman" w:cs="Times New Roman" w:eastAsia="Times New Roman" w:hAnsi="Times New Roman"/>
                <w:sz w:val="20"/>
                <w:szCs w:val="20"/>
                <w:b w:val="1"/>
                <w:bCs w:val="1"/>
                <w:color w:val="231F20"/>
              </w:rPr>
              <w:t>Arrangement</w:t>
            </w:r>
            <w:r>
              <w:rPr>
                <w:rFonts w:ascii="Times New Roman" w:cs="Times New Roman" w:eastAsia="Times New Roman" w:hAnsi="Times New Roman"/>
                <w:sz w:val="26"/>
                <w:szCs w:val="26"/>
                <w:b w:val="1"/>
                <w:bCs w:val="1"/>
                <w:color w:val="231F20"/>
                <w:vertAlign w:val="superscript"/>
              </w:rPr>
              <w:t>(1)</w:t>
            </w:r>
          </w:p>
        </w:tc>
        <w:tc>
          <w:tcPr>
            <w:tcW w:w="188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20"/>
                <w:szCs w:val="20"/>
                <w:b w:val="1"/>
                <w:bCs w:val="1"/>
                <w:color w:val="231F20"/>
              </w:rPr>
              <w:t>Trading</w:t>
            </w:r>
          </w:p>
        </w:tc>
        <w:tc>
          <w:tcPr>
            <w:tcW w:w="186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20"/>
                <w:szCs w:val="20"/>
                <w:b w:val="1"/>
                <w:bCs w:val="1"/>
                <w:color w:val="231F20"/>
              </w:rPr>
              <w:t>Sold</w:t>
            </w:r>
          </w:p>
        </w:tc>
      </w:tr>
      <w:tr>
        <w:trPr>
          <w:trHeight w:val="253"/>
        </w:trPr>
        <w:tc>
          <w:tcPr>
            <w:tcW w:w="1880" w:type="dxa"/>
            <w:vAlign w:val="bottom"/>
            <w:tcBorders>
              <w:left w:val="single" w:sz="8" w:color="231F20"/>
              <w:bottom w:val="single" w:sz="8" w:color="231F20"/>
              <w:right w:val="single" w:sz="8" w:color="231F20"/>
            </w:tcBorders>
          </w:tcPr>
          <w:p>
            <w:pPr>
              <w:spacing w:after="0"/>
              <w:rPr>
                <w:sz w:val="22"/>
                <w:szCs w:val="22"/>
                <w:color w:val="auto"/>
              </w:rPr>
            </w:pPr>
          </w:p>
        </w:tc>
        <w:tc>
          <w:tcPr>
            <w:tcW w:w="1880" w:type="dxa"/>
            <w:vAlign w:val="bottom"/>
            <w:tcBorders>
              <w:bottom w:val="single" w:sz="8" w:color="231F20"/>
              <w:right w:val="single" w:sz="8" w:color="231F20"/>
            </w:tcBorders>
          </w:tcPr>
          <w:p>
            <w:pPr>
              <w:spacing w:after="0"/>
              <w:rPr>
                <w:sz w:val="22"/>
                <w:szCs w:val="22"/>
                <w:color w:val="auto"/>
              </w:rPr>
            </w:pPr>
          </w:p>
        </w:tc>
        <w:tc>
          <w:tcPr>
            <w:tcW w:w="1860" w:type="dxa"/>
            <w:vAlign w:val="bottom"/>
            <w:tcBorders>
              <w:bottom w:val="single" w:sz="8" w:color="231F20"/>
              <w:right w:val="single" w:sz="8" w:color="231F20"/>
            </w:tcBorders>
          </w:tcPr>
          <w:p>
            <w:pPr>
              <w:spacing w:after="0"/>
              <w:rPr>
                <w:sz w:val="22"/>
                <w:szCs w:val="22"/>
                <w:color w:val="auto"/>
              </w:rPr>
            </w:pPr>
          </w:p>
        </w:tc>
        <w:tc>
          <w:tcPr>
            <w:tcW w:w="1880" w:type="dxa"/>
            <w:vAlign w:val="bottom"/>
            <w:tcBorders>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20"/>
                <w:szCs w:val="20"/>
                <w:b w:val="1"/>
                <w:bCs w:val="1"/>
                <w:color w:val="231F20"/>
              </w:rPr>
              <w:t>Arrangement</w:t>
            </w:r>
          </w:p>
        </w:tc>
        <w:tc>
          <w:tcPr>
            <w:tcW w:w="1860" w:type="dxa"/>
            <w:vAlign w:val="bottom"/>
            <w:tcBorders>
              <w:bottom w:val="single" w:sz="8" w:color="231F20"/>
              <w:right w:val="single" w:sz="8" w:color="231F20"/>
            </w:tcBorders>
          </w:tcPr>
          <w:p>
            <w:pPr>
              <w:spacing w:after="0"/>
              <w:rPr>
                <w:sz w:val="22"/>
                <w:szCs w:val="22"/>
                <w:color w:val="auto"/>
              </w:rPr>
            </w:pPr>
          </w:p>
        </w:tc>
      </w:tr>
      <w:tr>
        <w:trPr>
          <w:trHeight w:val="211"/>
        </w:trPr>
        <w:tc>
          <w:tcPr>
            <w:tcW w:w="1880" w:type="dxa"/>
            <w:vAlign w:val="bottom"/>
            <w:tcBorders>
              <w:left w:val="single" w:sz="8" w:color="231F20"/>
              <w:right w:val="single" w:sz="8" w:color="231F20"/>
            </w:tcBorders>
          </w:tcPr>
          <w:p>
            <w:pPr>
              <w:ind w:left="120"/>
              <w:spacing w:after="0" w:line="210" w:lineRule="exact"/>
              <w:rPr>
                <w:sz w:val="20"/>
                <w:szCs w:val="20"/>
                <w:color w:val="auto"/>
              </w:rPr>
            </w:pPr>
            <w:r>
              <w:rPr>
                <w:rFonts w:ascii="Times New Roman" w:cs="Times New Roman" w:eastAsia="Times New Roman" w:hAnsi="Times New Roman"/>
                <w:sz w:val="20"/>
                <w:szCs w:val="20"/>
                <w:color w:val="231F20"/>
              </w:rPr>
              <w:t>Mark Coleman</w:t>
            </w:r>
          </w:p>
        </w:tc>
        <w:tc>
          <w:tcPr>
            <w:tcW w:w="1880" w:type="dxa"/>
            <w:vAlign w:val="bottom"/>
            <w:tcBorders>
              <w:right w:val="single" w:sz="8" w:color="231F20"/>
            </w:tcBorders>
          </w:tcPr>
          <w:p>
            <w:pPr>
              <w:ind w:left="120"/>
              <w:spacing w:after="0" w:line="210" w:lineRule="exact"/>
              <w:rPr>
                <w:sz w:val="20"/>
                <w:szCs w:val="20"/>
                <w:color w:val="auto"/>
              </w:rPr>
            </w:pPr>
            <w:r>
              <w:rPr>
                <w:rFonts w:ascii="Times New Roman" w:cs="Times New Roman" w:eastAsia="Times New Roman" w:hAnsi="Times New Roman"/>
                <w:sz w:val="20"/>
                <w:szCs w:val="20"/>
                <w:color w:val="231F20"/>
              </w:rPr>
              <w:t>Director</w:t>
            </w:r>
          </w:p>
        </w:tc>
        <w:tc>
          <w:tcPr>
            <w:tcW w:w="1860" w:type="dxa"/>
            <w:vAlign w:val="bottom"/>
            <w:tcBorders>
              <w:right w:val="single" w:sz="8" w:color="231F20"/>
            </w:tcBorders>
          </w:tcPr>
          <w:p>
            <w:pPr>
              <w:ind w:left="100"/>
              <w:spacing w:after="0" w:line="210" w:lineRule="exact"/>
              <w:rPr>
                <w:sz w:val="20"/>
                <w:szCs w:val="20"/>
                <w:color w:val="auto"/>
              </w:rPr>
            </w:pPr>
            <w:r>
              <w:rPr>
                <w:rFonts w:ascii="Times New Roman" w:cs="Times New Roman" w:eastAsia="Times New Roman" w:hAnsi="Times New Roman"/>
                <w:sz w:val="20"/>
                <w:szCs w:val="20"/>
                <w:color w:val="231F20"/>
              </w:rPr>
              <w:t>November 11,</w:t>
            </w:r>
          </w:p>
        </w:tc>
        <w:tc>
          <w:tcPr>
            <w:tcW w:w="1880" w:type="dxa"/>
            <w:vAlign w:val="bottom"/>
            <w:tcBorders>
              <w:right w:val="single" w:sz="8" w:color="231F20"/>
            </w:tcBorders>
          </w:tcPr>
          <w:p>
            <w:pPr>
              <w:ind w:left="100"/>
              <w:spacing w:after="0" w:line="210" w:lineRule="exact"/>
              <w:rPr>
                <w:sz w:val="20"/>
                <w:szCs w:val="20"/>
                <w:color w:val="auto"/>
              </w:rPr>
            </w:pPr>
            <w:r>
              <w:rPr>
                <w:rFonts w:ascii="Times New Roman" w:cs="Times New Roman" w:eastAsia="Times New Roman" w:hAnsi="Times New Roman"/>
                <w:sz w:val="20"/>
                <w:szCs w:val="20"/>
                <w:color w:val="231F20"/>
              </w:rPr>
              <w:t>August 14, 2026</w:t>
            </w:r>
          </w:p>
        </w:tc>
        <w:tc>
          <w:tcPr>
            <w:tcW w:w="1860" w:type="dxa"/>
            <w:vAlign w:val="bottom"/>
            <w:tcBorders>
              <w:right w:val="single" w:sz="8" w:color="231F20"/>
            </w:tcBorders>
          </w:tcPr>
          <w:p>
            <w:pPr>
              <w:ind w:left="100"/>
              <w:spacing w:after="0" w:line="210" w:lineRule="exact"/>
              <w:rPr>
                <w:sz w:val="20"/>
                <w:szCs w:val="20"/>
                <w:color w:val="auto"/>
              </w:rPr>
            </w:pPr>
            <w:r>
              <w:rPr>
                <w:rFonts w:ascii="Times New Roman" w:cs="Times New Roman" w:eastAsia="Times New Roman" w:hAnsi="Times New Roman"/>
                <w:sz w:val="20"/>
                <w:szCs w:val="20"/>
                <w:color w:val="231F20"/>
              </w:rPr>
              <w:t>25,000</w:t>
            </w:r>
          </w:p>
        </w:tc>
      </w:tr>
      <w:tr>
        <w:trPr>
          <w:trHeight w:val="348"/>
        </w:trPr>
        <w:tc>
          <w:tcPr>
            <w:tcW w:w="1880" w:type="dxa"/>
            <w:vAlign w:val="bottom"/>
            <w:tcBorders>
              <w:left w:val="single" w:sz="8" w:color="231F20"/>
              <w:right w:val="single" w:sz="8" w:color="231F20"/>
            </w:tcBorders>
          </w:tcPr>
          <w:p>
            <w:pPr>
              <w:spacing w:after="0"/>
              <w:rPr>
                <w:sz w:val="24"/>
                <w:szCs w:val="24"/>
                <w:color w:val="auto"/>
              </w:rPr>
            </w:pPr>
          </w:p>
        </w:tc>
        <w:tc>
          <w:tcPr>
            <w:tcW w:w="1880" w:type="dxa"/>
            <w:vAlign w:val="bottom"/>
            <w:tcBorders>
              <w:right w:val="single" w:sz="8" w:color="231F20"/>
            </w:tcBorders>
          </w:tcPr>
          <w:p>
            <w:pPr>
              <w:spacing w:after="0"/>
              <w:rPr>
                <w:sz w:val="24"/>
                <w:szCs w:val="24"/>
                <w:color w:val="auto"/>
              </w:rPr>
            </w:pPr>
          </w:p>
        </w:tc>
        <w:tc>
          <w:tcPr>
            <w:tcW w:w="186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20"/>
                <w:szCs w:val="20"/>
                <w:color w:val="231F20"/>
              </w:rPr>
              <w:t>2025</w:t>
            </w:r>
            <w:r>
              <w:rPr>
                <w:rFonts w:ascii="Times New Roman" w:cs="Times New Roman" w:eastAsia="Times New Roman" w:hAnsi="Times New Roman"/>
                <w:sz w:val="26"/>
                <w:szCs w:val="26"/>
                <w:color w:val="231F20"/>
                <w:vertAlign w:val="superscript"/>
              </w:rPr>
              <w:t>(2)</w:t>
            </w:r>
          </w:p>
        </w:tc>
        <w:tc>
          <w:tcPr>
            <w:tcW w:w="1880" w:type="dxa"/>
            <w:vAlign w:val="bottom"/>
            <w:tcBorders>
              <w:right w:val="single" w:sz="8" w:color="231F20"/>
            </w:tcBorders>
          </w:tcPr>
          <w:p>
            <w:pPr>
              <w:spacing w:after="0"/>
              <w:rPr>
                <w:sz w:val="24"/>
                <w:szCs w:val="24"/>
                <w:color w:val="auto"/>
              </w:rPr>
            </w:pPr>
          </w:p>
        </w:tc>
        <w:tc>
          <w:tcPr>
            <w:tcW w:w="1860" w:type="dxa"/>
            <w:vAlign w:val="bottom"/>
            <w:tcBorders>
              <w:right w:val="single" w:sz="8" w:color="231F20"/>
            </w:tcBorders>
          </w:tcPr>
          <w:p>
            <w:pPr>
              <w:spacing w:after="0"/>
              <w:rPr>
                <w:sz w:val="24"/>
                <w:szCs w:val="24"/>
                <w:color w:val="auto"/>
              </w:rPr>
            </w:pPr>
          </w:p>
        </w:tc>
      </w:tr>
      <w:tr>
        <w:trPr>
          <w:trHeight w:val="63"/>
        </w:trPr>
        <w:tc>
          <w:tcPr>
            <w:tcW w:w="1880" w:type="dxa"/>
            <w:vAlign w:val="bottom"/>
            <w:tcBorders>
              <w:left w:val="single" w:sz="8" w:color="231F20"/>
              <w:bottom w:val="single" w:sz="8" w:color="231F20"/>
              <w:right w:val="single" w:sz="8" w:color="231F20"/>
            </w:tcBorders>
          </w:tcPr>
          <w:p>
            <w:pPr>
              <w:spacing w:after="0"/>
              <w:rPr>
                <w:sz w:val="5"/>
                <w:szCs w:val="5"/>
                <w:color w:val="auto"/>
              </w:rPr>
            </w:pPr>
          </w:p>
        </w:tc>
        <w:tc>
          <w:tcPr>
            <w:tcW w:w="1880" w:type="dxa"/>
            <w:vAlign w:val="bottom"/>
            <w:tcBorders>
              <w:bottom w:val="single" w:sz="8" w:color="231F20"/>
              <w:right w:val="single" w:sz="8" w:color="231F20"/>
            </w:tcBorders>
          </w:tcPr>
          <w:p>
            <w:pPr>
              <w:spacing w:after="0"/>
              <w:rPr>
                <w:sz w:val="5"/>
                <w:szCs w:val="5"/>
                <w:color w:val="auto"/>
              </w:rPr>
            </w:pPr>
          </w:p>
        </w:tc>
        <w:tc>
          <w:tcPr>
            <w:tcW w:w="1860" w:type="dxa"/>
            <w:vAlign w:val="bottom"/>
            <w:tcBorders>
              <w:bottom w:val="single" w:sz="8" w:color="231F20"/>
              <w:right w:val="single" w:sz="8" w:color="231F20"/>
            </w:tcBorders>
          </w:tcPr>
          <w:p>
            <w:pPr>
              <w:spacing w:after="0"/>
              <w:rPr>
                <w:sz w:val="5"/>
                <w:szCs w:val="5"/>
                <w:color w:val="auto"/>
              </w:rPr>
            </w:pPr>
          </w:p>
        </w:tc>
        <w:tc>
          <w:tcPr>
            <w:tcW w:w="1880" w:type="dxa"/>
            <w:vAlign w:val="bottom"/>
            <w:tcBorders>
              <w:bottom w:val="single" w:sz="8" w:color="231F20"/>
              <w:right w:val="single" w:sz="8" w:color="231F20"/>
            </w:tcBorders>
          </w:tcPr>
          <w:p>
            <w:pPr>
              <w:spacing w:after="0"/>
              <w:rPr>
                <w:sz w:val="5"/>
                <w:szCs w:val="5"/>
                <w:color w:val="auto"/>
              </w:rPr>
            </w:pPr>
          </w:p>
        </w:tc>
        <w:tc>
          <w:tcPr>
            <w:tcW w:w="1860" w:type="dxa"/>
            <w:vAlign w:val="bottom"/>
            <w:tcBorders>
              <w:bottom w:val="single" w:sz="8" w:color="231F20"/>
              <w:right w:val="single" w:sz="8" w:color="231F20"/>
            </w:tcBorders>
          </w:tcPr>
          <w:p>
            <w:pPr>
              <w:spacing w:after="0"/>
              <w:rPr>
                <w:sz w:val="5"/>
                <w:szCs w:val="5"/>
                <w:color w:val="auto"/>
              </w:rPr>
            </w:pPr>
          </w:p>
        </w:tc>
      </w:tr>
      <w:tr>
        <w:trPr>
          <w:trHeight w:val="211"/>
        </w:trPr>
        <w:tc>
          <w:tcPr>
            <w:tcW w:w="1880" w:type="dxa"/>
            <w:vAlign w:val="bottom"/>
            <w:tcBorders>
              <w:left w:val="single" w:sz="8" w:color="231F20"/>
              <w:right w:val="single" w:sz="8" w:color="231F20"/>
            </w:tcBorders>
          </w:tcPr>
          <w:p>
            <w:pPr>
              <w:ind w:left="120"/>
              <w:spacing w:after="0" w:line="210" w:lineRule="exact"/>
              <w:rPr>
                <w:sz w:val="20"/>
                <w:szCs w:val="20"/>
                <w:color w:val="auto"/>
              </w:rPr>
            </w:pPr>
            <w:r>
              <w:rPr>
                <w:rFonts w:ascii="Times New Roman" w:cs="Times New Roman" w:eastAsia="Times New Roman" w:hAnsi="Times New Roman"/>
                <w:sz w:val="20"/>
                <w:szCs w:val="20"/>
                <w:color w:val="231F20"/>
              </w:rPr>
              <w:t>Mark Jacobson</w:t>
            </w:r>
          </w:p>
        </w:tc>
        <w:tc>
          <w:tcPr>
            <w:tcW w:w="1880" w:type="dxa"/>
            <w:vAlign w:val="bottom"/>
            <w:tcBorders>
              <w:right w:val="single" w:sz="8" w:color="231F20"/>
            </w:tcBorders>
          </w:tcPr>
          <w:p>
            <w:pPr>
              <w:ind w:left="120"/>
              <w:spacing w:after="0" w:line="210" w:lineRule="exact"/>
              <w:rPr>
                <w:sz w:val="20"/>
                <w:szCs w:val="20"/>
                <w:color w:val="auto"/>
              </w:rPr>
            </w:pPr>
            <w:r>
              <w:rPr>
                <w:rFonts w:ascii="Times New Roman" w:cs="Times New Roman" w:eastAsia="Times New Roman" w:hAnsi="Times New Roman"/>
                <w:sz w:val="20"/>
                <w:szCs w:val="20"/>
                <w:color w:val="231F20"/>
              </w:rPr>
              <w:t>Chief Operating</w:t>
            </w:r>
          </w:p>
        </w:tc>
        <w:tc>
          <w:tcPr>
            <w:tcW w:w="1860" w:type="dxa"/>
            <w:vAlign w:val="bottom"/>
            <w:tcBorders>
              <w:right w:val="single" w:sz="8" w:color="231F20"/>
            </w:tcBorders>
          </w:tcPr>
          <w:p>
            <w:pPr>
              <w:ind w:left="100"/>
              <w:spacing w:after="0" w:line="210" w:lineRule="exact"/>
              <w:rPr>
                <w:sz w:val="20"/>
                <w:szCs w:val="20"/>
                <w:color w:val="auto"/>
              </w:rPr>
            </w:pPr>
            <w:r>
              <w:rPr>
                <w:rFonts w:ascii="Times New Roman" w:cs="Times New Roman" w:eastAsia="Times New Roman" w:hAnsi="Times New Roman"/>
                <w:sz w:val="20"/>
                <w:szCs w:val="20"/>
                <w:color w:val="231F20"/>
              </w:rPr>
              <w:t>November 10,</w:t>
            </w:r>
          </w:p>
        </w:tc>
        <w:tc>
          <w:tcPr>
            <w:tcW w:w="1880" w:type="dxa"/>
            <w:vAlign w:val="bottom"/>
            <w:tcBorders>
              <w:right w:val="single" w:sz="8" w:color="231F20"/>
            </w:tcBorders>
          </w:tcPr>
          <w:p>
            <w:pPr>
              <w:ind w:left="100"/>
              <w:spacing w:after="0" w:line="210" w:lineRule="exact"/>
              <w:rPr>
                <w:sz w:val="20"/>
                <w:szCs w:val="20"/>
                <w:color w:val="auto"/>
              </w:rPr>
            </w:pPr>
            <w:r>
              <w:rPr>
                <w:rFonts w:ascii="Times New Roman" w:cs="Times New Roman" w:eastAsia="Times New Roman" w:hAnsi="Times New Roman"/>
                <w:sz w:val="20"/>
                <w:szCs w:val="20"/>
                <w:color w:val="231F20"/>
              </w:rPr>
              <w:t>July 31, 2026</w:t>
            </w:r>
          </w:p>
        </w:tc>
        <w:tc>
          <w:tcPr>
            <w:tcW w:w="1860" w:type="dxa"/>
            <w:vAlign w:val="bottom"/>
            <w:tcBorders>
              <w:right w:val="single" w:sz="8" w:color="231F20"/>
            </w:tcBorders>
          </w:tcPr>
          <w:p>
            <w:pPr>
              <w:ind w:left="100"/>
              <w:spacing w:after="0" w:line="211" w:lineRule="exact"/>
              <w:rPr>
                <w:sz w:val="20"/>
                <w:szCs w:val="20"/>
                <w:color w:val="auto"/>
              </w:rPr>
            </w:pPr>
            <w:r>
              <w:rPr>
                <w:rFonts w:ascii="Times New Roman" w:cs="Times New Roman" w:eastAsia="Times New Roman" w:hAnsi="Times New Roman"/>
                <w:sz w:val="19"/>
                <w:szCs w:val="19"/>
                <w:color w:val="231F20"/>
              </w:rPr>
              <w:t>45,378</w:t>
            </w:r>
            <w:r>
              <w:rPr>
                <w:rFonts w:ascii="Times New Roman" w:cs="Times New Roman" w:eastAsia="Times New Roman" w:hAnsi="Times New Roman"/>
                <w:sz w:val="24"/>
                <w:szCs w:val="24"/>
                <w:color w:val="231F20"/>
                <w:vertAlign w:val="superscript"/>
              </w:rPr>
              <w:t>(3)</w:t>
            </w:r>
          </w:p>
        </w:tc>
      </w:tr>
      <w:tr>
        <w:trPr>
          <w:trHeight w:val="249"/>
        </w:trPr>
        <w:tc>
          <w:tcPr>
            <w:tcW w:w="1880" w:type="dxa"/>
            <w:vAlign w:val="bottom"/>
            <w:tcBorders>
              <w:left w:val="single" w:sz="8" w:color="231F20"/>
              <w:bottom w:val="single" w:sz="8" w:color="231F20"/>
              <w:right w:val="single" w:sz="8" w:color="231F20"/>
            </w:tcBorders>
          </w:tcPr>
          <w:p>
            <w:pPr>
              <w:spacing w:after="0"/>
              <w:rPr>
                <w:sz w:val="21"/>
                <w:szCs w:val="21"/>
                <w:color w:val="auto"/>
              </w:rPr>
            </w:pPr>
          </w:p>
        </w:tc>
        <w:tc>
          <w:tcPr>
            <w:tcW w:w="1880" w:type="dxa"/>
            <w:vAlign w:val="bottom"/>
            <w:tcBorders>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20"/>
                <w:szCs w:val="20"/>
                <w:color w:val="231F20"/>
              </w:rPr>
              <w:t>Officer</w:t>
            </w:r>
          </w:p>
        </w:tc>
        <w:tc>
          <w:tcPr>
            <w:tcW w:w="1860" w:type="dxa"/>
            <w:vAlign w:val="bottom"/>
            <w:tcBorders>
              <w:bottom w:val="single" w:sz="8" w:color="231F20"/>
              <w:right w:val="single" w:sz="8" w:color="231F20"/>
            </w:tcBorders>
          </w:tcPr>
          <w:p>
            <w:pPr>
              <w:ind w:left="100"/>
              <w:spacing w:after="0" w:line="250" w:lineRule="exact"/>
              <w:rPr>
                <w:sz w:val="20"/>
                <w:szCs w:val="20"/>
                <w:color w:val="auto"/>
              </w:rPr>
            </w:pPr>
            <w:r>
              <w:rPr>
                <w:rFonts w:ascii="Times New Roman" w:cs="Times New Roman" w:eastAsia="Times New Roman" w:hAnsi="Times New Roman"/>
                <w:sz w:val="20"/>
                <w:szCs w:val="20"/>
                <w:color w:val="231F20"/>
              </w:rPr>
              <w:t>2025</w:t>
            </w:r>
            <w:r>
              <w:rPr>
                <w:rFonts w:ascii="Times New Roman" w:cs="Times New Roman" w:eastAsia="Times New Roman" w:hAnsi="Times New Roman"/>
                <w:sz w:val="26"/>
                <w:szCs w:val="26"/>
                <w:color w:val="231F20"/>
                <w:vertAlign w:val="superscript"/>
              </w:rPr>
              <w:t>(2)</w:t>
            </w:r>
          </w:p>
        </w:tc>
        <w:tc>
          <w:tcPr>
            <w:tcW w:w="1880" w:type="dxa"/>
            <w:vAlign w:val="bottom"/>
            <w:tcBorders>
              <w:bottom w:val="single" w:sz="8" w:color="231F20"/>
              <w:right w:val="single" w:sz="8" w:color="231F20"/>
            </w:tcBorders>
          </w:tcPr>
          <w:p>
            <w:pPr>
              <w:spacing w:after="0"/>
              <w:rPr>
                <w:sz w:val="21"/>
                <w:szCs w:val="21"/>
                <w:color w:val="auto"/>
              </w:rPr>
            </w:pPr>
          </w:p>
        </w:tc>
        <w:tc>
          <w:tcPr>
            <w:tcW w:w="1860" w:type="dxa"/>
            <w:vAlign w:val="bottom"/>
            <w:tcBorders>
              <w:bottom w:val="single" w:sz="8" w:color="231F20"/>
              <w:right w:val="single" w:sz="8" w:color="231F20"/>
            </w:tcBorders>
          </w:tcPr>
          <w:p>
            <w:pPr>
              <w:spacing w:after="0"/>
              <w:rPr>
                <w:sz w:val="21"/>
                <w:szCs w:val="21"/>
                <w:color w:val="auto"/>
              </w:rPr>
            </w:pPr>
          </w:p>
        </w:tc>
      </w:tr>
    </w:tbl>
    <w:p>
      <w:pPr>
        <w:spacing w:after="0" w:line="65" w:lineRule="exact"/>
        <w:rPr>
          <w:sz w:val="20"/>
          <w:szCs w:val="20"/>
          <w:color w:val="auto"/>
        </w:rPr>
      </w:pPr>
    </w:p>
    <w:p>
      <w:pPr>
        <w:ind w:right="200"/>
        <w:spacing w:after="0" w:line="254" w:lineRule="auto"/>
        <w:tabs>
          <w:tab w:leader="none" w:pos="227"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Date of adoption of Rule 10b5-1 trading arrangements is in accordance with both the Company’s insider trading policy and applicable SEC rules and regulations.</w:t>
      </w:r>
    </w:p>
    <w:p>
      <w:pPr>
        <w:ind w:right="280"/>
        <w:spacing w:after="0"/>
        <w:tabs>
          <w:tab w:leader="none" w:pos="227"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first trade pursuant to the Rule 10b5-1 trading arrangement will be, in accordance with both the Company’s insider trading policy and applicable SEC rules and regulations, on a date after the date of adoption of the Rule 10b5-1 trading arrangement.</w:t>
      </w:r>
    </w:p>
    <w:p>
      <w:pPr>
        <w:ind w:left="220" w:hanging="220"/>
        <w:spacing w:after="0"/>
        <w:tabs>
          <w:tab w:leader="none" w:pos="22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sale of shares underlying stock options that will be exercised prior to expiration.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None.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126</w:t>
      </w:r>
    </w:p>
    <w:p>
      <w:pPr>
        <w:sectPr>
          <w:pgSz w:w="12240" w:h="15840" w:orient="portrait"/>
          <w:cols w:equalWidth="0" w:num="1">
            <w:col w:w="9360"/>
          </w:cols>
          <w:pgMar w:left="1440" w:top="1416" w:right="1440" w:bottom="175"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244"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incorporated herein by reference from our Proxy Statement for our 2026 Annual Meeting of Stockholders or will be included in an amendment to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244"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incorporated herein by reference from our Proxy Statement for our 2026 Annual Meeting of Stockholders or will be included in an amendment to this Annual Report on Form 10-K.</w:t>
      </w:r>
    </w:p>
    <w:p>
      <w:pPr>
        <w:spacing w:after="0" w:line="16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156"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incorporated herein by reference from our Proxy Statement for our 2026 Annual Meeting of Stockholders or will be included in an amendment to this Annual Report on Form 10-K.</w:t>
      </w:r>
    </w:p>
    <w:p>
      <w:pPr>
        <w:spacing w:after="0" w:line="165" w:lineRule="exact"/>
        <w:rPr>
          <w:sz w:val="20"/>
          <w:szCs w:val="20"/>
          <w:color w:val="auto"/>
        </w:rPr>
      </w:pPr>
    </w:p>
    <w:p>
      <w:pPr>
        <w:ind w:right="1120"/>
        <w:spacing w:after="0" w:line="286" w:lineRule="auto"/>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56"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incorporated herein by reference from our Proxy Statement for our 2026 Annual Meeting of Stockholders or will be included in an amendment to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244"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incorporated herein by reference from our Proxy Statement for our 2026 Annual Meeting of Stockholders or will be included in an amendment to this Annual Report on Form 10-K.</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127</w:t>
      </w:r>
    </w:p>
    <w:p>
      <w:pPr>
        <w:sectPr>
          <w:pgSz w:w="12240" w:h="15840" w:orient="portrait"/>
          <w:cols w:equalWidth="0" w:num="1">
            <w:col w:w="9360"/>
          </w:cols>
          <w:pgMar w:left="1440" w:top="1416" w:right="1440" w:bottom="175" w:gutter="0" w:footer="0" w:header="0"/>
          <w:type w:val="continuous"/>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and FINANCIAL STATEMENT SCHEDULES.</w:t>
      </w:r>
    </w:p>
    <w:p>
      <w:pPr>
        <w:spacing w:after="0" w:line="240" w:lineRule="exact"/>
        <w:rPr>
          <w:sz w:val="20"/>
          <w:szCs w:val="20"/>
          <w:color w:val="auto"/>
        </w:rPr>
      </w:pPr>
    </w:p>
    <w:p>
      <w:pPr>
        <w:ind w:left="720" w:hanging="480"/>
        <w:spacing w:after="0"/>
        <w:tabs>
          <w:tab w:leader="none" w:pos="720" w:val="left"/>
        </w:tabs>
        <w:numPr>
          <w:ilvl w:val="0"/>
          <w:numId w:val="4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1.</w:t>
      </w:r>
      <w:r>
        <w:rPr>
          <w:rFonts w:ascii="Times New Roman" w:cs="Times New Roman" w:eastAsia="Times New Roman" w:hAnsi="Times New Roman"/>
          <w:sz w:val="19"/>
          <w:szCs w:val="19"/>
          <w:b w:val="1"/>
          <w:bCs w:val="1"/>
          <w:color w:val="231F20"/>
        </w:rPr>
        <w:t>Consolidated Financial Statements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consolidated financial statements of Axsome Therapeutics, Inc. are filed as part of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report.</w:t>
      </w:r>
    </w:p>
    <w:p>
      <w:pPr>
        <w:spacing w:after="0" w:line="200" w:lineRule="exact"/>
        <w:rPr>
          <w:sz w:val="20"/>
          <w:szCs w:val="20"/>
          <w:color w:val="auto"/>
        </w:rPr>
      </w:pPr>
    </w:p>
    <w:p>
      <w:pPr>
        <w:spacing w:after="0" w:line="274"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Contents</w:t>
            </w:r>
          </w:p>
        </w:tc>
        <w:tc>
          <w:tcPr>
            <w:tcW w:w="7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b w:val="1"/>
                <w:bCs w:val="1"/>
                <w:color w:val="231F20"/>
                <w:w w:val="97"/>
              </w:rPr>
              <w:t>Page</w:t>
            </w:r>
          </w:p>
        </w:tc>
        <w:tc>
          <w:tcPr>
            <w:tcW w:w="20" w:type="dxa"/>
            <w:vAlign w:val="bottom"/>
          </w:tcPr>
          <w:p>
            <w:pPr>
              <w:spacing w:after="0"/>
              <w:rPr>
                <w:sz w:val="20"/>
                <w:szCs w:val="20"/>
                <w:color w:val="auto"/>
              </w:rPr>
            </w:pPr>
          </w:p>
        </w:tc>
      </w:tr>
      <w:tr>
        <w:trPr>
          <w:trHeight w:val="377"/>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Reports of Independent Registered Public Accounting Firm (PCAOB ID: 34) .............................................</w:t>
            </w:r>
          </w:p>
        </w:tc>
        <w:tc>
          <w:tcPr>
            <w:tcW w:w="12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w w:val="93"/>
              </w:rPr>
              <w:t>F-1</w:t>
            </w:r>
          </w:p>
        </w:tc>
      </w:tr>
      <w:tr>
        <w:trPr>
          <w:trHeight w:val="36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Consolidated Balance Sheets as of December 31, 2025 and 2024 .................................................................</w:t>
            </w:r>
          </w:p>
        </w:tc>
        <w:tc>
          <w:tcPr>
            <w:tcW w:w="12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w w:val="93"/>
              </w:rPr>
              <w:t>F-4</w:t>
            </w:r>
          </w:p>
        </w:tc>
      </w:tr>
      <w:tr>
        <w:trPr>
          <w:trHeight w:val="36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Consolidated Statements of Operations for the Years Ended December 31, 2025, 2024, and 2023 ..............</w:t>
            </w:r>
          </w:p>
        </w:tc>
        <w:tc>
          <w:tcPr>
            <w:tcW w:w="12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w w:val="93"/>
              </w:rPr>
              <w:t>F-5</w:t>
            </w:r>
          </w:p>
        </w:tc>
      </w:tr>
      <w:tr>
        <w:trPr>
          <w:trHeight w:val="332"/>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Consolidated Statements of Stockholders’ Equity for the Years Ended December 31, 2025, 2024, and</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2023.................................................................................................................................................................</w:t>
            </w:r>
          </w:p>
        </w:tc>
        <w:tc>
          <w:tcPr>
            <w:tcW w:w="120" w:type="dxa"/>
            <w:vAlign w:val="bottom"/>
          </w:tcPr>
          <w:p>
            <w:pPr>
              <w:spacing w:after="0"/>
              <w:rPr>
                <w:sz w:val="23"/>
                <w:szCs w:val="23"/>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w w:val="93"/>
              </w:rPr>
              <w:t>F-6</w:t>
            </w:r>
          </w:p>
        </w:tc>
      </w:tr>
      <w:tr>
        <w:trPr>
          <w:trHeight w:val="36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Consolidated Statements of Cash Flows for the Years Ended December 31, 2025, 2024, and 2023.............</w:t>
            </w:r>
          </w:p>
        </w:tc>
        <w:tc>
          <w:tcPr>
            <w:tcW w:w="12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w w:val="93"/>
              </w:rPr>
              <w:t>F-7</w:t>
            </w:r>
          </w:p>
        </w:tc>
      </w:tr>
      <w:tr>
        <w:trPr>
          <w:trHeight w:val="36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231F20"/>
              </w:rPr>
              <w:t>Notes to the Consolidated Financial Statements .............................................................................................</w:t>
            </w:r>
          </w:p>
        </w:tc>
        <w:tc>
          <w:tcPr>
            <w:tcW w:w="12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w w:val="93"/>
              </w:rPr>
              <w:t>F-8</w:t>
            </w:r>
          </w:p>
        </w:tc>
      </w:tr>
      <w:tr>
        <w:trPr>
          <w:trHeight w:val="504"/>
        </w:trPr>
        <w:tc>
          <w:tcPr>
            <w:tcW w:w="1340" w:type="dxa"/>
            <w:vAlign w:val="bottom"/>
          </w:tcPr>
          <w:p>
            <w:pPr>
              <w:ind w:left="620"/>
              <w:spacing w:after="0"/>
              <w:rPr>
                <w:sz w:val="20"/>
                <w:szCs w:val="20"/>
                <w:color w:val="auto"/>
              </w:rPr>
            </w:pPr>
            <w:r>
              <w:rPr>
                <w:rFonts w:ascii="Times New Roman" w:cs="Times New Roman" w:eastAsia="Times New Roman" w:hAnsi="Times New Roman"/>
                <w:sz w:val="20"/>
                <w:szCs w:val="20"/>
                <w:b w:val="1"/>
                <w:bCs w:val="1"/>
                <w:color w:val="231F20"/>
              </w:rPr>
              <w:t>2.</w:t>
            </w:r>
          </w:p>
        </w:tc>
        <w:tc>
          <w:tcPr>
            <w:tcW w:w="72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Consolidated Financial Statement Schedules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231F20"/>
        </w:rPr>
        <w:t>The financial statement schedule entitled “Schedule II – Valuation and Qualifying Accounts” has been omitted since the information required is included in the consolidated financial statements and notes thereto. Other schedules are omitted because they are not applicable, or the required information is shown in the Financial Statements or notes thereto.</w:t>
      </w:r>
    </w:p>
    <w:p>
      <w:pPr>
        <w:spacing w:after="0" w:line="190" w:lineRule="exact"/>
        <w:rPr>
          <w:sz w:val="20"/>
          <w:szCs w:val="20"/>
          <w:color w:val="auto"/>
        </w:rPr>
      </w:pPr>
    </w:p>
    <w:p>
      <w:pPr>
        <w:ind w:left="1440" w:hanging="720"/>
        <w:spacing w:after="0"/>
        <w:tabs>
          <w:tab w:leader="none" w:pos="1440" w:val="left"/>
        </w:tabs>
        <w:numPr>
          <w:ilvl w:val="0"/>
          <w:numId w:val="4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Exhibits</w:t>
      </w:r>
    </w:p>
    <w:p>
      <w:pPr>
        <w:spacing w:after="0" w:line="244"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231F20"/>
        </w:rPr>
        <w:t>The list of exhibits filed with this report is set forth in the Exhibit Index following the signature page and is incorporated herein by reference.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128</w:t>
      </w:r>
    </w:p>
    <w:p>
      <w:pPr>
        <w:sectPr>
          <w:pgSz w:w="12240" w:h="15840" w:orient="portrait"/>
          <w:cols w:equalWidth="0" w:num="1">
            <w:col w:w="9360"/>
          </w:cols>
          <w:pgMar w:left="1440" w:top="1416" w:right="1440" w:bottom="175"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231F20"/>
        </w:rPr>
        <w:t>Axsome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85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Reports of Independent Registered Public Accounting Firm .......................................................................</w:t>
            </w:r>
          </w:p>
        </w:tc>
        <w:tc>
          <w:tcPr>
            <w:tcW w:w="70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21"/>
        </w:trPr>
        <w:tc>
          <w:tcPr>
            <w:tcW w:w="8500" w:type="dxa"/>
            <w:vAlign w:val="bottom"/>
            <w:vMerge w:val="continue"/>
          </w:tcPr>
          <w:p>
            <w:pPr>
              <w:spacing w:after="0"/>
              <w:rPr>
                <w:sz w:val="19"/>
                <w:szCs w:val="19"/>
                <w:color w:val="auto"/>
              </w:rPr>
            </w:pPr>
          </w:p>
        </w:tc>
        <w:tc>
          <w:tcPr>
            <w:tcW w:w="700" w:type="dxa"/>
            <w:vAlign w:val="bottom"/>
          </w:tcPr>
          <w:p>
            <w:pPr>
              <w:ind w:left="440"/>
              <w:spacing w:after="0" w:line="221" w:lineRule="exact"/>
              <w:rPr>
                <w:sz w:val="20"/>
                <w:szCs w:val="20"/>
                <w:color w:val="auto"/>
              </w:rPr>
            </w:pPr>
            <w:r>
              <w:rPr>
                <w:rFonts w:ascii="Times New Roman" w:cs="Times New Roman" w:eastAsia="Times New Roman" w:hAnsi="Times New Roman"/>
                <w:sz w:val="20"/>
                <w:szCs w:val="20"/>
                <w:color w:val="231F20"/>
                <w:w w:val="86"/>
              </w:rPr>
              <w:t>F-1</w:t>
            </w: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Balance Sheets as of December 31, 2025 and 2024 ...............................................................</w:t>
            </w:r>
          </w:p>
        </w:tc>
        <w:tc>
          <w:tcPr>
            <w:tcW w:w="700" w:type="dxa"/>
            <w:vAlign w:val="bottom"/>
          </w:tcPr>
          <w:p>
            <w:pPr>
              <w:ind w:left="440"/>
              <w:spacing w:after="0"/>
              <w:rPr>
                <w:sz w:val="20"/>
                <w:szCs w:val="20"/>
                <w:color w:val="auto"/>
              </w:rPr>
            </w:pPr>
            <w:r>
              <w:rPr>
                <w:rFonts w:ascii="Times New Roman" w:cs="Times New Roman" w:eastAsia="Times New Roman" w:hAnsi="Times New Roman"/>
                <w:sz w:val="20"/>
                <w:szCs w:val="20"/>
                <w:color w:val="231F20"/>
                <w:w w:val="86"/>
              </w:rPr>
              <w:t>F-4</w:t>
            </w: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Operations for the years ended December 31, 2025, 2024, and 2023 .............</w:t>
            </w:r>
          </w:p>
        </w:tc>
        <w:tc>
          <w:tcPr>
            <w:tcW w:w="700" w:type="dxa"/>
            <w:vAlign w:val="bottom"/>
          </w:tcPr>
          <w:p>
            <w:pPr>
              <w:ind w:left="440"/>
              <w:spacing w:after="0"/>
              <w:rPr>
                <w:sz w:val="20"/>
                <w:szCs w:val="20"/>
                <w:color w:val="auto"/>
              </w:rPr>
            </w:pPr>
            <w:r>
              <w:rPr>
                <w:rFonts w:ascii="Times New Roman" w:cs="Times New Roman" w:eastAsia="Times New Roman" w:hAnsi="Times New Roman"/>
                <w:sz w:val="20"/>
                <w:szCs w:val="20"/>
                <w:color w:val="231F20"/>
                <w:w w:val="86"/>
              </w:rPr>
              <w:t>F-5</w:t>
            </w: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Stockholders’ Equity for the years ended December 31, 2025, 2024, and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2023...........................................................................................................................................................</w:t>
            </w:r>
          </w:p>
        </w:tc>
        <w:tc>
          <w:tcPr>
            <w:tcW w:w="700" w:type="dxa"/>
            <w:vAlign w:val="bottom"/>
          </w:tcPr>
          <w:p>
            <w:pPr>
              <w:ind w:left="440"/>
              <w:spacing w:after="0"/>
              <w:rPr>
                <w:sz w:val="20"/>
                <w:szCs w:val="20"/>
                <w:color w:val="auto"/>
              </w:rPr>
            </w:pPr>
            <w:r>
              <w:rPr>
                <w:rFonts w:ascii="Times New Roman" w:cs="Times New Roman" w:eastAsia="Times New Roman" w:hAnsi="Times New Roman"/>
                <w:sz w:val="20"/>
                <w:szCs w:val="20"/>
                <w:color w:val="231F20"/>
                <w:w w:val="86"/>
              </w:rPr>
              <w:t>F-6</w:t>
            </w: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Cash Flows for the years ended December 31, 2025, 2024, and 2023 ............</w:t>
            </w:r>
          </w:p>
        </w:tc>
        <w:tc>
          <w:tcPr>
            <w:tcW w:w="700" w:type="dxa"/>
            <w:vAlign w:val="bottom"/>
          </w:tcPr>
          <w:p>
            <w:pPr>
              <w:ind w:left="440"/>
              <w:spacing w:after="0"/>
              <w:rPr>
                <w:sz w:val="20"/>
                <w:szCs w:val="20"/>
                <w:color w:val="auto"/>
              </w:rPr>
            </w:pPr>
            <w:r>
              <w:rPr>
                <w:rFonts w:ascii="Times New Roman" w:cs="Times New Roman" w:eastAsia="Times New Roman" w:hAnsi="Times New Roman"/>
                <w:sz w:val="20"/>
                <w:szCs w:val="20"/>
                <w:color w:val="231F20"/>
                <w:w w:val="86"/>
              </w:rPr>
              <w:t>F-7</w:t>
            </w:r>
          </w:p>
        </w:tc>
        <w:tc>
          <w:tcPr>
            <w:tcW w:w="0" w:type="dxa"/>
            <w:vAlign w:val="bottom"/>
          </w:tcPr>
          <w:p>
            <w:pPr>
              <w:spacing w:after="0"/>
              <w:rPr>
                <w:sz w:val="1"/>
                <w:szCs w:val="1"/>
                <w:color w:val="auto"/>
              </w:rPr>
            </w:pPr>
          </w:p>
        </w:tc>
      </w:tr>
      <w:tr>
        <w:trPr>
          <w:trHeight w:val="266"/>
        </w:trPr>
        <w:tc>
          <w:tcPr>
            <w:tcW w:w="8500" w:type="dxa"/>
            <w:vAlign w:val="bottom"/>
          </w:tcPr>
          <w:p>
            <w:pPr>
              <w:spacing w:after="0"/>
              <w:rPr>
                <w:sz w:val="20"/>
                <w:szCs w:val="20"/>
                <w:color w:val="auto"/>
              </w:rPr>
            </w:pPr>
            <w:r>
              <w:rPr>
                <w:rFonts w:ascii="Times New Roman" w:cs="Times New Roman" w:eastAsia="Times New Roman" w:hAnsi="Times New Roman"/>
                <w:sz w:val="20"/>
                <w:szCs w:val="20"/>
                <w:color w:val="231F20"/>
              </w:rPr>
              <w:t>Notes to Consolidated Financial Statements .................................................................................................</w:t>
            </w:r>
          </w:p>
        </w:tc>
        <w:tc>
          <w:tcPr>
            <w:tcW w:w="700" w:type="dxa"/>
            <w:vAlign w:val="bottom"/>
          </w:tcPr>
          <w:p>
            <w:pPr>
              <w:ind w:left="440"/>
              <w:spacing w:after="0"/>
              <w:rPr>
                <w:sz w:val="20"/>
                <w:szCs w:val="20"/>
                <w:color w:val="auto"/>
              </w:rPr>
            </w:pPr>
            <w:r>
              <w:rPr>
                <w:rFonts w:ascii="Times New Roman" w:cs="Times New Roman" w:eastAsia="Times New Roman" w:hAnsi="Times New Roman"/>
                <w:sz w:val="20"/>
                <w:szCs w:val="20"/>
                <w:color w:val="231F20"/>
                <w:w w:val="86"/>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129</w:t>
      </w:r>
    </w:p>
    <w:p>
      <w:pPr>
        <w:sectPr>
          <w:pgSz w:w="12240" w:h="15840" w:orient="portrait"/>
          <w:cols w:equalWidth="0" w:num="1">
            <w:col w:w="9360"/>
          </w:cols>
          <w:pgMar w:left="1440" w:top="1416" w:right="1440" w:bottom="175" w:gutter="0" w:footer="0" w:header="0"/>
          <w:type w:val="continuous"/>
        </w:sectPr>
      </w:pPr>
    </w:p>
    <w:bookmarkStart w:id="131" w:name="page132"/>
    <w:bookmarkEnd w:id="131"/>
    <w:p>
      <w:pPr>
        <w:ind w:right="2380"/>
        <w:spacing w:after="0" w:line="440" w:lineRule="auto"/>
        <w:rPr>
          <w:sz w:val="20"/>
          <w:szCs w:val="20"/>
          <w:color w:val="auto"/>
        </w:rPr>
      </w:pPr>
      <w:r>
        <w:rPr>
          <w:rFonts w:ascii="Verdana" w:cs="Verdana" w:eastAsia="Verdana" w:hAnsi="Verdana"/>
          <w:sz w:val="18"/>
          <w:szCs w:val="18"/>
          <w:b w:val="1"/>
          <w:bCs w:val="1"/>
          <w:color w:val="231F20"/>
        </w:rPr>
        <w:t xml:space="preserve">REPORT OF INDEPENDENT REGISTERED PUBLIC ACCOUNTING FIRM </w:t>
      </w:r>
      <w:r>
        <w:rPr>
          <w:rFonts w:ascii="Verdana" w:cs="Verdana" w:eastAsia="Verdana" w:hAnsi="Verdana"/>
          <w:sz w:val="18"/>
          <w:szCs w:val="18"/>
          <w:color w:val="231F20"/>
        </w:rPr>
        <w:t xml:space="preserve">To the shareholders and the Board of Directors of Axsome Therapeutics, Inc. </w:t>
      </w:r>
      <w:r>
        <w:rPr>
          <w:rFonts w:ascii="Verdana" w:cs="Verdana" w:eastAsia="Verdana" w:hAnsi="Verdana"/>
          <w:sz w:val="18"/>
          <w:szCs w:val="18"/>
          <w:b w:val="1"/>
          <w:bCs w:val="1"/>
          <w:color w:val="231F20"/>
        </w:rPr>
        <w:t>Opinion on the Financial Statements</w:t>
      </w:r>
    </w:p>
    <w:p>
      <w:pPr>
        <w:spacing w:after="0" w:line="1" w:lineRule="exact"/>
        <w:rPr>
          <w:sz w:val="20"/>
          <w:szCs w:val="20"/>
          <w:color w:val="auto"/>
        </w:rPr>
      </w:pPr>
    </w:p>
    <w:p>
      <w:pPr>
        <w:ind w:right="40"/>
        <w:spacing w:after="0" w:line="225" w:lineRule="auto"/>
        <w:rPr>
          <w:sz w:val="20"/>
          <w:szCs w:val="20"/>
          <w:color w:val="auto"/>
        </w:rPr>
      </w:pPr>
      <w:r>
        <w:rPr>
          <w:rFonts w:ascii="Verdana" w:cs="Verdana" w:eastAsia="Verdana" w:hAnsi="Verdana"/>
          <w:sz w:val="18"/>
          <w:szCs w:val="18"/>
          <w:color w:val="231F20"/>
        </w:rPr>
        <w:t>We have audited the accompanying consolidated balance sheets of Axsome Therapeutics, Inc. and subsidiaries (the "Company") as of December 31, 2025 and 2024, the related consolidated statements of operations,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59" w:lineRule="exact"/>
        <w:rPr>
          <w:sz w:val="20"/>
          <w:szCs w:val="20"/>
          <w:color w:val="auto"/>
        </w:rPr>
      </w:pPr>
    </w:p>
    <w:p>
      <w:pPr>
        <w:ind w:right="100"/>
        <w:spacing w:after="0" w:line="227" w:lineRule="auto"/>
        <w:rPr>
          <w:sz w:val="20"/>
          <w:szCs w:val="20"/>
          <w:color w:val="auto"/>
        </w:rPr>
      </w:pPr>
      <w:r>
        <w:rPr>
          <w:rFonts w:ascii="Verdana" w:cs="Verdana" w:eastAsia="Verdana" w:hAnsi="Verdana"/>
          <w:sz w:val="18"/>
          <w:szCs w:val="18"/>
          <w:color w:val="231F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Verdana" w:cs="Verdana" w:eastAsia="Verdana" w:hAnsi="Verdana"/>
          <w:sz w:val="18"/>
          <w:szCs w:val="18"/>
          <w:i w:val="1"/>
          <w:iCs w:val="1"/>
          <w:color w:val="231F20"/>
        </w:rPr>
        <w:t>Internal Control — Integrated Framework (2013)</w:t>
      </w:r>
      <w:r>
        <w:rPr>
          <w:rFonts w:ascii="Verdana" w:cs="Verdana" w:eastAsia="Verdana" w:hAnsi="Verdana"/>
          <w:sz w:val="18"/>
          <w:szCs w:val="18"/>
          <w:color w:val="231F20"/>
        </w:rPr>
        <w:t xml:space="preserve"> issued by the Committee of Sponsoring Organizations of the Treadway Commission and our report dated February 23, 2026, expressed an unqualified opinion on the Company's internal control over financial reporting.</w:t>
      </w:r>
    </w:p>
    <w:p>
      <w:pPr>
        <w:spacing w:after="0" w:line="15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231F20"/>
        </w:rPr>
        <w:t>Basis for Opinion</w:t>
      </w:r>
    </w:p>
    <w:p>
      <w:pPr>
        <w:spacing w:after="0" w:line="185" w:lineRule="exact"/>
        <w:rPr>
          <w:sz w:val="20"/>
          <w:szCs w:val="20"/>
          <w:color w:val="auto"/>
        </w:rPr>
      </w:pPr>
    </w:p>
    <w:p>
      <w:pPr>
        <w:ind w:right="140"/>
        <w:spacing w:after="0" w:line="228" w:lineRule="auto"/>
        <w:rPr>
          <w:sz w:val="20"/>
          <w:szCs w:val="20"/>
          <w:color w:val="auto"/>
        </w:rPr>
      </w:pPr>
      <w:r>
        <w:rPr>
          <w:rFonts w:ascii="Verdana" w:cs="Verdana" w:eastAsia="Verdana" w:hAnsi="Verdana"/>
          <w:sz w:val="18"/>
          <w:szCs w:val="18"/>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20"/>
        <w:spacing w:after="0" w:line="224" w:lineRule="auto"/>
        <w:rPr>
          <w:sz w:val="20"/>
          <w:szCs w:val="20"/>
          <w:color w:val="auto"/>
        </w:rPr>
      </w:pPr>
      <w:r>
        <w:rPr>
          <w:rFonts w:ascii="Verdana" w:cs="Verdana" w:eastAsia="Verdana" w:hAnsi="Verdana"/>
          <w:sz w:val="18"/>
          <w:szCs w:val="18"/>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231F20"/>
        </w:rPr>
        <w:t>Critical Audit Matter</w:t>
      </w:r>
    </w:p>
    <w:p>
      <w:pPr>
        <w:spacing w:after="0" w:line="185" w:lineRule="exact"/>
        <w:rPr>
          <w:sz w:val="20"/>
          <w:szCs w:val="20"/>
          <w:color w:val="auto"/>
        </w:rPr>
      </w:pPr>
    </w:p>
    <w:p>
      <w:pPr>
        <w:ind w:right="40"/>
        <w:spacing w:after="0" w:line="226" w:lineRule="auto"/>
        <w:rPr>
          <w:sz w:val="20"/>
          <w:szCs w:val="20"/>
          <w:color w:val="auto"/>
        </w:rPr>
      </w:pPr>
      <w:r>
        <w:rPr>
          <w:rFonts w:ascii="Verdana" w:cs="Verdana" w:eastAsia="Verdana" w:hAnsi="Verdana"/>
          <w:sz w:val="18"/>
          <w:szCs w:val="18"/>
          <w:color w:val="231F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ind w:right="340"/>
        <w:spacing w:after="0" w:line="250" w:lineRule="auto"/>
        <w:rPr>
          <w:sz w:val="20"/>
          <w:szCs w:val="20"/>
          <w:color w:val="auto"/>
        </w:rPr>
      </w:pPr>
      <w:r>
        <w:rPr>
          <w:rFonts w:ascii="Verdana" w:cs="Verdana" w:eastAsia="Verdana" w:hAnsi="Verdana"/>
          <w:sz w:val="18"/>
          <w:szCs w:val="18"/>
          <w:b w:val="1"/>
          <w:bCs w:val="1"/>
          <w:color w:val="231F20"/>
        </w:rPr>
        <w:t xml:space="preserve">Reserves for Variable Consideration - Commercial Managed Care — </w:t>
      </w:r>
      <w:r>
        <w:rPr>
          <w:rFonts w:ascii="Verdana" w:cs="Verdana" w:eastAsia="Verdana" w:hAnsi="Verdana"/>
          <w:sz w:val="18"/>
          <w:szCs w:val="18"/>
          <w:b w:val="1"/>
          <w:bCs w:val="1"/>
          <w:i w:val="1"/>
          <w:iCs w:val="1"/>
          <w:color w:val="231F20"/>
        </w:rPr>
        <w:t>Refer to Note 2 to the</w:t>
      </w:r>
      <w:r>
        <w:rPr>
          <w:rFonts w:ascii="Verdana" w:cs="Verdana" w:eastAsia="Verdana" w:hAnsi="Verdana"/>
          <w:sz w:val="18"/>
          <w:szCs w:val="18"/>
          <w:b w:val="1"/>
          <w:bCs w:val="1"/>
          <w:color w:val="231F20"/>
        </w:rPr>
        <w:t xml:space="preserve"> </w:t>
      </w:r>
      <w:r>
        <w:rPr>
          <w:rFonts w:ascii="Verdana" w:cs="Verdana" w:eastAsia="Verdana" w:hAnsi="Verdana"/>
          <w:sz w:val="18"/>
          <w:szCs w:val="18"/>
          <w:b w:val="1"/>
          <w:bCs w:val="1"/>
          <w:i w:val="1"/>
          <w:iCs w:val="1"/>
          <w:color w:val="231F20"/>
        </w:rPr>
        <w:t>financial statements</w:t>
      </w:r>
    </w:p>
    <w:p>
      <w:pPr>
        <w:spacing w:after="0" w:line="148"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231F20"/>
        </w:rPr>
        <w:t>Critical Audit Matter Description</w:t>
      </w:r>
    </w:p>
    <w:p>
      <w:pPr>
        <w:spacing w:after="0" w:line="181" w:lineRule="exact"/>
        <w:rPr>
          <w:sz w:val="20"/>
          <w:szCs w:val="20"/>
          <w:color w:val="auto"/>
        </w:rPr>
      </w:pPr>
    </w:p>
    <w:p>
      <w:pPr>
        <w:ind w:right="180"/>
        <w:spacing w:after="0" w:line="226" w:lineRule="auto"/>
        <w:rPr>
          <w:sz w:val="20"/>
          <w:szCs w:val="20"/>
          <w:color w:val="auto"/>
        </w:rPr>
      </w:pPr>
      <w:r>
        <w:rPr>
          <w:rFonts w:ascii="Verdana" w:cs="Verdana" w:eastAsia="Verdana" w:hAnsi="Verdana"/>
          <w:sz w:val="18"/>
          <w:szCs w:val="18"/>
          <w:color w:val="231F20"/>
        </w:rPr>
        <w:t>As more fully disclosed in Note 2 to the financial statements, the Company records revenues net of provisions for rebates, discounts, and other incentives and returns, which are established at the time of sale. These reductions are attributed to various commercial arrangements, managed healthcare organizations, and government programs that mandate various reductions from list price. Chargebacks and cash discounts are reflected as a reduction to receivables and settled through the issuance of credits to the customer. All other rebates, discounts and adjustments, are reflected as a liability and settled through cash payments.</w:t>
      </w:r>
    </w:p>
    <w:p>
      <w:pPr>
        <w:sectPr>
          <w:pgSz w:w="12240" w:h="15840" w:orient="portrait"/>
          <w:cols w:equalWidth="0" w:num="1">
            <w:col w:w="9360"/>
          </w:cols>
          <w:pgMar w:left="1440" w:top="1407"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w:t>
      </w:r>
    </w:p>
    <w:p>
      <w:pPr>
        <w:sectPr>
          <w:pgSz w:w="12240" w:h="15840" w:orient="portrait"/>
          <w:cols w:equalWidth="0" w:num="1">
            <w:col w:w="9360"/>
          </w:cols>
          <w:pgMar w:left="1440" w:top="1407" w:right="1440" w:bottom="175" w:gutter="0" w:footer="0" w:header="0"/>
          <w:type w:val="continuous"/>
        </w:sectPr>
      </w:pPr>
    </w:p>
    <w:bookmarkStart w:id="132" w:name="page133"/>
    <w:bookmarkEnd w:id="132"/>
    <w:p>
      <w:pPr>
        <w:ind w:right="680"/>
        <w:spacing w:after="0" w:line="231" w:lineRule="auto"/>
        <w:rPr>
          <w:sz w:val="20"/>
          <w:szCs w:val="20"/>
          <w:color w:val="auto"/>
        </w:rPr>
      </w:pPr>
      <w:r>
        <w:rPr>
          <w:rFonts w:ascii="Verdana" w:cs="Verdana" w:eastAsia="Verdana" w:hAnsi="Verdana"/>
          <w:sz w:val="18"/>
          <w:szCs w:val="18"/>
          <w:color w:val="231F20"/>
        </w:rPr>
        <w:t>The provision related to Commercial Managed Care rebate programs (the “Commercial rebate accruals”) involves the use of assumptions and judgments in its calculation. These include consideration of prior payment history, customer utilization mix data, changes to product price, expected patient usage, claims timing lags, and inventory levels in the distribution channel.</w:t>
      </w:r>
    </w:p>
    <w:p>
      <w:pPr>
        <w:spacing w:after="0" w:line="158" w:lineRule="exact"/>
        <w:rPr>
          <w:sz w:val="20"/>
          <w:szCs w:val="20"/>
          <w:color w:val="auto"/>
        </w:rPr>
      </w:pPr>
    </w:p>
    <w:p>
      <w:pPr>
        <w:ind w:right="460"/>
        <w:spacing w:after="0" w:line="245" w:lineRule="auto"/>
        <w:rPr>
          <w:sz w:val="20"/>
          <w:szCs w:val="20"/>
          <w:color w:val="auto"/>
        </w:rPr>
      </w:pPr>
      <w:r>
        <w:rPr>
          <w:rFonts w:ascii="Verdana" w:cs="Verdana" w:eastAsia="Verdana" w:hAnsi="Verdana"/>
          <w:sz w:val="18"/>
          <w:szCs w:val="18"/>
          <w:color w:val="231F20"/>
        </w:rPr>
        <w:t>Given the complexity involved in determining the assumptions used in calculating the Commercial rebate accruals, auditing these estimates involved especially subjective judgment.</w:t>
      </w:r>
    </w:p>
    <w:p>
      <w:pPr>
        <w:spacing w:after="0" w:line="153"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231F20"/>
        </w:rPr>
        <w:t>How the Critical Audit Matter Was Addressed in the Audit</w:t>
      </w:r>
    </w:p>
    <w:p>
      <w:pPr>
        <w:spacing w:after="0" w:line="181" w:lineRule="exact"/>
        <w:rPr>
          <w:sz w:val="20"/>
          <w:szCs w:val="20"/>
          <w:color w:val="auto"/>
        </w:rPr>
      </w:pPr>
    </w:p>
    <w:p>
      <w:pPr>
        <w:spacing w:after="0"/>
        <w:rPr>
          <w:sz w:val="20"/>
          <w:szCs w:val="20"/>
          <w:color w:val="auto"/>
        </w:rPr>
      </w:pPr>
      <w:r>
        <w:rPr>
          <w:rFonts w:ascii="Verdana" w:cs="Verdana" w:eastAsia="Verdana" w:hAnsi="Verdana"/>
          <w:sz w:val="18"/>
          <w:szCs w:val="18"/>
          <w:color w:val="231F20"/>
        </w:rPr>
        <w:t>Our audit procedures related to Commercial rebate accruals included the following, among others:</w:t>
      </w:r>
    </w:p>
    <w:p>
      <w:pPr>
        <w:spacing w:after="0" w:line="181" w:lineRule="exact"/>
        <w:rPr>
          <w:sz w:val="20"/>
          <w:szCs w:val="20"/>
          <w:color w:val="auto"/>
        </w:rPr>
      </w:pPr>
    </w:p>
    <w:p>
      <w:pPr>
        <w:ind w:left="720" w:right="1140" w:hanging="360"/>
        <w:spacing w:after="0" w:line="245" w:lineRule="auto"/>
        <w:tabs>
          <w:tab w:leader="none" w:pos="720" w:val="left"/>
        </w:tabs>
        <w:numPr>
          <w:ilvl w:val="0"/>
          <w:numId w:val="48"/>
        </w:numPr>
        <w:rPr>
          <w:rFonts w:ascii="Arial" w:cs="Arial" w:eastAsia="Arial" w:hAnsi="Arial"/>
          <w:sz w:val="18"/>
          <w:szCs w:val="18"/>
          <w:color w:val="231F20"/>
        </w:rPr>
      </w:pPr>
      <w:r>
        <w:rPr>
          <w:rFonts w:ascii="Verdana" w:cs="Verdana" w:eastAsia="Verdana" w:hAnsi="Verdana"/>
          <w:sz w:val="18"/>
          <w:szCs w:val="18"/>
          <w:color w:val="231F20"/>
        </w:rPr>
        <w:t>We evaluated the appropriateness and consistency of the Company’s methods and assumptions used to calculate Commercial rebate accruals.</w:t>
      </w:r>
    </w:p>
    <w:p>
      <w:pPr>
        <w:spacing w:after="0" w:line="153" w:lineRule="exact"/>
        <w:rPr>
          <w:rFonts w:ascii="Arial" w:cs="Arial" w:eastAsia="Arial" w:hAnsi="Arial"/>
          <w:sz w:val="18"/>
          <w:szCs w:val="18"/>
          <w:color w:val="231F20"/>
        </w:rPr>
      </w:pPr>
    </w:p>
    <w:p>
      <w:pPr>
        <w:ind w:left="720" w:right="220" w:hanging="360"/>
        <w:spacing w:after="0" w:line="234" w:lineRule="auto"/>
        <w:tabs>
          <w:tab w:leader="none" w:pos="720" w:val="left"/>
        </w:tabs>
        <w:numPr>
          <w:ilvl w:val="0"/>
          <w:numId w:val="48"/>
        </w:numPr>
        <w:rPr>
          <w:rFonts w:ascii="Arial" w:cs="Arial" w:eastAsia="Arial" w:hAnsi="Arial"/>
          <w:sz w:val="18"/>
          <w:szCs w:val="18"/>
          <w:color w:val="231F20"/>
        </w:rPr>
      </w:pPr>
      <w:r>
        <w:rPr>
          <w:rFonts w:ascii="Verdana" w:cs="Verdana" w:eastAsia="Verdana" w:hAnsi="Verdana"/>
          <w:sz w:val="18"/>
          <w:szCs w:val="18"/>
          <w:color w:val="231F20"/>
        </w:rPr>
        <w:t>We tested the effectiveness of internal controls over the review of the Company’s estimation model, including underlying assumptions and key inputs into the Company’s process to calculate Commercial rebate accruals.</w:t>
      </w:r>
    </w:p>
    <w:p>
      <w:pPr>
        <w:spacing w:after="0" w:line="159" w:lineRule="exact"/>
        <w:rPr>
          <w:rFonts w:ascii="Arial" w:cs="Arial" w:eastAsia="Arial" w:hAnsi="Arial"/>
          <w:sz w:val="18"/>
          <w:szCs w:val="18"/>
          <w:color w:val="231F20"/>
        </w:rPr>
      </w:pPr>
    </w:p>
    <w:p>
      <w:pPr>
        <w:ind w:left="720" w:hanging="360"/>
        <w:spacing w:after="0"/>
        <w:tabs>
          <w:tab w:leader="none" w:pos="720" w:val="left"/>
        </w:tabs>
        <w:numPr>
          <w:ilvl w:val="0"/>
          <w:numId w:val="48"/>
        </w:numPr>
        <w:rPr>
          <w:rFonts w:ascii="Arial" w:cs="Arial" w:eastAsia="Arial" w:hAnsi="Arial"/>
          <w:sz w:val="18"/>
          <w:szCs w:val="18"/>
          <w:color w:val="231F20"/>
        </w:rPr>
      </w:pPr>
      <w:r>
        <w:rPr>
          <w:rFonts w:ascii="Verdana" w:cs="Verdana" w:eastAsia="Verdana" w:hAnsi="Verdana"/>
          <w:sz w:val="18"/>
          <w:szCs w:val="18"/>
          <w:color w:val="231F20"/>
        </w:rPr>
        <w:t>We tested the mathematical accuracy of Commercial rebate accruals.</w:t>
      </w:r>
    </w:p>
    <w:p>
      <w:pPr>
        <w:spacing w:after="0" w:line="180" w:lineRule="exact"/>
        <w:rPr>
          <w:rFonts w:ascii="Arial" w:cs="Arial" w:eastAsia="Arial" w:hAnsi="Arial"/>
          <w:sz w:val="18"/>
          <w:szCs w:val="18"/>
          <w:color w:val="231F20"/>
        </w:rPr>
      </w:pPr>
    </w:p>
    <w:p>
      <w:pPr>
        <w:ind w:left="720" w:hanging="360"/>
        <w:spacing w:after="0"/>
        <w:tabs>
          <w:tab w:leader="none" w:pos="720" w:val="left"/>
        </w:tabs>
        <w:numPr>
          <w:ilvl w:val="0"/>
          <w:numId w:val="48"/>
        </w:numPr>
        <w:rPr>
          <w:rFonts w:ascii="Arial" w:cs="Arial" w:eastAsia="Arial" w:hAnsi="Arial"/>
          <w:sz w:val="18"/>
          <w:szCs w:val="18"/>
          <w:color w:val="231F20"/>
        </w:rPr>
      </w:pPr>
      <w:r>
        <w:rPr>
          <w:rFonts w:ascii="Verdana" w:cs="Verdana" w:eastAsia="Verdana" w:hAnsi="Verdana"/>
          <w:sz w:val="18"/>
          <w:szCs w:val="18"/>
          <w:color w:val="231F20"/>
        </w:rPr>
        <w:t>We tested the assumptions and key inputs used to calculate Commercial rebate accruals.</w:t>
      </w:r>
    </w:p>
    <w:p>
      <w:pPr>
        <w:spacing w:after="0" w:line="180" w:lineRule="exact"/>
        <w:rPr>
          <w:rFonts w:ascii="Arial" w:cs="Arial" w:eastAsia="Arial" w:hAnsi="Arial"/>
          <w:sz w:val="18"/>
          <w:szCs w:val="18"/>
          <w:color w:val="231F20"/>
        </w:rPr>
      </w:pPr>
    </w:p>
    <w:p>
      <w:pPr>
        <w:ind w:left="720" w:right="440" w:hanging="360"/>
        <w:spacing w:after="0" w:line="245" w:lineRule="auto"/>
        <w:tabs>
          <w:tab w:leader="none" w:pos="720" w:val="left"/>
        </w:tabs>
        <w:numPr>
          <w:ilvl w:val="0"/>
          <w:numId w:val="48"/>
        </w:numPr>
        <w:rPr>
          <w:rFonts w:ascii="Arial" w:cs="Arial" w:eastAsia="Arial" w:hAnsi="Arial"/>
          <w:sz w:val="18"/>
          <w:szCs w:val="18"/>
          <w:color w:val="231F20"/>
        </w:rPr>
      </w:pPr>
      <w:r>
        <w:rPr>
          <w:rFonts w:ascii="Verdana" w:cs="Verdana" w:eastAsia="Verdana" w:hAnsi="Verdana"/>
          <w:sz w:val="18"/>
          <w:szCs w:val="18"/>
          <w:color w:val="231F20"/>
        </w:rPr>
        <w:t>We evaluated the Company’s ability to estimate Commercial rebate accruals accurately by comparing actual amounts incurred for Commercial rebate accruals</w:t>
      </w:r>
    </w:p>
    <w:p>
      <w:pPr>
        <w:spacing w:after="0" w:line="153" w:lineRule="exact"/>
        <w:rPr>
          <w:rFonts w:ascii="Arial" w:cs="Arial" w:eastAsia="Arial" w:hAnsi="Arial"/>
          <w:sz w:val="18"/>
          <w:szCs w:val="18"/>
          <w:color w:val="231F20"/>
        </w:rPr>
      </w:pPr>
    </w:p>
    <w:p>
      <w:pPr>
        <w:ind w:left="720" w:right="340" w:hanging="360"/>
        <w:spacing w:after="0" w:line="245" w:lineRule="auto"/>
        <w:tabs>
          <w:tab w:leader="none" w:pos="720" w:val="left"/>
        </w:tabs>
        <w:numPr>
          <w:ilvl w:val="0"/>
          <w:numId w:val="48"/>
        </w:numPr>
        <w:rPr>
          <w:rFonts w:ascii="Arial" w:cs="Arial" w:eastAsia="Arial" w:hAnsi="Arial"/>
          <w:sz w:val="18"/>
          <w:szCs w:val="18"/>
          <w:color w:val="231F20"/>
        </w:rPr>
      </w:pPr>
      <w:r>
        <w:rPr>
          <w:rFonts w:ascii="Verdana" w:cs="Verdana" w:eastAsia="Verdana" w:hAnsi="Verdana"/>
          <w:sz w:val="18"/>
          <w:szCs w:val="18"/>
          <w:color w:val="231F20"/>
        </w:rPr>
        <w:t>We tested the overall reasonableness of the Commercial rebate accruals recorded at period end by developing an expectation for comparison to actual recorded balances.</w:t>
      </w:r>
    </w:p>
    <w:p>
      <w:pPr>
        <w:spacing w:after="0" w:line="153" w:lineRule="exact"/>
        <w:rPr>
          <w:rFonts w:ascii="Arial" w:cs="Arial" w:eastAsia="Arial" w:hAnsi="Arial"/>
          <w:sz w:val="18"/>
          <w:szCs w:val="18"/>
          <w:color w:val="231F20"/>
        </w:rPr>
      </w:pPr>
    </w:p>
    <w:p>
      <w:pPr>
        <w:ind w:left="720" w:right="260" w:hanging="360"/>
        <w:spacing w:after="0" w:line="245" w:lineRule="auto"/>
        <w:tabs>
          <w:tab w:leader="none" w:pos="720" w:val="left"/>
        </w:tabs>
        <w:numPr>
          <w:ilvl w:val="0"/>
          <w:numId w:val="48"/>
        </w:numPr>
        <w:rPr>
          <w:rFonts w:ascii="Arial" w:cs="Arial" w:eastAsia="Arial" w:hAnsi="Arial"/>
          <w:sz w:val="18"/>
          <w:szCs w:val="18"/>
          <w:color w:val="231F20"/>
        </w:rPr>
      </w:pPr>
      <w:r>
        <w:rPr>
          <w:rFonts w:ascii="Verdana" w:cs="Verdana" w:eastAsia="Verdana" w:hAnsi="Verdana"/>
          <w:sz w:val="18"/>
          <w:szCs w:val="18"/>
          <w:color w:val="231F20"/>
        </w:rPr>
        <w:t>We involved audit professionals with industry and quantitative analytics experience to assist us in performing our auditing procedures.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Verdana" w:cs="Verdana" w:eastAsia="Verdana" w:hAnsi="Verdana"/>
          <w:sz w:val="18"/>
          <w:szCs w:val="18"/>
          <w:color w:val="231F20"/>
        </w:rPr>
        <w:t>/s/ Deloitte &amp; Touche LLP</w:t>
      </w:r>
    </w:p>
    <w:p>
      <w:pPr>
        <w:spacing w:after="0" w:line="221" w:lineRule="exact"/>
        <w:rPr>
          <w:sz w:val="20"/>
          <w:szCs w:val="20"/>
          <w:color w:val="auto"/>
        </w:rPr>
      </w:pPr>
    </w:p>
    <w:p>
      <w:pPr>
        <w:spacing w:after="0"/>
        <w:rPr>
          <w:sz w:val="20"/>
          <w:szCs w:val="20"/>
          <w:color w:val="auto"/>
        </w:rPr>
      </w:pPr>
      <w:r>
        <w:rPr>
          <w:rFonts w:ascii="Verdana" w:cs="Verdana" w:eastAsia="Verdana" w:hAnsi="Verdana"/>
          <w:sz w:val="18"/>
          <w:szCs w:val="18"/>
          <w:color w:val="231F20"/>
        </w:rPr>
        <w:t>Morristown, New Jersey</w:t>
      </w:r>
    </w:p>
    <w:p>
      <w:pPr>
        <w:spacing w:after="0" w:line="221" w:lineRule="exact"/>
        <w:rPr>
          <w:sz w:val="20"/>
          <w:szCs w:val="20"/>
          <w:color w:val="auto"/>
        </w:rPr>
      </w:pPr>
    </w:p>
    <w:p>
      <w:pPr>
        <w:spacing w:after="0"/>
        <w:rPr>
          <w:sz w:val="20"/>
          <w:szCs w:val="20"/>
          <w:color w:val="auto"/>
        </w:rPr>
      </w:pPr>
      <w:r>
        <w:rPr>
          <w:rFonts w:ascii="Verdana" w:cs="Verdana" w:eastAsia="Verdana" w:hAnsi="Verdana"/>
          <w:sz w:val="18"/>
          <w:szCs w:val="18"/>
          <w:color w:val="231F20"/>
        </w:rPr>
        <w:t>February 23, 2026</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231F20"/>
        </w:rPr>
        <w:t>We have served as the Company's auditor since 2023.</w:t>
      </w:r>
    </w:p>
    <w:p>
      <w:pPr>
        <w:sectPr>
          <w:pgSz w:w="12240" w:h="15840" w:orient="portrait"/>
          <w:cols w:equalWidth="0" w:num="1">
            <w:col w:w="9360"/>
          </w:cols>
          <w:pgMar w:left="1440" w:top="1411"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w:t>
      </w:r>
    </w:p>
    <w:p>
      <w:pPr>
        <w:sectPr>
          <w:pgSz w:w="12240" w:h="15840" w:orient="portrait"/>
          <w:cols w:equalWidth="0" w:num="1">
            <w:col w:w="9360"/>
          </w:cols>
          <w:pgMar w:left="1440" w:top="1411" w:right="1440" w:bottom="175" w:gutter="0" w:footer="0" w:header="0"/>
          <w:type w:val="continuous"/>
        </w:sectPr>
      </w:pPr>
    </w:p>
    <w:bookmarkStart w:id="133" w:name="page134"/>
    <w:bookmarkEnd w:id="133"/>
    <w:p>
      <w:pPr>
        <w:ind w:right="2380"/>
        <w:spacing w:after="0" w:line="440" w:lineRule="auto"/>
        <w:rPr>
          <w:sz w:val="20"/>
          <w:szCs w:val="20"/>
          <w:color w:val="auto"/>
        </w:rPr>
      </w:pPr>
      <w:r>
        <w:rPr>
          <w:rFonts w:ascii="Verdana" w:cs="Verdana" w:eastAsia="Verdana" w:hAnsi="Verdana"/>
          <w:sz w:val="18"/>
          <w:szCs w:val="18"/>
          <w:b w:val="1"/>
          <w:bCs w:val="1"/>
          <w:color w:val="231F20"/>
        </w:rPr>
        <w:t xml:space="preserve">REPORT OF INDEPENDENT REGISTERED PUBLIC ACCOUNTING FIRM </w:t>
      </w:r>
      <w:r>
        <w:rPr>
          <w:rFonts w:ascii="Verdana" w:cs="Verdana" w:eastAsia="Verdana" w:hAnsi="Verdana"/>
          <w:sz w:val="18"/>
          <w:szCs w:val="18"/>
          <w:color w:val="231F20"/>
        </w:rPr>
        <w:t xml:space="preserve">To the shareholders and the Board of Directors of Axsome Therapeutics, Inc. </w:t>
      </w:r>
      <w:r>
        <w:rPr>
          <w:rFonts w:ascii="Verdana" w:cs="Verdana" w:eastAsia="Verdana" w:hAnsi="Verdana"/>
          <w:sz w:val="18"/>
          <w:szCs w:val="18"/>
          <w:b w:val="1"/>
          <w:bCs w:val="1"/>
          <w:color w:val="231F20"/>
        </w:rPr>
        <w:t>Opinion on Internal Control over Financial Reporting</w:t>
      </w:r>
    </w:p>
    <w:p>
      <w:pPr>
        <w:spacing w:after="0" w:line="1" w:lineRule="exact"/>
        <w:rPr>
          <w:sz w:val="20"/>
          <w:szCs w:val="20"/>
          <w:color w:val="auto"/>
        </w:rPr>
      </w:pPr>
    </w:p>
    <w:p>
      <w:pPr>
        <w:ind w:right="140"/>
        <w:spacing w:after="0" w:line="227" w:lineRule="auto"/>
        <w:rPr>
          <w:sz w:val="20"/>
          <w:szCs w:val="20"/>
          <w:color w:val="auto"/>
        </w:rPr>
      </w:pPr>
      <w:r>
        <w:rPr>
          <w:rFonts w:ascii="Verdana" w:cs="Verdana" w:eastAsia="Verdana" w:hAnsi="Verdana"/>
          <w:sz w:val="18"/>
          <w:szCs w:val="18"/>
          <w:color w:val="231F20"/>
        </w:rPr>
        <w:t xml:space="preserve">We have audited the internal control over financial reporting of Axsome Therapeutics, Inc. and subsidiaries (the “Company”) as of December 31, 2025, based on criteria established in </w:t>
      </w:r>
      <w:r>
        <w:rPr>
          <w:rFonts w:ascii="Verdana" w:cs="Verdana" w:eastAsia="Verdana" w:hAnsi="Verdana"/>
          <w:sz w:val="18"/>
          <w:szCs w:val="18"/>
          <w:i w:val="1"/>
          <w:iCs w:val="1"/>
          <w:color w:val="231F20"/>
        </w:rPr>
        <w:t>Internal</w:t>
      </w:r>
      <w:r>
        <w:rPr>
          <w:rFonts w:ascii="Verdana" w:cs="Verdana" w:eastAsia="Verdana" w:hAnsi="Verdana"/>
          <w:sz w:val="18"/>
          <w:szCs w:val="18"/>
          <w:color w:val="231F20"/>
        </w:rPr>
        <w:t xml:space="preserve"> </w:t>
      </w:r>
      <w:r>
        <w:rPr>
          <w:rFonts w:ascii="Verdana" w:cs="Verdana" w:eastAsia="Verdana" w:hAnsi="Verdana"/>
          <w:sz w:val="18"/>
          <w:szCs w:val="18"/>
          <w:i w:val="1"/>
          <w:iCs w:val="1"/>
          <w:color w:val="231F20"/>
        </w:rPr>
        <w:t xml:space="preserve">Control — Integrated Framework (2013) </w:t>
      </w:r>
      <w:r>
        <w:rPr>
          <w:rFonts w:ascii="Verdana" w:cs="Verdana" w:eastAsia="Verdana" w:hAnsi="Verdana"/>
          <w:sz w:val="18"/>
          <w:szCs w:val="18"/>
          <w:color w:val="231F20"/>
        </w:rPr>
        <w:t>issued by the Committee of Sponsoring Organizations of the</w:t>
      </w:r>
      <w:r>
        <w:rPr>
          <w:rFonts w:ascii="Verdana" w:cs="Verdana" w:eastAsia="Verdana" w:hAnsi="Verdana"/>
          <w:sz w:val="18"/>
          <w:szCs w:val="18"/>
          <w:i w:val="1"/>
          <w:iCs w:val="1"/>
          <w:color w:val="231F20"/>
        </w:rPr>
        <w:t xml:space="preserve"> </w:t>
      </w:r>
      <w:r>
        <w:rPr>
          <w:rFonts w:ascii="Verdana" w:cs="Verdana" w:eastAsia="Verdana" w:hAnsi="Verdana"/>
          <w:sz w:val="18"/>
          <w:szCs w:val="18"/>
          <w:color w:val="231F20"/>
        </w:rPr>
        <w:t xml:space="preserve">Treadway Commission (COSO). In our opinion, the Company maintained, in all material respects, effective internal control over financial reporting as of December 31, 2025, based on criteria established in </w:t>
      </w:r>
      <w:r>
        <w:rPr>
          <w:rFonts w:ascii="Verdana" w:cs="Verdana" w:eastAsia="Verdana" w:hAnsi="Verdana"/>
          <w:sz w:val="18"/>
          <w:szCs w:val="18"/>
          <w:i w:val="1"/>
          <w:iCs w:val="1"/>
          <w:color w:val="231F20"/>
        </w:rPr>
        <w:t>Internal Control — Integrated Framework (2013)</w:t>
      </w:r>
      <w:r>
        <w:rPr>
          <w:rFonts w:ascii="Verdana" w:cs="Verdana" w:eastAsia="Verdana" w:hAnsi="Verdana"/>
          <w:sz w:val="18"/>
          <w:szCs w:val="18"/>
          <w:color w:val="231F20"/>
        </w:rPr>
        <w:t xml:space="preserve"> issued by COSO.</w:t>
      </w:r>
    </w:p>
    <w:p>
      <w:pPr>
        <w:spacing w:after="0" w:line="159" w:lineRule="exact"/>
        <w:rPr>
          <w:sz w:val="20"/>
          <w:szCs w:val="20"/>
          <w:color w:val="auto"/>
        </w:rPr>
      </w:pPr>
    </w:p>
    <w:p>
      <w:pPr>
        <w:ind w:right="200"/>
        <w:spacing w:after="0" w:line="231" w:lineRule="auto"/>
        <w:rPr>
          <w:sz w:val="20"/>
          <w:szCs w:val="20"/>
          <w:color w:val="auto"/>
        </w:rPr>
      </w:pPr>
      <w:r>
        <w:rPr>
          <w:rFonts w:ascii="Verdana" w:cs="Verdana" w:eastAsia="Verdana" w:hAnsi="Verdana"/>
          <w:sz w:val="18"/>
          <w:szCs w:val="18"/>
          <w:color w:val="231F20"/>
        </w:rPr>
        <w:t>We have also audited, in accordance with the standards of the Public Company Accounting Oversight Board (United States) (PCAOB), the consolidated financial statements as of and for the year ended December 31, 2025, of the Company and our report dated February 23, 2026, expressed an unqualified opinion on those financial statements.</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231F20"/>
        </w:rPr>
        <w:t>Basis for Opinion</w:t>
      </w:r>
    </w:p>
    <w:p>
      <w:pPr>
        <w:spacing w:after="0" w:line="185" w:lineRule="exact"/>
        <w:rPr>
          <w:sz w:val="20"/>
          <w:szCs w:val="20"/>
          <w:color w:val="auto"/>
        </w:rPr>
      </w:pPr>
    </w:p>
    <w:p>
      <w:pPr>
        <w:ind w:right="40"/>
        <w:spacing w:after="0" w:line="225" w:lineRule="auto"/>
        <w:rPr>
          <w:sz w:val="20"/>
          <w:szCs w:val="20"/>
          <w:color w:val="auto"/>
        </w:rPr>
      </w:pPr>
      <w:r>
        <w:rPr>
          <w:rFonts w:ascii="Verdana" w:cs="Verdana" w:eastAsia="Verdana" w:hAnsi="Verdana"/>
          <w:sz w:val="18"/>
          <w:szCs w:val="18"/>
          <w:color w:val="231F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ind w:right="60"/>
        <w:spacing w:after="0" w:line="226" w:lineRule="auto"/>
        <w:rPr>
          <w:sz w:val="20"/>
          <w:szCs w:val="20"/>
          <w:color w:val="auto"/>
        </w:rPr>
      </w:pPr>
      <w:r>
        <w:rPr>
          <w:rFonts w:ascii="Verdana" w:cs="Verdana" w:eastAsia="Verdana" w:hAnsi="Verdana"/>
          <w:sz w:val="18"/>
          <w:szCs w:val="18"/>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231F20"/>
        </w:rPr>
        <w:t>Definition and Limitations of Internal Control over Financial Reporting</w:t>
      </w:r>
    </w:p>
    <w:p>
      <w:pPr>
        <w:spacing w:after="0" w:line="183" w:lineRule="exact"/>
        <w:rPr>
          <w:sz w:val="20"/>
          <w:szCs w:val="20"/>
          <w:color w:val="auto"/>
        </w:rPr>
      </w:pPr>
    </w:p>
    <w:p>
      <w:pPr>
        <w:ind w:right="40"/>
        <w:spacing w:after="0" w:line="223" w:lineRule="auto"/>
        <w:rPr>
          <w:sz w:val="20"/>
          <w:szCs w:val="20"/>
          <w:color w:val="auto"/>
        </w:rPr>
      </w:pPr>
      <w:r>
        <w:rPr>
          <w:rFonts w:ascii="Verdana" w:cs="Verdana" w:eastAsia="Verdana" w:hAnsi="Verdana"/>
          <w:sz w:val="18"/>
          <w:szCs w:val="18"/>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ind w:right="40"/>
        <w:spacing w:after="0" w:line="231" w:lineRule="auto"/>
        <w:rPr>
          <w:sz w:val="20"/>
          <w:szCs w:val="20"/>
          <w:color w:val="auto"/>
        </w:rPr>
      </w:pPr>
      <w:r>
        <w:rPr>
          <w:rFonts w:ascii="Verdana" w:cs="Verdana" w:eastAsia="Verdana" w:hAnsi="Verdana"/>
          <w:sz w:val="18"/>
          <w:szCs w:val="18"/>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spacing w:after="0"/>
        <w:rPr>
          <w:sz w:val="20"/>
          <w:szCs w:val="20"/>
          <w:color w:val="auto"/>
        </w:rPr>
      </w:pPr>
      <w:r>
        <w:rPr>
          <w:rFonts w:ascii="Verdana" w:cs="Verdana" w:eastAsia="Verdana" w:hAnsi="Verdana"/>
          <w:sz w:val="18"/>
          <w:szCs w:val="18"/>
          <w:color w:val="231F20"/>
        </w:rPr>
        <w:t>/s/ Deloitte &amp; Touche LLP</w:t>
      </w:r>
    </w:p>
    <w:p>
      <w:pPr>
        <w:spacing w:after="0" w:line="221" w:lineRule="exact"/>
        <w:rPr>
          <w:sz w:val="20"/>
          <w:szCs w:val="20"/>
          <w:color w:val="auto"/>
        </w:rPr>
      </w:pPr>
    </w:p>
    <w:p>
      <w:pPr>
        <w:spacing w:after="0"/>
        <w:rPr>
          <w:sz w:val="20"/>
          <w:szCs w:val="20"/>
          <w:color w:val="auto"/>
        </w:rPr>
      </w:pPr>
      <w:r>
        <w:rPr>
          <w:rFonts w:ascii="Verdana" w:cs="Verdana" w:eastAsia="Verdana" w:hAnsi="Verdana"/>
          <w:sz w:val="18"/>
          <w:szCs w:val="18"/>
          <w:color w:val="231F20"/>
        </w:rPr>
        <w:t>Morristown, New Jersey</w:t>
      </w:r>
    </w:p>
    <w:p>
      <w:pPr>
        <w:spacing w:after="0" w:line="221" w:lineRule="exact"/>
        <w:rPr>
          <w:sz w:val="20"/>
          <w:szCs w:val="20"/>
          <w:color w:val="auto"/>
        </w:rPr>
      </w:pPr>
    </w:p>
    <w:p>
      <w:pPr>
        <w:spacing w:after="0"/>
        <w:rPr>
          <w:sz w:val="20"/>
          <w:szCs w:val="20"/>
          <w:color w:val="auto"/>
        </w:rPr>
      </w:pPr>
      <w:r>
        <w:rPr>
          <w:rFonts w:ascii="Verdana" w:cs="Verdana" w:eastAsia="Verdana" w:hAnsi="Verdana"/>
          <w:sz w:val="18"/>
          <w:szCs w:val="18"/>
          <w:color w:val="231F20"/>
        </w:rPr>
        <w:t>February 23, 2026</w:t>
      </w:r>
    </w:p>
    <w:p>
      <w:pPr>
        <w:sectPr>
          <w:pgSz w:w="12240" w:h="15840" w:orient="portrait"/>
          <w:cols w:equalWidth="0" w:num="1">
            <w:col w:w="9360"/>
          </w:cols>
          <w:pgMar w:left="1440" w:top="1407"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F-3</w:t>
      </w:r>
    </w:p>
    <w:p>
      <w:pPr>
        <w:sectPr>
          <w:pgSz w:w="12240" w:h="15840" w:orient="portrait"/>
          <w:cols w:equalWidth="0" w:num="1">
            <w:col w:w="9360"/>
          </w:cols>
          <w:pgMar w:left="1440" w:top="1407" w:right="1440" w:bottom="175"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231F20"/>
        </w:rPr>
        <w:t>Axsome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jc w:val="center"/>
        <w:spacing w:after="0"/>
        <w:rPr>
          <w:sz w:val="20"/>
          <w:szCs w:val="20"/>
          <w:color w:val="auto"/>
        </w:rPr>
      </w:pPr>
      <w:r>
        <w:rPr>
          <w:rFonts w:ascii="Times New Roman" w:cs="Times New Roman" w:eastAsia="Times New Roman" w:hAnsi="Times New Roman"/>
          <w:sz w:val="20"/>
          <w:szCs w:val="20"/>
          <w:color w:val="231F20"/>
        </w:rPr>
        <w:t>(In thousands, except share and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EBECEC"/>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Borders>
              <w:bottom w:val="single" w:sz="8" w:color="EBECEC"/>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0" w:type="dxa"/>
            <w:vAlign w:val="bottom"/>
          </w:tcPr>
          <w:p>
            <w:pPr>
              <w:spacing w:after="0"/>
              <w:rPr>
                <w:sz w:val="1"/>
                <w:szCs w:val="1"/>
                <w:color w:val="auto"/>
              </w:rPr>
            </w:pPr>
          </w:p>
        </w:tc>
      </w:tr>
      <w:tr>
        <w:trPr>
          <w:trHeight w:val="239"/>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60" w:type="dxa"/>
            <w:vAlign w:val="bottom"/>
            <w:shd w:val="clear" w:color="auto" w:fill="EBECEC"/>
          </w:tcPr>
          <w:p>
            <w:pPr>
              <w:spacing w:after="0"/>
              <w:rPr>
                <w:sz w:val="20"/>
                <w:szCs w:val="20"/>
                <w:color w:val="auto"/>
              </w:rPr>
            </w:pPr>
          </w:p>
        </w:tc>
        <w:tc>
          <w:tcPr>
            <w:tcW w:w="1320" w:type="dxa"/>
            <w:vAlign w:val="bottom"/>
            <w:shd w:val="clear" w:color="auto" w:fill="EBECEC"/>
          </w:tcPr>
          <w:p>
            <w:pPr>
              <w:spacing w:after="0"/>
              <w:rPr>
                <w:sz w:val="20"/>
                <w:szCs w:val="20"/>
                <w:color w:val="auto"/>
              </w:rPr>
            </w:pPr>
          </w:p>
        </w:tc>
        <w:tc>
          <w:tcPr>
            <w:tcW w:w="160" w:type="dxa"/>
            <w:vAlign w:val="bottom"/>
            <w:shd w:val="clear" w:color="auto" w:fill="EBECEC"/>
          </w:tcPr>
          <w:p>
            <w:pPr>
              <w:spacing w:after="0"/>
              <w:rPr>
                <w:sz w:val="20"/>
                <w:szCs w:val="20"/>
                <w:color w:val="auto"/>
              </w:rPr>
            </w:pPr>
          </w:p>
        </w:tc>
        <w:tc>
          <w:tcPr>
            <w:tcW w:w="160" w:type="dxa"/>
            <w:vAlign w:val="bottom"/>
            <w:shd w:val="clear" w:color="auto" w:fill="EBECEC"/>
          </w:tcPr>
          <w:p>
            <w:pPr>
              <w:spacing w:after="0"/>
              <w:rPr>
                <w:sz w:val="20"/>
                <w:szCs w:val="20"/>
                <w:color w:val="auto"/>
              </w:rPr>
            </w:pPr>
          </w:p>
        </w:tc>
        <w:tc>
          <w:tcPr>
            <w:tcW w:w="132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Current assets: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322,933</w:t>
            </w:r>
          </w:p>
        </w:tc>
        <w:tc>
          <w:tcPr>
            <w:tcW w:w="32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315,353</w:t>
            </w:r>
          </w:p>
        </w:tc>
        <w:tc>
          <w:tcPr>
            <w:tcW w:w="0" w:type="dxa"/>
            <w:vAlign w:val="bottom"/>
          </w:tcPr>
          <w:p>
            <w:pPr>
              <w:spacing w:after="0"/>
              <w:rPr>
                <w:sz w:val="1"/>
                <w:szCs w:val="1"/>
                <w:color w:val="auto"/>
              </w:rPr>
            </w:pP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Accounts receivable, net</w:t>
            </w: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224,464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142,001</w:t>
            </w:r>
          </w:p>
        </w:tc>
        <w:tc>
          <w:tcPr>
            <w:tcW w:w="0" w:type="dxa"/>
            <w:vAlign w:val="bottom"/>
          </w:tcPr>
          <w:p>
            <w:pPr>
              <w:spacing w:after="0"/>
              <w:rPr>
                <w:sz w:val="1"/>
                <w:szCs w:val="1"/>
                <w:color w:val="auto"/>
              </w:rPr>
            </w:pPr>
          </w:p>
        </w:tc>
      </w:tr>
      <w:tr>
        <w:trPr>
          <w:trHeight w:val="244"/>
        </w:trPr>
        <w:tc>
          <w:tcPr>
            <w:tcW w:w="66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Inventories, net</w:t>
            </w: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27,938</w:t>
            </w:r>
          </w:p>
        </w:tc>
        <w:tc>
          <w:tcPr>
            <w:tcW w:w="16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15,732</w:t>
            </w:r>
          </w:p>
        </w:tc>
        <w:tc>
          <w:tcPr>
            <w:tcW w:w="0" w:type="dxa"/>
            <w:vAlign w:val="bottom"/>
          </w:tcPr>
          <w:p>
            <w:pPr>
              <w:spacing w:after="0"/>
              <w:rPr>
                <w:sz w:val="1"/>
                <w:szCs w:val="1"/>
                <w:color w:val="auto"/>
              </w:rPr>
            </w:pPr>
          </w:p>
        </w:tc>
      </w:tr>
      <w:tr>
        <w:trPr>
          <w:trHeight w:val="244"/>
        </w:trPr>
        <w:tc>
          <w:tcPr>
            <w:tcW w:w="660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Prepaid and other current assets</w:t>
            </w:r>
          </w:p>
        </w:tc>
        <w:tc>
          <w:tcPr>
            <w:tcW w:w="1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13,651</w:t>
            </w:r>
          </w:p>
        </w:tc>
        <w:tc>
          <w:tcPr>
            <w:tcW w:w="160" w:type="dxa"/>
            <w:vAlign w:val="bottom"/>
            <w:tcBorders>
              <w:bottom w:val="single" w:sz="8" w:color="EBECEC"/>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11,978</w:t>
            </w:r>
          </w:p>
        </w:tc>
        <w:tc>
          <w:tcPr>
            <w:tcW w:w="0" w:type="dxa"/>
            <w:vAlign w:val="bottom"/>
          </w:tcPr>
          <w:p>
            <w:pPr>
              <w:spacing w:after="0"/>
              <w:rPr>
                <w:sz w:val="1"/>
                <w:szCs w:val="1"/>
                <w:color w:val="auto"/>
              </w:rPr>
            </w:pPr>
          </w:p>
        </w:tc>
      </w:tr>
      <w:tr>
        <w:trPr>
          <w:trHeight w:val="239"/>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 current assets</w:t>
            </w:r>
          </w:p>
        </w:tc>
        <w:tc>
          <w:tcPr>
            <w:tcW w:w="160" w:type="dxa"/>
            <w:vAlign w:val="bottom"/>
            <w:shd w:val="clear" w:color="auto" w:fill="EBECEC"/>
          </w:tcPr>
          <w:p>
            <w:pPr>
              <w:spacing w:after="0"/>
              <w:rPr>
                <w:sz w:val="20"/>
                <w:szCs w:val="20"/>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588,986</w:t>
            </w:r>
          </w:p>
        </w:tc>
        <w:tc>
          <w:tcPr>
            <w:tcW w:w="160" w:type="dxa"/>
            <w:vAlign w:val="bottom"/>
            <w:shd w:val="clear" w:color="auto" w:fill="EBECEC"/>
          </w:tcPr>
          <w:p>
            <w:pPr>
              <w:spacing w:after="0"/>
              <w:rPr>
                <w:sz w:val="20"/>
                <w:szCs w:val="20"/>
                <w:color w:val="auto"/>
              </w:rPr>
            </w:pPr>
          </w:p>
        </w:tc>
        <w:tc>
          <w:tcPr>
            <w:tcW w:w="160" w:type="dxa"/>
            <w:vAlign w:val="bottom"/>
            <w:shd w:val="clear" w:color="auto" w:fill="EBECEC"/>
          </w:tcPr>
          <w:p>
            <w:pPr>
              <w:spacing w:after="0"/>
              <w:rPr>
                <w:sz w:val="20"/>
                <w:szCs w:val="20"/>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485,064</w:t>
            </w:r>
          </w:p>
        </w:tc>
        <w:tc>
          <w:tcPr>
            <w:tcW w:w="0" w:type="dxa"/>
            <w:vAlign w:val="bottom"/>
          </w:tcPr>
          <w:p>
            <w:pPr>
              <w:spacing w:after="0"/>
              <w:rPr>
                <w:sz w:val="1"/>
                <w:szCs w:val="1"/>
                <w:color w:val="auto"/>
              </w:rPr>
            </w:pP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Equipment, net</w:t>
            </w: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562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584</w:t>
            </w:r>
          </w:p>
        </w:tc>
        <w:tc>
          <w:tcPr>
            <w:tcW w:w="0" w:type="dxa"/>
            <w:vAlign w:val="bottom"/>
          </w:tcPr>
          <w:p>
            <w:pPr>
              <w:spacing w:after="0"/>
              <w:rPr>
                <w:sz w:val="1"/>
                <w:szCs w:val="1"/>
                <w:color w:val="auto"/>
              </w:rPr>
            </w:pP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Right-of-use asset - operating lease</w:t>
            </w: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20,858</w:t>
            </w:r>
          </w:p>
        </w:tc>
        <w:tc>
          <w:tcPr>
            <w:tcW w:w="16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5,383</w:t>
            </w:r>
          </w:p>
        </w:tc>
        <w:tc>
          <w:tcPr>
            <w:tcW w:w="0" w:type="dxa"/>
            <w:vAlign w:val="bottom"/>
          </w:tcPr>
          <w:p>
            <w:pPr>
              <w:spacing w:after="0"/>
              <w:rPr>
                <w:sz w:val="1"/>
                <w:szCs w:val="1"/>
                <w:color w:val="auto"/>
              </w:rPr>
            </w:pP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Goodwill</w:t>
            </w: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12,042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12,042</w:t>
            </w:r>
          </w:p>
        </w:tc>
        <w:tc>
          <w:tcPr>
            <w:tcW w:w="0" w:type="dxa"/>
            <w:vAlign w:val="bottom"/>
          </w:tcPr>
          <w:p>
            <w:pPr>
              <w:spacing w:after="0"/>
              <w:rPr>
                <w:sz w:val="1"/>
                <w:szCs w:val="1"/>
                <w:color w:val="auto"/>
              </w:rPr>
            </w:pP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Intangible asset, net</w:t>
            </w: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40,519</w:t>
            </w:r>
          </w:p>
        </w:tc>
        <w:tc>
          <w:tcPr>
            <w:tcW w:w="16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46,894</w:t>
            </w:r>
          </w:p>
        </w:tc>
        <w:tc>
          <w:tcPr>
            <w:tcW w:w="0" w:type="dxa"/>
            <w:vAlign w:val="bottom"/>
          </w:tcPr>
          <w:p>
            <w:pPr>
              <w:spacing w:after="0"/>
              <w:rPr>
                <w:sz w:val="1"/>
                <w:szCs w:val="1"/>
                <w:color w:val="auto"/>
              </w:rPr>
            </w:pPr>
          </w:p>
        </w:tc>
      </w:tr>
      <w:tr>
        <w:trPr>
          <w:trHeight w:val="244"/>
        </w:trPr>
        <w:tc>
          <w:tcPr>
            <w:tcW w:w="660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Non-current inventory and other assets</w:t>
            </w:r>
          </w:p>
        </w:tc>
        <w:tc>
          <w:tcPr>
            <w:tcW w:w="1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26,838</w:t>
            </w:r>
          </w:p>
        </w:tc>
        <w:tc>
          <w:tcPr>
            <w:tcW w:w="160" w:type="dxa"/>
            <w:vAlign w:val="bottom"/>
            <w:tcBorders>
              <w:bottom w:val="single" w:sz="8" w:color="EBECEC"/>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18,531</w:t>
            </w:r>
          </w:p>
        </w:tc>
        <w:tc>
          <w:tcPr>
            <w:tcW w:w="0" w:type="dxa"/>
            <w:vAlign w:val="bottom"/>
          </w:tcPr>
          <w:p>
            <w:pPr>
              <w:spacing w:after="0"/>
              <w:rPr>
                <w:sz w:val="1"/>
                <w:szCs w:val="1"/>
                <w:color w:val="auto"/>
              </w:rPr>
            </w:pPr>
          </w:p>
        </w:tc>
      </w:tr>
      <w:tr>
        <w:trPr>
          <w:trHeight w:val="259"/>
        </w:trPr>
        <w:tc>
          <w:tcPr>
            <w:tcW w:w="660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 assets</w:t>
            </w:r>
          </w:p>
        </w:tc>
        <w:tc>
          <w:tcPr>
            <w:tcW w:w="1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bottom w:val="single" w:sz="8" w:color="231F20"/>
            </w:tcBorders>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689,805</w:t>
            </w:r>
          </w:p>
        </w:tc>
        <w:tc>
          <w:tcPr>
            <w:tcW w:w="160" w:type="dxa"/>
            <w:vAlign w:val="bottom"/>
            <w:tcBorders>
              <w:bottom w:val="single" w:sz="8" w:color="EBECEC"/>
            </w:tcBorders>
            <w:shd w:val="clear" w:color="auto" w:fill="EBECEC"/>
          </w:tcPr>
          <w:p>
            <w:pPr>
              <w:spacing w:after="0"/>
              <w:rPr>
                <w:sz w:val="22"/>
                <w:szCs w:val="22"/>
                <w:color w:val="auto"/>
              </w:rPr>
            </w:pPr>
          </w:p>
        </w:tc>
        <w:tc>
          <w:tcPr>
            <w:tcW w:w="1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bottom w:val="single" w:sz="8" w:color="231F20"/>
            </w:tcBorders>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568,498</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 and stockholders’ equity</w:t>
            </w:r>
          </w:p>
        </w:tc>
        <w:tc>
          <w:tcPr>
            <w:tcW w:w="1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Current liabilities:</w:t>
            </w: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65,537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71,997</w:t>
            </w:r>
          </w:p>
        </w:tc>
        <w:tc>
          <w:tcPr>
            <w:tcW w:w="0" w:type="dxa"/>
            <w:vAlign w:val="bottom"/>
          </w:tcPr>
          <w:p>
            <w:pPr>
              <w:spacing w:after="0"/>
              <w:rPr>
                <w:sz w:val="1"/>
                <w:szCs w:val="1"/>
                <w:color w:val="auto"/>
              </w:rPr>
            </w:pPr>
          </w:p>
        </w:tc>
      </w:tr>
      <w:tr>
        <w:trPr>
          <w:trHeight w:val="244"/>
        </w:trPr>
        <w:tc>
          <w:tcPr>
            <w:tcW w:w="66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Accrued expenses and other current liabilities</w:t>
            </w: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232,853</w:t>
            </w:r>
          </w:p>
        </w:tc>
        <w:tc>
          <w:tcPr>
            <w:tcW w:w="16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147,987</w:t>
            </w:r>
          </w:p>
        </w:tc>
        <w:tc>
          <w:tcPr>
            <w:tcW w:w="0" w:type="dxa"/>
            <w:vAlign w:val="bottom"/>
          </w:tcPr>
          <w:p>
            <w:pPr>
              <w:spacing w:after="0"/>
              <w:rPr>
                <w:sz w:val="1"/>
                <w:szCs w:val="1"/>
                <w:color w:val="auto"/>
              </w:rPr>
            </w:pP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lease liability, current portion</w:t>
            </w: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434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1,835</w:t>
            </w:r>
          </w:p>
        </w:tc>
        <w:tc>
          <w:tcPr>
            <w:tcW w:w="0" w:type="dxa"/>
            <w:vAlign w:val="bottom"/>
          </w:tcPr>
          <w:p>
            <w:pPr>
              <w:spacing w:after="0"/>
              <w:rPr>
                <w:sz w:val="1"/>
                <w:szCs w:val="1"/>
                <w:color w:val="auto"/>
              </w:rPr>
            </w:pPr>
          </w:p>
        </w:tc>
      </w:tr>
      <w:tr>
        <w:trPr>
          <w:trHeight w:val="244"/>
        </w:trPr>
        <w:tc>
          <w:tcPr>
            <w:tcW w:w="66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Contingent consideration, current</w:t>
            </w: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10,012</w:t>
            </w:r>
          </w:p>
        </w:tc>
        <w:tc>
          <w:tcPr>
            <w:tcW w:w="16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8,285</w:t>
            </w:r>
          </w:p>
        </w:tc>
        <w:tc>
          <w:tcPr>
            <w:tcW w:w="0" w:type="dxa"/>
            <w:vAlign w:val="bottom"/>
          </w:tcPr>
          <w:p>
            <w:pPr>
              <w:spacing w:after="0"/>
              <w:rPr>
                <w:sz w:val="1"/>
                <w:szCs w:val="1"/>
                <w:color w:val="auto"/>
              </w:rPr>
            </w:pPr>
          </w:p>
        </w:tc>
      </w:tr>
      <w:tr>
        <w:trPr>
          <w:trHeight w:val="244"/>
        </w:trPr>
        <w:tc>
          <w:tcPr>
            <w:tcW w:w="660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Short-term borrowings</w:t>
            </w:r>
          </w:p>
        </w:tc>
        <w:tc>
          <w:tcPr>
            <w:tcW w:w="1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70,000</w:t>
            </w:r>
          </w:p>
        </w:tc>
        <w:tc>
          <w:tcPr>
            <w:tcW w:w="160" w:type="dxa"/>
            <w:vAlign w:val="bottom"/>
            <w:tcBorders>
              <w:bottom w:val="single" w:sz="8" w:color="EBECEC"/>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9"/>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 current liabilities</w:t>
            </w:r>
          </w:p>
        </w:tc>
        <w:tc>
          <w:tcPr>
            <w:tcW w:w="160" w:type="dxa"/>
            <w:vAlign w:val="bottom"/>
            <w:shd w:val="clear" w:color="auto" w:fill="EBECEC"/>
          </w:tcPr>
          <w:p>
            <w:pPr>
              <w:spacing w:after="0"/>
              <w:rPr>
                <w:sz w:val="20"/>
                <w:szCs w:val="20"/>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378,836</w:t>
            </w:r>
          </w:p>
        </w:tc>
        <w:tc>
          <w:tcPr>
            <w:tcW w:w="160" w:type="dxa"/>
            <w:vAlign w:val="bottom"/>
            <w:shd w:val="clear" w:color="auto" w:fill="EBECEC"/>
          </w:tcPr>
          <w:p>
            <w:pPr>
              <w:spacing w:after="0"/>
              <w:rPr>
                <w:sz w:val="20"/>
                <w:szCs w:val="20"/>
                <w:color w:val="auto"/>
              </w:rPr>
            </w:pPr>
          </w:p>
        </w:tc>
        <w:tc>
          <w:tcPr>
            <w:tcW w:w="160" w:type="dxa"/>
            <w:vAlign w:val="bottom"/>
            <w:shd w:val="clear" w:color="auto" w:fill="EBECEC"/>
          </w:tcPr>
          <w:p>
            <w:pPr>
              <w:spacing w:after="0"/>
              <w:rPr>
                <w:sz w:val="20"/>
                <w:szCs w:val="20"/>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230,104</w:t>
            </w:r>
          </w:p>
        </w:tc>
        <w:tc>
          <w:tcPr>
            <w:tcW w:w="0" w:type="dxa"/>
            <w:vAlign w:val="bottom"/>
          </w:tcPr>
          <w:p>
            <w:pPr>
              <w:spacing w:after="0"/>
              <w:rPr>
                <w:sz w:val="1"/>
                <w:szCs w:val="1"/>
                <w:color w:val="auto"/>
              </w:rPr>
            </w:pP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Contingent consideration, non-current</w:t>
            </w: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77,540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91,680</w:t>
            </w:r>
          </w:p>
        </w:tc>
        <w:tc>
          <w:tcPr>
            <w:tcW w:w="0" w:type="dxa"/>
            <w:vAlign w:val="bottom"/>
          </w:tcPr>
          <w:p>
            <w:pPr>
              <w:spacing w:after="0"/>
              <w:rPr>
                <w:sz w:val="1"/>
                <w:szCs w:val="1"/>
                <w:color w:val="auto"/>
              </w:rPr>
            </w:pP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Loan payable, long-term</w:t>
            </w: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117,746</w:t>
            </w:r>
          </w:p>
        </w:tc>
        <w:tc>
          <w:tcPr>
            <w:tcW w:w="16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180,710</w:t>
            </w:r>
          </w:p>
        </w:tc>
        <w:tc>
          <w:tcPr>
            <w:tcW w:w="0" w:type="dxa"/>
            <w:vAlign w:val="bottom"/>
          </w:tcPr>
          <w:p>
            <w:pPr>
              <w:spacing w:after="0"/>
              <w:rPr>
                <w:sz w:val="1"/>
                <w:szCs w:val="1"/>
                <w:color w:val="auto"/>
              </w:rPr>
            </w:pP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Operating lease liability, long-term</w:t>
            </w: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23,182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6,046</w:t>
            </w:r>
          </w:p>
        </w:tc>
        <w:tc>
          <w:tcPr>
            <w:tcW w:w="0" w:type="dxa"/>
            <w:vAlign w:val="bottom"/>
          </w:tcPr>
          <w:p>
            <w:pPr>
              <w:spacing w:after="0"/>
              <w:rPr>
                <w:sz w:val="1"/>
                <w:szCs w:val="1"/>
                <w:color w:val="auto"/>
              </w:rPr>
            </w:pPr>
          </w:p>
        </w:tc>
      </w:tr>
      <w:tr>
        <w:trPr>
          <w:trHeight w:val="264"/>
        </w:trPr>
        <w:tc>
          <w:tcPr>
            <w:tcW w:w="660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Finance lease liability, long-term</w:t>
            </w:r>
          </w:p>
        </w:tc>
        <w:tc>
          <w:tcPr>
            <w:tcW w:w="160" w:type="dxa"/>
            <w:vAlign w:val="bottom"/>
            <w:tcBorders>
              <w:bottom w:val="single" w:sz="8" w:color="231F20"/>
            </w:tcBorders>
            <w:shd w:val="clear" w:color="auto" w:fill="EBECEC"/>
          </w:tcPr>
          <w:p>
            <w:pPr>
              <w:spacing w:after="0"/>
              <w:rPr>
                <w:sz w:val="22"/>
                <w:szCs w:val="22"/>
                <w:color w:val="auto"/>
              </w:rPr>
            </w:pPr>
          </w:p>
        </w:tc>
        <w:tc>
          <w:tcPr>
            <w:tcW w:w="1320" w:type="dxa"/>
            <w:vAlign w:val="bottom"/>
            <w:tcBorders>
              <w:bottom w:val="single" w:sz="8" w:color="231F20"/>
            </w:tcBorders>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4,206</w:t>
            </w:r>
          </w:p>
        </w:tc>
        <w:tc>
          <w:tcPr>
            <w:tcW w:w="160" w:type="dxa"/>
            <w:vAlign w:val="bottom"/>
            <w:tcBorders>
              <w:bottom w:val="single" w:sz="8" w:color="EBECEC"/>
            </w:tcBorders>
            <w:shd w:val="clear" w:color="auto" w:fill="EBECEC"/>
          </w:tcPr>
          <w:p>
            <w:pPr>
              <w:spacing w:after="0"/>
              <w:rPr>
                <w:sz w:val="22"/>
                <w:szCs w:val="22"/>
                <w:color w:val="auto"/>
              </w:rPr>
            </w:pPr>
          </w:p>
        </w:tc>
        <w:tc>
          <w:tcPr>
            <w:tcW w:w="160" w:type="dxa"/>
            <w:vAlign w:val="bottom"/>
            <w:tcBorders>
              <w:bottom w:val="single" w:sz="8" w:color="231F20"/>
            </w:tcBorders>
            <w:shd w:val="clear" w:color="auto" w:fill="EBECEC"/>
          </w:tcPr>
          <w:p>
            <w:pPr>
              <w:spacing w:after="0"/>
              <w:rPr>
                <w:sz w:val="22"/>
                <w:szCs w:val="22"/>
                <w:color w:val="auto"/>
              </w:rPr>
            </w:pPr>
          </w:p>
        </w:tc>
        <w:tc>
          <w:tcPr>
            <w:tcW w:w="1320" w:type="dxa"/>
            <w:vAlign w:val="bottom"/>
            <w:tcBorders>
              <w:bottom w:val="single" w:sz="8" w:color="231F20"/>
            </w:tcBorders>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2,943</w:t>
            </w:r>
          </w:p>
        </w:tc>
        <w:tc>
          <w:tcPr>
            <w:tcW w:w="0" w:type="dxa"/>
            <w:vAlign w:val="bottom"/>
          </w:tcPr>
          <w:p>
            <w:pPr>
              <w:spacing w:after="0"/>
              <w:rPr>
                <w:sz w:val="1"/>
                <w:szCs w:val="1"/>
                <w:color w:val="auto"/>
              </w:rPr>
            </w:pPr>
          </w:p>
        </w:tc>
      </w:tr>
      <w:tr>
        <w:trPr>
          <w:trHeight w:val="219"/>
        </w:trPr>
        <w:tc>
          <w:tcPr>
            <w:tcW w:w="66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liabilities</w:t>
            </w:r>
          </w:p>
        </w:tc>
        <w:tc>
          <w:tcPr>
            <w:tcW w:w="160" w:type="dxa"/>
            <w:vAlign w:val="bottom"/>
          </w:tcPr>
          <w:p>
            <w:pPr>
              <w:spacing w:after="0"/>
              <w:rPr>
                <w:sz w:val="19"/>
                <w:szCs w:val="19"/>
                <w:color w:val="auto"/>
              </w:rPr>
            </w:pPr>
          </w:p>
        </w:tc>
        <w:tc>
          <w:tcPr>
            <w:tcW w:w="1320" w:type="dxa"/>
            <w:vAlign w:val="bottom"/>
          </w:tcPr>
          <w:p>
            <w:pPr>
              <w:jc w:val="right"/>
              <w:ind w:right="1"/>
              <w:spacing w:after="0" w:line="219" w:lineRule="exact"/>
              <w:rPr>
                <w:sz w:val="20"/>
                <w:szCs w:val="20"/>
                <w:color w:val="auto"/>
              </w:rPr>
            </w:pPr>
            <w:r>
              <w:rPr>
                <w:rFonts w:ascii="Times New Roman" w:cs="Times New Roman" w:eastAsia="Times New Roman" w:hAnsi="Times New Roman"/>
                <w:sz w:val="20"/>
                <w:szCs w:val="20"/>
                <w:color w:val="231F20"/>
              </w:rPr>
              <w:t>601,510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
              <w:spacing w:after="0" w:line="219" w:lineRule="exact"/>
              <w:rPr>
                <w:sz w:val="20"/>
                <w:szCs w:val="20"/>
                <w:color w:val="auto"/>
              </w:rPr>
            </w:pPr>
            <w:r>
              <w:rPr>
                <w:rFonts w:ascii="Times New Roman" w:cs="Times New Roman" w:eastAsia="Times New Roman" w:hAnsi="Times New Roman"/>
                <w:sz w:val="20"/>
                <w:szCs w:val="20"/>
                <w:color w:val="231F20"/>
              </w:rPr>
              <w:t>511,483</w:t>
            </w:r>
          </w:p>
        </w:tc>
        <w:tc>
          <w:tcPr>
            <w:tcW w:w="0" w:type="dxa"/>
            <w:vAlign w:val="bottom"/>
          </w:tcPr>
          <w:p>
            <w:pPr>
              <w:spacing w:after="0"/>
              <w:rPr>
                <w:sz w:val="1"/>
                <w:szCs w:val="1"/>
                <w:color w:val="auto"/>
              </w:rPr>
            </w:pP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Stockholders’ equity:</w:t>
            </w: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Preferred stock, $0.0001 par value per share (10,000,000 shares authorized,</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none issued and outstanding)</w:t>
            </w: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24"/>
        </w:trPr>
        <w:tc>
          <w:tcPr>
            <w:tcW w:w="6600" w:type="dxa"/>
            <w:vAlign w:val="bottom"/>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Common stock, $0.0001 par value per share (150,000,000 shares authorized,</w:t>
            </w:r>
          </w:p>
        </w:tc>
        <w:tc>
          <w:tcPr>
            <w:tcW w:w="160" w:type="dxa"/>
            <w:vAlign w:val="bottom"/>
            <w:shd w:val="clear" w:color="auto" w:fill="EBECEC"/>
          </w:tcPr>
          <w:p>
            <w:pPr>
              <w:spacing w:after="0"/>
              <w:rPr>
                <w:sz w:val="19"/>
                <w:szCs w:val="19"/>
                <w:color w:val="auto"/>
              </w:rPr>
            </w:pPr>
          </w:p>
        </w:tc>
        <w:tc>
          <w:tcPr>
            <w:tcW w:w="1320" w:type="dxa"/>
            <w:vAlign w:val="bottom"/>
            <w:shd w:val="clear" w:color="auto" w:fill="EBECEC"/>
          </w:tcPr>
          <w:p>
            <w:pPr>
              <w:spacing w:after="0"/>
              <w:rPr>
                <w:sz w:val="19"/>
                <w:szCs w:val="19"/>
                <w:color w:val="auto"/>
              </w:rPr>
            </w:pPr>
          </w:p>
        </w:tc>
        <w:tc>
          <w:tcPr>
            <w:tcW w:w="160" w:type="dxa"/>
            <w:vAlign w:val="bottom"/>
            <w:shd w:val="clear" w:color="auto" w:fill="EBECEC"/>
          </w:tcPr>
          <w:p>
            <w:pPr>
              <w:spacing w:after="0"/>
              <w:rPr>
                <w:sz w:val="19"/>
                <w:szCs w:val="19"/>
                <w:color w:val="auto"/>
              </w:rPr>
            </w:pPr>
          </w:p>
        </w:tc>
        <w:tc>
          <w:tcPr>
            <w:tcW w:w="160" w:type="dxa"/>
            <w:vAlign w:val="bottom"/>
            <w:shd w:val="clear" w:color="auto" w:fill="EBECEC"/>
          </w:tcPr>
          <w:p>
            <w:pPr>
              <w:spacing w:after="0"/>
              <w:rPr>
                <w:sz w:val="19"/>
                <w:szCs w:val="19"/>
                <w:color w:val="auto"/>
              </w:rPr>
            </w:pPr>
          </w:p>
        </w:tc>
        <w:tc>
          <w:tcPr>
            <w:tcW w:w="1320" w:type="dxa"/>
            <w:vAlign w:val="bottom"/>
            <w:shd w:val="clear" w:color="auto" w:fill="EBECE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50,882,766 and 48,667,587 shares issued and outstanding at December 31,</w:t>
            </w:r>
          </w:p>
        </w:tc>
        <w:tc>
          <w:tcPr>
            <w:tcW w:w="160" w:type="dxa"/>
            <w:vAlign w:val="bottom"/>
            <w:shd w:val="clear" w:color="auto" w:fill="EBECEC"/>
          </w:tcPr>
          <w:p>
            <w:pPr>
              <w:spacing w:after="0"/>
              <w:rPr>
                <w:sz w:val="20"/>
                <w:szCs w:val="20"/>
                <w:color w:val="auto"/>
              </w:rPr>
            </w:pPr>
          </w:p>
        </w:tc>
        <w:tc>
          <w:tcPr>
            <w:tcW w:w="1320" w:type="dxa"/>
            <w:vAlign w:val="bottom"/>
            <w:shd w:val="clear" w:color="auto" w:fill="EBECEC"/>
          </w:tcPr>
          <w:p>
            <w:pPr>
              <w:spacing w:after="0"/>
              <w:rPr>
                <w:sz w:val="20"/>
                <w:szCs w:val="20"/>
                <w:color w:val="auto"/>
              </w:rPr>
            </w:pPr>
          </w:p>
        </w:tc>
        <w:tc>
          <w:tcPr>
            <w:tcW w:w="160" w:type="dxa"/>
            <w:vAlign w:val="bottom"/>
            <w:shd w:val="clear" w:color="auto" w:fill="EBECEC"/>
          </w:tcPr>
          <w:p>
            <w:pPr>
              <w:spacing w:after="0"/>
              <w:rPr>
                <w:sz w:val="20"/>
                <w:szCs w:val="20"/>
                <w:color w:val="auto"/>
              </w:rPr>
            </w:pPr>
          </w:p>
        </w:tc>
        <w:tc>
          <w:tcPr>
            <w:tcW w:w="160" w:type="dxa"/>
            <w:vAlign w:val="bottom"/>
            <w:shd w:val="clear" w:color="auto" w:fill="EBECEC"/>
          </w:tcPr>
          <w:p>
            <w:pPr>
              <w:spacing w:after="0"/>
              <w:rPr>
                <w:sz w:val="20"/>
                <w:szCs w:val="20"/>
                <w:color w:val="auto"/>
              </w:rPr>
            </w:pPr>
          </w:p>
        </w:tc>
        <w:tc>
          <w:tcPr>
            <w:tcW w:w="132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2025 and December 31, 2024, respectively)</w:t>
            </w: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5</w:t>
            </w:r>
          </w:p>
        </w:tc>
        <w:tc>
          <w:tcPr>
            <w:tcW w:w="16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Additional paid-in capital</w:t>
            </w: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1,394,251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1,179,797</w:t>
            </w:r>
          </w:p>
        </w:tc>
        <w:tc>
          <w:tcPr>
            <w:tcW w:w="0" w:type="dxa"/>
            <w:vAlign w:val="bottom"/>
          </w:tcPr>
          <w:p>
            <w:pPr>
              <w:spacing w:after="0"/>
              <w:rPr>
                <w:sz w:val="1"/>
                <w:szCs w:val="1"/>
                <w:color w:val="auto"/>
              </w:rPr>
            </w:pPr>
          </w:p>
        </w:tc>
      </w:tr>
      <w:tr>
        <w:trPr>
          <w:trHeight w:val="264"/>
        </w:trPr>
        <w:tc>
          <w:tcPr>
            <w:tcW w:w="6600" w:type="dxa"/>
            <w:vAlign w:val="bottom"/>
            <w:tcBorders>
              <w:bottom w:val="single" w:sz="8" w:color="EBECEC"/>
            </w:tcBorders>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Accumulated deficit</w:t>
            </w:r>
          </w:p>
        </w:tc>
        <w:tc>
          <w:tcPr>
            <w:tcW w:w="160" w:type="dxa"/>
            <w:vAlign w:val="bottom"/>
            <w:tcBorders>
              <w:bottom w:val="single" w:sz="8" w:color="231F20"/>
            </w:tcBorders>
            <w:shd w:val="clear" w:color="auto" w:fill="EBECEC"/>
          </w:tcPr>
          <w:p>
            <w:pPr>
              <w:spacing w:after="0"/>
              <w:rPr>
                <w:sz w:val="22"/>
                <w:szCs w:val="22"/>
                <w:color w:val="auto"/>
              </w:rPr>
            </w:pPr>
          </w:p>
        </w:tc>
        <w:tc>
          <w:tcPr>
            <w:tcW w:w="13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(1,305,961)</w:t>
            </w:r>
          </w:p>
        </w:tc>
        <w:tc>
          <w:tcPr>
            <w:tcW w:w="160" w:type="dxa"/>
            <w:vAlign w:val="bottom"/>
            <w:tcBorders>
              <w:bottom w:val="single" w:sz="8" w:color="EBECEC"/>
            </w:tcBorders>
            <w:shd w:val="clear" w:color="auto" w:fill="EBECEC"/>
          </w:tcPr>
          <w:p>
            <w:pPr>
              <w:spacing w:after="0"/>
              <w:rPr>
                <w:sz w:val="22"/>
                <w:szCs w:val="22"/>
                <w:color w:val="auto"/>
              </w:rPr>
            </w:pPr>
          </w:p>
        </w:tc>
        <w:tc>
          <w:tcPr>
            <w:tcW w:w="160" w:type="dxa"/>
            <w:vAlign w:val="bottom"/>
            <w:tcBorders>
              <w:bottom w:val="single" w:sz="8" w:color="231F20"/>
            </w:tcBorders>
            <w:shd w:val="clear" w:color="auto" w:fill="EBECEC"/>
          </w:tcPr>
          <w:p>
            <w:pPr>
              <w:spacing w:after="0"/>
              <w:rPr>
                <w:sz w:val="22"/>
                <w:szCs w:val="22"/>
                <w:color w:val="auto"/>
              </w:rPr>
            </w:pPr>
          </w:p>
        </w:tc>
        <w:tc>
          <w:tcPr>
            <w:tcW w:w="13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(1,122,787)</w:t>
            </w:r>
          </w:p>
        </w:tc>
        <w:tc>
          <w:tcPr>
            <w:tcW w:w="0" w:type="dxa"/>
            <w:vAlign w:val="bottom"/>
          </w:tcPr>
          <w:p>
            <w:pPr>
              <w:spacing w:after="0"/>
              <w:rPr>
                <w:sz w:val="1"/>
                <w:szCs w:val="1"/>
                <w:color w:val="auto"/>
              </w:rPr>
            </w:pPr>
          </w:p>
        </w:tc>
      </w:tr>
      <w:tr>
        <w:trPr>
          <w:trHeight w:val="219"/>
        </w:trPr>
        <w:tc>
          <w:tcPr>
            <w:tcW w:w="6600" w:type="dxa"/>
            <w:vAlign w:val="bottom"/>
            <w:tcBorders>
              <w:bottom w:val="single" w:sz="8" w:color="EBECEC"/>
            </w:tcBorders>
          </w:tcPr>
          <w:p>
            <w:pPr>
              <w:spacing w:after="0" w:line="219" w:lineRule="exact"/>
              <w:rPr>
                <w:sz w:val="20"/>
                <w:szCs w:val="20"/>
                <w:color w:val="auto"/>
              </w:rPr>
            </w:pPr>
            <w:r>
              <w:rPr>
                <w:rFonts w:ascii="Times New Roman" w:cs="Times New Roman" w:eastAsia="Times New Roman" w:hAnsi="Times New Roman"/>
                <w:sz w:val="20"/>
                <w:szCs w:val="20"/>
                <w:color w:val="231F20"/>
              </w:rPr>
              <w:t>Total stockholders’ equity</w:t>
            </w:r>
          </w:p>
        </w:tc>
        <w:tc>
          <w:tcPr>
            <w:tcW w:w="16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ind w:right="1"/>
              <w:spacing w:after="0" w:line="219" w:lineRule="exact"/>
              <w:rPr>
                <w:sz w:val="20"/>
                <w:szCs w:val="20"/>
                <w:color w:val="auto"/>
              </w:rPr>
            </w:pPr>
            <w:r>
              <w:rPr>
                <w:rFonts w:ascii="Times New Roman" w:cs="Times New Roman" w:eastAsia="Times New Roman" w:hAnsi="Times New Roman"/>
                <w:sz w:val="20"/>
                <w:szCs w:val="20"/>
                <w:color w:val="231F20"/>
              </w:rPr>
              <w:t>88,295</w:t>
            </w:r>
          </w:p>
        </w:tc>
        <w:tc>
          <w:tcPr>
            <w:tcW w:w="160" w:type="dxa"/>
            <w:vAlign w:val="bottom"/>
            <w:tcBorders>
              <w:bottom w:val="single" w:sz="8" w:color="EBECEC"/>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ind w:right="1"/>
              <w:spacing w:after="0" w:line="219" w:lineRule="exact"/>
              <w:rPr>
                <w:sz w:val="20"/>
                <w:szCs w:val="20"/>
                <w:color w:val="auto"/>
              </w:rPr>
            </w:pPr>
            <w:r>
              <w:rPr>
                <w:rFonts w:ascii="Times New Roman" w:cs="Times New Roman" w:eastAsia="Times New Roman" w:hAnsi="Times New Roman"/>
                <w:sz w:val="20"/>
                <w:szCs w:val="20"/>
                <w:color w:val="231F20"/>
              </w:rPr>
              <w:t>57,015</w:t>
            </w:r>
          </w:p>
        </w:tc>
        <w:tc>
          <w:tcPr>
            <w:tcW w:w="0" w:type="dxa"/>
            <w:vAlign w:val="bottom"/>
          </w:tcPr>
          <w:p>
            <w:pPr>
              <w:spacing w:after="0"/>
              <w:rPr>
                <w:sz w:val="1"/>
                <w:szCs w:val="1"/>
                <w:color w:val="auto"/>
              </w:rPr>
            </w:pPr>
          </w:p>
        </w:tc>
      </w:tr>
      <w:tr>
        <w:trPr>
          <w:trHeight w:val="259"/>
        </w:trPr>
        <w:tc>
          <w:tcPr>
            <w:tcW w:w="660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 liabilities and stockholders’ equity</w:t>
            </w:r>
          </w:p>
        </w:tc>
        <w:tc>
          <w:tcPr>
            <w:tcW w:w="1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bottom w:val="single" w:sz="8" w:color="231F20"/>
            </w:tcBorders>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689,805</w:t>
            </w:r>
          </w:p>
        </w:tc>
        <w:tc>
          <w:tcPr>
            <w:tcW w:w="160" w:type="dxa"/>
            <w:vAlign w:val="bottom"/>
            <w:tcBorders>
              <w:bottom w:val="single" w:sz="8" w:color="EBECEC"/>
            </w:tcBorders>
            <w:shd w:val="clear" w:color="auto" w:fill="EBECEC"/>
          </w:tcPr>
          <w:p>
            <w:pPr>
              <w:spacing w:after="0"/>
              <w:rPr>
                <w:sz w:val="22"/>
                <w:szCs w:val="22"/>
                <w:color w:val="auto"/>
              </w:rPr>
            </w:pPr>
          </w:p>
        </w:tc>
        <w:tc>
          <w:tcPr>
            <w:tcW w:w="1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bottom w:val="single" w:sz="8" w:color="231F20"/>
            </w:tcBorders>
            <w:shd w:val="clear" w:color="auto" w:fill="EBECEC"/>
          </w:tcPr>
          <w:p>
            <w:pPr>
              <w:jc w:val="right"/>
              <w:ind w:right="1"/>
              <w:spacing w:after="0"/>
              <w:rPr>
                <w:sz w:val="20"/>
                <w:szCs w:val="20"/>
                <w:color w:val="auto"/>
              </w:rPr>
            </w:pPr>
            <w:r>
              <w:rPr>
                <w:rFonts w:ascii="Times New Roman" w:cs="Times New Roman" w:eastAsia="Times New Roman" w:hAnsi="Times New Roman"/>
                <w:sz w:val="20"/>
                <w:szCs w:val="20"/>
                <w:color w:val="231F20"/>
              </w:rPr>
              <w:t>568,498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 consolidated financial statements.</w:t>
      </w:r>
    </w:p>
    <w:p>
      <w:pPr>
        <w:sectPr>
          <w:pgSz w:w="12240" w:h="15840" w:orient="portrait"/>
          <w:cols w:equalWidth="0" w:num="1">
            <w:col w:w="9720"/>
          </w:cols>
          <w:pgMar w:left="1260" w:top="1243"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F-4</w:t>
      </w:r>
    </w:p>
    <w:p>
      <w:pPr>
        <w:sectPr>
          <w:pgSz w:w="12240" w:h="15840" w:orient="portrait"/>
          <w:cols w:equalWidth="0" w:num="1">
            <w:col w:w="9720"/>
          </w:cols>
          <w:pgMar w:left="1260" w:top="1243" w:right="1260" w:bottom="175"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231F20"/>
        </w:rPr>
        <w:t>Axsome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jc w:val="center"/>
        <w:spacing w:after="0"/>
        <w:rPr>
          <w:sz w:val="20"/>
          <w:szCs w:val="20"/>
          <w:color w:val="auto"/>
        </w:rPr>
      </w:pPr>
      <w:r>
        <w:rPr>
          <w:rFonts w:ascii="Times New Roman" w:cs="Times New Roman" w:eastAsia="Times New Roman" w:hAnsi="Times New Roman"/>
          <w:sz w:val="20"/>
          <w:szCs w:val="20"/>
          <w:color w:val="231F20"/>
        </w:rPr>
        <w:t>(In thousands, except share and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40" w:type="dxa"/>
            <w:vAlign w:val="bottom"/>
            <w:tcBorders>
              <w:bottom w:val="single" w:sz="8" w:color="EBECEC"/>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Borders>
              <w:bottom w:val="single" w:sz="8" w:color="EBECEC"/>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Borders>
              <w:bottom w:val="single" w:sz="8" w:color="EBEC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BECE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Revenues:</w:t>
            </w:r>
          </w:p>
        </w:tc>
        <w:tc>
          <w:tcPr>
            <w:tcW w:w="180" w:type="dxa"/>
            <w:vAlign w:val="bottom"/>
            <w:shd w:val="clear" w:color="auto" w:fill="EBECEC"/>
          </w:tcPr>
          <w:p>
            <w:pPr>
              <w:spacing w:after="0"/>
              <w:rPr>
                <w:sz w:val="20"/>
                <w:szCs w:val="20"/>
                <w:color w:val="auto"/>
              </w:rPr>
            </w:pPr>
          </w:p>
        </w:tc>
        <w:tc>
          <w:tcPr>
            <w:tcW w:w="100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c>
          <w:tcPr>
            <w:tcW w:w="180" w:type="dxa"/>
            <w:vAlign w:val="bottom"/>
            <w:shd w:val="clear" w:color="auto" w:fill="EBECEC"/>
          </w:tcPr>
          <w:p>
            <w:pPr>
              <w:spacing w:after="0"/>
              <w:rPr>
                <w:sz w:val="20"/>
                <w:szCs w:val="20"/>
                <w:color w:val="auto"/>
              </w:rPr>
            </w:pPr>
          </w:p>
        </w:tc>
        <w:tc>
          <w:tcPr>
            <w:tcW w:w="100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98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Product sales,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633,796</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381,677</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202,460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License revenue</w:t>
            </w:r>
          </w:p>
        </w:tc>
        <w:tc>
          <w:tcPr>
            <w:tcW w:w="180" w:type="dxa"/>
            <w:vAlign w:val="bottom"/>
            <w:shd w:val="clear" w:color="auto" w:fill="EBECEC"/>
          </w:tcPr>
          <w:p>
            <w:pPr>
              <w:spacing w:after="0"/>
              <w:rPr>
                <w:sz w:val="21"/>
                <w:szCs w:val="21"/>
                <w:color w:val="auto"/>
              </w:rPr>
            </w:pPr>
          </w:p>
        </w:tc>
        <w:tc>
          <w:tcPr>
            <w:tcW w:w="122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shd w:val="clear" w:color="auto" w:fill="EBECEC"/>
          </w:tcPr>
          <w:p>
            <w:pPr>
              <w:spacing w:after="0"/>
              <w:rPr>
                <w:sz w:val="21"/>
                <w:szCs w:val="21"/>
                <w:color w:val="auto"/>
              </w:rPr>
            </w:pPr>
          </w:p>
        </w:tc>
        <w:tc>
          <w:tcPr>
            <w:tcW w:w="122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EBECEC"/>
          </w:tcPr>
          <w:p>
            <w:pPr>
              <w:spacing w:after="0"/>
              <w:rPr>
                <w:sz w:val="21"/>
                <w:szCs w:val="21"/>
                <w:color w:val="auto"/>
              </w:rPr>
            </w:pPr>
          </w:p>
        </w:tc>
        <w:tc>
          <w:tcPr>
            <w:tcW w:w="9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65,735</w:t>
            </w:r>
          </w:p>
        </w:tc>
        <w:tc>
          <w:tcPr>
            <w:tcW w:w="10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Royalty revenue and milestone revenue</w:t>
            </w:r>
          </w:p>
        </w:tc>
        <w:tc>
          <w:tcPr>
            <w:tcW w:w="1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4,700</w:t>
            </w:r>
          </w:p>
        </w:tc>
        <w:tc>
          <w:tcPr>
            <w:tcW w:w="220" w:type="dxa"/>
            <w:vAlign w:val="bottom"/>
            <w:tcBorders>
              <w:bottom w:val="single" w:sz="8" w:color="EBECEC"/>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4,016</w:t>
            </w:r>
          </w:p>
        </w:tc>
        <w:tc>
          <w:tcPr>
            <w:tcW w:w="220" w:type="dxa"/>
            <w:vAlign w:val="bottom"/>
            <w:tcBorders>
              <w:bottom w:val="single" w:sz="8" w:color="EBECEC"/>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2,405</w:t>
            </w:r>
          </w:p>
        </w:tc>
        <w:tc>
          <w:tcPr>
            <w:tcW w:w="100" w:type="dxa"/>
            <w:vAlign w:val="bottom"/>
            <w:tcBorders>
              <w:bottom w:val="single" w:sz="8" w:color="EBECEC"/>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 revenues</w:t>
            </w:r>
          </w:p>
        </w:tc>
        <w:tc>
          <w:tcPr>
            <w:tcW w:w="180" w:type="dxa"/>
            <w:vAlign w:val="bottom"/>
            <w:tcBorders>
              <w:bottom w:val="single" w:sz="8" w:color="231F20"/>
            </w:tcBorders>
            <w:shd w:val="clear" w:color="auto" w:fill="EBECEC"/>
          </w:tcPr>
          <w:p>
            <w:pPr>
              <w:spacing w:after="0"/>
              <w:rPr>
                <w:sz w:val="20"/>
                <w:szCs w:val="20"/>
                <w:color w:val="auto"/>
              </w:rPr>
            </w:pPr>
          </w:p>
        </w:tc>
        <w:tc>
          <w:tcPr>
            <w:tcW w:w="10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638,496</w:t>
            </w:r>
          </w:p>
        </w:tc>
        <w:tc>
          <w:tcPr>
            <w:tcW w:w="220" w:type="dxa"/>
            <w:vAlign w:val="bottom"/>
            <w:shd w:val="clear" w:color="auto" w:fill="EBECEC"/>
          </w:tcPr>
          <w:p>
            <w:pPr>
              <w:spacing w:after="0"/>
              <w:rPr>
                <w:sz w:val="20"/>
                <w:szCs w:val="20"/>
                <w:color w:val="auto"/>
              </w:rPr>
            </w:pPr>
          </w:p>
        </w:tc>
        <w:tc>
          <w:tcPr>
            <w:tcW w:w="180" w:type="dxa"/>
            <w:vAlign w:val="bottom"/>
            <w:tcBorders>
              <w:bottom w:val="single" w:sz="8" w:color="231F20"/>
            </w:tcBorders>
            <w:shd w:val="clear" w:color="auto" w:fill="EBECEC"/>
          </w:tcPr>
          <w:p>
            <w:pPr>
              <w:spacing w:after="0"/>
              <w:rPr>
                <w:sz w:val="20"/>
                <w:szCs w:val="20"/>
                <w:color w:val="auto"/>
              </w:rPr>
            </w:pPr>
          </w:p>
        </w:tc>
        <w:tc>
          <w:tcPr>
            <w:tcW w:w="10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385,693</w:t>
            </w:r>
          </w:p>
        </w:tc>
        <w:tc>
          <w:tcPr>
            <w:tcW w:w="220" w:type="dxa"/>
            <w:vAlign w:val="bottom"/>
            <w:shd w:val="clear" w:color="auto" w:fill="EBECEC"/>
          </w:tcPr>
          <w:p>
            <w:pPr>
              <w:spacing w:after="0"/>
              <w:rPr>
                <w:sz w:val="20"/>
                <w:szCs w:val="20"/>
                <w:color w:val="auto"/>
              </w:rPr>
            </w:pPr>
          </w:p>
        </w:tc>
        <w:tc>
          <w:tcPr>
            <w:tcW w:w="200" w:type="dxa"/>
            <w:vAlign w:val="bottom"/>
            <w:tcBorders>
              <w:bottom w:val="single" w:sz="8" w:color="231F20"/>
            </w:tcBorders>
            <w:shd w:val="clear" w:color="auto" w:fill="EBECEC"/>
          </w:tcPr>
          <w:p>
            <w:pPr>
              <w:spacing w:after="0"/>
              <w:rPr>
                <w:sz w:val="20"/>
                <w:szCs w:val="20"/>
                <w:color w:val="auto"/>
              </w:rPr>
            </w:pPr>
          </w:p>
        </w:tc>
        <w:tc>
          <w:tcPr>
            <w:tcW w:w="9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270,600</w:t>
            </w:r>
          </w:p>
        </w:tc>
        <w:tc>
          <w:tcPr>
            <w:tcW w:w="10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6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Cost of revenue (excluding amortization and depreciation)</w:t>
            </w:r>
          </w:p>
        </w:tc>
        <w:tc>
          <w:tcPr>
            <w:tcW w:w="180" w:type="dxa"/>
            <w:vAlign w:val="bottom"/>
            <w:shd w:val="clear" w:color="auto" w:fill="EBECEC"/>
          </w:tcPr>
          <w:p>
            <w:pPr>
              <w:spacing w:after="0"/>
              <w:rPr>
                <w:sz w:val="21"/>
                <w:szCs w:val="21"/>
                <w:color w:val="auto"/>
              </w:rPr>
            </w:pPr>
          </w:p>
        </w:tc>
        <w:tc>
          <w:tcPr>
            <w:tcW w:w="10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47,478</w:t>
            </w:r>
          </w:p>
        </w:tc>
        <w:tc>
          <w:tcPr>
            <w:tcW w:w="22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10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33,303</w:t>
            </w:r>
          </w:p>
        </w:tc>
        <w:tc>
          <w:tcPr>
            <w:tcW w:w="22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9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26,065</w:t>
            </w:r>
          </w:p>
        </w:tc>
        <w:tc>
          <w:tcPr>
            <w:tcW w:w="10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183,279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187,077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97,944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Selling, general and administrative</w:t>
            </w:r>
          </w:p>
        </w:tc>
        <w:tc>
          <w:tcPr>
            <w:tcW w:w="180" w:type="dxa"/>
            <w:vAlign w:val="bottom"/>
            <w:shd w:val="clear" w:color="auto" w:fill="EBECEC"/>
          </w:tcPr>
          <w:p>
            <w:pPr>
              <w:spacing w:after="0"/>
              <w:rPr>
                <w:sz w:val="21"/>
                <w:szCs w:val="21"/>
                <w:color w:val="auto"/>
              </w:rPr>
            </w:pPr>
          </w:p>
        </w:tc>
        <w:tc>
          <w:tcPr>
            <w:tcW w:w="10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570,599</w:t>
            </w:r>
          </w:p>
        </w:tc>
        <w:tc>
          <w:tcPr>
            <w:tcW w:w="22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10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411,359</w:t>
            </w:r>
          </w:p>
        </w:tc>
        <w:tc>
          <w:tcPr>
            <w:tcW w:w="22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9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323,123</w:t>
            </w:r>
          </w:p>
        </w:tc>
        <w:tc>
          <w:tcPr>
            <w:tcW w:w="10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Loss (Gain) in fair value of contingent consideration</w:t>
            </w:r>
          </w:p>
        </w:tc>
        <w:tc>
          <w:tcPr>
            <w:tcW w:w="1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(2,473)</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48,918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640" w:type="dxa"/>
            <w:vAlign w:val="bottom"/>
            <w:tcBorders>
              <w:bottom w:val="single" w:sz="8" w:color="EBECEC"/>
            </w:tcBorders>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Intangible asset amortization</w:t>
            </w:r>
          </w:p>
        </w:tc>
        <w:tc>
          <w:tcPr>
            <w:tcW w:w="180" w:type="dxa"/>
            <w:vAlign w:val="bottom"/>
            <w:tcBorders>
              <w:bottom w:val="single" w:sz="8" w:color="231F20"/>
            </w:tcBorders>
            <w:shd w:val="clear" w:color="auto" w:fill="EBECEC"/>
          </w:tcPr>
          <w:p>
            <w:pPr>
              <w:spacing w:after="0"/>
              <w:rPr>
                <w:sz w:val="22"/>
                <w:szCs w:val="22"/>
                <w:color w:val="auto"/>
              </w:rPr>
            </w:pPr>
          </w:p>
        </w:tc>
        <w:tc>
          <w:tcPr>
            <w:tcW w:w="10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6,375</w:t>
            </w:r>
          </w:p>
        </w:tc>
        <w:tc>
          <w:tcPr>
            <w:tcW w:w="220" w:type="dxa"/>
            <w:vAlign w:val="bottom"/>
            <w:tcBorders>
              <w:bottom w:val="single" w:sz="8" w:color="EBECEC"/>
            </w:tcBorders>
            <w:shd w:val="clear" w:color="auto" w:fill="EBECEC"/>
          </w:tcPr>
          <w:p>
            <w:pPr>
              <w:spacing w:after="0"/>
              <w:rPr>
                <w:sz w:val="22"/>
                <w:szCs w:val="22"/>
                <w:color w:val="auto"/>
              </w:rPr>
            </w:pPr>
          </w:p>
        </w:tc>
        <w:tc>
          <w:tcPr>
            <w:tcW w:w="180" w:type="dxa"/>
            <w:vAlign w:val="bottom"/>
            <w:tcBorders>
              <w:bottom w:val="single" w:sz="8" w:color="231F20"/>
            </w:tcBorders>
            <w:shd w:val="clear" w:color="auto" w:fill="EBECEC"/>
          </w:tcPr>
          <w:p>
            <w:pPr>
              <w:spacing w:after="0"/>
              <w:rPr>
                <w:sz w:val="22"/>
                <w:szCs w:val="22"/>
                <w:color w:val="auto"/>
              </w:rPr>
            </w:pPr>
          </w:p>
        </w:tc>
        <w:tc>
          <w:tcPr>
            <w:tcW w:w="10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6,392</w:t>
            </w:r>
          </w:p>
        </w:tc>
        <w:tc>
          <w:tcPr>
            <w:tcW w:w="220" w:type="dxa"/>
            <w:vAlign w:val="bottom"/>
            <w:tcBorders>
              <w:bottom w:val="single" w:sz="8" w:color="EBECEC"/>
            </w:tcBorders>
            <w:shd w:val="clear" w:color="auto" w:fill="EBECEC"/>
          </w:tcPr>
          <w:p>
            <w:pPr>
              <w:spacing w:after="0"/>
              <w:rPr>
                <w:sz w:val="22"/>
                <w:szCs w:val="22"/>
                <w:color w:val="auto"/>
              </w:rPr>
            </w:pPr>
          </w:p>
        </w:tc>
        <w:tc>
          <w:tcPr>
            <w:tcW w:w="200" w:type="dxa"/>
            <w:vAlign w:val="bottom"/>
            <w:tcBorders>
              <w:bottom w:val="single" w:sz="8" w:color="231F20"/>
            </w:tcBorders>
            <w:shd w:val="clear" w:color="auto" w:fill="EBECEC"/>
          </w:tcPr>
          <w:p>
            <w:pPr>
              <w:spacing w:after="0"/>
              <w:rPr>
                <w:sz w:val="22"/>
                <w:szCs w:val="22"/>
                <w:color w:val="auto"/>
              </w:rPr>
            </w:pPr>
          </w:p>
        </w:tc>
        <w:tc>
          <w:tcPr>
            <w:tcW w:w="9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6,375</w:t>
            </w:r>
          </w:p>
        </w:tc>
        <w:tc>
          <w:tcPr>
            <w:tcW w:w="100" w:type="dxa"/>
            <w:vAlign w:val="bottom"/>
            <w:tcBorders>
              <w:bottom w:val="single" w:sz="8" w:color="EBECEC"/>
            </w:tcBorders>
            <w:shd w:val="clear" w:color="auto" w:fill="EBECEC"/>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640" w:type="dxa"/>
            <w:vAlign w:val="bottom"/>
            <w:tcBorders>
              <w:bottom w:val="single" w:sz="8" w:color="EBECEC"/>
            </w:tcBorders>
          </w:tcPr>
          <w:p>
            <w:pPr>
              <w:spacing w:after="0" w:line="219" w:lineRule="exact"/>
              <w:rPr>
                <w:sz w:val="20"/>
                <w:szCs w:val="20"/>
                <w:color w:val="auto"/>
              </w:rPr>
            </w:pPr>
            <w:r>
              <w:rPr>
                <w:rFonts w:ascii="Times New Roman" w:cs="Times New Roman" w:eastAsia="Times New Roman" w:hAnsi="Times New Roman"/>
                <w:sz w:val="20"/>
                <w:szCs w:val="20"/>
                <w:color w:val="231F20"/>
              </w:rPr>
              <w:t>Total operating expenses</w:t>
            </w:r>
          </w:p>
        </w:tc>
        <w:tc>
          <w:tcPr>
            <w:tcW w:w="18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805,258</w:t>
            </w:r>
          </w:p>
        </w:tc>
        <w:tc>
          <w:tcPr>
            <w:tcW w:w="220" w:type="dxa"/>
            <w:vAlign w:val="bottom"/>
            <w:tcBorders>
              <w:bottom w:val="single" w:sz="8" w:color="EBECEC"/>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0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666,255</w:t>
            </w:r>
          </w:p>
        </w:tc>
        <w:tc>
          <w:tcPr>
            <w:tcW w:w="220" w:type="dxa"/>
            <w:vAlign w:val="bottom"/>
            <w:tcBorders>
              <w:bottom w:val="single" w:sz="8" w:color="EBECEC"/>
            </w:tcBorders>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502,425</w:t>
            </w:r>
          </w:p>
        </w:tc>
        <w:tc>
          <w:tcPr>
            <w:tcW w:w="100" w:type="dxa"/>
            <w:vAlign w:val="bottom"/>
            <w:tcBorders>
              <w:bottom w:val="single" w:sz="8" w:color="EBECE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Loss from operations</w:t>
            </w:r>
          </w:p>
        </w:tc>
        <w:tc>
          <w:tcPr>
            <w:tcW w:w="180" w:type="dxa"/>
            <w:vAlign w:val="bottom"/>
            <w:shd w:val="clear" w:color="auto" w:fill="EBECEC"/>
          </w:tcPr>
          <w:p>
            <w:pPr>
              <w:spacing w:after="0"/>
              <w:rPr>
                <w:sz w:val="20"/>
                <w:szCs w:val="20"/>
                <w:color w:val="auto"/>
              </w:rPr>
            </w:pPr>
          </w:p>
        </w:tc>
        <w:tc>
          <w:tcPr>
            <w:tcW w:w="10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(166,762)</w:t>
            </w:r>
          </w:p>
        </w:tc>
        <w:tc>
          <w:tcPr>
            <w:tcW w:w="220" w:type="dxa"/>
            <w:vAlign w:val="bottom"/>
            <w:shd w:val="clear" w:color="auto" w:fill="EBECEC"/>
          </w:tcPr>
          <w:p>
            <w:pPr>
              <w:spacing w:after="0"/>
              <w:rPr>
                <w:sz w:val="20"/>
                <w:szCs w:val="20"/>
                <w:color w:val="auto"/>
              </w:rPr>
            </w:pPr>
          </w:p>
        </w:tc>
        <w:tc>
          <w:tcPr>
            <w:tcW w:w="180" w:type="dxa"/>
            <w:vAlign w:val="bottom"/>
            <w:shd w:val="clear" w:color="auto" w:fill="EBECEC"/>
          </w:tcPr>
          <w:p>
            <w:pPr>
              <w:spacing w:after="0"/>
              <w:rPr>
                <w:sz w:val="20"/>
                <w:szCs w:val="20"/>
                <w:color w:val="auto"/>
              </w:rPr>
            </w:pPr>
          </w:p>
        </w:tc>
        <w:tc>
          <w:tcPr>
            <w:tcW w:w="10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(280,562)</w:t>
            </w:r>
          </w:p>
        </w:tc>
        <w:tc>
          <w:tcPr>
            <w:tcW w:w="22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9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(231,825)</w:t>
            </w:r>
          </w:p>
        </w:tc>
        <w:tc>
          <w:tcPr>
            <w:tcW w:w="10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expense, net</w:t>
            </w:r>
          </w:p>
        </w:tc>
        <w:tc>
          <w:tcPr>
            <w:tcW w:w="18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(6,557)</w:t>
            </w:r>
          </w:p>
        </w:tc>
        <w:tc>
          <w:tcPr>
            <w:tcW w:w="180" w:type="dxa"/>
            <w:vAlign w:val="bottom"/>
          </w:tcPr>
          <w:p>
            <w:pPr>
              <w:spacing w:after="0"/>
              <w:rPr>
                <w:sz w:val="22"/>
                <w:szCs w:val="22"/>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(6,569)</w:t>
            </w:r>
          </w:p>
        </w:tc>
        <w:tc>
          <w:tcPr>
            <w:tcW w:w="2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(6,453)</w:t>
            </w:r>
          </w:p>
        </w:tc>
        <w:tc>
          <w:tcPr>
            <w:tcW w:w="0" w:type="dxa"/>
            <w:vAlign w:val="bottom"/>
          </w:tcPr>
          <w:p>
            <w:pPr>
              <w:spacing w:after="0"/>
              <w:rPr>
                <w:sz w:val="1"/>
                <w:szCs w:val="1"/>
                <w:color w:val="auto"/>
              </w:rPr>
            </w:pPr>
          </w:p>
        </w:tc>
      </w:tr>
      <w:tr>
        <w:trPr>
          <w:trHeight w:val="258"/>
        </w:trPr>
        <w:tc>
          <w:tcPr>
            <w:tcW w:w="56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Loss on debt extinguishment</w:t>
            </w:r>
          </w:p>
        </w:tc>
        <w:tc>
          <w:tcPr>
            <w:tcW w:w="180" w:type="dxa"/>
            <w:vAlign w:val="bottom"/>
            <w:shd w:val="clear" w:color="auto" w:fill="EBECEC"/>
          </w:tcPr>
          <w:p>
            <w:pPr>
              <w:spacing w:after="0"/>
              <w:rPr>
                <w:sz w:val="22"/>
                <w:szCs w:val="22"/>
                <w:color w:val="auto"/>
              </w:rPr>
            </w:pPr>
          </w:p>
        </w:tc>
        <w:tc>
          <w:tcPr>
            <w:tcW w:w="122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(10,385)</w:t>
            </w:r>
          </w:p>
        </w:tc>
        <w:tc>
          <w:tcPr>
            <w:tcW w:w="180" w:type="dxa"/>
            <w:vAlign w:val="bottom"/>
            <w:shd w:val="clear" w:color="auto" w:fill="EBECEC"/>
          </w:tcPr>
          <w:p>
            <w:pPr>
              <w:spacing w:after="0"/>
              <w:rPr>
                <w:sz w:val="22"/>
                <w:szCs w:val="22"/>
                <w:color w:val="auto"/>
              </w:rPr>
            </w:pPr>
          </w:p>
        </w:tc>
        <w:tc>
          <w:tcPr>
            <w:tcW w:w="122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EBECEC"/>
          </w:tcPr>
          <w:p>
            <w:pPr>
              <w:spacing w:after="0"/>
              <w:rPr>
                <w:sz w:val="22"/>
                <w:szCs w:val="22"/>
                <w:color w:val="auto"/>
              </w:rPr>
            </w:pPr>
          </w:p>
        </w:tc>
        <w:tc>
          <w:tcPr>
            <w:tcW w:w="108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EBECEC"/>
            </w:tcBorders>
            <w:vMerge w:val="restart"/>
          </w:tcPr>
          <w:p>
            <w:pPr>
              <w:spacing w:after="0"/>
              <w:rPr>
                <w:sz w:val="20"/>
                <w:szCs w:val="20"/>
                <w:color w:val="auto"/>
              </w:rPr>
            </w:pPr>
            <w:r>
              <w:rPr>
                <w:rFonts w:ascii="Times New Roman" w:cs="Times New Roman" w:eastAsia="Times New Roman" w:hAnsi="Times New Roman"/>
                <w:sz w:val="20"/>
                <w:szCs w:val="20"/>
                <w:color w:val="231F20"/>
              </w:rPr>
              <w:t>Loss before income taxes</w:t>
            </w:r>
          </w:p>
        </w:tc>
        <w:tc>
          <w:tcPr>
            <w:tcW w:w="180" w:type="dxa"/>
            <w:vAlign w:val="bottom"/>
            <w:tcBorders>
              <w:top w:val="single" w:sz="8" w:color="231F20"/>
            </w:tcBorders>
            <w:shd w:val="clear" w:color="auto" w:fill="231F20"/>
          </w:tcPr>
          <w:p>
            <w:pPr>
              <w:spacing w:after="0" w:line="20" w:lineRule="exact"/>
              <w:rPr>
                <w:sz w:val="1"/>
                <w:szCs w:val="1"/>
                <w:color w:val="auto"/>
              </w:rPr>
            </w:pPr>
          </w:p>
        </w:tc>
        <w:tc>
          <w:tcPr>
            <w:tcW w:w="1000" w:type="dxa"/>
            <w:vAlign w:val="bottom"/>
            <w:tcBorders>
              <w:top w:val="single" w:sz="8" w:color="231F20"/>
            </w:tcBorders>
            <w:shd w:val="clear" w:color="auto" w:fill="231F20"/>
          </w:tcPr>
          <w:p>
            <w:pPr>
              <w:spacing w:after="0" w:line="20" w:lineRule="exact"/>
              <w:rPr>
                <w:sz w:val="1"/>
                <w:szCs w:val="1"/>
                <w:color w:val="auto"/>
              </w:rPr>
            </w:pPr>
          </w:p>
        </w:tc>
        <w:tc>
          <w:tcPr>
            <w:tcW w:w="220" w:type="dxa"/>
            <w:vAlign w:val="bottom"/>
            <w:tcBorders>
              <w:top w:val="single" w:sz="8" w:color="EBECEC"/>
            </w:tcBorders>
          </w:tcPr>
          <w:p>
            <w:pPr>
              <w:spacing w:after="0" w:line="20" w:lineRule="exact"/>
              <w:rPr>
                <w:sz w:val="1"/>
                <w:szCs w:val="1"/>
                <w:color w:val="auto"/>
              </w:rPr>
            </w:pPr>
          </w:p>
        </w:tc>
        <w:tc>
          <w:tcPr>
            <w:tcW w:w="180" w:type="dxa"/>
            <w:vAlign w:val="bottom"/>
            <w:tcBorders>
              <w:top w:val="single" w:sz="8" w:color="231F20"/>
            </w:tcBorders>
            <w:shd w:val="clear" w:color="auto" w:fill="231F20"/>
          </w:tcPr>
          <w:p>
            <w:pPr>
              <w:spacing w:after="0" w:line="20" w:lineRule="exact"/>
              <w:rPr>
                <w:sz w:val="1"/>
                <w:szCs w:val="1"/>
                <w:color w:val="auto"/>
              </w:rPr>
            </w:pPr>
          </w:p>
        </w:tc>
        <w:tc>
          <w:tcPr>
            <w:tcW w:w="1000" w:type="dxa"/>
            <w:vAlign w:val="bottom"/>
            <w:tcBorders>
              <w:top w:val="single" w:sz="8" w:color="231F20"/>
            </w:tcBorders>
            <w:shd w:val="clear" w:color="auto" w:fill="231F20"/>
          </w:tcPr>
          <w:p>
            <w:pPr>
              <w:spacing w:after="0" w:line="20" w:lineRule="exact"/>
              <w:rPr>
                <w:sz w:val="1"/>
                <w:szCs w:val="1"/>
                <w:color w:val="auto"/>
              </w:rPr>
            </w:pPr>
          </w:p>
        </w:tc>
        <w:tc>
          <w:tcPr>
            <w:tcW w:w="220" w:type="dxa"/>
            <w:vAlign w:val="bottom"/>
            <w:tcBorders>
              <w:top w:val="single" w:sz="8" w:color="EBECEC"/>
            </w:tcBorders>
          </w:tcPr>
          <w:p>
            <w:pPr>
              <w:spacing w:after="0" w:line="20" w:lineRule="exact"/>
              <w:rPr>
                <w:sz w:val="1"/>
                <w:szCs w:val="1"/>
                <w:color w:val="auto"/>
              </w:rPr>
            </w:pPr>
          </w:p>
        </w:tc>
        <w:tc>
          <w:tcPr>
            <w:tcW w:w="200" w:type="dxa"/>
            <w:vAlign w:val="bottom"/>
            <w:tcBorders>
              <w:top w:val="single" w:sz="8" w:color="231F20"/>
            </w:tcBorders>
            <w:shd w:val="clear" w:color="auto" w:fill="231F20"/>
          </w:tcPr>
          <w:p>
            <w:pPr>
              <w:spacing w:after="0" w:line="20" w:lineRule="exact"/>
              <w:rPr>
                <w:sz w:val="1"/>
                <w:szCs w:val="1"/>
                <w:color w:val="auto"/>
              </w:rPr>
            </w:pPr>
          </w:p>
        </w:tc>
        <w:tc>
          <w:tcPr>
            <w:tcW w:w="980" w:type="dxa"/>
            <w:vAlign w:val="bottom"/>
            <w:tcBorders>
              <w:top w:val="single" w:sz="8" w:color="231F20"/>
            </w:tcBorders>
            <w:shd w:val="clear" w:color="auto" w:fill="231F20"/>
          </w:tcPr>
          <w:p>
            <w:pPr>
              <w:spacing w:after="0" w:line="20" w:lineRule="exact"/>
              <w:rPr>
                <w:sz w:val="1"/>
                <w:szCs w:val="1"/>
                <w:color w:val="auto"/>
              </w:rPr>
            </w:pPr>
          </w:p>
        </w:tc>
        <w:tc>
          <w:tcPr>
            <w:tcW w:w="100" w:type="dxa"/>
            <w:vAlign w:val="bottom"/>
            <w:tcBorders>
              <w:top w:val="single" w:sz="8" w:color="EBECE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6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(183,704)</w:t>
            </w:r>
          </w:p>
        </w:tc>
        <w:tc>
          <w:tcPr>
            <w:tcW w:w="1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(287,131)</w:t>
            </w: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(238,278)</w:t>
            </w:r>
          </w:p>
        </w:tc>
        <w:tc>
          <w:tcPr>
            <w:tcW w:w="0" w:type="dxa"/>
            <w:vAlign w:val="bottom"/>
          </w:tcPr>
          <w:p>
            <w:pPr>
              <w:spacing w:after="0"/>
              <w:rPr>
                <w:sz w:val="1"/>
                <w:szCs w:val="1"/>
                <w:color w:val="auto"/>
              </w:rPr>
            </w:pPr>
          </w:p>
        </w:tc>
      </w:tr>
      <w:tr>
        <w:trPr>
          <w:trHeight w:val="278"/>
        </w:trPr>
        <w:tc>
          <w:tcPr>
            <w:tcW w:w="56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Income tax benefit (expense)</w:t>
            </w:r>
          </w:p>
        </w:tc>
        <w:tc>
          <w:tcPr>
            <w:tcW w:w="180" w:type="dxa"/>
            <w:vAlign w:val="bottom"/>
            <w:shd w:val="clear" w:color="auto" w:fill="EBECEC"/>
          </w:tcPr>
          <w:p>
            <w:pPr>
              <w:spacing w:after="0"/>
              <w:rPr>
                <w:sz w:val="24"/>
                <w:szCs w:val="24"/>
                <w:color w:val="auto"/>
              </w:rPr>
            </w:pPr>
          </w:p>
        </w:tc>
        <w:tc>
          <w:tcPr>
            <w:tcW w:w="10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530</w:t>
            </w:r>
          </w:p>
        </w:tc>
        <w:tc>
          <w:tcPr>
            <w:tcW w:w="220" w:type="dxa"/>
            <w:vAlign w:val="bottom"/>
            <w:shd w:val="clear" w:color="auto" w:fill="EBECEC"/>
          </w:tcPr>
          <w:p>
            <w:pPr>
              <w:spacing w:after="0"/>
              <w:rPr>
                <w:sz w:val="24"/>
                <w:szCs w:val="24"/>
                <w:color w:val="auto"/>
              </w:rPr>
            </w:pPr>
          </w:p>
        </w:tc>
        <w:tc>
          <w:tcPr>
            <w:tcW w:w="180" w:type="dxa"/>
            <w:vAlign w:val="bottom"/>
            <w:shd w:val="clear" w:color="auto" w:fill="EBECEC"/>
          </w:tcPr>
          <w:p>
            <w:pPr>
              <w:spacing w:after="0"/>
              <w:rPr>
                <w:sz w:val="24"/>
                <w:szCs w:val="24"/>
                <w:color w:val="auto"/>
              </w:rPr>
            </w:pPr>
          </w:p>
        </w:tc>
        <w:tc>
          <w:tcPr>
            <w:tcW w:w="122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(85)</w:t>
            </w:r>
          </w:p>
        </w:tc>
        <w:tc>
          <w:tcPr>
            <w:tcW w:w="200" w:type="dxa"/>
            <w:vAlign w:val="bottom"/>
            <w:shd w:val="clear" w:color="auto" w:fill="EBECEC"/>
          </w:tcPr>
          <w:p>
            <w:pPr>
              <w:spacing w:after="0"/>
              <w:rPr>
                <w:sz w:val="24"/>
                <w:szCs w:val="24"/>
                <w:color w:val="auto"/>
              </w:rPr>
            </w:pPr>
          </w:p>
        </w:tc>
        <w:tc>
          <w:tcPr>
            <w:tcW w:w="108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(960)</w:t>
            </w:r>
          </w:p>
        </w:tc>
        <w:tc>
          <w:tcPr>
            <w:tcW w:w="0" w:type="dxa"/>
            <w:vAlign w:val="bottom"/>
          </w:tcPr>
          <w:p>
            <w:pPr>
              <w:spacing w:after="0"/>
              <w:rPr>
                <w:sz w:val="1"/>
                <w:szCs w:val="1"/>
                <w:color w:val="auto"/>
              </w:rPr>
            </w:pPr>
          </w:p>
        </w:tc>
      </w:tr>
      <w:tr>
        <w:trPr>
          <w:trHeight w:val="259"/>
        </w:trPr>
        <w:tc>
          <w:tcPr>
            <w:tcW w:w="5640" w:type="dxa"/>
            <w:vAlign w:val="bottom"/>
            <w:tcBorders>
              <w:top w:val="single" w:sz="8" w:color="EBECEC"/>
              <w:bottom w:val="single" w:sz="8" w:color="EBECEC"/>
            </w:tcBorders>
          </w:tcPr>
          <w:p>
            <w:pPr>
              <w:spacing w:after="0" w:line="219" w:lineRule="exact"/>
              <w:rPr>
                <w:sz w:val="20"/>
                <w:szCs w:val="20"/>
                <w:color w:val="auto"/>
              </w:rPr>
            </w:pPr>
            <w:r>
              <w:rPr>
                <w:rFonts w:ascii="Times New Roman" w:cs="Times New Roman" w:eastAsia="Times New Roman" w:hAnsi="Times New Roman"/>
                <w:sz w:val="20"/>
                <w:szCs w:val="20"/>
                <w:color w:val="231F20"/>
              </w:rPr>
              <w:t>Net loss</w:t>
            </w:r>
          </w:p>
        </w:tc>
        <w:tc>
          <w:tcPr>
            <w:tcW w:w="1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(183,174</w:t>
            </w:r>
          </w:p>
        </w:tc>
        <w:tc>
          <w:tcPr>
            <w:tcW w:w="220" w:type="dxa"/>
            <w:vAlign w:val="bottom"/>
            <w:tcBorders>
              <w:top w:val="single" w:sz="8" w:color="EBECEC"/>
              <w:bottom w:val="single" w:sz="8" w:color="EBECEC"/>
            </w:tcBorders>
          </w:tcPr>
          <w:p>
            <w:pPr>
              <w:jc w:val="right"/>
              <w:ind w:right="80"/>
              <w:spacing w:after="0"/>
              <w:rPr>
                <w:sz w:val="20"/>
                <w:szCs w:val="20"/>
                <w:color w:val="auto"/>
              </w:rPr>
            </w:pPr>
            <w:r>
              <w:rPr>
                <w:rFonts w:ascii="Times New Roman" w:cs="Times New Roman" w:eastAsia="Times New Roman" w:hAnsi="Times New Roman"/>
                <w:sz w:val="16"/>
                <w:szCs w:val="16"/>
                <w:color w:val="231F20"/>
                <w:w w:val="74"/>
              </w:rPr>
              <w:t>)</w:t>
            </w:r>
          </w:p>
        </w:tc>
        <w:tc>
          <w:tcPr>
            <w:tcW w:w="1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(287,216</w:t>
            </w:r>
          </w:p>
        </w:tc>
        <w:tc>
          <w:tcPr>
            <w:tcW w:w="220" w:type="dxa"/>
            <w:vAlign w:val="bottom"/>
            <w:tcBorders>
              <w:top w:val="single" w:sz="8" w:color="EBECEC"/>
              <w:bottom w:val="single" w:sz="8" w:color="EBECEC"/>
            </w:tcBorders>
          </w:tcPr>
          <w:p>
            <w:pPr>
              <w:jc w:val="right"/>
              <w:ind w:right="80"/>
              <w:spacing w:after="0"/>
              <w:rPr>
                <w:sz w:val="20"/>
                <w:szCs w:val="20"/>
                <w:color w:val="auto"/>
              </w:rPr>
            </w:pPr>
            <w:r>
              <w:rPr>
                <w:rFonts w:ascii="Times New Roman" w:cs="Times New Roman" w:eastAsia="Times New Roman" w:hAnsi="Times New Roman"/>
                <w:sz w:val="16"/>
                <w:szCs w:val="16"/>
                <w:color w:val="231F20"/>
                <w:w w:val="74"/>
              </w:rPr>
              <w:t>)</w:t>
            </w:r>
          </w:p>
        </w:tc>
        <w:tc>
          <w:tcPr>
            <w:tcW w:w="2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(239,238</w:t>
            </w:r>
          </w:p>
        </w:tc>
        <w:tc>
          <w:tcPr>
            <w:tcW w:w="100" w:type="dxa"/>
            <w:vAlign w:val="bottom"/>
            <w:tcBorders>
              <w:top w:val="single" w:sz="8" w:color="EBECEC"/>
              <w:bottom w:val="single" w:sz="8" w:color="EBECEC"/>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89"/>
              </w:rPr>
              <w:t>)</w:t>
            </w:r>
          </w:p>
        </w:tc>
        <w:tc>
          <w:tcPr>
            <w:tcW w:w="0" w:type="dxa"/>
            <w:vAlign w:val="bottom"/>
          </w:tcPr>
          <w:p>
            <w:pPr>
              <w:spacing w:after="0"/>
              <w:rPr>
                <w:sz w:val="1"/>
                <w:szCs w:val="1"/>
                <w:color w:val="auto"/>
              </w:rPr>
            </w:pPr>
          </w:p>
        </w:tc>
      </w:tr>
      <w:tr>
        <w:trPr>
          <w:trHeight w:val="249"/>
        </w:trPr>
        <w:tc>
          <w:tcPr>
            <w:tcW w:w="564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Net loss per common share, basic and diluted</w:t>
            </w:r>
          </w:p>
        </w:tc>
        <w:tc>
          <w:tcPr>
            <w:tcW w:w="1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(3.68)</w:t>
            </w:r>
          </w:p>
        </w:tc>
        <w:tc>
          <w:tcPr>
            <w:tcW w:w="220" w:type="dxa"/>
            <w:vAlign w:val="bottom"/>
            <w:tcBorders>
              <w:bottom w:val="single" w:sz="8" w:color="EBECEC"/>
            </w:tcBorders>
            <w:shd w:val="clear" w:color="auto" w:fill="EBECEC"/>
          </w:tcPr>
          <w:p>
            <w:pPr>
              <w:spacing w:after="0"/>
              <w:rPr>
                <w:sz w:val="21"/>
                <w:szCs w:val="21"/>
                <w:color w:val="auto"/>
              </w:rPr>
            </w:pPr>
          </w:p>
        </w:tc>
        <w:tc>
          <w:tcPr>
            <w:tcW w:w="1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(5.99)</w:t>
            </w:r>
          </w:p>
        </w:tc>
        <w:tc>
          <w:tcPr>
            <w:tcW w:w="220" w:type="dxa"/>
            <w:vAlign w:val="bottom"/>
            <w:tcBorders>
              <w:bottom w:val="single" w:sz="8" w:color="EBECEC"/>
            </w:tcBorders>
            <w:shd w:val="clear" w:color="auto" w:fill="EBECEC"/>
          </w:tcPr>
          <w:p>
            <w:pPr>
              <w:spacing w:after="0"/>
              <w:rPr>
                <w:sz w:val="21"/>
                <w:szCs w:val="21"/>
                <w:color w:val="auto"/>
              </w:rPr>
            </w:pPr>
          </w:p>
        </w:tc>
        <w:tc>
          <w:tcPr>
            <w:tcW w:w="2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(5.27)</w:t>
            </w:r>
          </w:p>
        </w:tc>
        <w:tc>
          <w:tcPr>
            <w:tcW w:w="100" w:type="dxa"/>
            <w:vAlign w:val="bottom"/>
            <w:tcBorders>
              <w:bottom w:val="single" w:sz="8" w:color="EBECEC"/>
            </w:tcBorders>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Weighted average common shares outstanding, basic and diluted</w:t>
            </w:r>
          </w:p>
        </w:tc>
        <w:tc>
          <w:tcPr>
            <w:tcW w:w="1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vMerge w:val="continue"/>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20"/>
                <w:szCs w:val="20"/>
                <w:color w:val="231F20"/>
              </w:rPr>
              <w:t>49,747,178</w:t>
            </w:r>
          </w:p>
        </w:tc>
        <w:tc>
          <w:tcPr>
            <w:tcW w:w="22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20"/>
                <w:szCs w:val="20"/>
                <w:color w:val="231F20"/>
              </w:rPr>
              <w:t>47,914,253</w:t>
            </w:r>
          </w:p>
        </w:tc>
        <w:tc>
          <w:tcPr>
            <w:tcW w:w="22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98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20"/>
                <w:szCs w:val="20"/>
                <w:color w:val="231F20"/>
              </w:rPr>
              <w:t>45,425,212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-3435985</wp:posOffset>
            </wp:positionV>
            <wp:extent cx="257429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2574290" cy="3810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 consolidated financial statements.</w:t>
      </w:r>
    </w:p>
    <w:p>
      <w:pPr>
        <w:sectPr>
          <w:pgSz w:w="12240" w:h="15840" w:orient="portrait"/>
          <w:cols w:equalWidth="0" w:num="1">
            <w:col w:w="9720"/>
          </w:cols>
          <w:pgMar w:left="1260" w:top="1243"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F-5</w:t>
      </w:r>
    </w:p>
    <w:p>
      <w:pPr>
        <w:sectPr>
          <w:pgSz w:w="12240" w:h="15840" w:orient="portrait"/>
          <w:cols w:equalWidth="0" w:num="1">
            <w:col w:w="9720"/>
          </w:cols>
          <w:pgMar w:left="1260" w:top="1243" w:right="1260" w:bottom="175"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231F20"/>
        </w:rPr>
        <w:t>Axsome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Stockholders’ Equity</w:t>
      </w:r>
    </w:p>
    <w:p>
      <w:pPr>
        <w:jc w:val="center"/>
        <w:spacing w:after="0"/>
        <w:rPr>
          <w:sz w:val="20"/>
          <w:szCs w:val="20"/>
          <w:color w:val="auto"/>
        </w:rPr>
      </w:pPr>
      <w:r>
        <w:rPr>
          <w:rFonts w:ascii="Times New Roman" w:cs="Times New Roman" w:eastAsia="Times New Roman" w:hAnsi="Times New Roman"/>
          <w:sz w:val="20"/>
          <w:szCs w:val="20"/>
          <w:color w:val="231F20"/>
        </w:rPr>
        <w:t>(In thousands, except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231F20"/>
                <w:w w:val="98"/>
              </w:rPr>
              <w:t>Additional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Total</w:t>
            </w:r>
          </w:p>
        </w:tc>
      </w:tr>
      <w:tr>
        <w:trPr>
          <w:trHeight w:val="213"/>
        </w:trPr>
        <w:tc>
          <w:tcPr>
            <w:tcW w:w="4100" w:type="dxa"/>
            <w:vAlign w:val="bottom"/>
          </w:tcPr>
          <w:p>
            <w:pPr>
              <w:spacing w:after="0"/>
              <w:rPr>
                <w:sz w:val="18"/>
                <w:szCs w:val="18"/>
                <w:color w:val="auto"/>
              </w:rPr>
            </w:pPr>
          </w:p>
        </w:tc>
        <w:tc>
          <w:tcPr>
            <w:tcW w:w="1640" w:type="dxa"/>
            <w:vAlign w:val="bottom"/>
            <w:gridSpan w:val="3"/>
          </w:tcPr>
          <w:p>
            <w:pPr>
              <w:jc w:val="right"/>
              <w:ind w:right="44"/>
              <w:spacing w:after="0"/>
              <w:rPr>
                <w:sz w:val="20"/>
                <w:szCs w:val="20"/>
                <w:color w:val="auto"/>
              </w:rPr>
            </w:pPr>
            <w:r>
              <w:rPr>
                <w:rFonts w:ascii="Times New Roman" w:cs="Times New Roman" w:eastAsia="Times New Roman" w:hAnsi="Times New Roman"/>
                <w:sz w:val="16"/>
                <w:szCs w:val="16"/>
                <w:b w:val="1"/>
                <w:bCs w:val="1"/>
                <w:color w:val="231F20"/>
              </w:rPr>
              <w:t>Common stock</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231F20"/>
                <w:w w:val="98"/>
              </w:rPr>
              <w:t>paid-in</w:t>
            </w:r>
          </w:p>
        </w:tc>
        <w:tc>
          <w:tcPr>
            <w:tcW w:w="1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10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231F20"/>
              </w:rPr>
              <w:t>stockholders’</w:t>
            </w:r>
          </w:p>
        </w:tc>
      </w:tr>
      <w:tr>
        <w:trPr>
          <w:trHeight w:val="203"/>
        </w:trPr>
        <w:tc>
          <w:tcPr>
            <w:tcW w:w="4100" w:type="dxa"/>
            <w:vAlign w:val="bottom"/>
          </w:tcPr>
          <w:p>
            <w:pPr>
              <w:spacing w:after="0"/>
              <w:rPr>
                <w:sz w:val="17"/>
                <w:szCs w:val="17"/>
                <w:color w:val="auto"/>
              </w:rPr>
            </w:pP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231F20"/>
              </w:rPr>
              <w:t>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231F20"/>
              </w:rPr>
              <w:t>deficit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8"/>
              </w:rPr>
              <w:t>equity</w:t>
            </w:r>
          </w:p>
        </w:tc>
      </w:tr>
      <w:tr>
        <w:trPr>
          <w:trHeight w:val="239"/>
        </w:trPr>
        <w:tc>
          <w:tcPr>
            <w:tcW w:w="4100" w:type="dxa"/>
            <w:vAlign w:val="bottom"/>
            <w:tcBorders>
              <w:top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Balance at December 31, 2022</w:t>
            </w:r>
          </w:p>
        </w:tc>
        <w:tc>
          <w:tcPr>
            <w:tcW w:w="1140" w:type="dxa"/>
            <w:vAlign w:val="bottom"/>
            <w:tcBorders>
              <w:top w:val="single" w:sz="8" w:color="231F20"/>
            </w:tcBorders>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43,498,617</w:t>
            </w:r>
          </w:p>
        </w:tc>
        <w:tc>
          <w:tcPr>
            <w:tcW w:w="100" w:type="dxa"/>
            <w:vAlign w:val="bottom"/>
            <w:tcBorders>
              <w:top w:val="single" w:sz="8" w:color="EBECEC"/>
            </w:tcBorders>
            <w:shd w:val="clear" w:color="auto" w:fill="EBECEC"/>
          </w:tcPr>
          <w:p>
            <w:pPr>
              <w:spacing w:after="0"/>
              <w:rPr>
                <w:sz w:val="20"/>
                <w:szCs w:val="20"/>
                <w:color w:val="auto"/>
              </w:rPr>
            </w:pPr>
          </w:p>
        </w:tc>
        <w:tc>
          <w:tcPr>
            <w:tcW w:w="400" w:type="dxa"/>
            <w:vAlign w:val="bottom"/>
            <w:tcBorders>
              <w:top w:val="single" w:sz="8" w:color="231F20"/>
            </w:tcBorders>
            <w:shd w:val="clear" w:color="auto" w:fill="EBECEC"/>
          </w:tcPr>
          <w:p>
            <w:pPr>
              <w:jc w:val="right"/>
              <w:ind w:right="204"/>
              <w:spacing w:after="0"/>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00" w:type="dxa"/>
            <w:vAlign w:val="bottom"/>
            <w:tcBorders>
              <w:top w:val="single" w:sz="8" w:color="EBECEC"/>
            </w:tcBorders>
            <w:shd w:val="clear" w:color="auto" w:fill="EBECEC"/>
          </w:tcPr>
          <w:p>
            <w:pPr>
              <w:spacing w:after="0"/>
              <w:rPr>
                <w:sz w:val="20"/>
                <w:szCs w:val="20"/>
                <w:color w:val="auto"/>
              </w:rPr>
            </w:pPr>
          </w:p>
        </w:tc>
        <w:tc>
          <w:tcPr>
            <w:tcW w:w="12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BECEC"/>
              </w:rPr>
              <w:t>$</w:t>
            </w:r>
          </w:p>
        </w:tc>
        <w:tc>
          <w:tcPr>
            <w:tcW w:w="980" w:type="dxa"/>
            <w:vAlign w:val="bottom"/>
            <w:tcBorders>
              <w:top w:val="single" w:sz="8" w:color="231F20"/>
            </w:tcBorders>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shd w:val="clear" w:color="auto" w:fill="EBECEC"/>
              </w:rPr>
              <w:t>705,885</w:t>
            </w:r>
          </w:p>
        </w:tc>
        <w:tc>
          <w:tcPr>
            <w:tcW w:w="100" w:type="dxa"/>
            <w:vAlign w:val="bottom"/>
            <w:tcBorders>
              <w:top w:val="single" w:sz="8" w:color="EBECEC"/>
            </w:tcBorders>
            <w:shd w:val="clear" w:color="auto" w:fill="EBECEC"/>
          </w:tcPr>
          <w:p>
            <w:pPr>
              <w:spacing w:after="0"/>
              <w:rPr>
                <w:sz w:val="20"/>
                <w:szCs w:val="20"/>
                <w:color w:val="auto"/>
              </w:rPr>
            </w:pPr>
          </w:p>
        </w:tc>
        <w:tc>
          <w:tcPr>
            <w:tcW w:w="12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BECEC"/>
              </w:rPr>
              <w:t>$</w:t>
            </w:r>
          </w:p>
        </w:tc>
        <w:tc>
          <w:tcPr>
            <w:tcW w:w="100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(596,333)</w:t>
            </w:r>
          </w:p>
        </w:tc>
        <w:tc>
          <w:tcPr>
            <w:tcW w:w="100" w:type="dxa"/>
            <w:vAlign w:val="bottom"/>
            <w:tcBorders>
              <w:top w:val="single" w:sz="8" w:color="EBECEC"/>
            </w:tcBorders>
            <w:shd w:val="clear" w:color="auto" w:fill="EBECEC"/>
          </w:tcPr>
          <w:p>
            <w:pPr>
              <w:spacing w:after="0"/>
              <w:rPr>
                <w:sz w:val="20"/>
                <w:szCs w:val="20"/>
                <w:color w:val="auto"/>
              </w:rPr>
            </w:pPr>
          </w:p>
        </w:tc>
        <w:tc>
          <w:tcPr>
            <w:tcW w:w="140" w:type="dxa"/>
            <w:vAlign w:val="bottom"/>
            <w:tcBorders>
              <w:top w:val="single" w:sz="8" w:color="231F20"/>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top w:val="single" w:sz="8" w:color="231F20"/>
            </w:tcBorders>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109,556</w:t>
            </w:r>
          </w:p>
        </w:tc>
        <w:tc>
          <w:tcPr>
            <w:tcW w:w="20" w:type="dxa"/>
            <w:vAlign w:val="bottom"/>
            <w:shd w:val="clear" w:color="auto" w:fill="EBECEC"/>
          </w:tcPr>
          <w:p>
            <w:pPr>
              <w:spacing w:after="0"/>
              <w:rPr>
                <w:sz w:val="20"/>
                <w:szCs w:val="20"/>
                <w:color w:val="auto"/>
              </w:rPr>
            </w:pPr>
          </w:p>
        </w:tc>
      </w:tr>
      <w:tr>
        <w:trPr>
          <w:trHeight w:val="244"/>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65,357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65,357</w:t>
            </w:r>
          </w:p>
        </w:tc>
        <w:tc>
          <w:tcPr>
            <w:tcW w:w="20" w:type="dxa"/>
            <w:vAlign w:val="bottom"/>
          </w:tcPr>
          <w:p>
            <w:pPr>
              <w:spacing w:after="0"/>
              <w:rPr>
                <w:sz w:val="21"/>
                <w:szCs w:val="21"/>
                <w:color w:val="auto"/>
              </w:rPr>
            </w:pPr>
          </w:p>
        </w:tc>
      </w:tr>
      <w:tr>
        <w:trPr>
          <w:trHeight w:val="225"/>
        </w:trPr>
        <w:tc>
          <w:tcPr>
            <w:tcW w:w="4100" w:type="dxa"/>
            <w:vAlign w:val="bottom"/>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Issuance of common stock upon exercise of</w:t>
            </w:r>
          </w:p>
        </w:tc>
        <w:tc>
          <w:tcPr>
            <w:tcW w:w="114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400" w:type="dxa"/>
            <w:vAlign w:val="bottom"/>
            <w:shd w:val="clear" w:color="auto" w:fill="EBECEC"/>
          </w:tcPr>
          <w:p>
            <w:pPr>
              <w:spacing w:after="0"/>
              <w:rPr>
                <w:sz w:val="19"/>
                <w:szCs w:val="19"/>
                <w:color w:val="auto"/>
              </w:rPr>
            </w:pPr>
          </w:p>
        </w:tc>
        <w:tc>
          <w:tcPr>
            <w:tcW w:w="44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120" w:type="dxa"/>
            <w:vAlign w:val="bottom"/>
            <w:shd w:val="clear" w:color="auto" w:fill="EBECEC"/>
          </w:tcPr>
          <w:p>
            <w:pPr>
              <w:spacing w:after="0"/>
              <w:rPr>
                <w:sz w:val="19"/>
                <w:szCs w:val="19"/>
                <w:color w:val="auto"/>
              </w:rPr>
            </w:pPr>
          </w:p>
        </w:tc>
        <w:tc>
          <w:tcPr>
            <w:tcW w:w="98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120" w:type="dxa"/>
            <w:vAlign w:val="bottom"/>
            <w:shd w:val="clear" w:color="auto" w:fill="EBECEC"/>
          </w:tcPr>
          <w:p>
            <w:pPr>
              <w:spacing w:after="0"/>
              <w:rPr>
                <w:sz w:val="19"/>
                <w:szCs w:val="19"/>
                <w:color w:val="auto"/>
              </w:rPr>
            </w:pPr>
          </w:p>
        </w:tc>
        <w:tc>
          <w:tcPr>
            <w:tcW w:w="100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140" w:type="dxa"/>
            <w:vAlign w:val="bottom"/>
            <w:shd w:val="clear" w:color="auto" w:fill="EBECEC"/>
          </w:tcPr>
          <w:p>
            <w:pPr>
              <w:spacing w:after="0"/>
              <w:rPr>
                <w:sz w:val="19"/>
                <w:szCs w:val="19"/>
                <w:color w:val="auto"/>
              </w:rPr>
            </w:pPr>
          </w:p>
        </w:tc>
        <w:tc>
          <w:tcPr>
            <w:tcW w:w="880" w:type="dxa"/>
            <w:vAlign w:val="bottom"/>
            <w:shd w:val="clear" w:color="auto" w:fill="EBECEC"/>
          </w:tcPr>
          <w:p>
            <w:pPr>
              <w:spacing w:after="0"/>
              <w:rPr>
                <w:sz w:val="19"/>
                <w:szCs w:val="19"/>
                <w:color w:val="auto"/>
              </w:rPr>
            </w:pPr>
          </w:p>
        </w:tc>
        <w:tc>
          <w:tcPr>
            <w:tcW w:w="20" w:type="dxa"/>
            <w:vAlign w:val="bottom"/>
            <w:shd w:val="clear" w:color="auto" w:fill="EBECEC"/>
          </w:tcPr>
          <w:p>
            <w:pPr>
              <w:spacing w:after="0"/>
              <w:rPr>
                <w:sz w:val="19"/>
                <w:szCs w:val="19"/>
                <w:color w:val="auto"/>
              </w:rPr>
            </w:pPr>
          </w:p>
        </w:tc>
      </w:tr>
      <w:tr>
        <w:trPr>
          <w:trHeight w:val="249"/>
        </w:trPr>
        <w:tc>
          <w:tcPr>
            <w:tcW w:w="41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options</w:t>
            </w:r>
          </w:p>
        </w:tc>
        <w:tc>
          <w:tcPr>
            <w:tcW w:w="114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358,760</w:t>
            </w:r>
          </w:p>
        </w:tc>
        <w:tc>
          <w:tcPr>
            <w:tcW w:w="100" w:type="dxa"/>
            <w:vAlign w:val="bottom"/>
            <w:shd w:val="clear" w:color="auto" w:fill="EBECEC"/>
          </w:tcPr>
          <w:p>
            <w:pPr>
              <w:spacing w:after="0"/>
              <w:rPr>
                <w:sz w:val="21"/>
                <w:szCs w:val="21"/>
                <w:color w:val="auto"/>
              </w:rPr>
            </w:pPr>
          </w:p>
        </w:tc>
        <w:tc>
          <w:tcPr>
            <w:tcW w:w="400" w:type="dxa"/>
            <w:vAlign w:val="bottom"/>
            <w:shd w:val="clear" w:color="auto" w:fill="EBECEC"/>
          </w:tcPr>
          <w:p>
            <w:pPr>
              <w:spacing w:after="0"/>
              <w:rPr>
                <w:sz w:val="21"/>
                <w:szCs w:val="21"/>
                <w:color w:val="auto"/>
              </w:rPr>
            </w:pPr>
          </w:p>
        </w:tc>
        <w:tc>
          <w:tcPr>
            <w:tcW w:w="4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9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12,419</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1000" w:type="dxa"/>
            <w:vAlign w:val="bottom"/>
            <w:shd w:val="clear" w:color="auto" w:fill="EBECEC"/>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8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12,419</w:t>
            </w:r>
          </w:p>
        </w:tc>
        <w:tc>
          <w:tcPr>
            <w:tcW w:w="20" w:type="dxa"/>
            <w:vAlign w:val="bottom"/>
            <w:shd w:val="clear" w:color="auto" w:fill="EBECEC"/>
          </w:tcPr>
          <w:p>
            <w:pPr>
              <w:spacing w:after="0"/>
              <w:rPr>
                <w:sz w:val="21"/>
                <w:szCs w:val="21"/>
                <w:color w:val="auto"/>
              </w:rPr>
            </w:pPr>
          </w:p>
        </w:tc>
      </w:tr>
      <w:tr>
        <w:trPr>
          <w:trHeight w:val="225"/>
        </w:trPr>
        <w:tc>
          <w:tcPr>
            <w:tcW w:w="41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Issuance of common stock upon vesting of</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9"/>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RSUs</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43,986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1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Issuance of common stock upon financing</w:t>
            </w:r>
          </w:p>
        </w:tc>
        <w:tc>
          <w:tcPr>
            <w:tcW w:w="114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3,450,000</w:t>
            </w:r>
          </w:p>
        </w:tc>
        <w:tc>
          <w:tcPr>
            <w:tcW w:w="100" w:type="dxa"/>
            <w:vAlign w:val="bottom"/>
            <w:shd w:val="clear" w:color="auto" w:fill="EBECEC"/>
          </w:tcPr>
          <w:p>
            <w:pPr>
              <w:spacing w:after="0"/>
              <w:rPr>
                <w:sz w:val="21"/>
                <w:szCs w:val="21"/>
                <w:color w:val="auto"/>
              </w:rPr>
            </w:pPr>
          </w:p>
        </w:tc>
        <w:tc>
          <w:tcPr>
            <w:tcW w:w="400" w:type="dxa"/>
            <w:vAlign w:val="bottom"/>
            <w:shd w:val="clear" w:color="auto" w:fill="EBECEC"/>
          </w:tcPr>
          <w:p>
            <w:pPr>
              <w:spacing w:after="0"/>
              <w:rPr>
                <w:sz w:val="21"/>
                <w:szCs w:val="21"/>
                <w:color w:val="auto"/>
              </w:rPr>
            </w:pPr>
          </w:p>
        </w:tc>
        <w:tc>
          <w:tcPr>
            <w:tcW w:w="4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9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243,082</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1000" w:type="dxa"/>
            <w:vAlign w:val="bottom"/>
            <w:shd w:val="clear" w:color="auto" w:fill="EBECEC"/>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8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243,083</w:t>
            </w:r>
          </w:p>
        </w:tc>
        <w:tc>
          <w:tcPr>
            <w:tcW w:w="20" w:type="dxa"/>
            <w:vAlign w:val="bottom"/>
            <w:shd w:val="clear" w:color="auto" w:fill="EBECEC"/>
          </w:tcPr>
          <w:p>
            <w:pPr>
              <w:spacing w:after="0"/>
              <w:rPr>
                <w:sz w:val="21"/>
                <w:szCs w:val="21"/>
                <w:color w:val="auto"/>
              </w:rPr>
            </w:pPr>
          </w:p>
        </w:tc>
      </w:tr>
      <w:tr>
        <w:trPr>
          <w:trHeight w:val="244"/>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Issuance of warrants</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1,635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1,635</w:t>
            </w:r>
          </w:p>
        </w:tc>
        <w:tc>
          <w:tcPr>
            <w:tcW w:w="20" w:type="dxa"/>
            <w:vAlign w:val="bottom"/>
          </w:tcPr>
          <w:p>
            <w:pPr>
              <w:spacing w:after="0"/>
              <w:rPr>
                <w:sz w:val="21"/>
                <w:szCs w:val="21"/>
                <w:color w:val="auto"/>
              </w:rPr>
            </w:pPr>
          </w:p>
        </w:tc>
      </w:tr>
      <w:tr>
        <w:trPr>
          <w:trHeight w:val="244"/>
        </w:trPr>
        <w:tc>
          <w:tcPr>
            <w:tcW w:w="41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Shares tendered for withholding taxes</w:t>
            </w:r>
          </w:p>
        </w:tc>
        <w:tc>
          <w:tcPr>
            <w:tcW w:w="114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400" w:type="dxa"/>
            <w:vAlign w:val="bottom"/>
            <w:shd w:val="clear" w:color="auto" w:fill="EBECEC"/>
          </w:tcPr>
          <w:p>
            <w:pPr>
              <w:spacing w:after="0"/>
              <w:rPr>
                <w:sz w:val="21"/>
                <w:szCs w:val="21"/>
                <w:color w:val="auto"/>
              </w:rPr>
            </w:pPr>
          </w:p>
        </w:tc>
        <w:tc>
          <w:tcPr>
            <w:tcW w:w="4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9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(1,835)</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1000" w:type="dxa"/>
            <w:vAlign w:val="bottom"/>
            <w:shd w:val="clear" w:color="auto" w:fill="EBECEC"/>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8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(1,835)</w:t>
            </w:r>
          </w:p>
        </w:tc>
        <w:tc>
          <w:tcPr>
            <w:tcW w:w="20" w:type="dxa"/>
            <w:vAlign w:val="bottom"/>
            <w:shd w:val="clear" w:color="auto" w:fill="EBECEC"/>
          </w:tcPr>
          <w:p>
            <w:pPr>
              <w:spacing w:after="0"/>
              <w:rPr>
                <w:sz w:val="21"/>
                <w:szCs w:val="21"/>
                <w:color w:val="auto"/>
              </w:rPr>
            </w:pPr>
          </w:p>
        </w:tc>
      </w:tr>
      <w:tr>
        <w:trPr>
          <w:trHeight w:val="244"/>
        </w:trPr>
        <w:tc>
          <w:tcPr>
            <w:tcW w:w="410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Net loss</w:t>
            </w:r>
          </w:p>
        </w:tc>
        <w:tc>
          <w:tcPr>
            <w:tcW w:w="114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BECEC"/>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BEC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BEC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(239,238)</w:t>
            </w:r>
          </w:p>
        </w:tc>
        <w:tc>
          <w:tcPr>
            <w:tcW w:w="100" w:type="dxa"/>
            <w:vAlign w:val="bottom"/>
            <w:tcBorders>
              <w:bottom w:val="single" w:sz="8" w:color="EBEC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(239,238)</w:t>
            </w:r>
          </w:p>
        </w:tc>
        <w:tc>
          <w:tcPr>
            <w:tcW w:w="20" w:type="dxa"/>
            <w:vAlign w:val="bottom"/>
          </w:tcPr>
          <w:p>
            <w:pPr>
              <w:spacing w:after="0"/>
              <w:rPr>
                <w:sz w:val="21"/>
                <w:szCs w:val="21"/>
                <w:color w:val="auto"/>
              </w:rPr>
            </w:pPr>
          </w:p>
        </w:tc>
      </w:tr>
      <w:tr>
        <w:trPr>
          <w:trHeight w:val="239"/>
        </w:trPr>
        <w:tc>
          <w:tcPr>
            <w:tcW w:w="41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Balance at December 31, 2023</w:t>
            </w:r>
          </w:p>
        </w:tc>
        <w:tc>
          <w:tcPr>
            <w:tcW w:w="114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47,351,363</w:t>
            </w:r>
          </w:p>
        </w:tc>
        <w:tc>
          <w:tcPr>
            <w:tcW w:w="100" w:type="dxa"/>
            <w:vAlign w:val="bottom"/>
            <w:shd w:val="clear" w:color="auto" w:fill="EBECEC"/>
          </w:tcPr>
          <w:p>
            <w:pPr>
              <w:spacing w:after="0"/>
              <w:rPr>
                <w:sz w:val="20"/>
                <w:szCs w:val="20"/>
                <w:color w:val="auto"/>
              </w:rPr>
            </w:pPr>
          </w:p>
        </w:tc>
        <w:tc>
          <w:tcPr>
            <w:tcW w:w="400" w:type="dxa"/>
            <w:vAlign w:val="bottom"/>
            <w:shd w:val="clear" w:color="auto" w:fill="EBECEC"/>
          </w:tcPr>
          <w:p>
            <w:pPr>
              <w:jc w:val="right"/>
              <w:ind w:right="204"/>
              <w:spacing w:after="0"/>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00" w:type="dxa"/>
            <w:vAlign w:val="bottom"/>
            <w:shd w:val="clear" w:color="auto" w:fill="EBECEC"/>
          </w:tcPr>
          <w:p>
            <w:pPr>
              <w:spacing w:after="0"/>
              <w:rPr>
                <w:sz w:val="20"/>
                <w:szCs w:val="20"/>
                <w:color w:val="auto"/>
              </w:rPr>
            </w:pPr>
          </w:p>
        </w:tc>
        <w:tc>
          <w:tcPr>
            <w:tcW w:w="1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BECEC"/>
              </w:rPr>
              <w:t>$</w:t>
            </w:r>
          </w:p>
        </w:tc>
        <w:tc>
          <w:tcPr>
            <w:tcW w:w="9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shd w:val="clear" w:color="auto" w:fill="EBECEC"/>
              </w:rPr>
              <w:t>1,026,543</w:t>
            </w:r>
          </w:p>
        </w:tc>
        <w:tc>
          <w:tcPr>
            <w:tcW w:w="100" w:type="dxa"/>
            <w:vAlign w:val="bottom"/>
            <w:shd w:val="clear" w:color="auto" w:fill="EBECEC"/>
          </w:tcPr>
          <w:p>
            <w:pPr>
              <w:spacing w:after="0"/>
              <w:rPr>
                <w:sz w:val="20"/>
                <w:szCs w:val="20"/>
                <w:color w:val="auto"/>
              </w:rPr>
            </w:pPr>
          </w:p>
        </w:tc>
        <w:tc>
          <w:tcPr>
            <w:tcW w:w="1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BECEC"/>
              </w:rPr>
              <w:t>$</w:t>
            </w:r>
          </w:p>
        </w:tc>
        <w:tc>
          <w:tcPr>
            <w:tcW w:w="10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(835,571)</w:t>
            </w:r>
          </w:p>
        </w:tc>
        <w:tc>
          <w:tcPr>
            <w:tcW w:w="100" w:type="dxa"/>
            <w:vAlign w:val="bottom"/>
            <w:shd w:val="clear" w:color="auto" w:fill="EBECEC"/>
          </w:tcPr>
          <w:p>
            <w:pPr>
              <w:spacing w:after="0"/>
              <w:rPr>
                <w:sz w:val="20"/>
                <w:szCs w:val="20"/>
                <w:color w:val="auto"/>
              </w:rPr>
            </w:pPr>
          </w:p>
        </w:tc>
        <w:tc>
          <w:tcPr>
            <w:tcW w:w="1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190,977</w:t>
            </w:r>
          </w:p>
        </w:tc>
        <w:tc>
          <w:tcPr>
            <w:tcW w:w="20" w:type="dxa"/>
            <w:vAlign w:val="bottom"/>
            <w:shd w:val="clear" w:color="auto" w:fill="EBECEC"/>
          </w:tcPr>
          <w:p>
            <w:pPr>
              <w:spacing w:after="0"/>
              <w:rPr>
                <w:sz w:val="20"/>
                <w:szCs w:val="20"/>
                <w:color w:val="auto"/>
              </w:rPr>
            </w:pPr>
          </w:p>
        </w:tc>
      </w:tr>
      <w:tr>
        <w:trPr>
          <w:trHeight w:val="244"/>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86,558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86,558</w:t>
            </w:r>
          </w:p>
        </w:tc>
        <w:tc>
          <w:tcPr>
            <w:tcW w:w="20" w:type="dxa"/>
            <w:vAlign w:val="bottom"/>
          </w:tcPr>
          <w:p>
            <w:pPr>
              <w:spacing w:after="0"/>
              <w:rPr>
                <w:sz w:val="21"/>
                <w:szCs w:val="21"/>
                <w:color w:val="auto"/>
              </w:rPr>
            </w:pPr>
          </w:p>
        </w:tc>
      </w:tr>
      <w:tr>
        <w:trPr>
          <w:trHeight w:val="224"/>
        </w:trPr>
        <w:tc>
          <w:tcPr>
            <w:tcW w:w="4100" w:type="dxa"/>
            <w:vAlign w:val="bottom"/>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Issuance of common stock upon exercise of</w:t>
            </w:r>
          </w:p>
        </w:tc>
        <w:tc>
          <w:tcPr>
            <w:tcW w:w="114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400" w:type="dxa"/>
            <w:vAlign w:val="bottom"/>
            <w:shd w:val="clear" w:color="auto" w:fill="EBECEC"/>
          </w:tcPr>
          <w:p>
            <w:pPr>
              <w:spacing w:after="0"/>
              <w:rPr>
                <w:sz w:val="19"/>
                <w:szCs w:val="19"/>
                <w:color w:val="auto"/>
              </w:rPr>
            </w:pPr>
          </w:p>
        </w:tc>
        <w:tc>
          <w:tcPr>
            <w:tcW w:w="44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120" w:type="dxa"/>
            <w:vAlign w:val="bottom"/>
            <w:shd w:val="clear" w:color="auto" w:fill="EBECEC"/>
          </w:tcPr>
          <w:p>
            <w:pPr>
              <w:spacing w:after="0"/>
              <w:rPr>
                <w:sz w:val="19"/>
                <w:szCs w:val="19"/>
                <w:color w:val="auto"/>
              </w:rPr>
            </w:pPr>
          </w:p>
        </w:tc>
        <w:tc>
          <w:tcPr>
            <w:tcW w:w="98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120" w:type="dxa"/>
            <w:vAlign w:val="bottom"/>
            <w:shd w:val="clear" w:color="auto" w:fill="EBECEC"/>
          </w:tcPr>
          <w:p>
            <w:pPr>
              <w:spacing w:after="0"/>
              <w:rPr>
                <w:sz w:val="19"/>
                <w:szCs w:val="19"/>
                <w:color w:val="auto"/>
              </w:rPr>
            </w:pPr>
          </w:p>
        </w:tc>
        <w:tc>
          <w:tcPr>
            <w:tcW w:w="100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140" w:type="dxa"/>
            <w:vAlign w:val="bottom"/>
            <w:shd w:val="clear" w:color="auto" w:fill="EBECEC"/>
          </w:tcPr>
          <w:p>
            <w:pPr>
              <w:spacing w:after="0"/>
              <w:rPr>
                <w:sz w:val="19"/>
                <w:szCs w:val="19"/>
                <w:color w:val="auto"/>
              </w:rPr>
            </w:pPr>
          </w:p>
        </w:tc>
        <w:tc>
          <w:tcPr>
            <w:tcW w:w="880" w:type="dxa"/>
            <w:vAlign w:val="bottom"/>
            <w:shd w:val="clear" w:color="auto" w:fill="EBECEC"/>
          </w:tcPr>
          <w:p>
            <w:pPr>
              <w:spacing w:after="0"/>
              <w:rPr>
                <w:sz w:val="19"/>
                <w:szCs w:val="19"/>
                <w:color w:val="auto"/>
              </w:rPr>
            </w:pPr>
          </w:p>
        </w:tc>
        <w:tc>
          <w:tcPr>
            <w:tcW w:w="20" w:type="dxa"/>
            <w:vAlign w:val="bottom"/>
            <w:shd w:val="clear" w:color="auto" w:fill="EBECEC"/>
          </w:tcPr>
          <w:p>
            <w:pPr>
              <w:spacing w:after="0"/>
              <w:rPr>
                <w:sz w:val="19"/>
                <w:szCs w:val="19"/>
                <w:color w:val="auto"/>
              </w:rPr>
            </w:pPr>
          </w:p>
        </w:tc>
      </w:tr>
      <w:tr>
        <w:trPr>
          <w:trHeight w:val="230"/>
        </w:trPr>
        <w:tc>
          <w:tcPr>
            <w:tcW w:w="41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options and under employee stock purchase</w:t>
            </w:r>
          </w:p>
        </w:tc>
        <w:tc>
          <w:tcPr>
            <w:tcW w:w="114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400" w:type="dxa"/>
            <w:vAlign w:val="bottom"/>
            <w:shd w:val="clear" w:color="auto" w:fill="EBECEC"/>
          </w:tcPr>
          <w:p>
            <w:pPr>
              <w:spacing w:after="0"/>
              <w:rPr>
                <w:sz w:val="20"/>
                <w:szCs w:val="20"/>
                <w:color w:val="auto"/>
              </w:rPr>
            </w:pPr>
          </w:p>
        </w:tc>
        <w:tc>
          <w:tcPr>
            <w:tcW w:w="44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98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100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140" w:type="dxa"/>
            <w:vAlign w:val="bottom"/>
            <w:shd w:val="clear" w:color="auto" w:fill="EBECEC"/>
          </w:tcPr>
          <w:p>
            <w:pPr>
              <w:spacing w:after="0"/>
              <w:rPr>
                <w:sz w:val="20"/>
                <w:szCs w:val="20"/>
                <w:color w:val="auto"/>
              </w:rPr>
            </w:pPr>
          </w:p>
        </w:tc>
        <w:tc>
          <w:tcPr>
            <w:tcW w:w="88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r>
      <w:tr>
        <w:trPr>
          <w:trHeight w:val="250"/>
        </w:trPr>
        <w:tc>
          <w:tcPr>
            <w:tcW w:w="41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plan</w:t>
            </w:r>
          </w:p>
        </w:tc>
        <w:tc>
          <w:tcPr>
            <w:tcW w:w="114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770,531</w:t>
            </w:r>
          </w:p>
        </w:tc>
        <w:tc>
          <w:tcPr>
            <w:tcW w:w="100" w:type="dxa"/>
            <w:vAlign w:val="bottom"/>
            <w:shd w:val="clear" w:color="auto" w:fill="EBECEC"/>
          </w:tcPr>
          <w:p>
            <w:pPr>
              <w:spacing w:after="0"/>
              <w:rPr>
                <w:sz w:val="21"/>
                <w:szCs w:val="21"/>
                <w:color w:val="auto"/>
              </w:rPr>
            </w:pPr>
          </w:p>
        </w:tc>
        <w:tc>
          <w:tcPr>
            <w:tcW w:w="400" w:type="dxa"/>
            <w:vAlign w:val="bottom"/>
            <w:shd w:val="clear" w:color="auto" w:fill="EBECEC"/>
          </w:tcPr>
          <w:p>
            <w:pPr>
              <w:spacing w:after="0"/>
              <w:rPr>
                <w:sz w:val="21"/>
                <w:szCs w:val="21"/>
                <w:color w:val="auto"/>
              </w:rPr>
            </w:pPr>
          </w:p>
        </w:tc>
        <w:tc>
          <w:tcPr>
            <w:tcW w:w="4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9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30,680</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1000" w:type="dxa"/>
            <w:vAlign w:val="bottom"/>
            <w:shd w:val="clear" w:color="auto" w:fill="EBECEC"/>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8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30,680</w:t>
            </w:r>
          </w:p>
        </w:tc>
        <w:tc>
          <w:tcPr>
            <w:tcW w:w="20" w:type="dxa"/>
            <w:vAlign w:val="bottom"/>
            <w:shd w:val="clear" w:color="auto" w:fill="EBECEC"/>
          </w:tcPr>
          <w:p>
            <w:pPr>
              <w:spacing w:after="0"/>
              <w:rPr>
                <w:sz w:val="21"/>
                <w:szCs w:val="21"/>
                <w:color w:val="auto"/>
              </w:rPr>
            </w:pPr>
          </w:p>
        </w:tc>
      </w:tr>
      <w:tr>
        <w:trPr>
          <w:trHeight w:val="224"/>
        </w:trPr>
        <w:tc>
          <w:tcPr>
            <w:tcW w:w="41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Issuance of common stock upon vesting of</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RSUs</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79,585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1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Issuance of common stock upon financing</w:t>
            </w:r>
          </w:p>
        </w:tc>
        <w:tc>
          <w:tcPr>
            <w:tcW w:w="114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466,108</w:t>
            </w:r>
          </w:p>
        </w:tc>
        <w:tc>
          <w:tcPr>
            <w:tcW w:w="100" w:type="dxa"/>
            <w:vAlign w:val="bottom"/>
            <w:shd w:val="clear" w:color="auto" w:fill="EBECEC"/>
          </w:tcPr>
          <w:p>
            <w:pPr>
              <w:spacing w:after="0"/>
              <w:rPr>
                <w:sz w:val="21"/>
                <w:szCs w:val="21"/>
                <w:color w:val="auto"/>
              </w:rPr>
            </w:pPr>
          </w:p>
        </w:tc>
        <w:tc>
          <w:tcPr>
            <w:tcW w:w="400" w:type="dxa"/>
            <w:vAlign w:val="bottom"/>
            <w:shd w:val="clear" w:color="auto" w:fill="EBECEC"/>
          </w:tcPr>
          <w:p>
            <w:pPr>
              <w:spacing w:after="0"/>
              <w:rPr>
                <w:sz w:val="21"/>
                <w:szCs w:val="21"/>
                <w:color w:val="auto"/>
              </w:rPr>
            </w:pPr>
          </w:p>
        </w:tc>
        <w:tc>
          <w:tcPr>
            <w:tcW w:w="4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9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39,968</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1000" w:type="dxa"/>
            <w:vAlign w:val="bottom"/>
            <w:shd w:val="clear" w:color="auto" w:fill="EBECEC"/>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8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39,968</w:t>
            </w:r>
          </w:p>
        </w:tc>
        <w:tc>
          <w:tcPr>
            <w:tcW w:w="20" w:type="dxa"/>
            <w:vAlign w:val="bottom"/>
            <w:shd w:val="clear" w:color="auto" w:fill="EBECEC"/>
          </w:tcPr>
          <w:p>
            <w:pPr>
              <w:spacing w:after="0"/>
              <w:rPr>
                <w:sz w:val="21"/>
                <w:szCs w:val="21"/>
                <w:color w:val="auto"/>
              </w:rPr>
            </w:pPr>
          </w:p>
        </w:tc>
      </w:tr>
      <w:tr>
        <w:trPr>
          <w:trHeight w:val="244"/>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Shares tendered for withholding taxes</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(3,952)</w:t>
            </w:r>
          </w:p>
        </w:tc>
        <w:tc>
          <w:tcPr>
            <w:tcW w:w="20" w:type="dxa"/>
            <w:vAlign w:val="bottom"/>
          </w:tcPr>
          <w:p>
            <w:pPr>
              <w:spacing w:after="0"/>
              <w:rPr>
                <w:sz w:val="21"/>
                <w:szCs w:val="21"/>
                <w:color w:val="auto"/>
              </w:rPr>
            </w:pPr>
          </w:p>
        </w:tc>
      </w:tr>
      <w:tr>
        <w:trPr>
          <w:trHeight w:val="264"/>
        </w:trPr>
        <w:tc>
          <w:tcPr>
            <w:tcW w:w="4100" w:type="dxa"/>
            <w:vAlign w:val="bottom"/>
            <w:tcBorders>
              <w:bottom w:val="single" w:sz="8" w:color="EBECEC"/>
            </w:tcBorders>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Net loss</w:t>
            </w:r>
          </w:p>
        </w:tc>
        <w:tc>
          <w:tcPr>
            <w:tcW w:w="1140" w:type="dxa"/>
            <w:vAlign w:val="bottom"/>
            <w:tcBorders>
              <w:bottom w:val="single" w:sz="8" w:color="231F20"/>
            </w:tcBorders>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BECEC"/>
            </w:tcBorders>
            <w:shd w:val="clear" w:color="auto" w:fill="EBECEC"/>
          </w:tcPr>
          <w:p>
            <w:pPr>
              <w:spacing w:after="0"/>
              <w:rPr>
                <w:sz w:val="22"/>
                <w:szCs w:val="22"/>
                <w:color w:val="auto"/>
              </w:rPr>
            </w:pPr>
          </w:p>
        </w:tc>
        <w:tc>
          <w:tcPr>
            <w:tcW w:w="400" w:type="dxa"/>
            <w:vAlign w:val="bottom"/>
            <w:tcBorders>
              <w:bottom w:val="single" w:sz="8" w:color="231F20"/>
            </w:tcBorders>
            <w:shd w:val="clear" w:color="auto" w:fill="EBECEC"/>
          </w:tcPr>
          <w:p>
            <w:pPr>
              <w:spacing w:after="0"/>
              <w:rPr>
                <w:sz w:val="22"/>
                <w:szCs w:val="22"/>
                <w:color w:val="auto"/>
              </w:rPr>
            </w:pPr>
          </w:p>
        </w:tc>
        <w:tc>
          <w:tcPr>
            <w:tcW w:w="44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BECEC"/>
            </w:tcBorders>
            <w:shd w:val="clear" w:color="auto" w:fill="EBECEC"/>
          </w:tcPr>
          <w:p>
            <w:pPr>
              <w:spacing w:after="0"/>
              <w:rPr>
                <w:sz w:val="22"/>
                <w:szCs w:val="22"/>
                <w:color w:val="auto"/>
              </w:rPr>
            </w:pPr>
          </w:p>
        </w:tc>
        <w:tc>
          <w:tcPr>
            <w:tcW w:w="120" w:type="dxa"/>
            <w:vAlign w:val="bottom"/>
            <w:tcBorders>
              <w:bottom w:val="single" w:sz="8" w:color="231F20"/>
            </w:tcBorders>
            <w:shd w:val="clear" w:color="auto" w:fill="EBECEC"/>
          </w:tcPr>
          <w:p>
            <w:pPr>
              <w:spacing w:after="0"/>
              <w:rPr>
                <w:sz w:val="22"/>
                <w:szCs w:val="22"/>
                <w:color w:val="auto"/>
              </w:rPr>
            </w:pPr>
          </w:p>
        </w:tc>
        <w:tc>
          <w:tcPr>
            <w:tcW w:w="980" w:type="dxa"/>
            <w:vAlign w:val="bottom"/>
            <w:tcBorders>
              <w:bottom w:val="single" w:sz="8" w:color="231F20"/>
            </w:tcBorders>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BECEC"/>
            </w:tcBorders>
            <w:shd w:val="clear" w:color="auto" w:fill="EBECEC"/>
          </w:tcPr>
          <w:p>
            <w:pPr>
              <w:spacing w:after="0"/>
              <w:rPr>
                <w:sz w:val="22"/>
                <w:szCs w:val="22"/>
                <w:color w:val="auto"/>
              </w:rPr>
            </w:pPr>
          </w:p>
        </w:tc>
        <w:tc>
          <w:tcPr>
            <w:tcW w:w="120" w:type="dxa"/>
            <w:vAlign w:val="bottom"/>
            <w:tcBorders>
              <w:bottom w:val="single" w:sz="8" w:color="231F20"/>
            </w:tcBorders>
            <w:shd w:val="clear" w:color="auto" w:fill="EBECEC"/>
          </w:tcPr>
          <w:p>
            <w:pPr>
              <w:spacing w:after="0"/>
              <w:rPr>
                <w:sz w:val="22"/>
                <w:szCs w:val="22"/>
                <w:color w:val="auto"/>
              </w:rPr>
            </w:pPr>
          </w:p>
        </w:tc>
        <w:tc>
          <w:tcPr>
            <w:tcW w:w="10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(287,216)</w:t>
            </w:r>
          </w:p>
        </w:tc>
        <w:tc>
          <w:tcPr>
            <w:tcW w:w="100" w:type="dxa"/>
            <w:vAlign w:val="bottom"/>
            <w:tcBorders>
              <w:bottom w:val="single" w:sz="8" w:color="EBECEC"/>
            </w:tcBorders>
            <w:shd w:val="clear" w:color="auto" w:fill="EBECEC"/>
          </w:tcPr>
          <w:p>
            <w:pPr>
              <w:spacing w:after="0"/>
              <w:rPr>
                <w:sz w:val="22"/>
                <w:szCs w:val="22"/>
                <w:color w:val="auto"/>
              </w:rPr>
            </w:pPr>
          </w:p>
        </w:tc>
        <w:tc>
          <w:tcPr>
            <w:tcW w:w="140" w:type="dxa"/>
            <w:vAlign w:val="bottom"/>
            <w:tcBorders>
              <w:bottom w:val="single" w:sz="8" w:color="231F20"/>
            </w:tcBorders>
            <w:shd w:val="clear" w:color="auto" w:fill="EBECEC"/>
          </w:tcPr>
          <w:p>
            <w:pPr>
              <w:spacing w:after="0"/>
              <w:rPr>
                <w:sz w:val="22"/>
                <w:szCs w:val="22"/>
                <w:color w:val="auto"/>
              </w:rPr>
            </w:pPr>
          </w:p>
        </w:tc>
        <w:tc>
          <w:tcPr>
            <w:tcW w:w="8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(287,216)</w:t>
            </w:r>
          </w:p>
        </w:tc>
        <w:tc>
          <w:tcPr>
            <w:tcW w:w="20" w:type="dxa"/>
            <w:vAlign w:val="bottom"/>
            <w:tcBorders>
              <w:bottom w:val="single" w:sz="8" w:color="EBECEC"/>
            </w:tcBorders>
            <w:shd w:val="clear" w:color="auto" w:fill="EBECEC"/>
          </w:tcPr>
          <w:p>
            <w:pPr>
              <w:spacing w:after="0"/>
              <w:rPr>
                <w:sz w:val="22"/>
                <w:szCs w:val="22"/>
                <w:color w:val="auto"/>
              </w:rPr>
            </w:pPr>
          </w:p>
        </w:tc>
      </w:tr>
      <w:tr>
        <w:trPr>
          <w:trHeight w:val="219"/>
        </w:trPr>
        <w:tc>
          <w:tcPr>
            <w:tcW w:w="41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Balance at December 31, 2024</w:t>
            </w:r>
          </w:p>
        </w:tc>
        <w:tc>
          <w:tcPr>
            <w:tcW w:w="1140" w:type="dxa"/>
            <w:vAlign w:val="bottom"/>
          </w:tcPr>
          <w:p>
            <w:pPr>
              <w:jc w:val="right"/>
              <w:ind w:right="2"/>
              <w:spacing w:after="0" w:line="219" w:lineRule="exact"/>
              <w:rPr>
                <w:sz w:val="20"/>
                <w:szCs w:val="20"/>
                <w:color w:val="auto"/>
              </w:rPr>
            </w:pPr>
            <w:r>
              <w:rPr>
                <w:rFonts w:ascii="Times New Roman" w:cs="Times New Roman" w:eastAsia="Times New Roman" w:hAnsi="Times New Roman"/>
                <w:sz w:val="20"/>
                <w:szCs w:val="20"/>
                <w:color w:val="231F20"/>
              </w:rPr>
              <w:t>48,667,587</w:t>
            </w:r>
          </w:p>
        </w:tc>
        <w:tc>
          <w:tcPr>
            <w:tcW w:w="100" w:type="dxa"/>
            <w:vAlign w:val="bottom"/>
          </w:tcPr>
          <w:p>
            <w:pPr>
              <w:spacing w:after="0"/>
              <w:rPr>
                <w:sz w:val="19"/>
                <w:szCs w:val="19"/>
                <w:color w:val="auto"/>
              </w:rPr>
            </w:pPr>
          </w:p>
        </w:tc>
        <w:tc>
          <w:tcPr>
            <w:tcW w:w="400" w:type="dxa"/>
            <w:vAlign w:val="bottom"/>
          </w:tcPr>
          <w:p>
            <w:pPr>
              <w:jc w:val="right"/>
              <w:ind w:right="204"/>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5</w:t>
            </w:r>
          </w:p>
        </w:tc>
        <w:tc>
          <w:tcPr>
            <w:tcW w:w="10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ind w:right="2"/>
              <w:spacing w:after="0" w:line="219" w:lineRule="exact"/>
              <w:rPr>
                <w:sz w:val="20"/>
                <w:szCs w:val="20"/>
                <w:color w:val="auto"/>
              </w:rPr>
            </w:pPr>
            <w:r>
              <w:rPr>
                <w:rFonts w:ascii="Times New Roman" w:cs="Times New Roman" w:eastAsia="Times New Roman" w:hAnsi="Times New Roman"/>
                <w:sz w:val="20"/>
                <w:szCs w:val="20"/>
                <w:color w:val="231F20"/>
              </w:rPr>
              <w:t>1,179,797</w:t>
            </w:r>
          </w:p>
        </w:tc>
        <w:tc>
          <w:tcPr>
            <w:tcW w:w="10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(1,122,787)</w:t>
            </w:r>
          </w:p>
        </w:tc>
        <w:tc>
          <w:tcPr>
            <w:tcW w:w="100" w:type="dxa"/>
            <w:vAlign w:val="bottom"/>
          </w:tcPr>
          <w:p>
            <w:pPr>
              <w:spacing w:after="0"/>
              <w:rPr>
                <w:sz w:val="19"/>
                <w:szCs w:val="19"/>
                <w:color w:val="auto"/>
              </w:rPr>
            </w:pPr>
          </w:p>
        </w:tc>
        <w:tc>
          <w:tcPr>
            <w:tcW w:w="1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ind w:right="2"/>
              <w:spacing w:after="0" w:line="219" w:lineRule="exact"/>
              <w:rPr>
                <w:sz w:val="20"/>
                <w:szCs w:val="20"/>
                <w:color w:val="auto"/>
              </w:rPr>
            </w:pPr>
            <w:r>
              <w:rPr>
                <w:rFonts w:ascii="Times New Roman" w:cs="Times New Roman" w:eastAsia="Times New Roman" w:hAnsi="Times New Roman"/>
                <w:sz w:val="20"/>
                <w:szCs w:val="20"/>
                <w:color w:val="231F20"/>
              </w:rPr>
              <w:t>57,015</w:t>
            </w:r>
          </w:p>
        </w:tc>
        <w:tc>
          <w:tcPr>
            <w:tcW w:w="20" w:type="dxa"/>
            <w:vAlign w:val="bottom"/>
          </w:tcPr>
          <w:p>
            <w:pPr>
              <w:spacing w:after="0"/>
              <w:rPr>
                <w:sz w:val="19"/>
                <w:szCs w:val="19"/>
                <w:color w:val="auto"/>
              </w:rPr>
            </w:pPr>
          </w:p>
        </w:tc>
      </w:tr>
      <w:tr>
        <w:trPr>
          <w:trHeight w:val="244"/>
        </w:trPr>
        <w:tc>
          <w:tcPr>
            <w:tcW w:w="41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Stock-based compensation</w:t>
            </w:r>
          </w:p>
        </w:tc>
        <w:tc>
          <w:tcPr>
            <w:tcW w:w="114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400" w:type="dxa"/>
            <w:vAlign w:val="bottom"/>
            <w:shd w:val="clear" w:color="auto" w:fill="EBECEC"/>
          </w:tcPr>
          <w:p>
            <w:pPr>
              <w:spacing w:after="0"/>
              <w:rPr>
                <w:sz w:val="21"/>
                <w:szCs w:val="21"/>
                <w:color w:val="auto"/>
              </w:rPr>
            </w:pPr>
          </w:p>
        </w:tc>
        <w:tc>
          <w:tcPr>
            <w:tcW w:w="4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9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95,299</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1000" w:type="dxa"/>
            <w:vAlign w:val="bottom"/>
            <w:shd w:val="clear" w:color="auto" w:fill="EBECEC"/>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8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95,299</w:t>
            </w:r>
          </w:p>
        </w:tc>
        <w:tc>
          <w:tcPr>
            <w:tcW w:w="20" w:type="dxa"/>
            <w:vAlign w:val="bottom"/>
            <w:shd w:val="clear" w:color="auto" w:fill="EBECEC"/>
          </w:tcPr>
          <w:p>
            <w:pPr>
              <w:spacing w:after="0"/>
              <w:rPr>
                <w:sz w:val="21"/>
                <w:szCs w:val="21"/>
                <w:color w:val="auto"/>
              </w:rPr>
            </w:pPr>
          </w:p>
        </w:tc>
      </w:tr>
      <w:tr>
        <w:trPr>
          <w:trHeight w:val="224"/>
        </w:trPr>
        <w:tc>
          <w:tcPr>
            <w:tcW w:w="41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Issuance of common stock upon exercise of</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options and under employee stock purchase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plan</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1,520,390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59,558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59,558</w:t>
            </w:r>
          </w:p>
        </w:tc>
        <w:tc>
          <w:tcPr>
            <w:tcW w:w="20" w:type="dxa"/>
            <w:vAlign w:val="bottom"/>
          </w:tcPr>
          <w:p>
            <w:pPr>
              <w:spacing w:after="0"/>
              <w:rPr>
                <w:sz w:val="21"/>
                <w:szCs w:val="21"/>
                <w:color w:val="auto"/>
              </w:rPr>
            </w:pPr>
          </w:p>
        </w:tc>
      </w:tr>
      <w:tr>
        <w:trPr>
          <w:trHeight w:val="224"/>
        </w:trPr>
        <w:tc>
          <w:tcPr>
            <w:tcW w:w="4100" w:type="dxa"/>
            <w:vAlign w:val="bottom"/>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Issuance of common stock upon vesting of</w:t>
            </w:r>
          </w:p>
        </w:tc>
        <w:tc>
          <w:tcPr>
            <w:tcW w:w="114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400" w:type="dxa"/>
            <w:vAlign w:val="bottom"/>
            <w:shd w:val="clear" w:color="auto" w:fill="EBECEC"/>
          </w:tcPr>
          <w:p>
            <w:pPr>
              <w:spacing w:after="0"/>
              <w:rPr>
                <w:sz w:val="19"/>
                <w:szCs w:val="19"/>
                <w:color w:val="auto"/>
              </w:rPr>
            </w:pPr>
          </w:p>
        </w:tc>
        <w:tc>
          <w:tcPr>
            <w:tcW w:w="44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120" w:type="dxa"/>
            <w:vAlign w:val="bottom"/>
            <w:shd w:val="clear" w:color="auto" w:fill="EBECEC"/>
          </w:tcPr>
          <w:p>
            <w:pPr>
              <w:spacing w:after="0"/>
              <w:rPr>
                <w:sz w:val="19"/>
                <w:szCs w:val="19"/>
                <w:color w:val="auto"/>
              </w:rPr>
            </w:pPr>
          </w:p>
        </w:tc>
        <w:tc>
          <w:tcPr>
            <w:tcW w:w="98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120" w:type="dxa"/>
            <w:vAlign w:val="bottom"/>
            <w:shd w:val="clear" w:color="auto" w:fill="EBECEC"/>
          </w:tcPr>
          <w:p>
            <w:pPr>
              <w:spacing w:after="0"/>
              <w:rPr>
                <w:sz w:val="19"/>
                <w:szCs w:val="19"/>
                <w:color w:val="auto"/>
              </w:rPr>
            </w:pPr>
          </w:p>
        </w:tc>
        <w:tc>
          <w:tcPr>
            <w:tcW w:w="100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c>
          <w:tcPr>
            <w:tcW w:w="140" w:type="dxa"/>
            <w:vAlign w:val="bottom"/>
            <w:shd w:val="clear" w:color="auto" w:fill="EBECEC"/>
          </w:tcPr>
          <w:p>
            <w:pPr>
              <w:spacing w:after="0"/>
              <w:rPr>
                <w:sz w:val="19"/>
                <w:szCs w:val="19"/>
                <w:color w:val="auto"/>
              </w:rPr>
            </w:pPr>
          </w:p>
        </w:tc>
        <w:tc>
          <w:tcPr>
            <w:tcW w:w="880" w:type="dxa"/>
            <w:vAlign w:val="bottom"/>
            <w:shd w:val="clear" w:color="auto" w:fill="EBECEC"/>
          </w:tcPr>
          <w:p>
            <w:pPr>
              <w:spacing w:after="0"/>
              <w:rPr>
                <w:sz w:val="19"/>
                <w:szCs w:val="19"/>
                <w:color w:val="auto"/>
              </w:rPr>
            </w:pPr>
          </w:p>
        </w:tc>
        <w:tc>
          <w:tcPr>
            <w:tcW w:w="20" w:type="dxa"/>
            <w:vAlign w:val="bottom"/>
            <w:shd w:val="clear" w:color="auto" w:fill="EBECEC"/>
          </w:tcPr>
          <w:p>
            <w:pPr>
              <w:spacing w:after="0"/>
              <w:rPr>
                <w:sz w:val="19"/>
                <w:szCs w:val="19"/>
                <w:color w:val="auto"/>
              </w:rPr>
            </w:pPr>
          </w:p>
        </w:tc>
      </w:tr>
      <w:tr>
        <w:trPr>
          <w:trHeight w:val="250"/>
        </w:trPr>
        <w:tc>
          <w:tcPr>
            <w:tcW w:w="41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RSUs</w:t>
            </w:r>
          </w:p>
        </w:tc>
        <w:tc>
          <w:tcPr>
            <w:tcW w:w="114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103,613</w:t>
            </w:r>
          </w:p>
        </w:tc>
        <w:tc>
          <w:tcPr>
            <w:tcW w:w="100" w:type="dxa"/>
            <w:vAlign w:val="bottom"/>
            <w:shd w:val="clear" w:color="auto" w:fill="EBECEC"/>
          </w:tcPr>
          <w:p>
            <w:pPr>
              <w:spacing w:after="0"/>
              <w:rPr>
                <w:sz w:val="21"/>
                <w:szCs w:val="21"/>
                <w:color w:val="auto"/>
              </w:rPr>
            </w:pPr>
          </w:p>
        </w:tc>
        <w:tc>
          <w:tcPr>
            <w:tcW w:w="400" w:type="dxa"/>
            <w:vAlign w:val="bottom"/>
            <w:shd w:val="clear" w:color="auto" w:fill="EBECEC"/>
          </w:tcPr>
          <w:p>
            <w:pPr>
              <w:spacing w:after="0"/>
              <w:rPr>
                <w:sz w:val="21"/>
                <w:szCs w:val="21"/>
                <w:color w:val="auto"/>
              </w:rPr>
            </w:pPr>
          </w:p>
        </w:tc>
        <w:tc>
          <w:tcPr>
            <w:tcW w:w="4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9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1000" w:type="dxa"/>
            <w:vAlign w:val="bottom"/>
            <w:shd w:val="clear" w:color="auto" w:fill="EBECEC"/>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900" w:type="dxa"/>
            <w:vAlign w:val="bottom"/>
            <w:gridSpan w:val="2"/>
            <w:shd w:val="clear" w:color="auto" w:fill="EBECEC"/>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41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Issuance of common stock upon financing</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591,176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66,707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66,707</w:t>
            </w:r>
          </w:p>
        </w:tc>
        <w:tc>
          <w:tcPr>
            <w:tcW w:w="20" w:type="dxa"/>
            <w:vAlign w:val="bottom"/>
          </w:tcPr>
          <w:p>
            <w:pPr>
              <w:spacing w:after="0"/>
              <w:rPr>
                <w:sz w:val="21"/>
                <w:szCs w:val="21"/>
                <w:color w:val="auto"/>
              </w:rPr>
            </w:pPr>
          </w:p>
        </w:tc>
      </w:tr>
      <w:tr>
        <w:trPr>
          <w:trHeight w:val="244"/>
        </w:trPr>
        <w:tc>
          <w:tcPr>
            <w:tcW w:w="41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Shares tendered for withholding taxes</w:t>
            </w:r>
          </w:p>
        </w:tc>
        <w:tc>
          <w:tcPr>
            <w:tcW w:w="114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400" w:type="dxa"/>
            <w:vAlign w:val="bottom"/>
            <w:shd w:val="clear" w:color="auto" w:fill="EBECEC"/>
          </w:tcPr>
          <w:p>
            <w:pPr>
              <w:spacing w:after="0"/>
              <w:rPr>
                <w:sz w:val="21"/>
                <w:szCs w:val="21"/>
                <w:color w:val="auto"/>
              </w:rPr>
            </w:pPr>
          </w:p>
        </w:tc>
        <w:tc>
          <w:tcPr>
            <w:tcW w:w="4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9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(7,110)</w:t>
            </w:r>
          </w:p>
        </w:tc>
        <w:tc>
          <w:tcPr>
            <w:tcW w:w="10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1000" w:type="dxa"/>
            <w:vAlign w:val="bottom"/>
            <w:shd w:val="clear" w:color="auto" w:fill="EBECEC"/>
          </w:tcPr>
          <w:p>
            <w:pPr>
              <w:jc w:val="right"/>
              <w:ind w:right="21"/>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8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(7,110)</w:t>
            </w:r>
          </w:p>
        </w:tc>
        <w:tc>
          <w:tcPr>
            <w:tcW w:w="20" w:type="dxa"/>
            <w:vAlign w:val="bottom"/>
            <w:shd w:val="clear" w:color="auto" w:fill="EBECEC"/>
          </w:tcPr>
          <w:p>
            <w:pPr>
              <w:spacing w:after="0"/>
              <w:rPr>
                <w:sz w:val="21"/>
                <w:szCs w:val="21"/>
                <w:color w:val="auto"/>
              </w:rPr>
            </w:pPr>
          </w:p>
        </w:tc>
      </w:tr>
      <w:tr>
        <w:trPr>
          <w:trHeight w:val="244"/>
        </w:trPr>
        <w:tc>
          <w:tcPr>
            <w:tcW w:w="410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Net loss</w:t>
            </w:r>
          </w:p>
        </w:tc>
        <w:tc>
          <w:tcPr>
            <w:tcW w:w="114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BECEC"/>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BEC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bottom w:val="single" w:sz="8" w:color="EBEC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(183,174)</w:t>
            </w:r>
          </w:p>
        </w:tc>
        <w:tc>
          <w:tcPr>
            <w:tcW w:w="100" w:type="dxa"/>
            <w:vAlign w:val="bottom"/>
            <w:tcBorders>
              <w:bottom w:val="single" w:sz="8" w:color="EBEC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(183,174)</w:t>
            </w:r>
          </w:p>
        </w:tc>
        <w:tc>
          <w:tcPr>
            <w:tcW w:w="20" w:type="dxa"/>
            <w:vAlign w:val="bottom"/>
          </w:tcPr>
          <w:p>
            <w:pPr>
              <w:spacing w:after="0"/>
              <w:rPr>
                <w:sz w:val="21"/>
                <w:szCs w:val="21"/>
                <w:color w:val="auto"/>
              </w:rPr>
            </w:pPr>
          </w:p>
        </w:tc>
      </w:tr>
      <w:tr>
        <w:trPr>
          <w:trHeight w:val="239"/>
        </w:trPr>
        <w:tc>
          <w:tcPr>
            <w:tcW w:w="41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Balance at December 31, 2025</w:t>
            </w:r>
          </w:p>
        </w:tc>
        <w:tc>
          <w:tcPr>
            <w:tcW w:w="114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50,882,766</w:t>
            </w:r>
          </w:p>
        </w:tc>
        <w:tc>
          <w:tcPr>
            <w:tcW w:w="100" w:type="dxa"/>
            <w:vAlign w:val="bottom"/>
            <w:shd w:val="clear" w:color="auto" w:fill="EBECEC"/>
          </w:tcPr>
          <w:p>
            <w:pPr>
              <w:spacing w:after="0"/>
              <w:rPr>
                <w:sz w:val="20"/>
                <w:szCs w:val="20"/>
                <w:color w:val="auto"/>
              </w:rPr>
            </w:pPr>
          </w:p>
        </w:tc>
        <w:tc>
          <w:tcPr>
            <w:tcW w:w="400" w:type="dxa"/>
            <w:vAlign w:val="bottom"/>
            <w:shd w:val="clear" w:color="auto" w:fill="EBECEC"/>
          </w:tcPr>
          <w:p>
            <w:pPr>
              <w:jc w:val="right"/>
              <w:ind w:right="204"/>
              <w:spacing w:after="0"/>
              <w:rPr>
                <w:sz w:val="20"/>
                <w:szCs w:val="20"/>
                <w:color w:val="auto"/>
              </w:rPr>
            </w:pPr>
            <w:r>
              <w:rPr>
                <w:rFonts w:ascii="Times New Roman" w:cs="Times New Roman" w:eastAsia="Times New Roman" w:hAnsi="Times New Roman"/>
                <w:sz w:val="20"/>
                <w:szCs w:val="20"/>
                <w:color w:val="231F20"/>
                <w:w w:val="79"/>
              </w:rPr>
              <w:t>$</w:t>
            </w:r>
          </w:p>
        </w:tc>
        <w:tc>
          <w:tcPr>
            <w:tcW w:w="4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00" w:type="dxa"/>
            <w:vAlign w:val="bottom"/>
            <w:shd w:val="clear" w:color="auto" w:fill="EBECEC"/>
          </w:tcPr>
          <w:p>
            <w:pPr>
              <w:spacing w:after="0"/>
              <w:rPr>
                <w:sz w:val="20"/>
                <w:szCs w:val="20"/>
                <w:color w:val="auto"/>
              </w:rPr>
            </w:pPr>
          </w:p>
        </w:tc>
        <w:tc>
          <w:tcPr>
            <w:tcW w:w="1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BECEC"/>
              </w:rPr>
              <w:t>$</w:t>
            </w:r>
          </w:p>
        </w:tc>
        <w:tc>
          <w:tcPr>
            <w:tcW w:w="9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shd w:val="clear" w:color="auto" w:fill="EBECEC"/>
              </w:rPr>
              <w:t>1,394,251</w:t>
            </w:r>
          </w:p>
        </w:tc>
        <w:tc>
          <w:tcPr>
            <w:tcW w:w="100" w:type="dxa"/>
            <w:vAlign w:val="bottom"/>
            <w:shd w:val="clear" w:color="auto" w:fill="EBECEC"/>
          </w:tcPr>
          <w:p>
            <w:pPr>
              <w:spacing w:after="0"/>
              <w:rPr>
                <w:sz w:val="20"/>
                <w:szCs w:val="20"/>
                <w:color w:val="auto"/>
              </w:rPr>
            </w:pPr>
          </w:p>
        </w:tc>
        <w:tc>
          <w:tcPr>
            <w:tcW w:w="1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BECEC"/>
              </w:rPr>
              <w:t>$</w:t>
            </w:r>
          </w:p>
        </w:tc>
        <w:tc>
          <w:tcPr>
            <w:tcW w:w="10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(1,305,961)</w:t>
            </w:r>
          </w:p>
        </w:tc>
        <w:tc>
          <w:tcPr>
            <w:tcW w:w="100" w:type="dxa"/>
            <w:vAlign w:val="bottom"/>
            <w:shd w:val="clear" w:color="auto" w:fill="EBECEC"/>
          </w:tcPr>
          <w:p>
            <w:pPr>
              <w:spacing w:after="0"/>
              <w:rPr>
                <w:sz w:val="20"/>
                <w:szCs w:val="20"/>
                <w:color w:val="auto"/>
              </w:rPr>
            </w:pPr>
          </w:p>
        </w:tc>
        <w:tc>
          <w:tcPr>
            <w:tcW w:w="1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88,295</w:t>
            </w:r>
          </w:p>
        </w:tc>
        <w:tc>
          <w:tcPr>
            <w:tcW w:w="20" w:type="dxa"/>
            <w:vAlign w:val="bottom"/>
            <w:shd w:val="clear" w:color="auto" w:fill="EBECE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-4919345</wp:posOffset>
            </wp:positionV>
            <wp:extent cx="136271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1362710" cy="3810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 consolidated financial statements.</w:t>
      </w:r>
    </w:p>
    <w:p>
      <w:pPr>
        <w:sectPr>
          <w:pgSz w:w="12240" w:h="15840" w:orient="portrait"/>
          <w:cols w:equalWidth="0" w:num="1">
            <w:col w:w="9720"/>
          </w:cols>
          <w:pgMar w:left="1260" w:top="1243"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F-6</w:t>
      </w:r>
    </w:p>
    <w:p>
      <w:pPr>
        <w:sectPr>
          <w:pgSz w:w="12240" w:h="15840" w:orient="portrait"/>
          <w:cols w:equalWidth="0" w:num="1">
            <w:col w:w="9720"/>
          </w:cols>
          <w:pgMar w:left="1260" w:top="1243" w:right="1260" w:bottom="175"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color w:val="231F20"/>
        </w:rPr>
        <w:t>Axsome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231F20"/>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6"/>
          </w:tcPr>
          <w:p>
            <w:pPr>
              <w:jc w:val="right"/>
              <w:ind w:right="135"/>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640" w:type="dxa"/>
            <w:vAlign w:val="bottom"/>
            <w:tcBorders>
              <w:bottom w:val="single" w:sz="8" w:color="EBECEC"/>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BECEC"/>
            </w:tcBorders>
          </w:tcPr>
          <w:p>
            <w:pPr>
              <w:spacing w:after="0"/>
              <w:rPr>
                <w:sz w:val="17"/>
                <w:szCs w:val="17"/>
                <w:color w:val="auto"/>
              </w:rPr>
            </w:pPr>
          </w:p>
        </w:tc>
      </w:tr>
      <w:tr>
        <w:trPr>
          <w:trHeight w:val="216"/>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b w:val="1"/>
                <w:bCs w:val="1"/>
                <w:color w:val="231F20"/>
              </w:rPr>
              <w:t>Cash flows from operating activities</w:t>
            </w:r>
          </w:p>
        </w:tc>
        <w:tc>
          <w:tcPr>
            <w:tcW w:w="240" w:type="dxa"/>
            <w:vAlign w:val="bottom"/>
            <w:shd w:val="clear" w:color="auto" w:fill="EBECEC"/>
          </w:tcPr>
          <w:p>
            <w:pPr>
              <w:spacing w:after="0"/>
              <w:rPr>
                <w:sz w:val="18"/>
                <w:szCs w:val="18"/>
                <w:color w:val="auto"/>
              </w:rPr>
            </w:pPr>
          </w:p>
        </w:tc>
        <w:tc>
          <w:tcPr>
            <w:tcW w:w="940" w:type="dxa"/>
            <w:vAlign w:val="bottom"/>
            <w:shd w:val="clear" w:color="auto" w:fill="EBECEC"/>
          </w:tcPr>
          <w:p>
            <w:pPr>
              <w:spacing w:after="0"/>
              <w:rPr>
                <w:sz w:val="18"/>
                <w:szCs w:val="18"/>
                <w:color w:val="auto"/>
              </w:rPr>
            </w:pPr>
          </w:p>
        </w:tc>
        <w:tc>
          <w:tcPr>
            <w:tcW w:w="220" w:type="dxa"/>
            <w:vAlign w:val="bottom"/>
            <w:shd w:val="clear" w:color="auto" w:fill="EBECEC"/>
          </w:tcPr>
          <w:p>
            <w:pPr>
              <w:spacing w:after="0"/>
              <w:rPr>
                <w:sz w:val="18"/>
                <w:szCs w:val="18"/>
                <w:color w:val="auto"/>
              </w:rPr>
            </w:pPr>
          </w:p>
        </w:tc>
        <w:tc>
          <w:tcPr>
            <w:tcW w:w="260" w:type="dxa"/>
            <w:vAlign w:val="bottom"/>
            <w:shd w:val="clear" w:color="auto" w:fill="EBECEC"/>
          </w:tcPr>
          <w:p>
            <w:pPr>
              <w:spacing w:after="0"/>
              <w:rPr>
                <w:sz w:val="18"/>
                <w:szCs w:val="18"/>
                <w:color w:val="auto"/>
              </w:rPr>
            </w:pPr>
          </w:p>
        </w:tc>
        <w:tc>
          <w:tcPr>
            <w:tcW w:w="920" w:type="dxa"/>
            <w:vAlign w:val="bottom"/>
            <w:shd w:val="clear" w:color="auto" w:fill="EBECEC"/>
          </w:tcPr>
          <w:p>
            <w:pPr>
              <w:spacing w:after="0"/>
              <w:rPr>
                <w:sz w:val="18"/>
                <w:szCs w:val="18"/>
                <w:color w:val="auto"/>
              </w:rPr>
            </w:pPr>
          </w:p>
        </w:tc>
        <w:tc>
          <w:tcPr>
            <w:tcW w:w="240" w:type="dxa"/>
            <w:vAlign w:val="bottom"/>
            <w:shd w:val="clear" w:color="auto" w:fill="EBECEC"/>
          </w:tcPr>
          <w:p>
            <w:pPr>
              <w:spacing w:after="0"/>
              <w:rPr>
                <w:sz w:val="18"/>
                <w:szCs w:val="18"/>
                <w:color w:val="auto"/>
              </w:rPr>
            </w:pPr>
          </w:p>
        </w:tc>
        <w:tc>
          <w:tcPr>
            <w:tcW w:w="260" w:type="dxa"/>
            <w:vAlign w:val="bottom"/>
            <w:shd w:val="clear" w:color="auto" w:fill="EBECEC"/>
          </w:tcPr>
          <w:p>
            <w:pPr>
              <w:spacing w:after="0"/>
              <w:rPr>
                <w:sz w:val="18"/>
                <w:szCs w:val="18"/>
                <w:color w:val="auto"/>
              </w:rPr>
            </w:pPr>
          </w:p>
        </w:tc>
        <w:tc>
          <w:tcPr>
            <w:tcW w:w="920" w:type="dxa"/>
            <w:vAlign w:val="bottom"/>
            <w:shd w:val="clear" w:color="auto" w:fill="EBECEC"/>
          </w:tcPr>
          <w:p>
            <w:pPr>
              <w:spacing w:after="0"/>
              <w:rPr>
                <w:sz w:val="18"/>
                <w:szCs w:val="18"/>
                <w:color w:val="auto"/>
              </w:rPr>
            </w:pPr>
          </w:p>
        </w:tc>
        <w:tc>
          <w:tcPr>
            <w:tcW w:w="80" w:type="dxa"/>
            <w:vAlign w:val="bottom"/>
            <w:shd w:val="clear" w:color="auto" w:fill="EBECEC"/>
          </w:tcPr>
          <w:p>
            <w:pPr>
              <w:spacing w:after="0"/>
              <w:rPr>
                <w:sz w:val="18"/>
                <w:szCs w:val="18"/>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Net loss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(183,174)</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(287,216)</w:t>
            </w:r>
          </w:p>
        </w:tc>
        <w:tc>
          <w:tcPr>
            <w:tcW w:w="24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(239,238)</w:t>
            </w:r>
          </w:p>
        </w:tc>
        <w:tc>
          <w:tcPr>
            <w:tcW w:w="80" w:type="dxa"/>
            <w:vAlign w:val="bottom"/>
          </w:tcPr>
          <w:p>
            <w:pPr>
              <w:spacing w:after="0"/>
              <w:rPr>
                <w:sz w:val="19"/>
                <w:szCs w:val="19"/>
                <w:color w:val="auto"/>
              </w:rPr>
            </w:pP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Adjustments to reconcile net loss to net cash used in operating activities:</w:t>
            </w:r>
          </w:p>
        </w:tc>
        <w:tc>
          <w:tcPr>
            <w:tcW w:w="240" w:type="dxa"/>
            <w:vAlign w:val="bottom"/>
            <w:shd w:val="clear" w:color="auto" w:fill="EBECEC"/>
          </w:tcPr>
          <w:p>
            <w:pPr>
              <w:spacing w:after="0"/>
              <w:rPr>
                <w:sz w:val="19"/>
                <w:szCs w:val="19"/>
                <w:color w:val="auto"/>
              </w:rPr>
            </w:pPr>
          </w:p>
        </w:tc>
        <w:tc>
          <w:tcPr>
            <w:tcW w:w="940" w:type="dxa"/>
            <w:vAlign w:val="bottom"/>
            <w:shd w:val="clear" w:color="auto" w:fill="EBECEC"/>
          </w:tcPr>
          <w:p>
            <w:pPr>
              <w:spacing w:after="0"/>
              <w:rPr>
                <w:sz w:val="19"/>
                <w:szCs w:val="19"/>
                <w:color w:val="auto"/>
              </w:rPr>
            </w:pPr>
          </w:p>
        </w:tc>
        <w:tc>
          <w:tcPr>
            <w:tcW w:w="22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spacing w:after="0"/>
              <w:rPr>
                <w:sz w:val="19"/>
                <w:szCs w:val="19"/>
                <w:color w:val="auto"/>
              </w:rPr>
            </w:pPr>
          </w:p>
        </w:tc>
        <w:tc>
          <w:tcPr>
            <w:tcW w:w="24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spacing w:after="0"/>
              <w:rPr>
                <w:sz w:val="19"/>
                <w:szCs w:val="19"/>
                <w:color w:val="auto"/>
              </w:rPr>
            </w:pPr>
          </w:p>
        </w:tc>
        <w:tc>
          <w:tcPr>
            <w:tcW w:w="80" w:type="dxa"/>
            <w:vAlign w:val="bottom"/>
            <w:shd w:val="clear" w:color="auto" w:fill="EBECEC"/>
          </w:tcPr>
          <w:p>
            <w:pPr>
              <w:spacing w:after="0"/>
              <w:rPr>
                <w:sz w:val="19"/>
                <w:szCs w:val="19"/>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Stock-based compensation expense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93,752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85,218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62,620</w:t>
            </w:r>
          </w:p>
        </w:tc>
        <w:tc>
          <w:tcPr>
            <w:tcW w:w="80" w:type="dxa"/>
            <w:vAlign w:val="bottom"/>
          </w:tcPr>
          <w:p>
            <w:pPr>
              <w:spacing w:after="0"/>
              <w:rPr>
                <w:sz w:val="19"/>
                <w:szCs w:val="19"/>
                <w:color w:val="auto"/>
              </w:rPr>
            </w:pP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Amortization of intangible asset</w:t>
            </w:r>
          </w:p>
        </w:tc>
        <w:tc>
          <w:tcPr>
            <w:tcW w:w="240" w:type="dxa"/>
            <w:vAlign w:val="bottom"/>
            <w:shd w:val="clear" w:color="auto" w:fill="EBECEC"/>
          </w:tcPr>
          <w:p>
            <w:pPr>
              <w:spacing w:after="0"/>
              <w:rPr>
                <w:sz w:val="19"/>
                <w:szCs w:val="19"/>
                <w:color w:val="auto"/>
              </w:rPr>
            </w:pPr>
          </w:p>
        </w:tc>
        <w:tc>
          <w:tcPr>
            <w:tcW w:w="9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6,375</w:t>
            </w:r>
          </w:p>
        </w:tc>
        <w:tc>
          <w:tcPr>
            <w:tcW w:w="22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6,392</w:t>
            </w:r>
          </w:p>
        </w:tc>
        <w:tc>
          <w:tcPr>
            <w:tcW w:w="24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6,375</w:t>
            </w:r>
          </w:p>
        </w:tc>
        <w:tc>
          <w:tcPr>
            <w:tcW w:w="80" w:type="dxa"/>
            <w:vAlign w:val="bottom"/>
            <w:shd w:val="clear" w:color="auto" w:fill="EBECEC"/>
          </w:tcPr>
          <w:p>
            <w:pPr>
              <w:spacing w:after="0"/>
              <w:rPr>
                <w:sz w:val="19"/>
                <w:szCs w:val="19"/>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Amortization of debt discount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2,640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2,574</w:t>
            </w:r>
          </w:p>
        </w:tc>
        <w:tc>
          <w:tcPr>
            <w:tcW w:w="80" w:type="dxa"/>
            <w:vAlign w:val="bottom"/>
          </w:tcPr>
          <w:p>
            <w:pPr>
              <w:spacing w:after="0"/>
              <w:rPr>
                <w:sz w:val="19"/>
                <w:szCs w:val="19"/>
                <w:color w:val="auto"/>
              </w:rPr>
            </w:pP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Loss on debt extinguishment</w:t>
            </w:r>
          </w:p>
        </w:tc>
        <w:tc>
          <w:tcPr>
            <w:tcW w:w="240" w:type="dxa"/>
            <w:vAlign w:val="bottom"/>
            <w:shd w:val="clear" w:color="auto" w:fill="EBECEC"/>
          </w:tcPr>
          <w:p>
            <w:pPr>
              <w:spacing w:after="0"/>
              <w:rPr>
                <w:sz w:val="19"/>
                <w:szCs w:val="19"/>
                <w:color w:val="auto"/>
              </w:rPr>
            </w:pPr>
          </w:p>
        </w:tc>
        <w:tc>
          <w:tcPr>
            <w:tcW w:w="9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10,385</w:t>
            </w:r>
          </w:p>
        </w:tc>
        <w:tc>
          <w:tcPr>
            <w:tcW w:w="22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shd w:val="clear" w:color="auto" w:fill="EBECEC"/>
          </w:tcPr>
          <w:p>
            <w:pPr>
              <w:spacing w:after="0"/>
              <w:rPr>
                <w:sz w:val="19"/>
                <w:szCs w:val="19"/>
                <w:color w:val="auto"/>
              </w:rPr>
            </w:pPr>
          </w:p>
        </w:tc>
        <w:tc>
          <w:tcPr>
            <w:tcW w:w="100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Depreciation</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459</w:t>
            </w:r>
          </w:p>
        </w:tc>
        <w:tc>
          <w:tcPr>
            <w:tcW w:w="80" w:type="dxa"/>
            <w:vAlign w:val="bottom"/>
          </w:tcPr>
          <w:p>
            <w:pPr>
              <w:spacing w:after="0"/>
              <w:rPr>
                <w:sz w:val="19"/>
                <w:szCs w:val="19"/>
                <w:color w:val="auto"/>
              </w:rPr>
            </w:pP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Loss (Gain) in fair value of contingent consideration</w:t>
            </w:r>
          </w:p>
        </w:tc>
        <w:tc>
          <w:tcPr>
            <w:tcW w:w="24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18"/>
                <w:szCs w:val="18"/>
                <w:color w:val="231F20"/>
              </w:rPr>
              <w:t>(2,473)</w:t>
            </w: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28,124</w:t>
            </w:r>
          </w:p>
        </w:tc>
        <w:tc>
          <w:tcPr>
            <w:tcW w:w="24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48,918</w:t>
            </w:r>
          </w:p>
        </w:tc>
        <w:tc>
          <w:tcPr>
            <w:tcW w:w="80" w:type="dxa"/>
            <w:vAlign w:val="bottom"/>
            <w:shd w:val="clear" w:color="auto" w:fill="EBECEC"/>
          </w:tcPr>
          <w:p>
            <w:pPr>
              <w:spacing w:after="0"/>
              <w:rPr>
                <w:sz w:val="19"/>
                <w:szCs w:val="19"/>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Gain from lease modification</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(2,250)</w:t>
            </w: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Non-cash lease expense</w:t>
            </w:r>
          </w:p>
        </w:tc>
        <w:tc>
          <w:tcPr>
            <w:tcW w:w="240" w:type="dxa"/>
            <w:vAlign w:val="bottom"/>
            <w:shd w:val="clear" w:color="auto" w:fill="EBECEC"/>
          </w:tcPr>
          <w:p>
            <w:pPr>
              <w:spacing w:after="0"/>
              <w:rPr>
                <w:sz w:val="19"/>
                <w:szCs w:val="19"/>
                <w:color w:val="auto"/>
              </w:rPr>
            </w:pPr>
          </w:p>
        </w:tc>
        <w:tc>
          <w:tcPr>
            <w:tcW w:w="9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3,046</w:t>
            </w:r>
          </w:p>
        </w:tc>
        <w:tc>
          <w:tcPr>
            <w:tcW w:w="22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1,388</w:t>
            </w:r>
          </w:p>
        </w:tc>
        <w:tc>
          <w:tcPr>
            <w:tcW w:w="24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1,450</w:t>
            </w:r>
          </w:p>
        </w:tc>
        <w:tc>
          <w:tcPr>
            <w:tcW w:w="80" w:type="dxa"/>
            <w:vAlign w:val="bottom"/>
            <w:shd w:val="clear" w:color="auto" w:fill="EBECEC"/>
          </w:tcPr>
          <w:p>
            <w:pPr>
              <w:spacing w:after="0"/>
              <w:rPr>
                <w:sz w:val="19"/>
                <w:szCs w:val="19"/>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Right-of-use asset amortization for finance lease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2,186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Changes in operating assets and liabilities:</w:t>
            </w:r>
          </w:p>
        </w:tc>
        <w:tc>
          <w:tcPr>
            <w:tcW w:w="240" w:type="dxa"/>
            <w:vAlign w:val="bottom"/>
            <w:shd w:val="clear" w:color="auto" w:fill="EBECEC"/>
          </w:tcPr>
          <w:p>
            <w:pPr>
              <w:spacing w:after="0"/>
              <w:rPr>
                <w:sz w:val="19"/>
                <w:szCs w:val="19"/>
                <w:color w:val="auto"/>
              </w:rPr>
            </w:pPr>
          </w:p>
        </w:tc>
        <w:tc>
          <w:tcPr>
            <w:tcW w:w="940" w:type="dxa"/>
            <w:vAlign w:val="bottom"/>
            <w:shd w:val="clear" w:color="auto" w:fill="EBECEC"/>
          </w:tcPr>
          <w:p>
            <w:pPr>
              <w:spacing w:after="0"/>
              <w:rPr>
                <w:sz w:val="19"/>
                <w:szCs w:val="19"/>
                <w:color w:val="auto"/>
              </w:rPr>
            </w:pPr>
          </w:p>
        </w:tc>
        <w:tc>
          <w:tcPr>
            <w:tcW w:w="22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spacing w:after="0"/>
              <w:rPr>
                <w:sz w:val="19"/>
                <w:szCs w:val="19"/>
                <w:color w:val="auto"/>
              </w:rPr>
            </w:pPr>
          </w:p>
        </w:tc>
        <w:tc>
          <w:tcPr>
            <w:tcW w:w="24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spacing w:after="0"/>
              <w:rPr>
                <w:sz w:val="19"/>
                <w:szCs w:val="19"/>
                <w:color w:val="auto"/>
              </w:rPr>
            </w:pPr>
          </w:p>
        </w:tc>
        <w:tc>
          <w:tcPr>
            <w:tcW w:w="80" w:type="dxa"/>
            <w:vAlign w:val="bottom"/>
            <w:shd w:val="clear" w:color="auto" w:fill="EBECEC"/>
          </w:tcPr>
          <w:p>
            <w:pPr>
              <w:spacing w:after="0"/>
              <w:rPr>
                <w:sz w:val="19"/>
                <w:szCs w:val="19"/>
                <w:color w:val="auto"/>
              </w:rPr>
            </w:pPr>
          </w:p>
        </w:tc>
      </w:tr>
      <w:tr>
        <w:trPr>
          <w:trHeight w:val="221"/>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Accounts receivable, net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(82,463)</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(47,181)</w:t>
            </w: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(57,121)</w:t>
            </w:r>
          </w:p>
        </w:tc>
      </w:tr>
      <w:tr>
        <w:trPr>
          <w:trHeight w:val="221"/>
        </w:trPr>
        <w:tc>
          <w:tcPr>
            <w:tcW w:w="56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18"/>
                <w:szCs w:val="18"/>
                <w:color w:val="231F20"/>
              </w:rPr>
              <w:t>Inventories, net</w:t>
            </w:r>
          </w:p>
        </w:tc>
        <w:tc>
          <w:tcPr>
            <w:tcW w:w="24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18"/>
                <w:szCs w:val="18"/>
                <w:color w:val="231F20"/>
              </w:rPr>
              <w:t>(10,660)</w:t>
            </w: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744</w:t>
            </w:r>
          </w:p>
        </w:tc>
        <w:tc>
          <w:tcPr>
            <w:tcW w:w="24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100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18"/>
                <w:szCs w:val="18"/>
                <w:color w:val="231F20"/>
              </w:rPr>
              <w:t>(8,156)</w:t>
            </w:r>
          </w:p>
        </w:tc>
      </w:tr>
      <w:tr>
        <w:trPr>
          <w:trHeight w:val="221"/>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Prepaid expenses and other current assets</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(1,673)</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(3,863)</w:t>
            </w: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(5,335)</w:t>
            </w:r>
          </w:p>
        </w:tc>
      </w:tr>
      <w:tr>
        <w:trPr>
          <w:trHeight w:val="221"/>
        </w:trPr>
        <w:tc>
          <w:tcPr>
            <w:tcW w:w="56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18"/>
                <w:szCs w:val="18"/>
                <w:color w:val="231F20"/>
              </w:rPr>
              <w:t>Non-current inventory and other assets</w:t>
            </w:r>
          </w:p>
        </w:tc>
        <w:tc>
          <w:tcPr>
            <w:tcW w:w="24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18"/>
                <w:szCs w:val="18"/>
                <w:color w:val="231F20"/>
              </w:rPr>
              <w:t>(5,010)</w:t>
            </w:r>
          </w:p>
        </w:tc>
        <w:tc>
          <w:tcPr>
            <w:tcW w:w="26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180"/>
              <w:spacing w:after="0"/>
              <w:rPr>
                <w:sz w:val="20"/>
                <w:szCs w:val="20"/>
                <w:color w:val="auto"/>
              </w:rPr>
            </w:pPr>
            <w:r>
              <w:rPr>
                <w:rFonts w:ascii="Times New Roman" w:cs="Times New Roman" w:eastAsia="Times New Roman" w:hAnsi="Times New Roman"/>
                <w:sz w:val="18"/>
                <w:szCs w:val="18"/>
                <w:color w:val="231F20"/>
              </w:rPr>
              <w:t>(3,183)</w:t>
            </w: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3,694</w:t>
            </w:r>
          </w:p>
        </w:tc>
        <w:tc>
          <w:tcPr>
            <w:tcW w:w="80" w:type="dxa"/>
            <w:vAlign w:val="bottom"/>
            <w:shd w:val="clear" w:color="auto" w:fill="EBECEC"/>
          </w:tcPr>
          <w:p>
            <w:pPr>
              <w:spacing w:after="0"/>
              <w:rPr>
                <w:sz w:val="19"/>
                <w:szCs w:val="19"/>
                <w:color w:val="auto"/>
              </w:rPr>
            </w:pPr>
          </w:p>
        </w:tc>
      </w:tr>
      <w:tr>
        <w:trPr>
          <w:trHeight w:val="221"/>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Accounts payable</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(6,460)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31,318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2,074</w:t>
            </w:r>
          </w:p>
        </w:tc>
        <w:tc>
          <w:tcPr>
            <w:tcW w:w="80" w:type="dxa"/>
            <w:vAlign w:val="bottom"/>
          </w:tcPr>
          <w:p>
            <w:pPr>
              <w:spacing w:after="0"/>
              <w:rPr>
                <w:sz w:val="19"/>
                <w:szCs w:val="19"/>
                <w:color w:val="auto"/>
              </w:rPr>
            </w:pPr>
          </w:p>
        </w:tc>
      </w:tr>
      <w:tr>
        <w:trPr>
          <w:trHeight w:val="221"/>
        </w:trPr>
        <w:tc>
          <w:tcPr>
            <w:tcW w:w="56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18"/>
                <w:szCs w:val="18"/>
                <w:color w:val="231F20"/>
              </w:rPr>
              <w:t>Accrued expenses and other current liabilities</w:t>
            </w:r>
          </w:p>
        </w:tc>
        <w:tc>
          <w:tcPr>
            <w:tcW w:w="240" w:type="dxa"/>
            <w:vAlign w:val="bottom"/>
            <w:shd w:val="clear" w:color="auto" w:fill="EBECEC"/>
          </w:tcPr>
          <w:p>
            <w:pPr>
              <w:spacing w:after="0"/>
              <w:rPr>
                <w:sz w:val="19"/>
                <w:szCs w:val="19"/>
                <w:color w:val="auto"/>
              </w:rPr>
            </w:pPr>
          </w:p>
        </w:tc>
        <w:tc>
          <w:tcPr>
            <w:tcW w:w="9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83,743</w:t>
            </w:r>
          </w:p>
        </w:tc>
        <w:tc>
          <w:tcPr>
            <w:tcW w:w="22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56,065</w:t>
            </w:r>
          </w:p>
        </w:tc>
        <w:tc>
          <w:tcPr>
            <w:tcW w:w="24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36,452</w:t>
            </w:r>
          </w:p>
        </w:tc>
        <w:tc>
          <w:tcPr>
            <w:tcW w:w="80" w:type="dxa"/>
            <w:vAlign w:val="bottom"/>
            <w:shd w:val="clear" w:color="auto" w:fill="EBECEC"/>
          </w:tcPr>
          <w:p>
            <w:pPr>
              <w:spacing w:after="0"/>
              <w:rPr>
                <w:sz w:val="19"/>
                <w:szCs w:val="19"/>
                <w:color w:val="auto"/>
              </w:rPr>
            </w:pPr>
          </w:p>
        </w:tc>
      </w:tr>
      <w:tr>
        <w:trPr>
          <w:trHeight w:val="221"/>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Operating lease liability</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(535)</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(422)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154</w:t>
            </w:r>
          </w:p>
        </w:tc>
        <w:tc>
          <w:tcPr>
            <w:tcW w:w="80" w:type="dxa"/>
            <w:vAlign w:val="bottom"/>
          </w:tcPr>
          <w:p>
            <w:pPr>
              <w:spacing w:after="0"/>
              <w:rPr>
                <w:sz w:val="19"/>
                <w:szCs w:val="19"/>
                <w:color w:val="auto"/>
              </w:rPr>
            </w:pPr>
          </w:p>
        </w:tc>
      </w:tr>
      <w:tr>
        <w:trPr>
          <w:trHeight w:val="236"/>
        </w:trPr>
        <w:tc>
          <w:tcPr>
            <w:tcW w:w="5640" w:type="dxa"/>
            <w:vAlign w:val="bottom"/>
            <w:tcBorders>
              <w:top w:val="single" w:sz="8" w:color="EBECEC"/>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18"/>
                <w:szCs w:val="18"/>
                <w:color w:val="231F20"/>
              </w:rPr>
              <w:t>Net cash used in operating activities</w:t>
            </w:r>
          </w:p>
        </w:tc>
        <w:tc>
          <w:tcPr>
            <w:tcW w:w="240" w:type="dxa"/>
            <w:vAlign w:val="bottom"/>
            <w:tcBorders>
              <w:top w:val="single" w:sz="8" w:color="231F20"/>
              <w:bottom w:val="single" w:sz="8" w:color="231F20"/>
            </w:tcBorders>
            <w:shd w:val="clear" w:color="auto" w:fill="EBECEC"/>
          </w:tcPr>
          <w:p>
            <w:pPr>
              <w:spacing w:after="0"/>
              <w:rPr>
                <w:sz w:val="20"/>
                <w:szCs w:val="20"/>
                <w:color w:val="auto"/>
              </w:rPr>
            </w:pPr>
          </w:p>
        </w:tc>
        <w:tc>
          <w:tcPr>
            <w:tcW w:w="94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(93,405)</w:t>
            </w:r>
          </w:p>
        </w:tc>
        <w:tc>
          <w:tcPr>
            <w:tcW w:w="220" w:type="dxa"/>
            <w:vAlign w:val="bottom"/>
            <w:tcBorders>
              <w:top w:val="single" w:sz="8" w:color="EBECEC"/>
              <w:bottom w:val="single" w:sz="8" w:color="EBECEC"/>
            </w:tcBorders>
            <w:shd w:val="clear" w:color="auto" w:fill="EBECEC"/>
          </w:tcPr>
          <w:p>
            <w:pPr>
              <w:spacing w:after="0"/>
              <w:rPr>
                <w:sz w:val="20"/>
                <w:szCs w:val="20"/>
                <w:color w:val="auto"/>
              </w:rPr>
            </w:pPr>
          </w:p>
        </w:tc>
        <w:tc>
          <w:tcPr>
            <w:tcW w:w="260" w:type="dxa"/>
            <w:vAlign w:val="bottom"/>
            <w:tcBorders>
              <w:top w:val="single" w:sz="8" w:color="231F20"/>
              <w:bottom w:val="single" w:sz="8" w:color="231F20"/>
            </w:tcBorders>
            <w:shd w:val="clear" w:color="auto" w:fill="EBECEC"/>
          </w:tcPr>
          <w:p>
            <w:pPr>
              <w:spacing w:after="0"/>
              <w:rPr>
                <w:sz w:val="20"/>
                <w:szCs w:val="20"/>
                <w:color w:val="auto"/>
              </w:rPr>
            </w:pPr>
          </w:p>
        </w:tc>
        <w:tc>
          <w:tcPr>
            <w:tcW w:w="92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(128,410)</w:t>
            </w:r>
          </w:p>
        </w:tc>
        <w:tc>
          <w:tcPr>
            <w:tcW w:w="240" w:type="dxa"/>
            <w:vAlign w:val="bottom"/>
            <w:tcBorders>
              <w:top w:val="single" w:sz="8" w:color="EBECEC"/>
              <w:bottom w:val="single" w:sz="8" w:color="EBECEC"/>
            </w:tcBorders>
            <w:shd w:val="clear" w:color="auto" w:fill="EBECEC"/>
          </w:tcPr>
          <w:p>
            <w:pPr>
              <w:spacing w:after="0"/>
              <w:rPr>
                <w:sz w:val="20"/>
                <w:szCs w:val="20"/>
                <w:color w:val="auto"/>
              </w:rPr>
            </w:pPr>
          </w:p>
        </w:tc>
        <w:tc>
          <w:tcPr>
            <w:tcW w:w="260" w:type="dxa"/>
            <w:vAlign w:val="bottom"/>
            <w:tcBorders>
              <w:top w:val="single" w:sz="8" w:color="231F20"/>
              <w:bottom w:val="single" w:sz="8" w:color="231F20"/>
            </w:tcBorders>
            <w:shd w:val="clear" w:color="auto" w:fill="EBECEC"/>
          </w:tcPr>
          <w:p>
            <w:pPr>
              <w:spacing w:after="0"/>
              <w:rPr>
                <w:sz w:val="20"/>
                <w:szCs w:val="20"/>
                <w:color w:val="auto"/>
              </w:rPr>
            </w:pPr>
          </w:p>
        </w:tc>
        <w:tc>
          <w:tcPr>
            <w:tcW w:w="92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(145,080)</w:t>
            </w:r>
          </w:p>
        </w:tc>
        <w:tc>
          <w:tcPr>
            <w:tcW w:w="80" w:type="dxa"/>
            <w:vAlign w:val="bottom"/>
            <w:tcBorders>
              <w:top w:val="single" w:sz="8" w:color="EBECEC"/>
              <w:bottom w:val="single" w:sz="8" w:color="EBECEC"/>
            </w:tcBorders>
            <w:shd w:val="clear" w:color="auto" w:fill="EBECEC"/>
          </w:tcPr>
          <w:p>
            <w:pPr>
              <w:spacing w:after="0"/>
              <w:rPr>
                <w:sz w:val="20"/>
                <w:szCs w:val="20"/>
                <w:color w:val="auto"/>
              </w:rPr>
            </w:pPr>
          </w:p>
        </w:tc>
      </w:tr>
      <w:tr>
        <w:trPr>
          <w:trHeight w:val="196"/>
        </w:trPr>
        <w:tc>
          <w:tcPr>
            <w:tcW w:w="56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231F20"/>
              </w:rPr>
              <w:t>Cash flows from investing activities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Purchases of equipment</w:t>
            </w:r>
          </w:p>
        </w:tc>
        <w:tc>
          <w:tcPr>
            <w:tcW w:w="240" w:type="dxa"/>
            <w:vAlign w:val="bottom"/>
            <w:shd w:val="clear" w:color="auto" w:fill="EBECEC"/>
          </w:tcPr>
          <w:p>
            <w:pPr>
              <w:spacing w:after="0"/>
              <w:rPr>
                <w:sz w:val="20"/>
                <w:szCs w:val="20"/>
                <w:color w:val="auto"/>
              </w:rPr>
            </w:pPr>
          </w:p>
        </w:tc>
        <w:tc>
          <w:tcPr>
            <w:tcW w:w="116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18"/>
                <w:szCs w:val="18"/>
                <w:color w:val="231F20"/>
              </w:rPr>
              <w:t>(480)</w:t>
            </w:r>
          </w:p>
        </w:tc>
        <w:tc>
          <w:tcPr>
            <w:tcW w:w="260" w:type="dxa"/>
            <w:vAlign w:val="bottom"/>
            <w:shd w:val="clear" w:color="auto" w:fill="EBECEC"/>
          </w:tcPr>
          <w:p>
            <w:pPr>
              <w:spacing w:after="0"/>
              <w:rPr>
                <w:sz w:val="20"/>
                <w:szCs w:val="20"/>
                <w:color w:val="auto"/>
              </w:rPr>
            </w:pPr>
          </w:p>
        </w:tc>
        <w:tc>
          <w:tcPr>
            <w:tcW w:w="1160" w:type="dxa"/>
            <w:vAlign w:val="bottom"/>
            <w:gridSpan w:val="2"/>
            <w:shd w:val="clear" w:color="auto" w:fill="EBECEC"/>
          </w:tcPr>
          <w:p>
            <w:pPr>
              <w:jc w:val="right"/>
              <w:ind w:right="180"/>
              <w:spacing w:after="0"/>
              <w:rPr>
                <w:sz w:val="20"/>
                <w:szCs w:val="20"/>
                <w:color w:val="auto"/>
              </w:rPr>
            </w:pPr>
            <w:r>
              <w:rPr>
                <w:rFonts w:ascii="Times New Roman" w:cs="Times New Roman" w:eastAsia="Times New Roman" w:hAnsi="Times New Roman"/>
                <w:sz w:val="18"/>
                <w:szCs w:val="18"/>
                <w:color w:val="231F20"/>
              </w:rPr>
              <w:t>(270)</w:t>
            </w:r>
          </w:p>
        </w:tc>
        <w:tc>
          <w:tcPr>
            <w:tcW w:w="260" w:type="dxa"/>
            <w:vAlign w:val="bottom"/>
            <w:shd w:val="clear" w:color="auto" w:fill="EBECEC"/>
          </w:tcPr>
          <w:p>
            <w:pPr>
              <w:spacing w:after="0"/>
              <w:rPr>
                <w:sz w:val="20"/>
                <w:szCs w:val="20"/>
                <w:color w:val="auto"/>
              </w:rPr>
            </w:pPr>
          </w:p>
        </w:tc>
        <w:tc>
          <w:tcPr>
            <w:tcW w:w="100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18"/>
                <w:szCs w:val="18"/>
                <w:color w:val="231F20"/>
              </w:rPr>
              <w:t>(582)</w:t>
            </w:r>
          </w:p>
        </w:tc>
      </w:tr>
      <w:tr>
        <w:trPr>
          <w:trHeight w:val="196"/>
        </w:trPr>
        <w:tc>
          <w:tcPr>
            <w:tcW w:w="5640" w:type="dxa"/>
            <w:vAlign w:val="bottom"/>
            <w:tcBorders>
              <w:top w:val="single" w:sz="8" w:color="EBECEC"/>
              <w:bottom w:val="single" w:sz="8" w:color="EBECEC"/>
            </w:tcBorders>
          </w:tcPr>
          <w:p>
            <w:pPr>
              <w:spacing w:after="0" w:line="196" w:lineRule="exact"/>
              <w:rPr>
                <w:sz w:val="20"/>
                <w:szCs w:val="20"/>
                <w:color w:val="auto"/>
              </w:rPr>
            </w:pPr>
            <w:r>
              <w:rPr>
                <w:rFonts w:ascii="Times New Roman" w:cs="Times New Roman" w:eastAsia="Times New Roman" w:hAnsi="Times New Roman"/>
                <w:sz w:val="18"/>
                <w:szCs w:val="18"/>
                <w:color w:val="231F20"/>
              </w:rPr>
              <w:t>Net cash used in investing activities</w:t>
            </w:r>
          </w:p>
        </w:tc>
        <w:tc>
          <w:tcPr>
            <w:tcW w:w="240" w:type="dxa"/>
            <w:vAlign w:val="bottom"/>
            <w:tcBorders>
              <w:top w:val="single" w:sz="8" w:color="231F20"/>
              <w:bottom w:val="single" w:sz="8" w:color="231F20"/>
            </w:tcBorders>
          </w:tcPr>
          <w:p>
            <w:pPr>
              <w:spacing w:after="0"/>
              <w:rPr>
                <w:sz w:val="17"/>
                <w:szCs w:val="17"/>
                <w:color w:val="auto"/>
              </w:rPr>
            </w:pPr>
          </w:p>
        </w:tc>
        <w:tc>
          <w:tcPr>
            <w:tcW w:w="940" w:type="dxa"/>
            <w:vAlign w:val="bottom"/>
            <w:tcBorders>
              <w:top w:val="single" w:sz="8" w:color="231F20"/>
              <w:bottom w:val="single" w:sz="8" w:color="231F20"/>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(480)</w:t>
            </w:r>
          </w:p>
        </w:tc>
        <w:tc>
          <w:tcPr>
            <w:tcW w:w="220" w:type="dxa"/>
            <w:vAlign w:val="bottom"/>
            <w:tcBorders>
              <w:top w:val="single" w:sz="8" w:color="EBECEC"/>
              <w:bottom w:val="single" w:sz="8" w:color="EBECEC"/>
            </w:tcBorders>
          </w:tcPr>
          <w:p>
            <w:pPr>
              <w:spacing w:after="0"/>
              <w:rPr>
                <w:sz w:val="17"/>
                <w:szCs w:val="17"/>
                <w:color w:val="auto"/>
              </w:rPr>
            </w:pPr>
          </w:p>
        </w:tc>
        <w:tc>
          <w:tcPr>
            <w:tcW w:w="260" w:type="dxa"/>
            <w:vAlign w:val="bottom"/>
            <w:tcBorders>
              <w:top w:val="single" w:sz="8" w:color="231F20"/>
              <w:bottom w:val="single" w:sz="8" w:color="231F20"/>
            </w:tcBorders>
          </w:tcPr>
          <w:p>
            <w:pPr>
              <w:spacing w:after="0"/>
              <w:rPr>
                <w:sz w:val="17"/>
                <w:szCs w:val="17"/>
                <w:color w:val="auto"/>
              </w:rPr>
            </w:pPr>
          </w:p>
        </w:tc>
        <w:tc>
          <w:tcPr>
            <w:tcW w:w="920" w:type="dxa"/>
            <w:vAlign w:val="bottom"/>
            <w:tcBorders>
              <w:top w:val="single" w:sz="8" w:color="231F20"/>
              <w:bottom w:val="single" w:sz="8" w:color="231F20"/>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(270)</w:t>
            </w:r>
          </w:p>
        </w:tc>
        <w:tc>
          <w:tcPr>
            <w:tcW w:w="240" w:type="dxa"/>
            <w:vAlign w:val="bottom"/>
            <w:tcBorders>
              <w:top w:val="single" w:sz="8" w:color="EBECEC"/>
              <w:bottom w:val="single" w:sz="8" w:color="EBECEC"/>
            </w:tcBorders>
          </w:tcPr>
          <w:p>
            <w:pPr>
              <w:spacing w:after="0"/>
              <w:rPr>
                <w:sz w:val="17"/>
                <w:szCs w:val="17"/>
                <w:color w:val="auto"/>
              </w:rPr>
            </w:pPr>
          </w:p>
        </w:tc>
        <w:tc>
          <w:tcPr>
            <w:tcW w:w="260" w:type="dxa"/>
            <w:vAlign w:val="bottom"/>
            <w:tcBorders>
              <w:top w:val="single" w:sz="8" w:color="231F20"/>
              <w:bottom w:val="single" w:sz="8" w:color="231F20"/>
            </w:tcBorders>
          </w:tcPr>
          <w:p>
            <w:pPr>
              <w:spacing w:after="0"/>
              <w:rPr>
                <w:sz w:val="17"/>
                <w:szCs w:val="17"/>
                <w:color w:val="auto"/>
              </w:rPr>
            </w:pPr>
          </w:p>
        </w:tc>
        <w:tc>
          <w:tcPr>
            <w:tcW w:w="920" w:type="dxa"/>
            <w:vAlign w:val="bottom"/>
            <w:tcBorders>
              <w:top w:val="single" w:sz="8" w:color="231F20"/>
              <w:bottom w:val="single" w:sz="8" w:color="231F20"/>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(582)</w:t>
            </w:r>
          </w:p>
        </w:tc>
        <w:tc>
          <w:tcPr>
            <w:tcW w:w="80" w:type="dxa"/>
            <w:vAlign w:val="bottom"/>
            <w:tcBorders>
              <w:top w:val="single" w:sz="8" w:color="EBECEC"/>
              <w:bottom w:val="single" w:sz="8" w:color="EBECEC"/>
            </w:tcBorders>
          </w:tcPr>
          <w:p>
            <w:pPr>
              <w:spacing w:after="0"/>
              <w:rPr>
                <w:sz w:val="17"/>
                <w:szCs w:val="17"/>
                <w:color w:val="auto"/>
              </w:rPr>
            </w:pPr>
          </w:p>
        </w:tc>
      </w:tr>
      <w:tr>
        <w:trPr>
          <w:trHeight w:val="216"/>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b w:val="1"/>
                <w:bCs w:val="1"/>
                <w:color w:val="231F20"/>
              </w:rPr>
              <w:t>Cash flows from financing activities</w:t>
            </w:r>
          </w:p>
        </w:tc>
        <w:tc>
          <w:tcPr>
            <w:tcW w:w="240" w:type="dxa"/>
            <w:vAlign w:val="bottom"/>
            <w:shd w:val="clear" w:color="auto" w:fill="EBECEC"/>
          </w:tcPr>
          <w:p>
            <w:pPr>
              <w:spacing w:after="0"/>
              <w:rPr>
                <w:sz w:val="18"/>
                <w:szCs w:val="18"/>
                <w:color w:val="auto"/>
              </w:rPr>
            </w:pPr>
          </w:p>
        </w:tc>
        <w:tc>
          <w:tcPr>
            <w:tcW w:w="940" w:type="dxa"/>
            <w:vAlign w:val="bottom"/>
            <w:shd w:val="clear" w:color="auto" w:fill="EBECEC"/>
          </w:tcPr>
          <w:p>
            <w:pPr>
              <w:spacing w:after="0"/>
              <w:rPr>
                <w:sz w:val="18"/>
                <w:szCs w:val="18"/>
                <w:color w:val="auto"/>
              </w:rPr>
            </w:pPr>
          </w:p>
        </w:tc>
        <w:tc>
          <w:tcPr>
            <w:tcW w:w="220" w:type="dxa"/>
            <w:vAlign w:val="bottom"/>
            <w:shd w:val="clear" w:color="auto" w:fill="EBECEC"/>
          </w:tcPr>
          <w:p>
            <w:pPr>
              <w:spacing w:after="0"/>
              <w:rPr>
                <w:sz w:val="18"/>
                <w:szCs w:val="18"/>
                <w:color w:val="auto"/>
              </w:rPr>
            </w:pPr>
          </w:p>
        </w:tc>
        <w:tc>
          <w:tcPr>
            <w:tcW w:w="260" w:type="dxa"/>
            <w:vAlign w:val="bottom"/>
            <w:shd w:val="clear" w:color="auto" w:fill="EBECEC"/>
          </w:tcPr>
          <w:p>
            <w:pPr>
              <w:spacing w:after="0"/>
              <w:rPr>
                <w:sz w:val="18"/>
                <w:szCs w:val="18"/>
                <w:color w:val="auto"/>
              </w:rPr>
            </w:pPr>
          </w:p>
        </w:tc>
        <w:tc>
          <w:tcPr>
            <w:tcW w:w="920" w:type="dxa"/>
            <w:vAlign w:val="bottom"/>
            <w:shd w:val="clear" w:color="auto" w:fill="EBECEC"/>
          </w:tcPr>
          <w:p>
            <w:pPr>
              <w:spacing w:after="0"/>
              <w:rPr>
                <w:sz w:val="18"/>
                <w:szCs w:val="18"/>
                <w:color w:val="auto"/>
              </w:rPr>
            </w:pPr>
          </w:p>
        </w:tc>
        <w:tc>
          <w:tcPr>
            <w:tcW w:w="240" w:type="dxa"/>
            <w:vAlign w:val="bottom"/>
            <w:shd w:val="clear" w:color="auto" w:fill="EBECEC"/>
          </w:tcPr>
          <w:p>
            <w:pPr>
              <w:spacing w:after="0"/>
              <w:rPr>
                <w:sz w:val="18"/>
                <w:szCs w:val="18"/>
                <w:color w:val="auto"/>
              </w:rPr>
            </w:pPr>
          </w:p>
        </w:tc>
        <w:tc>
          <w:tcPr>
            <w:tcW w:w="260" w:type="dxa"/>
            <w:vAlign w:val="bottom"/>
            <w:shd w:val="clear" w:color="auto" w:fill="EBECEC"/>
          </w:tcPr>
          <w:p>
            <w:pPr>
              <w:spacing w:after="0"/>
              <w:rPr>
                <w:sz w:val="18"/>
                <w:szCs w:val="18"/>
                <w:color w:val="auto"/>
              </w:rPr>
            </w:pPr>
          </w:p>
        </w:tc>
        <w:tc>
          <w:tcPr>
            <w:tcW w:w="920" w:type="dxa"/>
            <w:vAlign w:val="bottom"/>
            <w:shd w:val="clear" w:color="auto" w:fill="EBECEC"/>
          </w:tcPr>
          <w:p>
            <w:pPr>
              <w:spacing w:after="0"/>
              <w:rPr>
                <w:sz w:val="18"/>
                <w:szCs w:val="18"/>
                <w:color w:val="auto"/>
              </w:rPr>
            </w:pPr>
          </w:p>
        </w:tc>
        <w:tc>
          <w:tcPr>
            <w:tcW w:w="80" w:type="dxa"/>
            <w:vAlign w:val="bottom"/>
            <w:shd w:val="clear" w:color="auto" w:fill="EBECEC"/>
          </w:tcPr>
          <w:p>
            <w:pPr>
              <w:spacing w:after="0"/>
              <w:rPr>
                <w:sz w:val="18"/>
                <w:szCs w:val="18"/>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Proceeds from draw down of debt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330,000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85,000</w:t>
            </w:r>
          </w:p>
        </w:tc>
        <w:tc>
          <w:tcPr>
            <w:tcW w:w="80" w:type="dxa"/>
            <w:vAlign w:val="bottom"/>
          </w:tcPr>
          <w:p>
            <w:pPr>
              <w:spacing w:after="0"/>
              <w:rPr>
                <w:sz w:val="19"/>
                <w:szCs w:val="19"/>
                <w:color w:val="auto"/>
              </w:rPr>
            </w:pP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Payment of debt issuance costs</w:t>
            </w:r>
          </w:p>
        </w:tc>
        <w:tc>
          <w:tcPr>
            <w:tcW w:w="24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18"/>
                <w:szCs w:val="18"/>
                <w:color w:val="231F20"/>
              </w:rPr>
              <w:t>(3,638)</w:t>
            </w:r>
          </w:p>
        </w:tc>
        <w:tc>
          <w:tcPr>
            <w:tcW w:w="26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shd w:val="clear" w:color="auto" w:fill="EBECEC"/>
          </w:tcPr>
          <w:p>
            <w:pPr>
              <w:spacing w:after="0"/>
              <w:rPr>
                <w:sz w:val="19"/>
                <w:szCs w:val="19"/>
                <w:color w:val="auto"/>
              </w:rPr>
            </w:pPr>
          </w:p>
        </w:tc>
        <w:tc>
          <w:tcPr>
            <w:tcW w:w="100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18"/>
                <w:szCs w:val="18"/>
                <w:color w:val="231F20"/>
              </w:rPr>
              <w:t>(1,442)</w:t>
            </w: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Repayment of debt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(331,988)</w:t>
            </w: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Payments on principal portion of finance lease obligation</w:t>
            </w:r>
          </w:p>
        </w:tc>
        <w:tc>
          <w:tcPr>
            <w:tcW w:w="24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18"/>
                <w:szCs w:val="18"/>
                <w:color w:val="231F20"/>
              </w:rPr>
              <w:t>(2,124)</w:t>
            </w:r>
          </w:p>
        </w:tc>
        <w:tc>
          <w:tcPr>
            <w:tcW w:w="26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180"/>
              <w:spacing w:after="0"/>
              <w:rPr>
                <w:sz w:val="20"/>
                <w:szCs w:val="20"/>
                <w:color w:val="auto"/>
              </w:rPr>
            </w:pPr>
            <w:r>
              <w:rPr>
                <w:rFonts w:ascii="Times New Roman" w:cs="Times New Roman" w:eastAsia="Times New Roman" w:hAnsi="Times New Roman"/>
                <w:sz w:val="18"/>
                <w:szCs w:val="18"/>
                <w:color w:val="231F20"/>
              </w:rPr>
              <w:t>(990)</w:t>
            </w:r>
          </w:p>
        </w:tc>
        <w:tc>
          <w:tcPr>
            <w:tcW w:w="260" w:type="dxa"/>
            <w:vAlign w:val="bottom"/>
            <w:shd w:val="clear" w:color="auto" w:fill="EBECEC"/>
          </w:tcPr>
          <w:p>
            <w:pPr>
              <w:spacing w:after="0"/>
              <w:rPr>
                <w:sz w:val="19"/>
                <w:szCs w:val="19"/>
                <w:color w:val="auto"/>
              </w:rPr>
            </w:pPr>
          </w:p>
        </w:tc>
        <w:tc>
          <w:tcPr>
            <w:tcW w:w="100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Proceeds from issuance of common stock upon financing</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67,904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40,784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258,750</w:t>
            </w:r>
          </w:p>
        </w:tc>
        <w:tc>
          <w:tcPr>
            <w:tcW w:w="80" w:type="dxa"/>
            <w:vAlign w:val="bottom"/>
          </w:tcPr>
          <w:p>
            <w:pPr>
              <w:spacing w:after="0"/>
              <w:rPr>
                <w:sz w:val="19"/>
                <w:szCs w:val="19"/>
                <w:color w:val="auto"/>
              </w:rPr>
            </w:pP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Cash paid for common stock issuance costs</w:t>
            </w:r>
          </w:p>
        </w:tc>
        <w:tc>
          <w:tcPr>
            <w:tcW w:w="24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18"/>
                <w:szCs w:val="18"/>
                <w:color w:val="231F20"/>
              </w:rPr>
              <w:t>(1,197)</w:t>
            </w:r>
          </w:p>
        </w:tc>
        <w:tc>
          <w:tcPr>
            <w:tcW w:w="26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180"/>
              <w:spacing w:after="0"/>
              <w:rPr>
                <w:sz w:val="20"/>
                <w:szCs w:val="20"/>
                <w:color w:val="auto"/>
              </w:rPr>
            </w:pPr>
            <w:r>
              <w:rPr>
                <w:rFonts w:ascii="Times New Roman" w:cs="Times New Roman" w:eastAsia="Times New Roman" w:hAnsi="Times New Roman"/>
                <w:sz w:val="18"/>
                <w:szCs w:val="18"/>
                <w:color w:val="231F20"/>
              </w:rPr>
              <w:t>(816)</w:t>
            </w:r>
          </w:p>
        </w:tc>
        <w:tc>
          <w:tcPr>
            <w:tcW w:w="260" w:type="dxa"/>
            <w:vAlign w:val="bottom"/>
            <w:shd w:val="clear" w:color="auto" w:fill="EBECEC"/>
          </w:tcPr>
          <w:p>
            <w:pPr>
              <w:spacing w:after="0"/>
              <w:rPr>
                <w:sz w:val="19"/>
                <w:szCs w:val="19"/>
                <w:color w:val="auto"/>
              </w:rPr>
            </w:pPr>
          </w:p>
        </w:tc>
        <w:tc>
          <w:tcPr>
            <w:tcW w:w="100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18"/>
                <w:szCs w:val="18"/>
                <w:color w:val="231F20"/>
              </w:rPr>
              <w:t>(15,668)</w:t>
            </w:r>
          </w:p>
        </w:tc>
      </w:tr>
      <w:tr>
        <w:trPr>
          <w:trHeight w:val="203"/>
        </w:trPr>
        <w:tc>
          <w:tcPr>
            <w:tcW w:w="5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Proceeds from issuance of common stock upon exercise of options and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under employee stock purchase plan</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59,558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30,680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12,419</w:t>
            </w:r>
          </w:p>
        </w:tc>
        <w:tc>
          <w:tcPr>
            <w:tcW w:w="80" w:type="dxa"/>
            <w:vAlign w:val="bottom"/>
          </w:tcPr>
          <w:p>
            <w:pPr>
              <w:spacing w:after="0"/>
              <w:rPr>
                <w:sz w:val="19"/>
                <w:szCs w:val="19"/>
                <w:color w:val="auto"/>
              </w:rPr>
            </w:pP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Payment of contingent consideration</w:t>
            </w:r>
          </w:p>
        </w:tc>
        <w:tc>
          <w:tcPr>
            <w:tcW w:w="24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18"/>
                <w:szCs w:val="18"/>
                <w:color w:val="231F20"/>
              </w:rPr>
              <w:t>(9,940)</w:t>
            </w:r>
          </w:p>
        </w:tc>
        <w:tc>
          <w:tcPr>
            <w:tcW w:w="26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180"/>
              <w:spacing w:after="0"/>
              <w:rPr>
                <w:sz w:val="20"/>
                <w:szCs w:val="20"/>
                <w:color w:val="auto"/>
              </w:rPr>
            </w:pPr>
            <w:r>
              <w:rPr>
                <w:rFonts w:ascii="Times New Roman" w:cs="Times New Roman" w:eastAsia="Times New Roman" w:hAnsi="Times New Roman"/>
                <w:sz w:val="18"/>
                <w:szCs w:val="18"/>
                <w:color w:val="231F20"/>
              </w:rPr>
              <w:t>(7,866)</w:t>
            </w:r>
          </w:p>
        </w:tc>
        <w:tc>
          <w:tcPr>
            <w:tcW w:w="260" w:type="dxa"/>
            <w:vAlign w:val="bottom"/>
            <w:shd w:val="clear" w:color="auto" w:fill="EBECEC"/>
          </w:tcPr>
          <w:p>
            <w:pPr>
              <w:spacing w:after="0"/>
              <w:rPr>
                <w:sz w:val="19"/>
                <w:szCs w:val="19"/>
                <w:color w:val="auto"/>
              </w:rPr>
            </w:pPr>
          </w:p>
        </w:tc>
        <w:tc>
          <w:tcPr>
            <w:tcW w:w="100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18"/>
                <w:szCs w:val="18"/>
                <w:color w:val="231F20"/>
              </w:rPr>
              <w:t>(6,211)</w:t>
            </w: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Payments of tax withholdings on stock awards</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(7,110)</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(3,952)</w:t>
            </w: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(1,835)</w:t>
            </w:r>
          </w:p>
        </w:tc>
      </w:tr>
      <w:tr>
        <w:trPr>
          <w:trHeight w:val="236"/>
        </w:trPr>
        <w:tc>
          <w:tcPr>
            <w:tcW w:w="5640" w:type="dxa"/>
            <w:vAlign w:val="bottom"/>
            <w:tcBorders>
              <w:top w:val="single" w:sz="8" w:color="EBECEC"/>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18"/>
                <w:szCs w:val="18"/>
                <w:color w:val="231F20"/>
              </w:rPr>
              <w:t>Net cash provided by financing activities</w:t>
            </w:r>
          </w:p>
        </w:tc>
        <w:tc>
          <w:tcPr>
            <w:tcW w:w="240" w:type="dxa"/>
            <w:vAlign w:val="bottom"/>
            <w:tcBorders>
              <w:top w:val="single" w:sz="8" w:color="231F20"/>
              <w:bottom w:val="single" w:sz="8" w:color="231F20"/>
            </w:tcBorders>
            <w:shd w:val="clear" w:color="auto" w:fill="EBECEC"/>
          </w:tcPr>
          <w:p>
            <w:pPr>
              <w:spacing w:after="0"/>
              <w:rPr>
                <w:sz w:val="20"/>
                <w:szCs w:val="20"/>
                <w:color w:val="auto"/>
              </w:rPr>
            </w:pPr>
          </w:p>
        </w:tc>
        <w:tc>
          <w:tcPr>
            <w:tcW w:w="94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101,465</w:t>
            </w:r>
          </w:p>
        </w:tc>
        <w:tc>
          <w:tcPr>
            <w:tcW w:w="220" w:type="dxa"/>
            <w:vAlign w:val="bottom"/>
            <w:tcBorders>
              <w:top w:val="single" w:sz="8" w:color="EBECEC"/>
              <w:bottom w:val="single" w:sz="8" w:color="EBECEC"/>
            </w:tcBorders>
            <w:shd w:val="clear" w:color="auto" w:fill="EBECEC"/>
          </w:tcPr>
          <w:p>
            <w:pPr>
              <w:spacing w:after="0"/>
              <w:rPr>
                <w:sz w:val="20"/>
                <w:szCs w:val="20"/>
                <w:color w:val="auto"/>
              </w:rPr>
            </w:pPr>
          </w:p>
        </w:tc>
        <w:tc>
          <w:tcPr>
            <w:tcW w:w="260" w:type="dxa"/>
            <w:vAlign w:val="bottom"/>
            <w:tcBorders>
              <w:top w:val="single" w:sz="8" w:color="231F20"/>
              <w:bottom w:val="single" w:sz="8" w:color="231F20"/>
            </w:tcBorders>
            <w:shd w:val="clear" w:color="auto" w:fill="EBECEC"/>
          </w:tcPr>
          <w:p>
            <w:pPr>
              <w:spacing w:after="0"/>
              <w:rPr>
                <w:sz w:val="20"/>
                <w:szCs w:val="20"/>
                <w:color w:val="auto"/>
              </w:rPr>
            </w:pPr>
          </w:p>
        </w:tc>
        <w:tc>
          <w:tcPr>
            <w:tcW w:w="92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57,840</w:t>
            </w:r>
          </w:p>
        </w:tc>
        <w:tc>
          <w:tcPr>
            <w:tcW w:w="240" w:type="dxa"/>
            <w:vAlign w:val="bottom"/>
            <w:tcBorders>
              <w:top w:val="single" w:sz="8" w:color="EBECEC"/>
              <w:bottom w:val="single" w:sz="8" w:color="EBECEC"/>
            </w:tcBorders>
            <w:shd w:val="clear" w:color="auto" w:fill="EBECEC"/>
          </w:tcPr>
          <w:p>
            <w:pPr>
              <w:spacing w:after="0"/>
              <w:rPr>
                <w:sz w:val="20"/>
                <w:szCs w:val="20"/>
                <w:color w:val="auto"/>
              </w:rPr>
            </w:pPr>
          </w:p>
        </w:tc>
        <w:tc>
          <w:tcPr>
            <w:tcW w:w="260" w:type="dxa"/>
            <w:vAlign w:val="bottom"/>
            <w:tcBorders>
              <w:top w:val="single" w:sz="8" w:color="231F20"/>
              <w:bottom w:val="single" w:sz="8" w:color="231F20"/>
            </w:tcBorders>
            <w:shd w:val="clear" w:color="auto" w:fill="EBECEC"/>
          </w:tcPr>
          <w:p>
            <w:pPr>
              <w:spacing w:after="0"/>
              <w:rPr>
                <w:sz w:val="20"/>
                <w:szCs w:val="20"/>
                <w:color w:val="auto"/>
              </w:rPr>
            </w:pPr>
          </w:p>
        </w:tc>
        <w:tc>
          <w:tcPr>
            <w:tcW w:w="92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331,013</w:t>
            </w:r>
          </w:p>
        </w:tc>
        <w:tc>
          <w:tcPr>
            <w:tcW w:w="80" w:type="dxa"/>
            <w:vAlign w:val="bottom"/>
            <w:tcBorders>
              <w:top w:val="single" w:sz="8" w:color="EBECEC"/>
              <w:bottom w:val="single" w:sz="8" w:color="EBECEC"/>
            </w:tcBorders>
            <w:shd w:val="clear" w:color="auto" w:fill="EBECEC"/>
          </w:tcPr>
          <w:p>
            <w:pPr>
              <w:spacing w:after="0"/>
              <w:rPr>
                <w:sz w:val="20"/>
                <w:szCs w:val="20"/>
                <w:color w:val="auto"/>
              </w:rPr>
            </w:pPr>
          </w:p>
        </w:tc>
      </w:tr>
      <w:tr>
        <w:trPr>
          <w:trHeight w:val="196"/>
        </w:trPr>
        <w:tc>
          <w:tcPr>
            <w:tcW w:w="5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231F20"/>
              </w:rPr>
              <w:t>Net increase (decrease) in cash</w:t>
            </w:r>
          </w:p>
        </w:tc>
        <w:tc>
          <w:tcPr>
            <w:tcW w:w="2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231F20"/>
              </w:rPr>
              <w:t>7,580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231F20"/>
              </w:rPr>
              <w:t>(70,840)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231F20"/>
              </w:rPr>
              <w:t>185,351</w:t>
            </w:r>
          </w:p>
        </w:tc>
        <w:tc>
          <w:tcPr>
            <w:tcW w:w="80" w:type="dxa"/>
            <w:vAlign w:val="bottom"/>
          </w:tcPr>
          <w:p>
            <w:pPr>
              <w:spacing w:after="0"/>
              <w:rPr>
                <w:sz w:val="17"/>
                <w:szCs w:val="17"/>
                <w:color w:val="auto"/>
              </w:rPr>
            </w:pPr>
          </w:p>
        </w:tc>
      </w:tr>
      <w:tr>
        <w:trPr>
          <w:trHeight w:val="241"/>
        </w:trPr>
        <w:tc>
          <w:tcPr>
            <w:tcW w:w="564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18"/>
                <w:szCs w:val="18"/>
                <w:color w:val="231F20"/>
              </w:rPr>
              <w:t>Cash at beginning of period</w:t>
            </w:r>
          </w:p>
        </w:tc>
        <w:tc>
          <w:tcPr>
            <w:tcW w:w="240" w:type="dxa"/>
            <w:vAlign w:val="bottom"/>
            <w:tcBorders>
              <w:bottom w:val="single" w:sz="8" w:color="231F20"/>
            </w:tcBorders>
            <w:shd w:val="clear" w:color="auto" w:fill="EBECEC"/>
          </w:tcPr>
          <w:p>
            <w:pPr>
              <w:spacing w:after="0"/>
              <w:rPr>
                <w:sz w:val="20"/>
                <w:szCs w:val="20"/>
                <w:color w:val="auto"/>
              </w:rPr>
            </w:pPr>
          </w:p>
        </w:tc>
        <w:tc>
          <w:tcPr>
            <w:tcW w:w="94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315,353</w:t>
            </w:r>
          </w:p>
        </w:tc>
        <w:tc>
          <w:tcPr>
            <w:tcW w:w="220" w:type="dxa"/>
            <w:vAlign w:val="bottom"/>
            <w:tcBorders>
              <w:bottom w:val="single" w:sz="8" w:color="EBECEC"/>
            </w:tcBorders>
            <w:shd w:val="clear" w:color="auto" w:fill="EBECEC"/>
          </w:tcPr>
          <w:p>
            <w:pPr>
              <w:spacing w:after="0"/>
              <w:rPr>
                <w:sz w:val="20"/>
                <w:szCs w:val="20"/>
                <w:color w:val="auto"/>
              </w:rPr>
            </w:pPr>
          </w:p>
        </w:tc>
        <w:tc>
          <w:tcPr>
            <w:tcW w:w="260" w:type="dxa"/>
            <w:vAlign w:val="bottom"/>
            <w:tcBorders>
              <w:bottom w:val="single" w:sz="8" w:color="231F20"/>
            </w:tcBorders>
            <w:shd w:val="clear" w:color="auto" w:fill="EBECEC"/>
          </w:tcPr>
          <w:p>
            <w:pPr>
              <w:spacing w:after="0"/>
              <w:rPr>
                <w:sz w:val="20"/>
                <w:szCs w:val="20"/>
                <w:color w:val="auto"/>
              </w:rPr>
            </w:pP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386,193</w:t>
            </w:r>
          </w:p>
        </w:tc>
        <w:tc>
          <w:tcPr>
            <w:tcW w:w="240" w:type="dxa"/>
            <w:vAlign w:val="bottom"/>
            <w:tcBorders>
              <w:bottom w:val="single" w:sz="8" w:color="EBECEC"/>
            </w:tcBorders>
            <w:shd w:val="clear" w:color="auto" w:fill="EBECEC"/>
          </w:tcPr>
          <w:p>
            <w:pPr>
              <w:spacing w:after="0"/>
              <w:rPr>
                <w:sz w:val="20"/>
                <w:szCs w:val="20"/>
                <w:color w:val="auto"/>
              </w:rPr>
            </w:pPr>
          </w:p>
        </w:tc>
        <w:tc>
          <w:tcPr>
            <w:tcW w:w="260" w:type="dxa"/>
            <w:vAlign w:val="bottom"/>
            <w:tcBorders>
              <w:bottom w:val="single" w:sz="8" w:color="231F20"/>
            </w:tcBorders>
            <w:shd w:val="clear" w:color="auto" w:fill="EBECEC"/>
          </w:tcPr>
          <w:p>
            <w:pPr>
              <w:spacing w:after="0"/>
              <w:rPr>
                <w:sz w:val="20"/>
                <w:szCs w:val="20"/>
                <w:color w:val="auto"/>
              </w:rPr>
            </w:pP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200,842</w:t>
            </w:r>
          </w:p>
        </w:tc>
        <w:tc>
          <w:tcPr>
            <w:tcW w:w="80" w:type="dxa"/>
            <w:vAlign w:val="bottom"/>
            <w:tcBorders>
              <w:bottom w:val="single" w:sz="8" w:color="EBECEC"/>
            </w:tcBorders>
            <w:shd w:val="clear" w:color="auto" w:fill="EBECEC"/>
          </w:tcPr>
          <w:p>
            <w:pPr>
              <w:spacing w:after="0"/>
              <w:rPr>
                <w:sz w:val="20"/>
                <w:szCs w:val="20"/>
                <w:color w:val="auto"/>
              </w:rPr>
            </w:pPr>
          </w:p>
        </w:tc>
      </w:tr>
      <w:tr>
        <w:trPr>
          <w:trHeight w:val="236"/>
        </w:trPr>
        <w:tc>
          <w:tcPr>
            <w:tcW w:w="5640" w:type="dxa"/>
            <w:vAlign w:val="bottom"/>
            <w:tcBorders>
              <w:bottom w:val="single" w:sz="8" w:color="EBECEC"/>
            </w:tcBorders>
          </w:tcPr>
          <w:p>
            <w:pPr>
              <w:spacing w:after="0" w:line="196" w:lineRule="exact"/>
              <w:rPr>
                <w:sz w:val="20"/>
                <w:szCs w:val="20"/>
                <w:color w:val="auto"/>
              </w:rPr>
            </w:pPr>
            <w:r>
              <w:rPr>
                <w:rFonts w:ascii="Times New Roman" w:cs="Times New Roman" w:eastAsia="Times New Roman" w:hAnsi="Times New Roman"/>
                <w:sz w:val="18"/>
                <w:szCs w:val="18"/>
                <w:color w:val="231F20"/>
              </w:rPr>
              <w:t>Cash at end of period</w:t>
            </w:r>
          </w:p>
        </w:tc>
        <w:tc>
          <w:tcPr>
            <w:tcW w:w="240" w:type="dxa"/>
            <w:vAlign w:val="bottom"/>
            <w:tcBorders>
              <w:bottom w:val="single" w:sz="8" w:color="231F20"/>
            </w:tcBorders>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tcBorders>
              <w:bottom w:val="single" w:sz="8" w:color="231F20"/>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322,933</w:t>
            </w:r>
          </w:p>
        </w:tc>
        <w:tc>
          <w:tcPr>
            <w:tcW w:w="220" w:type="dxa"/>
            <w:vAlign w:val="bottom"/>
            <w:tcBorders>
              <w:bottom w:val="single" w:sz="8" w:color="EBECEC"/>
            </w:tcBorders>
          </w:tcPr>
          <w:p>
            <w:pPr>
              <w:spacing w:after="0"/>
              <w:rPr>
                <w:sz w:val="20"/>
                <w:szCs w:val="20"/>
                <w:color w:val="auto"/>
              </w:rPr>
            </w:pPr>
          </w:p>
        </w:tc>
        <w:tc>
          <w:tcPr>
            <w:tcW w:w="260" w:type="dxa"/>
            <w:vAlign w:val="bottom"/>
            <w:tcBorders>
              <w:bottom w:val="single" w:sz="8" w:color="231F20"/>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231F20"/>
                <w:w w:val="88"/>
              </w:rPr>
              <w:t>$</w:t>
            </w:r>
          </w:p>
        </w:tc>
        <w:tc>
          <w:tcPr>
            <w:tcW w:w="920" w:type="dxa"/>
            <w:vAlign w:val="bottom"/>
            <w:tcBorders>
              <w:bottom w:val="single" w:sz="8" w:color="231F20"/>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315,353</w:t>
            </w:r>
          </w:p>
        </w:tc>
        <w:tc>
          <w:tcPr>
            <w:tcW w:w="240" w:type="dxa"/>
            <w:vAlign w:val="bottom"/>
            <w:tcBorders>
              <w:bottom w:val="single" w:sz="8" w:color="EBECEC"/>
            </w:tcBorders>
          </w:tcPr>
          <w:p>
            <w:pPr>
              <w:spacing w:after="0"/>
              <w:rPr>
                <w:sz w:val="20"/>
                <w:szCs w:val="20"/>
                <w:color w:val="auto"/>
              </w:rPr>
            </w:pPr>
          </w:p>
        </w:tc>
        <w:tc>
          <w:tcPr>
            <w:tcW w:w="260" w:type="dxa"/>
            <w:vAlign w:val="bottom"/>
            <w:tcBorders>
              <w:bottom w:val="single" w:sz="8" w:color="231F20"/>
            </w:tcBorders>
          </w:tcPr>
          <w:p>
            <w:pPr>
              <w:jc w:val="right"/>
              <w:ind w:right="95"/>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bottom w:val="single" w:sz="8" w:color="231F20"/>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386,193</w:t>
            </w:r>
          </w:p>
        </w:tc>
        <w:tc>
          <w:tcPr>
            <w:tcW w:w="80" w:type="dxa"/>
            <w:vAlign w:val="bottom"/>
            <w:tcBorders>
              <w:bottom w:val="single" w:sz="8" w:color="EBECEC"/>
            </w:tcBorders>
          </w:tcPr>
          <w:p>
            <w:pPr>
              <w:spacing w:after="0"/>
              <w:rPr>
                <w:sz w:val="20"/>
                <w:szCs w:val="20"/>
                <w:color w:val="auto"/>
              </w:rPr>
            </w:pPr>
          </w:p>
        </w:tc>
      </w:tr>
      <w:tr>
        <w:trPr>
          <w:trHeight w:val="206"/>
        </w:trPr>
        <w:tc>
          <w:tcPr>
            <w:tcW w:w="5640" w:type="dxa"/>
            <w:vAlign w:val="bottom"/>
            <w:shd w:val="clear" w:color="auto" w:fill="EBECEC"/>
          </w:tcPr>
          <w:p>
            <w:pPr>
              <w:spacing w:after="0" w:line="206" w:lineRule="exact"/>
              <w:rPr>
                <w:sz w:val="20"/>
                <w:szCs w:val="20"/>
                <w:color w:val="auto"/>
              </w:rPr>
            </w:pPr>
            <w:r>
              <w:rPr>
                <w:rFonts w:ascii="Times New Roman" w:cs="Times New Roman" w:eastAsia="Times New Roman" w:hAnsi="Times New Roman"/>
                <w:sz w:val="18"/>
                <w:szCs w:val="18"/>
                <w:b w:val="1"/>
                <w:bCs w:val="1"/>
                <w:color w:val="231F20"/>
              </w:rPr>
              <w:t>Supplemental disclosures of cash flow information:</w:t>
            </w:r>
          </w:p>
        </w:tc>
        <w:tc>
          <w:tcPr>
            <w:tcW w:w="240" w:type="dxa"/>
            <w:vAlign w:val="bottom"/>
            <w:shd w:val="clear" w:color="auto" w:fill="EBECEC"/>
          </w:tcPr>
          <w:p>
            <w:pPr>
              <w:spacing w:after="0"/>
              <w:rPr>
                <w:sz w:val="17"/>
                <w:szCs w:val="17"/>
                <w:color w:val="auto"/>
              </w:rPr>
            </w:pPr>
          </w:p>
        </w:tc>
        <w:tc>
          <w:tcPr>
            <w:tcW w:w="940" w:type="dxa"/>
            <w:vAlign w:val="bottom"/>
            <w:shd w:val="clear" w:color="auto" w:fill="EBECEC"/>
          </w:tcPr>
          <w:p>
            <w:pPr>
              <w:spacing w:after="0"/>
              <w:rPr>
                <w:sz w:val="17"/>
                <w:szCs w:val="17"/>
                <w:color w:val="auto"/>
              </w:rPr>
            </w:pPr>
          </w:p>
        </w:tc>
        <w:tc>
          <w:tcPr>
            <w:tcW w:w="220" w:type="dxa"/>
            <w:vAlign w:val="bottom"/>
            <w:shd w:val="clear" w:color="auto" w:fill="EBECEC"/>
          </w:tcPr>
          <w:p>
            <w:pPr>
              <w:spacing w:after="0"/>
              <w:rPr>
                <w:sz w:val="17"/>
                <w:szCs w:val="17"/>
                <w:color w:val="auto"/>
              </w:rPr>
            </w:pPr>
          </w:p>
        </w:tc>
        <w:tc>
          <w:tcPr>
            <w:tcW w:w="260" w:type="dxa"/>
            <w:vAlign w:val="bottom"/>
            <w:shd w:val="clear" w:color="auto" w:fill="EBECEC"/>
          </w:tcPr>
          <w:p>
            <w:pPr>
              <w:spacing w:after="0"/>
              <w:rPr>
                <w:sz w:val="17"/>
                <w:szCs w:val="17"/>
                <w:color w:val="auto"/>
              </w:rPr>
            </w:pPr>
          </w:p>
        </w:tc>
        <w:tc>
          <w:tcPr>
            <w:tcW w:w="920" w:type="dxa"/>
            <w:vAlign w:val="bottom"/>
            <w:shd w:val="clear" w:color="auto" w:fill="EBECEC"/>
          </w:tcPr>
          <w:p>
            <w:pPr>
              <w:spacing w:after="0"/>
              <w:rPr>
                <w:sz w:val="17"/>
                <w:szCs w:val="17"/>
                <w:color w:val="auto"/>
              </w:rPr>
            </w:pPr>
          </w:p>
        </w:tc>
        <w:tc>
          <w:tcPr>
            <w:tcW w:w="240" w:type="dxa"/>
            <w:vAlign w:val="bottom"/>
            <w:shd w:val="clear" w:color="auto" w:fill="EBECEC"/>
          </w:tcPr>
          <w:p>
            <w:pPr>
              <w:spacing w:after="0"/>
              <w:rPr>
                <w:sz w:val="17"/>
                <w:szCs w:val="17"/>
                <w:color w:val="auto"/>
              </w:rPr>
            </w:pPr>
          </w:p>
        </w:tc>
        <w:tc>
          <w:tcPr>
            <w:tcW w:w="260" w:type="dxa"/>
            <w:vAlign w:val="bottom"/>
            <w:shd w:val="clear" w:color="auto" w:fill="EBECEC"/>
          </w:tcPr>
          <w:p>
            <w:pPr>
              <w:spacing w:after="0"/>
              <w:rPr>
                <w:sz w:val="17"/>
                <w:szCs w:val="17"/>
                <w:color w:val="auto"/>
              </w:rPr>
            </w:pPr>
          </w:p>
        </w:tc>
        <w:tc>
          <w:tcPr>
            <w:tcW w:w="92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Interest paid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14,626</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19,690</w:t>
            </w:r>
          </w:p>
        </w:tc>
        <w:tc>
          <w:tcPr>
            <w:tcW w:w="24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16,730</w:t>
            </w:r>
          </w:p>
        </w:tc>
        <w:tc>
          <w:tcPr>
            <w:tcW w:w="80" w:type="dxa"/>
            <w:vAlign w:val="bottom"/>
          </w:tcPr>
          <w:p>
            <w:pPr>
              <w:spacing w:after="0"/>
              <w:rPr>
                <w:sz w:val="19"/>
                <w:szCs w:val="19"/>
                <w:color w:val="auto"/>
              </w:rPr>
            </w:pPr>
          </w:p>
        </w:tc>
      </w:tr>
      <w:tr>
        <w:trPr>
          <w:trHeight w:val="203"/>
        </w:trPr>
        <w:tc>
          <w:tcPr>
            <w:tcW w:w="5640" w:type="dxa"/>
            <w:vAlign w:val="bottom"/>
            <w:shd w:val="clear" w:color="auto" w:fill="EBECEC"/>
          </w:tcPr>
          <w:p>
            <w:pPr>
              <w:spacing w:after="0" w:line="202" w:lineRule="exact"/>
              <w:rPr>
                <w:sz w:val="20"/>
                <w:szCs w:val="20"/>
                <w:color w:val="auto"/>
              </w:rPr>
            </w:pPr>
            <w:r>
              <w:rPr>
                <w:rFonts w:ascii="Times New Roman" w:cs="Times New Roman" w:eastAsia="Times New Roman" w:hAnsi="Times New Roman"/>
                <w:sz w:val="18"/>
                <w:szCs w:val="18"/>
                <w:color w:val="231F20"/>
              </w:rPr>
              <w:t>Operating lease right-of-use asset obtained in exchange for operating lease</w:t>
            </w:r>
          </w:p>
        </w:tc>
        <w:tc>
          <w:tcPr>
            <w:tcW w:w="240" w:type="dxa"/>
            <w:vAlign w:val="bottom"/>
            <w:shd w:val="clear" w:color="auto" w:fill="EBECEC"/>
          </w:tcPr>
          <w:p>
            <w:pPr>
              <w:spacing w:after="0"/>
              <w:rPr>
                <w:sz w:val="17"/>
                <w:szCs w:val="17"/>
                <w:color w:val="auto"/>
              </w:rPr>
            </w:pPr>
          </w:p>
        </w:tc>
        <w:tc>
          <w:tcPr>
            <w:tcW w:w="940" w:type="dxa"/>
            <w:vAlign w:val="bottom"/>
            <w:shd w:val="clear" w:color="auto" w:fill="EBECEC"/>
          </w:tcPr>
          <w:p>
            <w:pPr>
              <w:spacing w:after="0"/>
              <w:rPr>
                <w:sz w:val="17"/>
                <w:szCs w:val="17"/>
                <w:color w:val="auto"/>
              </w:rPr>
            </w:pPr>
          </w:p>
        </w:tc>
        <w:tc>
          <w:tcPr>
            <w:tcW w:w="220" w:type="dxa"/>
            <w:vAlign w:val="bottom"/>
            <w:shd w:val="clear" w:color="auto" w:fill="EBECEC"/>
          </w:tcPr>
          <w:p>
            <w:pPr>
              <w:spacing w:after="0"/>
              <w:rPr>
                <w:sz w:val="17"/>
                <w:szCs w:val="17"/>
                <w:color w:val="auto"/>
              </w:rPr>
            </w:pPr>
          </w:p>
        </w:tc>
        <w:tc>
          <w:tcPr>
            <w:tcW w:w="260" w:type="dxa"/>
            <w:vAlign w:val="bottom"/>
            <w:shd w:val="clear" w:color="auto" w:fill="EBECEC"/>
          </w:tcPr>
          <w:p>
            <w:pPr>
              <w:spacing w:after="0"/>
              <w:rPr>
                <w:sz w:val="17"/>
                <w:szCs w:val="17"/>
                <w:color w:val="auto"/>
              </w:rPr>
            </w:pPr>
          </w:p>
        </w:tc>
        <w:tc>
          <w:tcPr>
            <w:tcW w:w="920" w:type="dxa"/>
            <w:vAlign w:val="bottom"/>
            <w:shd w:val="clear" w:color="auto" w:fill="EBECEC"/>
          </w:tcPr>
          <w:p>
            <w:pPr>
              <w:spacing w:after="0"/>
              <w:rPr>
                <w:sz w:val="17"/>
                <w:szCs w:val="17"/>
                <w:color w:val="auto"/>
              </w:rPr>
            </w:pPr>
          </w:p>
        </w:tc>
        <w:tc>
          <w:tcPr>
            <w:tcW w:w="240" w:type="dxa"/>
            <w:vAlign w:val="bottom"/>
            <w:shd w:val="clear" w:color="auto" w:fill="EBECEC"/>
          </w:tcPr>
          <w:p>
            <w:pPr>
              <w:spacing w:after="0"/>
              <w:rPr>
                <w:sz w:val="17"/>
                <w:szCs w:val="17"/>
                <w:color w:val="auto"/>
              </w:rPr>
            </w:pPr>
          </w:p>
        </w:tc>
        <w:tc>
          <w:tcPr>
            <w:tcW w:w="260" w:type="dxa"/>
            <w:vAlign w:val="bottom"/>
            <w:shd w:val="clear" w:color="auto" w:fill="EBECEC"/>
          </w:tcPr>
          <w:p>
            <w:pPr>
              <w:spacing w:after="0"/>
              <w:rPr>
                <w:sz w:val="17"/>
                <w:szCs w:val="17"/>
                <w:color w:val="auto"/>
              </w:rPr>
            </w:pPr>
          </w:p>
        </w:tc>
        <w:tc>
          <w:tcPr>
            <w:tcW w:w="920" w:type="dxa"/>
            <w:vAlign w:val="bottom"/>
            <w:shd w:val="clear" w:color="auto" w:fill="EBECEC"/>
          </w:tcPr>
          <w:p>
            <w:pPr>
              <w:spacing w:after="0"/>
              <w:rPr>
                <w:sz w:val="17"/>
                <w:szCs w:val="17"/>
                <w:color w:val="auto"/>
              </w:rPr>
            </w:pPr>
          </w:p>
        </w:tc>
        <w:tc>
          <w:tcPr>
            <w:tcW w:w="80" w:type="dxa"/>
            <w:vAlign w:val="bottom"/>
            <w:shd w:val="clear" w:color="auto" w:fill="EBECEC"/>
          </w:tcPr>
          <w:p>
            <w:pPr>
              <w:spacing w:after="0"/>
              <w:rPr>
                <w:sz w:val="17"/>
                <w:szCs w:val="17"/>
                <w:color w:val="auto"/>
              </w:rPr>
            </w:pPr>
          </w:p>
        </w:tc>
      </w:tr>
      <w:tr>
        <w:trPr>
          <w:trHeight w:val="225"/>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liability</w:t>
            </w:r>
          </w:p>
        </w:tc>
        <w:tc>
          <w:tcPr>
            <w:tcW w:w="240" w:type="dxa"/>
            <w:vAlign w:val="bottom"/>
            <w:shd w:val="clear" w:color="auto" w:fill="EBECEC"/>
          </w:tcPr>
          <w:p>
            <w:pPr>
              <w:spacing w:after="0"/>
              <w:rPr>
                <w:sz w:val="19"/>
                <w:szCs w:val="19"/>
                <w:color w:val="auto"/>
              </w:rPr>
            </w:pPr>
          </w:p>
        </w:tc>
        <w:tc>
          <w:tcPr>
            <w:tcW w:w="9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23,869</w:t>
            </w:r>
          </w:p>
        </w:tc>
        <w:tc>
          <w:tcPr>
            <w:tcW w:w="22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7,802</w:t>
            </w:r>
          </w:p>
        </w:tc>
        <w:tc>
          <w:tcPr>
            <w:tcW w:w="80" w:type="dxa"/>
            <w:vAlign w:val="bottom"/>
            <w:shd w:val="clear" w:color="auto" w:fill="EBECEC"/>
          </w:tcPr>
          <w:p>
            <w:pPr>
              <w:spacing w:after="0"/>
              <w:rPr>
                <w:sz w:val="19"/>
                <w:szCs w:val="19"/>
                <w:color w:val="auto"/>
              </w:rPr>
            </w:pPr>
          </w:p>
        </w:tc>
      </w:tr>
      <w:tr>
        <w:trPr>
          <w:trHeight w:val="203"/>
        </w:trPr>
        <w:tc>
          <w:tcPr>
            <w:tcW w:w="5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31F20"/>
              </w:rPr>
              <w:t>Finance lease right-of-use asset obtained in exchange for finance lease</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liability</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color w:val="231F20"/>
              </w:rPr>
              <w:t>Decrease in operating lease right-of-use asset due to lease modification</w:t>
            </w:r>
          </w:p>
        </w:tc>
        <w:tc>
          <w:tcPr>
            <w:tcW w:w="240" w:type="dxa"/>
            <w:vAlign w:val="bottom"/>
            <w:shd w:val="clear" w:color="auto" w:fill="EBECEC"/>
          </w:tcPr>
          <w:p>
            <w:pPr>
              <w:spacing w:after="0"/>
              <w:rPr>
                <w:sz w:val="19"/>
                <w:szCs w:val="19"/>
                <w:color w:val="auto"/>
              </w:rPr>
            </w:pPr>
          </w:p>
        </w:tc>
        <w:tc>
          <w:tcPr>
            <w:tcW w:w="9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8"/>
                <w:szCs w:val="18"/>
                <w:color w:val="231F20"/>
              </w:rPr>
              <w:t>5,349</w:t>
            </w:r>
          </w:p>
        </w:tc>
        <w:tc>
          <w:tcPr>
            <w:tcW w:w="22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1160" w:type="dxa"/>
            <w:vAlign w:val="bottom"/>
            <w:gridSpan w:val="2"/>
            <w:shd w:val="clear" w:color="auto" w:fill="EBECEC"/>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shd w:val="clear" w:color="auto" w:fill="EBECEC"/>
          </w:tcPr>
          <w:p>
            <w:pPr>
              <w:spacing w:after="0"/>
              <w:rPr>
                <w:sz w:val="19"/>
                <w:szCs w:val="19"/>
                <w:color w:val="auto"/>
              </w:rPr>
            </w:pPr>
          </w:p>
        </w:tc>
        <w:tc>
          <w:tcPr>
            <w:tcW w:w="100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Decrease in operating lease liability due to lease modification</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7,599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r>
      <w:tr>
        <w:trPr>
          <w:trHeight w:val="221"/>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18"/>
                <w:szCs w:val="18"/>
                <w:b w:val="1"/>
                <w:bCs w:val="1"/>
                <w:color w:val="231F20"/>
              </w:rPr>
              <w:t>Supplemental disclosures of non-cash financing activity:</w:t>
            </w:r>
          </w:p>
        </w:tc>
        <w:tc>
          <w:tcPr>
            <w:tcW w:w="240" w:type="dxa"/>
            <w:vAlign w:val="bottom"/>
            <w:shd w:val="clear" w:color="auto" w:fill="EBECEC"/>
          </w:tcPr>
          <w:p>
            <w:pPr>
              <w:spacing w:after="0"/>
              <w:rPr>
                <w:sz w:val="19"/>
                <w:szCs w:val="19"/>
                <w:color w:val="auto"/>
              </w:rPr>
            </w:pPr>
          </w:p>
        </w:tc>
        <w:tc>
          <w:tcPr>
            <w:tcW w:w="940" w:type="dxa"/>
            <w:vAlign w:val="bottom"/>
            <w:shd w:val="clear" w:color="auto" w:fill="EBECEC"/>
          </w:tcPr>
          <w:p>
            <w:pPr>
              <w:spacing w:after="0"/>
              <w:rPr>
                <w:sz w:val="19"/>
                <w:szCs w:val="19"/>
                <w:color w:val="auto"/>
              </w:rPr>
            </w:pPr>
          </w:p>
        </w:tc>
        <w:tc>
          <w:tcPr>
            <w:tcW w:w="22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spacing w:after="0"/>
              <w:rPr>
                <w:sz w:val="19"/>
                <w:szCs w:val="19"/>
                <w:color w:val="auto"/>
              </w:rPr>
            </w:pPr>
          </w:p>
        </w:tc>
        <w:tc>
          <w:tcPr>
            <w:tcW w:w="24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spacing w:after="0"/>
              <w:rPr>
                <w:sz w:val="19"/>
                <w:szCs w:val="19"/>
                <w:color w:val="auto"/>
              </w:rPr>
            </w:pPr>
          </w:p>
        </w:tc>
        <w:tc>
          <w:tcPr>
            <w:tcW w:w="80" w:type="dxa"/>
            <w:vAlign w:val="bottom"/>
            <w:shd w:val="clear" w:color="auto" w:fill="EBECEC"/>
          </w:tcPr>
          <w:p>
            <w:pPr>
              <w:spacing w:after="0"/>
              <w:rPr>
                <w:sz w:val="19"/>
                <w:szCs w:val="19"/>
                <w:color w:val="auto"/>
              </w:rPr>
            </w:pPr>
          </w:p>
        </w:tc>
      </w:tr>
      <w:tr>
        <w:trPr>
          <w:trHeight w:val="24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Issuance of warrants in connection with debt financing</w:t>
            </w:r>
          </w:p>
        </w:tc>
        <w:tc>
          <w:tcPr>
            <w:tcW w:w="2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1,635</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-7117715</wp:posOffset>
            </wp:positionV>
            <wp:extent cx="258191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2581910" cy="3810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31F20"/>
        </w:rPr>
        <w:t>The accompanying notes are an integral part of the consolidated financial statements.</w:t>
      </w:r>
    </w:p>
    <w:p>
      <w:pPr>
        <w:sectPr>
          <w:pgSz w:w="12240" w:h="15840" w:orient="portrait"/>
          <w:cols w:equalWidth="0" w:num="1">
            <w:col w:w="9720"/>
          </w:cols>
          <w:pgMar w:left="1260" w:top="1243"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F-7</w:t>
      </w:r>
    </w:p>
    <w:p>
      <w:pPr>
        <w:sectPr>
          <w:pgSz w:w="12240" w:h="15840" w:orient="portrait"/>
          <w:cols w:equalWidth="0" w:num="1">
            <w:col w:w="9720"/>
          </w:cols>
          <w:pgMar w:left="1260" w:top="1243" w:right="1260" w:bottom="175" w:gutter="0" w:footer="0" w:header="0"/>
          <w:type w:val="continuous"/>
        </w:sectPr>
      </w:pPr>
    </w:p>
    <w:bookmarkStart w:id="138" w:name="page139"/>
    <w:bookmarkEnd w:id="138"/>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Axsome Therapeutics,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20"/>
          <w:szCs w:val="20"/>
          <w:color w:val="231F20"/>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 Nature of Business and Basis of Presentation</w:t>
      </w:r>
    </w:p>
    <w:p>
      <w:pPr>
        <w:spacing w:after="0" w:line="244" w:lineRule="exact"/>
        <w:rPr>
          <w:sz w:val="20"/>
          <w:szCs w:val="20"/>
          <w:color w:val="auto"/>
        </w:rPr>
      </w:pPr>
    </w:p>
    <w:p>
      <w:pPr>
        <w:ind w:right="300" w:firstLine="720"/>
        <w:spacing w:after="0" w:line="246" w:lineRule="auto"/>
        <w:rPr>
          <w:sz w:val="20"/>
          <w:szCs w:val="20"/>
          <w:color w:val="auto"/>
        </w:rPr>
      </w:pPr>
      <w:r>
        <w:rPr>
          <w:rFonts w:ascii="Times New Roman" w:cs="Times New Roman" w:eastAsia="Times New Roman" w:hAnsi="Times New Roman"/>
          <w:sz w:val="20"/>
          <w:szCs w:val="20"/>
          <w:color w:val="231F20"/>
        </w:rPr>
        <w:t>Axsome Therapeutics, Inc. (“Axsome” or the “Company”), based in New York, New York, is a biopharmaceutical company dedicated to the development and commercialization of innovative medicines for people living with central nervous system (“CNS”) conditions. Axsome has a diverse portfolio of U.S. Food and Drug Administration (“FDA”) approved treatments for major depressive disorder, excessive daytime sleepiness associated with narcolepsy or obstructive sleep apnea, and migraine, and an expansive pipeline comprised of multiple late-stage development programs addressing a broad range of serious neurological and psychiatric conditions that collectively impact over 150 million people in the United States.</w:t>
      </w:r>
    </w:p>
    <w:p>
      <w:pPr>
        <w:spacing w:after="0" w:line="20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19"/>
          <w:szCs w:val="19"/>
          <w:color w:val="231F20"/>
        </w:rPr>
        <w:t>In May 2022, the Company acquired the U.S. rights to SUNOSI</w:t>
      </w:r>
      <w:r>
        <w:rPr>
          <w:rFonts w:ascii="Times New Roman" w:cs="Times New Roman" w:eastAsia="Times New Roman" w:hAnsi="Times New Roman"/>
          <w:sz w:val="25"/>
          <w:szCs w:val="25"/>
          <w:color w:val="231F20"/>
          <w:vertAlign w:val="superscript"/>
        </w:rPr>
        <w:t>®</w:t>
      </w:r>
      <w:r>
        <w:rPr>
          <w:rFonts w:ascii="Times New Roman" w:cs="Times New Roman" w:eastAsia="Times New Roman" w:hAnsi="Times New Roman"/>
          <w:sz w:val="19"/>
          <w:szCs w:val="19"/>
          <w:color w:val="231F20"/>
        </w:rPr>
        <w:t xml:space="preserve"> (solriamfetol) from Jazz Pharmaceuticals plc (“Jazz”), and in November 2022, the Company acquired worldwide ex-U.S. rights (excluding certain Asian markets) from Jazz (collectively, the “Acquisition”). SUNOSI was approved for the treatment of excessive daytime sleepiness (EDS) in adult patients with narcolepsy or obstructive sleep apnea by the FDA in March 2019 and by the European Commission in January 2020. In February 2023, the Company announced a licensing transaction with Atnahs Pharma UK Limited (“Pharmanovia”) to market SUNOSI in Europe and certain countries in the Middle East / North Africa.</w:t>
      </w:r>
    </w:p>
    <w:p>
      <w:pPr>
        <w:spacing w:after="0" w:line="200" w:lineRule="exact"/>
        <w:rPr>
          <w:sz w:val="20"/>
          <w:szCs w:val="20"/>
          <w:color w:val="auto"/>
        </w:rPr>
      </w:pPr>
    </w:p>
    <w:p>
      <w:pPr>
        <w:ind w:right="80" w:firstLine="720"/>
        <w:spacing w:after="0" w:line="229" w:lineRule="auto"/>
        <w:rPr>
          <w:sz w:val="20"/>
          <w:szCs w:val="20"/>
          <w:color w:val="auto"/>
        </w:rPr>
      </w:pPr>
      <w:r>
        <w:rPr>
          <w:rFonts w:ascii="Times New Roman" w:cs="Times New Roman" w:eastAsia="Times New Roman" w:hAnsi="Times New Roman"/>
          <w:sz w:val="20"/>
          <w:szCs w:val="20"/>
          <w:color w:val="231F20"/>
        </w:rPr>
        <w:t>In August 2022, AUVELITY</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(dextromethorphan-bupropion) was approved by the FDA for the treatment of major depressive disorder in adults. The Company announced the commercial availability of AUVELITY in the U.S. in October 2022.</w:t>
      </w:r>
    </w:p>
    <w:p>
      <w:pPr>
        <w:spacing w:after="0" w:line="206" w:lineRule="exact"/>
        <w:rPr>
          <w:sz w:val="20"/>
          <w:szCs w:val="20"/>
          <w:color w:val="auto"/>
        </w:rPr>
      </w:pPr>
    </w:p>
    <w:p>
      <w:pPr>
        <w:ind w:right="220" w:firstLine="720"/>
        <w:spacing w:after="0" w:line="229" w:lineRule="auto"/>
        <w:rPr>
          <w:sz w:val="20"/>
          <w:szCs w:val="20"/>
          <w:color w:val="auto"/>
        </w:rPr>
      </w:pPr>
      <w:r>
        <w:rPr>
          <w:rFonts w:ascii="Times New Roman" w:cs="Times New Roman" w:eastAsia="Times New Roman" w:hAnsi="Times New Roman"/>
          <w:sz w:val="20"/>
          <w:szCs w:val="20"/>
          <w:color w:val="231F20"/>
        </w:rPr>
        <w:t>In January 2025, SYMBRAVO</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(MoSEIC</w:t>
      </w:r>
      <w:r>
        <w:rPr>
          <w:rFonts w:ascii="Times New Roman" w:cs="Times New Roman" w:eastAsia="Times New Roman" w:hAnsi="Times New Roman"/>
          <w:sz w:val="26"/>
          <w:szCs w:val="26"/>
          <w:color w:val="231F20"/>
          <w:vertAlign w:val="superscript"/>
        </w:rPr>
        <w:t>TM</w:t>
      </w:r>
      <w:r>
        <w:rPr>
          <w:rFonts w:ascii="Times New Roman" w:cs="Times New Roman" w:eastAsia="Times New Roman" w:hAnsi="Times New Roman"/>
          <w:sz w:val="20"/>
          <w:szCs w:val="20"/>
          <w:color w:val="231F20"/>
        </w:rPr>
        <w:t xml:space="preserve"> meloxicam-rizatriptan) was approved by the FDA for the acute treatment of migraine with or without aura in adults. The Company announced the commercial availability of SYMBRAVO in the U.S. in June 2025.</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In November 2025, the Company acquired the global rights to AZD7325 (AXS-17), a novel oral</w:t>
      </w:r>
    </w:p>
    <w:p>
      <w:pPr>
        <w:spacing w:after="0" w:line="2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231F20"/>
        </w:rPr>
        <w:t>GABAA receptor α2,3 subtype-selective positive allosteric modulator (PAM), effectuated through the acquisition of all of the outstanding shares of Baergic Bio, Inc., a clinical-stage biopharmaceutical company and subsidiary of Avenue Therapeutics (Baergic). AZD7325 was originally licensed by Baergic from AstraZeneca AB. Axsome intends to evaluate AZD7325 as a potential treatment for epilepsy and plans to begin Phase 2 trial-enabling activities in 2026.</w:t>
      </w:r>
    </w:p>
    <w:p>
      <w:pPr>
        <w:spacing w:after="0" w:line="204"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231F20"/>
        </w:rPr>
        <w:t>In December 2025, the Company acquired the global rights to deuterium-stabilized S-bupropion from DeuteRx, LLC, a privately held biopharmaceutical company (DeuteRx).</w:t>
      </w:r>
    </w:p>
    <w:p>
      <w:pPr>
        <w:spacing w:after="0" w:line="169"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color w:val="231F20"/>
        </w:rPr>
        <w:t>The Company refers herein to AUVELITY, SUNOSI, SYMBRAVO (also referred to as “AXS-07”), AXS-12, AXS-14, and its programs to develop additional indications for AXS-05 and solriamfetol as the Company’s products.</w:t>
      </w:r>
    </w:p>
    <w:p>
      <w:pPr>
        <w:spacing w:after="0" w:line="169"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231F20"/>
        </w:rPr>
        <w:t>The accompanying consolidated financial statements have been prepared in conformity with accounting principles generally accepted in the United States of America (“GAAP”). The consolidated financial statements include the accounts of the Company and its wholly owned subsidiaries. All material intercompany accounts and transactions have been eliminated during the consolidation process.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244"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231F20"/>
        </w:rPr>
        <w:t>The Company has incurred operating losses since its inception and expects to continue to incur operating losses and may never become profitable. As of December 31, 2025, the Company had an accumulated deficit of $1,306.0 million.</w:t>
      </w:r>
    </w:p>
    <w:p>
      <w:pPr>
        <w:sectPr>
          <w:pgSz w:w="12240" w:h="15840" w:orient="portrait"/>
          <w:cols w:equalWidth="0" w:num="1">
            <w:col w:w="9680"/>
          </w:cols>
          <w:pgMar w:left="1260" w:top="1243" w:right="13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F-8</w:t>
      </w:r>
    </w:p>
    <w:p>
      <w:pPr>
        <w:sectPr>
          <w:pgSz w:w="12240" w:h="15840" w:orient="portrait"/>
          <w:cols w:equalWidth="0" w:num="1">
            <w:col w:w="9680"/>
          </w:cols>
          <w:pgMar w:left="1260" w:top="1243" w:right="1300" w:bottom="175" w:gutter="0" w:footer="0" w:header="0"/>
          <w:type w:val="continuous"/>
        </w:sectPr>
      </w:pPr>
    </w:p>
    <w:bookmarkStart w:id="139" w:name="page140"/>
    <w:bookmarkEnd w:id="139"/>
    <w:p>
      <w:pPr>
        <w:ind w:right="160" w:firstLine="720"/>
        <w:spacing w:after="0" w:line="247" w:lineRule="auto"/>
        <w:rPr>
          <w:sz w:val="20"/>
          <w:szCs w:val="20"/>
          <w:color w:val="auto"/>
        </w:rPr>
      </w:pPr>
      <w:r>
        <w:rPr>
          <w:rFonts w:ascii="Times New Roman" w:cs="Times New Roman" w:eastAsia="Times New Roman" w:hAnsi="Times New Roman"/>
          <w:sz w:val="20"/>
          <w:szCs w:val="20"/>
          <w:color w:val="231F20"/>
        </w:rPr>
        <w:t>The Company’s primary sources of cash have been proceeds from the sales of AUVELITY, SUNOSI, and SYMBRAVO,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20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AUVELITY, SUNOSI, and SYMBRAVO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Company’s common stock is listed on The Nasdaq Global Market and trades under the symbol “AXSM.”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2. Summary of Significant Accounting Policies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Significant Risks and Uncertainties</w:t>
      </w:r>
    </w:p>
    <w:p>
      <w:pPr>
        <w:spacing w:after="0" w:line="244"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202"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231F20"/>
        </w:rPr>
        <w:t>The Company currently has three commercial products, AUVELITY, SUNOSI, and SYMBRAVO. There can be no assurance that the Company’s research and development efforts will result in additional successfully commercialized products.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Use of Estimates</w:t>
      </w:r>
    </w:p>
    <w:p>
      <w:pPr>
        <w:spacing w:after="0" w:line="244"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ectPr>
          <w:pgSz w:w="12240" w:h="15840" w:orient="portrait"/>
          <w:cols w:equalWidth="0" w:num="1">
            <w:col w:w="9700"/>
          </w:cols>
          <w:pgMar w:left="1260" w:top="1247" w:right="12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F-9</w:t>
      </w:r>
    </w:p>
    <w:p>
      <w:pPr>
        <w:sectPr>
          <w:pgSz w:w="12240" w:h="15840" w:orient="portrait"/>
          <w:cols w:equalWidth="0" w:num="1">
            <w:col w:w="9700"/>
          </w:cols>
          <w:pgMar w:left="1260" w:top="1247" w:right="1280" w:bottom="175"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231F20"/>
        </w:rPr>
        <w:t>Revenue Recognition</w:t>
      </w:r>
    </w:p>
    <w:p>
      <w:pPr>
        <w:spacing w:after="0" w:line="24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200"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231F20"/>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and Note 14. Revenues.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License Agreements</w:t>
      </w:r>
    </w:p>
    <w:p>
      <w:pPr>
        <w:spacing w:after="0" w:line="238" w:lineRule="exact"/>
        <w:rPr>
          <w:sz w:val="20"/>
          <w:szCs w:val="20"/>
          <w:color w:val="auto"/>
        </w:rPr>
      </w:pPr>
    </w:p>
    <w:p>
      <w:pPr>
        <w:ind w:right="360" w:firstLine="720"/>
        <w:spacing w:after="0" w:line="252" w:lineRule="auto"/>
        <w:rPr>
          <w:sz w:val="20"/>
          <w:szCs w:val="20"/>
          <w:color w:val="auto"/>
        </w:rPr>
      </w:pPr>
      <w:r>
        <w:rPr>
          <w:rFonts w:ascii="Times New Roman" w:cs="Times New Roman" w:eastAsia="Times New Roman" w:hAnsi="Times New Roman"/>
          <w:sz w:val="20"/>
          <w:szCs w:val="20"/>
          <w:color w:val="231F20"/>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94"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231F20"/>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206"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231F20"/>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spacing w:after="0" w:line="202"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ectPr>
          <w:pgSz w:w="12240" w:h="15840" w:orient="portrait"/>
          <w:cols w:equalWidth="0" w:num="1">
            <w:col w:w="9700"/>
          </w:cols>
          <w:pgMar w:left="1260" w:top="1243"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F-10</w:t>
      </w:r>
    </w:p>
    <w:p>
      <w:pPr>
        <w:sectPr>
          <w:pgSz w:w="12240" w:h="15840" w:orient="portrait"/>
          <w:cols w:equalWidth="0" w:num="1">
            <w:col w:w="9700"/>
          </w:cols>
          <w:pgMar w:left="1260" w:top="1243" w:right="1280" w:bottom="186"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i w:val="1"/>
          <w:iCs w:val="1"/>
          <w:color w:val="231F20"/>
        </w:rPr>
        <w:t>Product Sales, net</w:t>
      </w:r>
    </w:p>
    <w:p>
      <w:pPr>
        <w:spacing w:after="0" w:line="23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Revenues from product sales are recorded net of reserves for variable consideration. These reserves reflect the Company’s best estimate of the amount of consideration to which the Company is entitled based on the terms of the contracts. The Company sells AUVELITY, SUNOSI, and SYMBRAVO in the United States to wholesale distributors with whom the Company has entered into formal agreements (collectively, the “Distributors”). These Distributors subsequently resell the Company’s products to retail pharmacies. The Company also sells SUNOSI to Distributors in Canada and on a product supply basis to Pharmanovia. SUNOSI is subsequently sold by Pharmanovia in certain ex-U.S. markets. The Company does not sell products under consignment arrangements, and the collection of proceeds from product sales is not contingent upon customers’ sale of the goods to third parties. The Company received FDA approval for SYMBRAVO in January 2025. See Note 14. Revenues for a further breakout of product sales, net.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Reserves for Variable Consideration</w:t>
      </w:r>
    </w:p>
    <w:p>
      <w:pPr>
        <w:spacing w:after="0" w:line="23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202"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20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Trade Discounts and Allowances </w:t>
      </w:r>
      <w:r>
        <w:rPr>
          <w:rFonts w:ascii="Times New Roman" w:cs="Times New Roman" w:eastAsia="Times New Roman" w:hAnsi="Times New Roman"/>
          <w:sz w:val="20"/>
          <w:szCs w:val="20"/>
          <w:color w:val="231F20"/>
        </w:rPr>
        <w:t>- The Company generally provides discounts which include incentive fees that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are explicitly stated in the 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 net on the consolidated balance sheets.</w:t>
      </w:r>
    </w:p>
    <w:p>
      <w:pPr>
        <w:spacing w:after="0" w:line="197"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Product Returns - </w:t>
      </w:r>
      <w:r>
        <w:rPr>
          <w:rFonts w:ascii="Times New Roman" w:cs="Times New Roman" w:eastAsia="Times New Roman" w:hAnsi="Times New Roman"/>
          <w:sz w:val="20"/>
          <w:szCs w:val="20"/>
          <w:color w:val="231F20"/>
        </w:rPr>
        <w:t>The Company generally offers a limited right of return for product that has been purchased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from the Company based on the 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97"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i w:val="1"/>
          <w:iCs w:val="1"/>
          <w:color w:val="231F20"/>
        </w:rPr>
        <w:t xml:space="preserve">Chargebacks and Discounts - </w:t>
      </w:r>
      <w:r>
        <w:rPr>
          <w:rFonts w:ascii="Times New Roman" w:cs="Times New Roman" w:eastAsia="Times New Roman" w:hAnsi="Times New Roman"/>
          <w:sz w:val="20"/>
          <w:szCs w:val="20"/>
          <w:color w:val="231F20"/>
        </w:rPr>
        <w:t>Chargebacks for fees and discounts to providers represent the estimated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obligations resulting from contractual 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 net.</w:t>
      </w:r>
    </w:p>
    <w:p>
      <w:pPr>
        <w:sectPr>
          <w:pgSz w:w="12240" w:h="15840" w:orient="portrait"/>
          <w:cols w:equalWidth="0" w:num="1">
            <w:col w:w="9700"/>
          </w:cols>
          <w:pgMar w:left="1260" w:top="1249"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F-11</w:t>
      </w:r>
    </w:p>
    <w:p>
      <w:pPr>
        <w:sectPr>
          <w:pgSz w:w="12240" w:h="15840" w:orient="portrait"/>
          <w:cols w:equalWidth="0" w:num="1">
            <w:col w:w="9700"/>
          </w:cols>
          <w:pgMar w:left="1260" w:top="1249" w:right="1280" w:bottom="186" w:gutter="0" w:footer="0" w:header="0"/>
          <w:type w:val="continuous"/>
        </w:sectPr>
      </w:pPr>
    </w:p>
    <w:bookmarkStart w:id="142" w:name="page143"/>
    <w:bookmarkEnd w:id="142"/>
    <w:p>
      <w:pPr>
        <w:ind w:firstLine="720"/>
        <w:spacing w:after="0" w:line="243" w:lineRule="auto"/>
        <w:rPr>
          <w:sz w:val="20"/>
          <w:szCs w:val="20"/>
          <w:color w:val="auto"/>
        </w:rPr>
      </w:pPr>
      <w:r>
        <w:rPr>
          <w:rFonts w:ascii="Times New Roman" w:cs="Times New Roman" w:eastAsia="Times New Roman" w:hAnsi="Times New Roman"/>
          <w:sz w:val="20"/>
          <w:szCs w:val="20"/>
          <w:i w:val="1"/>
          <w:iCs w:val="1"/>
          <w:color w:val="231F20"/>
        </w:rPr>
        <w:t xml:space="preserve">Rebates - </w:t>
      </w:r>
      <w:r>
        <w:rPr>
          <w:rFonts w:ascii="Times New Roman" w:cs="Times New Roman" w:eastAsia="Times New Roman" w:hAnsi="Times New Roman"/>
          <w:sz w:val="20"/>
          <w:szCs w:val="20"/>
          <w:color w:val="231F20"/>
        </w:rPr>
        <w:t>Rebates apply to: Medicaid, managed care, and supplemental rebates to all applicable states as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defined by the statutory government 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for Medicare Inflation Based Rebates resulting from the Inflation Reduction Act of 2022, which includes measures requiring manufacturers to pay rebates where price increases exceed the rate of inflation. The Company estimates these rebates and records such estimates in the same period the related product sales are recognized, resulting in a reduction to product sales as well as a component of accrued expenses and other current liabilities.</w:t>
      </w:r>
    </w:p>
    <w:p>
      <w:pPr>
        <w:spacing w:after="0" w:line="209"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i w:val="1"/>
          <w:iCs w:val="1"/>
          <w:color w:val="231F20"/>
        </w:rPr>
        <w:t xml:space="preserve">Coverage Gap - </w:t>
      </w:r>
      <w:r>
        <w:rPr>
          <w:rFonts w:ascii="Times New Roman" w:cs="Times New Roman" w:eastAsia="Times New Roman" w:hAnsi="Times New Roman"/>
          <w:sz w:val="20"/>
          <w:szCs w:val="20"/>
          <w:color w:val="231F20"/>
        </w:rPr>
        <w:t>The Medicare Part D coverage gap is a period of consumer payment for prescription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medication costs which lies between the initial coverage limit and the catastrophic-coverage threshold, when the patient is a member of a Medicare Part D prescription-drug program administered by the Centers for Medicare &amp; Medicaid Services. The Company estimates the percentage of goods sold to patients in the Coverage Gap and adjusts the transaction price for such discount at the time of sale resulting in a reduction to product sales as well as a component of accrued expenses and other current liabilities.</w:t>
      </w:r>
    </w:p>
    <w:p>
      <w:pPr>
        <w:spacing w:after="0" w:line="200"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Medicare Part D Program Redesign </w:t>
      </w:r>
      <w:r>
        <w:rPr>
          <w:rFonts w:ascii="Times New Roman" w:cs="Times New Roman" w:eastAsia="Times New Roman" w:hAnsi="Times New Roman"/>
          <w:sz w:val="20"/>
          <w:szCs w:val="20"/>
          <w:color w:val="231F20"/>
        </w:rPr>
        <w:t>- Effective January 1, 2025, the Medicare Part D coverage gap program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was replaced with a redesigned program under the Inflation Reduction Act of 2022.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The Company estimates the percentage of goods sold to patients in the initial coverage and catastrophic coverage phases and adjusts the transaction price for such discount at the time of sale resulting in a reduction to product sales as well as a component of accrued expenses and other current liabilities.</w:t>
      </w:r>
    </w:p>
    <w:p>
      <w:pPr>
        <w:spacing w:after="0" w:line="200"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Other Incentives - </w:t>
      </w:r>
      <w:r>
        <w:rPr>
          <w:rFonts w:ascii="Times New Roman" w:cs="Times New Roman" w:eastAsia="Times New Roman" w:hAnsi="Times New Roman"/>
          <w:sz w:val="20"/>
          <w:szCs w:val="20"/>
          <w:color w:val="231F20"/>
        </w:rPr>
        <w:t>Other incentives which the Company offers include voluntary patient assistance programs,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such as the co-pay assistance 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spacing w:after="0" w:line="200"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231F20"/>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Cost of Revenue</w:t>
      </w:r>
    </w:p>
    <w:p>
      <w:pPr>
        <w:spacing w:after="0" w:line="244"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231F20"/>
        </w:rPr>
        <w:t>The Company’s cost of revenue consists of cost of product sales, fee sharing expense related to the upfront license revenue received, and expense related to a sales-based milestone. Cost of product sales primarily include direct costs (inclusive of material, shipping, handling, and manufacturing costs), overhead and product royalties. Cost of product sales excludes depreciation and amortization. In the fourth quarter of 2024, the Company recorded a $2.5 million expense for the achievement of a sales-based milestone related to world-wide SUNOSI sales. In the first quarter of 2023, the Company recorded a $5.0 million fee sharing expense related to the upfront license revenue received.</w:t>
      </w:r>
    </w:p>
    <w:p>
      <w:pPr>
        <w:sectPr>
          <w:pgSz w:w="12240" w:h="15840" w:orient="portrait"/>
          <w:cols w:equalWidth="0" w:num="1">
            <w:col w:w="9700"/>
          </w:cols>
          <w:pgMar w:left="1260" w:top="1247"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F-12</w:t>
      </w:r>
    </w:p>
    <w:p>
      <w:pPr>
        <w:sectPr>
          <w:pgSz w:w="12240" w:h="15840" w:orient="portrait"/>
          <w:cols w:equalWidth="0" w:num="1">
            <w:col w:w="9700"/>
          </w:cols>
          <w:pgMar w:left="1260" w:top="1247" w:right="1280" w:bottom="186" w:gutter="0" w:footer="0" w:header="0"/>
          <w:type w:val="continuous"/>
        </w:sectPr>
      </w:pPr>
    </w:p>
    <w:bookmarkStart w:id="143" w:name="page144"/>
    <w:bookmarkEnd w:id="143"/>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$162.5 million based on revenue milestones and $1.0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Foreign Currency Translation</w:t>
      </w:r>
    </w:p>
    <w:p>
      <w:pPr>
        <w:spacing w:after="0" w:line="244"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Segment Information</w:t>
      </w:r>
    </w:p>
    <w:p>
      <w:pPr>
        <w:spacing w:after="0" w:line="244"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231F20"/>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and reporting segment, which is the business of developing and delivering novel therapies for the management of CNS disorders. See Note 20. Segment Information for further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Cash and Cash Equivalents</w:t>
      </w:r>
    </w:p>
    <w:p>
      <w:pPr>
        <w:spacing w:after="0" w:line="24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The Company considers all highly liquid investments that have maturities of three months or less when acquired to be cash equivalents. The Company’s cash and cash equivalents include holdings in checking and overnight sweep accounts. The Company’s cash equivalents, which are money market funds held in a sweep account, are measured at fair value on a recurring basis. As of December 31, 2025, the balance of cash and cash equivalents was $ 322.9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Concentration of Risk</w:t>
      </w:r>
    </w:p>
    <w:p>
      <w:pPr>
        <w:spacing w:after="0" w:line="244"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i w:val="1"/>
          <w:iCs w:val="1"/>
          <w:color w:val="231F20"/>
        </w:rPr>
        <w:t xml:space="preserve">Concentration of Credit Risk - </w:t>
      </w:r>
      <w:r>
        <w:rPr>
          <w:rFonts w:ascii="Times New Roman" w:cs="Times New Roman" w:eastAsia="Times New Roman" w:hAnsi="Times New Roman"/>
          <w:sz w:val="20"/>
          <w:szCs w:val="20"/>
          <w:color w:val="231F20"/>
        </w:rPr>
        <w:t>Financial instruments that potentially subject the Company to a concentration of</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credit risk consist of cash and cash equivalents. The Company maintains its cash deposits at financial institutions, which cash deposits exceed insured limits. At December 31, 2025,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 net below for further information.</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 xml:space="preserve">Concentration of Risk, Other - </w:t>
      </w:r>
      <w:r>
        <w:rPr>
          <w:rFonts w:ascii="Times New Roman" w:cs="Times New Roman" w:eastAsia="Times New Roman" w:hAnsi="Times New Roman"/>
          <w:sz w:val="20"/>
          <w:szCs w:val="20"/>
          <w:color w:val="231F20"/>
        </w:rPr>
        <w:t>The Company has a limited number of contract manufacturers for its products.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At times, the Company may have only one manufacturer or supplier for its products.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Combination</w:t>
      </w:r>
    </w:p>
    <w:p>
      <w:pPr>
        <w:spacing w:after="0" w:line="244"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231F20"/>
        </w:rPr>
        <w:t>The Company accounted for the acquisition of SUNOSI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ectPr>
          <w:pgSz w:w="12240" w:h="15840" w:orient="portrait"/>
          <w:cols w:equalWidth="0" w:num="1">
            <w:col w:w="9700"/>
          </w:cols>
          <w:pgMar w:left="1260" w:top="1247" w:right="1280" w:bottom="186"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F-13</w:t>
      </w:r>
    </w:p>
    <w:p>
      <w:pPr>
        <w:sectPr>
          <w:pgSz w:w="12240" w:h="15840" w:orient="portrait"/>
          <w:cols w:equalWidth="0" w:num="1">
            <w:col w:w="9700"/>
          </w:cols>
          <w:pgMar w:left="1260" w:top="1247" w:right="1280" w:bottom="186" w:gutter="0" w:footer="0" w:header="0"/>
          <w:type w:val="continuous"/>
        </w:sectPr>
      </w:pPr>
    </w:p>
    <w:bookmarkStart w:id="144" w:name="page145"/>
    <w:bookmarkEnd w:id="144"/>
    <w:p>
      <w:pPr>
        <w:ind w:left="720"/>
        <w:spacing w:after="0"/>
        <w:rPr>
          <w:sz w:val="20"/>
          <w:szCs w:val="20"/>
          <w:color w:val="auto"/>
        </w:rPr>
      </w:pPr>
      <w:r>
        <w:rPr>
          <w:rFonts w:ascii="Times New Roman" w:cs="Times New Roman" w:eastAsia="Times New Roman" w:hAnsi="Times New Roman"/>
          <w:sz w:val="20"/>
          <w:szCs w:val="20"/>
          <w:color w:val="231F20"/>
        </w:rPr>
        <w:t>As a result of the Acquisition, the Company recorded goodwill and an intangible asset.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Goodwill</w:t>
      </w:r>
    </w:p>
    <w:p>
      <w:pPr>
        <w:spacing w:after="0" w:line="23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231F20"/>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December 31, 2025, the Company has determined that it has one reporting unit. The Company has not identified any events or changes in circumstances that indicate the existence of potential impairment of goodwill during the fiscal year ended December 31, 2025. The balance of goodwill was $12.0 million at both December 31, 2025 and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Intangible Asset</w:t>
      </w:r>
    </w:p>
    <w:p>
      <w:pPr>
        <w:spacing w:after="0" w:line="238"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year ended December 31,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Asset Acquisition</w:t>
      </w:r>
    </w:p>
    <w:p>
      <w:pPr>
        <w:spacing w:after="0" w:line="244"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Acquisitions that do not qualify as a business combination are accounted for as an acquisition of an asset. The cost of the acquisition is allocated to the assets acquired and liabilities assumed. At acquisition, in process research and development projects with no alternative future use are recorded as research and development expense. Direct and incremental transaction costs are included in the cost of the acquisition. Contingent consideration obligations relating to development, regulatory and commercial milestones are not recognized at the acquisition date and instead are recorded when it is probable they will occur and can be reasonably estimated.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Contingent Consideration</w:t>
      </w:r>
    </w:p>
    <w:p>
      <w:pPr>
        <w:spacing w:after="0" w:line="244"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ectPr>
          <w:pgSz w:w="12240" w:h="15840" w:orient="portrait"/>
          <w:cols w:equalWidth="0" w:num="1">
            <w:col w:w="9720"/>
          </w:cols>
          <w:pgMar w:left="1260" w:top="1247"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F-14</w:t>
      </w:r>
    </w:p>
    <w:p>
      <w:pPr>
        <w:sectPr>
          <w:pgSz w:w="12240" w:h="15840" w:orient="portrait"/>
          <w:cols w:equalWidth="0" w:num="1">
            <w:col w:w="9720"/>
          </w:cols>
          <w:pgMar w:left="1260" w:top="1247" w:right="1260" w:bottom="186"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color w:val="231F20"/>
        </w:rPr>
        <w:t>Fair Value Measurements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Fair value is defined as the exchange price that would be received for an asset or paid to transfer a liability (an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exit price) in the principal or most advantageous market for the asset or liability in an orderly transaction between market</w:t>
      </w:r>
    </w:p>
    <w:p>
      <w:pPr>
        <w:spacing w:after="0"/>
        <w:rPr>
          <w:sz w:val="20"/>
          <w:szCs w:val="20"/>
          <w:color w:val="auto"/>
        </w:rPr>
      </w:pPr>
      <w:r>
        <w:rPr>
          <w:rFonts w:ascii="Times New Roman" w:cs="Times New Roman" w:eastAsia="Times New Roman" w:hAnsi="Times New Roman"/>
          <w:sz w:val="20"/>
          <w:szCs w:val="20"/>
          <w:color w:val="231F20"/>
        </w:rPr>
        <w:t>participants at the measurement date. Assets and liabilities that are measured at fair value are reported using a</w:t>
      </w:r>
    </w:p>
    <w:p>
      <w:pPr>
        <w:spacing w:after="0" w:line="8"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231F20"/>
        </w:rPr>
        <w:t>three</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level fair value hierarchy that prioritizes the inputs used to measure fair value. This hierarchy maximizes the use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observable inputs and minimizes the use of unobservable inputs. The three levels of inputs used to measure fair value 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follows:</w:t>
      </w:r>
    </w:p>
    <w:p>
      <w:pPr>
        <w:spacing w:after="0" w:line="212" w:lineRule="exact"/>
        <w:rPr>
          <w:sz w:val="20"/>
          <w:szCs w:val="20"/>
          <w:color w:val="auto"/>
        </w:rPr>
      </w:pPr>
    </w:p>
    <w:p>
      <w:pPr>
        <w:ind w:right="260" w:firstLine="720"/>
        <w:spacing w:after="0" w:line="277" w:lineRule="auto"/>
        <w:rPr>
          <w:sz w:val="20"/>
          <w:szCs w:val="20"/>
          <w:color w:val="auto"/>
        </w:rPr>
      </w:pPr>
      <w:r>
        <w:rPr>
          <w:rFonts w:ascii="Times New Roman" w:cs="Times New Roman" w:eastAsia="Times New Roman" w:hAnsi="Times New Roman"/>
          <w:sz w:val="20"/>
          <w:szCs w:val="20"/>
          <w:color w:val="231F20"/>
        </w:rPr>
        <w:t>Level 1—Quoted prices in active markets for identical assets or liabilities that the Company has the ability to access at the measurement date.</w:t>
      </w:r>
    </w:p>
    <w:p>
      <w:pPr>
        <w:spacing w:after="0" w:line="169" w:lineRule="exact"/>
        <w:rPr>
          <w:sz w:val="20"/>
          <w:szCs w:val="20"/>
          <w:color w:val="auto"/>
        </w:rPr>
      </w:pPr>
    </w:p>
    <w:p>
      <w:pPr>
        <w:ind w:right="280" w:firstLine="720"/>
        <w:spacing w:after="0" w:line="277" w:lineRule="auto"/>
        <w:rPr>
          <w:sz w:val="20"/>
          <w:szCs w:val="20"/>
          <w:color w:val="auto"/>
        </w:rPr>
      </w:pPr>
      <w:r>
        <w:rPr>
          <w:rFonts w:ascii="Times New Roman" w:cs="Times New Roman" w:eastAsia="Times New Roman" w:hAnsi="Times New Roman"/>
          <w:sz w:val="20"/>
          <w:szCs w:val="20"/>
          <w:color w:val="231F20"/>
        </w:rPr>
        <w:t>Level 2—Inputs other than quoted prices in active markets that are observable for the asset or liability, either directly or indirectly.</w:t>
      </w:r>
    </w:p>
    <w:p>
      <w:pPr>
        <w:spacing w:after="0" w:line="169" w:lineRule="exact"/>
        <w:rPr>
          <w:sz w:val="20"/>
          <w:szCs w:val="20"/>
          <w:color w:val="auto"/>
        </w:rPr>
      </w:pPr>
    </w:p>
    <w:p>
      <w:pPr>
        <w:ind w:right="220" w:firstLine="720"/>
        <w:spacing w:after="0" w:line="277" w:lineRule="auto"/>
        <w:rPr>
          <w:sz w:val="20"/>
          <w:szCs w:val="20"/>
          <w:color w:val="auto"/>
        </w:rPr>
      </w:pPr>
      <w:r>
        <w:rPr>
          <w:rFonts w:ascii="Times New Roman" w:cs="Times New Roman" w:eastAsia="Times New Roman" w:hAnsi="Times New Roman"/>
          <w:sz w:val="20"/>
          <w:szCs w:val="20"/>
          <w:color w:val="231F20"/>
        </w:rPr>
        <w:t>Level 3—Unobservable inputs for which there is little or no market data, which require the reporting entity to develop its own assumptions.</w:t>
      </w:r>
    </w:p>
    <w:p>
      <w:pPr>
        <w:spacing w:after="0" w:line="169"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94"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The Company’s financial instruments are cash and cash equivalents, accounts receivable, accounts payable, accrued expenses and other liabilities, contingent warrant liability, short-term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w:t>
      </w:r>
    </w:p>
    <w:p>
      <w:pPr>
        <w:spacing w:after="0" w:line="206"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231F20"/>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7. Fair Value of Financial Instruments for further detail.</w:t>
      </w:r>
    </w:p>
    <w:p>
      <w:pPr>
        <w:spacing w:after="0" w:line="202"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231F20"/>
        </w:rPr>
        <w:t>The Company estimated the fair value of contingent warrant liability using the Black-Scholes model based on key assumption and inputs. The Company utilized a probability assessment to estimate the likelihood of vesting for the remaining Hercules Loan Agreement (as defined below) warrants and allocated the probability of occurrence percentage to the fair values calculated, and, therefore, was considered Level 3 within the fair value hierarchy. The Company accounted for warrants anticipated to be issued in the future under the Hercules Loan Agreement as liabilities and measured them at fair value using the Black-Scholes valuation model. In the second quarter of 2025, the Company derecognized the fair value of contingent warrant liability upon extinguishment of the Hercules Loan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Accounts Receivable, net</w:t>
      </w:r>
    </w:p>
    <w:p>
      <w:pPr>
        <w:spacing w:after="0" w:line="244"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231F20"/>
        </w:rPr>
        <w:t>The Company’s accounts receivable, net, arise from product sales and represent amounts due from its customers. They are generally stated at the gross sales amount, less reserves resulting from trade discounts and allowances and chargebacks. Accounts receivable typically has a standard payment term of 60 days or less and does not bear interest.</w:t>
      </w:r>
    </w:p>
    <w:p>
      <w:pPr>
        <w:sectPr>
          <w:pgSz w:w="12240" w:h="15840" w:orient="portrait"/>
          <w:cols w:equalWidth="0" w:num="1">
            <w:col w:w="9720"/>
          </w:cols>
          <w:pgMar w:left="1260" w:top="1243" w:right="1260" w:bottom="186"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F-15</w:t>
      </w:r>
    </w:p>
    <w:p>
      <w:pPr>
        <w:sectPr>
          <w:pgSz w:w="12240" w:h="15840" w:orient="portrait"/>
          <w:cols w:equalWidth="0" w:num="1">
            <w:col w:w="9720"/>
          </w:cols>
          <w:pgMar w:left="1260" w:top="1243" w:right="1260" w:bottom="186" w:gutter="0" w:footer="0" w:header="0"/>
          <w:type w:val="continuous"/>
        </w:sectPr>
      </w:pPr>
    </w:p>
    <w:bookmarkStart w:id="146" w:name="page147"/>
    <w:bookmarkEnd w:id="146"/>
    <w:p>
      <w:pPr>
        <w:ind w:firstLine="720"/>
        <w:spacing w:after="0" w:line="245" w:lineRule="auto"/>
        <w:rPr>
          <w:sz w:val="20"/>
          <w:szCs w:val="20"/>
          <w:color w:val="auto"/>
        </w:rPr>
      </w:pPr>
      <w:r>
        <w:rPr>
          <w:rFonts w:ascii="Times New Roman" w:cs="Times New Roman" w:eastAsia="Times New Roman" w:hAnsi="Times New Roman"/>
          <w:sz w:val="20"/>
          <w:szCs w:val="20"/>
          <w:color w:val="231F20"/>
        </w:rPr>
        <w:t>The Company monitors the financial performance and creditworthiness of its customers so that it can properly assess and respond to changes in the customers’ credit profiles.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As of December 31, 2025, the Company did not have an allowance for doubtful accounts balance and did not experience any significant credit losses. For further information about accounts receivable, see Note 3. Accounts Receivable, net.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Debt Issuance Costs</w:t>
      </w:r>
    </w:p>
    <w:p>
      <w:pPr>
        <w:spacing w:after="0" w:line="244"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Debt issuance costs consist of costs incurred in obtaining long-term financing. These costs are classified on the consolidated balance sheet as a direct deduction from the carrying amount of the related debt liability and subsequently amortized as interest expense in the consolidated statement of operations using the effective interest rate method. Costs that are directly attributable to the issuance of revolving credit facilities are capitalized and ratably amortized over the term of the revolving credit facility.</w:t>
      </w:r>
    </w:p>
    <w:p>
      <w:pPr>
        <w:spacing w:after="0" w:line="197" w:lineRule="exact"/>
        <w:rPr>
          <w:sz w:val="20"/>
          <w:szCs w:val="20"/>
          <w:color w:val="auto"/>
        </w:rPr>
      </w:pPr>
    </w:p>
    <w:p>
      <w:pPr>
        <w:ind w:right="220" w:firstLine="720"/>
        <w:spacing w:after="0" w:line="246" w:lineRule="auto"/>
        <w:rPr>
          <w:sz w:val="20"/>
          <w:szCs w:val="20"/>
          <w:color w:val="auto"/>
        </w:rPr>
      </w:pPr>
      <w:r>
        <w:rPr>
          <w:rFonts w:ascii="Times New Roman" w:cs="Times New Roman" w:eastAsia="Times New Roman" w:hAnsi="Times New Roman"/>
          <w:sz w:val="20"/>
          <w:szCs w:val="20"/>
          <w:color w:val="231F20"/>
        </w:rPr>
        <w:t xml:space="preserve">The Company evaluates amendments to its debt instruments in accordance with ASC 470-50, </w:t>
      </w:r>
      <w:r>
        <w:rPr>
          <w:rFonts w:ascii="Times New Roman" w:cs="Times New Roman" w:eastAsia="Times New Roman" w:hAnsi="Times New Roman"/>
          <w:sz w:val="20"/>
          <w:szCs w:val="20"/>
          <w:i w:val="1"/>
          <w:iCs w:val="1"/>
          <w:color w:val="231F20"/>
        </w:rPr>
        <w:t>Debt –</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Modifications and Extinguishments </w:t>
      </w:r>
      <w:r>
        <w:rPr>
          <w:rFonts w:ascii="Times New Roman" w:cs="Times New Roman" w:eastAsia="Times New Roman" w:hAnsi="Times New Roman"/>
          <w:sz w:val="20"/>
          <w:szCs w:val="20"/>
          <w:color w:val="231F20"/>
        </w:rPr>
        <w:t>(“ASC 470”) to determine whether the amendment should be accounted for as 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modification or an extinguishment. An amendment may be considered modified when the terms of the new debt and original instrument are not “substantially different” (as defined in the debt modification guidance in ASC 470). Amendments that are considered modifications are accounted for prospectively as yield adjustments, based on the revised terms, and lender fees and costs directly incurred with third parties, to the extent material, are recorded as debt discount and amortized to interest expense using the effective interest rate method.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Inventory</w:t>
      </w:r>
    </w:p>
    <w:p>
      <w:pPr>
        <w:spacing w:after="0" w:line="244"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the cost of revenue.</w:t>
      </w:r>
    </w:p>
    <w:p>
      <w:pPr>
        <w:spacing w:after="0" w:line="197"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200" w:lineRule="exact"/>
        <w:rPr>
          <w:sz w:val="20"/>
          <w:szCs w:val="20"/>
          <w:color w:val="auto"/>
        </w:rPr>
      </w:pPr>
    </w:p>
    <w:p>
      <w:pPr>
        <w:jc w:val="both"/>
        <w:ind w:right="40" w:firstLine="720"/>
        <w:spacing w:after="0" w:line="258" w:lineRule="auto"/>
        <w:rPr>
          <w:sz w:val="20"/>
          <w:szCs w:val="20"/>
          <w:color w:val="auto"/>
        </w:rPr>
      </w:pPr>
      <w:r>
        <w:rPr>
          <w:rFonts w:ascii="Times New Roman" w:cs="Times New Roman" w:eastAsia="Times New Roman" w:hAnsi="Times New Roman"/>
          <w:sz w:val="20"/>
          <w:szCs w:val="20"/>
          <w:color w:val="231F20"/>
        </w:rPr>
        <w:t>Inventory levels are evaluated for amounts that would be sold within one year. If the level of inventory exceeds the estimated amount that would be sold after the next 12 months, the Company classifies the estimate of such inventory as non-current.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Equipment, net</w:t>
      </w:r>
    </w:p>
    <w:p>
      <w:pPr>
        <w:spacing w:after="0" w:line="244" w:lineRule="exact"/>
        <w:rPr>
          <w:sz w:val="20"/>
          <w:szCs w:val="20"/>
          <w:color w:val="auto"/>
        </w:rPr>
      </w:pPr>
    </w:p>
    <w:p>
      <w:pPr>
        <w:ind w:right="20" w:firstLine="720"/>
        <w:spacing w:after="0" w:line="247" w:lineRule="exact"/>
        <w:rPr>
          <w:sz w:val="20"/>
          <w:szCs w:val="20"/>
          <w:color w:val="auto"/>
        </w:rPr>
      </w:pPr>
      <w:r>
        <w:rPr>
          <w:rFonts w:ascii="Times New Roman" w:cs="Times New Roman" w:eastAsia="Times New Roman" w:hAnsi="Times New Roman"/>
          <w:sz w:val="20"/>
          <w:szCs w:val="20"/>
          <w:color w:val="231F20"/>
        </w:rPr>
        <w:t>Equipment consists primarily of computer equipment and is recorded at cost. Equipment is depreciated on a straight</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ectPr>
          <w:pgSz w:w="12240" w:h="15840" w:orient="portrait"/>
          <w:cols w:equalWidth="0" w:num="1">
            <w:col w:w="9700"/>
          </w:cols>
          <w:pgMar w:left="1260" w:top="1247"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F-16</w:t>
      </w:r>
    </w:p>
    <w:p>
      <w:pPr>
        <w:sectPr>
          <w:pgSz w:w="12240" w:h="15840" w:orient="portrait"/>
          <w:cols w:equalWidth="0" w:num="1">
            <w:col w:w="9700"/>
          </w:cols>
          <w:pgMar w:left="1260" w:top="1247" w:right="1280" w:bottom="186"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color w:val="231F20"/>
        </w:rPr>
        <w:t>Research and Development Costs</w:t>
      </w:r>
    </w:p>
    <w:p>
      <w:pPr>
        <w:spacing w:after="0" w:line="244"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231F20"/>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In addition, research and development costs also include costs related to asset acquisitions involving clinical development programs that have not yet received regulatory approval.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Advertising Costs</w:t>
      </w:r>
    </w:p>
    <w:p>
      <w:pPr>
        <w:spacing w:after="0" w:line="24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Advertising costs are included in selling, general and administrative expenses and are expensed as incurred. The Company considers advertising costs as expenses related to the promotion of the Company’s commercial products. For the years ended December 31, 2025, 2024, and 2023, advertising costs were $167.1 million, $101.2 million, and $100.3 million,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Income Taxes</w:t>
      </w:r>
    </w:p>
    <w:p>
      <w:pPr>
        <w:spacing w:after="0" w:line="244"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202"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231F20"/>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December 31, 2025, the Company recognized gross uncertain tax positions which have been recognized as a reduction to deferred tax assets. In the event the Company determines that accrual of interest or penalties are necessary in the future, the amount will be presented as a component of income tax expense.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Stock-Based Compensation</w:t>
      </w:r>
    </w:p>
    <w:p>
      <w:pPr>
        <w:spacing w:after="0" w:line="244" w:lineRule="exact"/>
        <w:rPr>
          <w:sz w:val="20"/>
          <w:szCs w:val="20"/>
          <w:color w:val="auto"/>
        </w:rPr>
      </w:pPr>
    </w:p>
    <w:p>
      <w:pPr>
        <w:ind w:right="420" w:firstLine="720"/>
        <w:spacing w:after="0" w:line="243" w:lineRule="exact"/>
        <w:rPr>
          <w:sz w:val="20"/>
          <w:szCs w:val="20"/>
          <w:color w:val="auto"/>
        </w:rPr>
      </w:pPr>
      <w:r>
        <w:rPr>
          <w:rFonts w:ascii="Times New Roman" w:cs="Times New Roman" w:eastAsia="Times New Roman" w:hAnsi="Times New Roman"/>
          <w:sz w:val="20"/>
          <w:szCs w:val="20"/>
          <w:color w:val="231F20"/>
        </w:rPr>
        <w:t>For stock options issued, the Company estimates the grant date fair value of each option using the Black</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w:t>
      </w:r>
    </w:p>
    <w:p>
      <w:pPr>
        <w:spacing w:after="0" w:line="208" w:lineRule="exact"/>
        <w:rPr>
          <w:sz w:val="20"/>
          <w:szCs w:val="20"/>
          <w:color w:val="auto"/>
        </w:rPr>
      </w:pPr>
    </w:p>
    <w:p>
      <w:pPr>
        <w:ind w:right="240" w:firstLine="720"/>
        <w:spacing w:after="0" w:line="252" w:lineRule="auto"/>
        <w:rPr>
          <w:sz w:val="20"/>
          <w:szCs w:val="20"/>
          <w:color w:val="auto"/>
        </w:rPr>
      </w:pPr>
      <w:r>
        <w:rPr>
          <w:rFonts w:ascii="Times New Roman" w:cs="Times New Roman" w:eastAsia="Times New Roman" w:hAnsi="Times New Roman"/>
          <w:sz w:val="20"/>
          <w:szCs w:val="20"/>
          <w:color w:val="231F20"/>
        </w:rPr>
        <w:t>For restricted stock units (“RSUs”) and performance stock units (“PSUs”), the Company issues them in the form of Company common stock. The fair market value of these awards is based on the market closing price per share on the grant date and for certain awards that are subject to a post-vesting holding period, an illiquidity discount is also applied.</w:t>
      </w:r>
    </w:p>
    <w:p>
      <w:pPr>
        <w:sectPr>
          <w:pgSz w:w="12240" w:h="15840" w:orient="portrait"/>
          <w:cols w:equalWidth="0" w:num="1">
            <w:col w:w="9720"/>
          </w:cols>
          <w:pgMar w:left="1260" w:top="1243"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F-17</w:t>
      </w:r>
    </w:p>
    <w:p>
      <w:pPr>
        <w:sectPr>
          <w:pgSz w:w="12240" w:h="15840" w:orient="portrait"/>
          <w:cols w:equalWidth="0" w:num="1">
            <w:col w:w="9720"/>
          </w:cols>
          <w:pgMar w:left="1260" w:top="1243" w:right="1260" w:bottom="186" w:gutter="0" w:footer="0" w:header="0"/>
          <w:type w:val="continuous"/>
        </w:sectPr>
      </w:pPr>
    </w:p>
    <w:bookmarkStart w:id="148" w:name="page149"/>
    <w:bookmarkEnd w:id="148"/>
    <w:p>
      <w:pPr>
        <w:ind w:right="100" w:firstLine="720"/>
        <w:spacing w:after="0" w:line="246" w:lineRule="auto"/>
        <w:rPr>
          <w:sz w:val="20"/>
          <w:szCs w:val="20"/>
          <w:color w:val="auto"/>
        </w:rPr>
      </w:pPr>
      <w:r>
        <w:rPr>
          <w:rFonts w:ascii="Times New Roman" w:cs="Times New Roman" w:eastAsia="Times New Roman" w:hAnsi="Times New Roman"/>
          <w:sz w:val="20"/>
          <w:szCs w:val="20"/>
          <w:color w:val="231F20"/>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PSUs, the Company recognizes stock-based compensation expense when the achievement of the performance condition becomes probable. Stock-based compensation expense for PSUs with cliff-vesting terms is recognized on a straight-line basis. At the end of each reporting period, the Company reassesses the probability of achieving the performance condition and adjusts the stock-based compensation expense accordingly.</w:t>
      </w:r>
    </w:p>
    <w:p>
      <w:pPr>
        <w:spacing w:after="0" w:line="20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231F20"/>
        </w:rPr>
        <w:t>The expense related to the stock-based compensation is recorded within the same financial statement line item as the grantee’s cash compensation. The Company’s policy upon exercise of stock options, vesting of RSUs and PSUs is that the Company will issue shares as new shares drawing on the Company’s 2025 Long-Term Incentive Plan share pool that the Board adopted in April 2025 and the stockholders approved in June 2025. In addition, the Company accounts for equity award forfeitures as they occur.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Basic and Diluted Net Loss per Common Share</w:t>
      </w:r>
    </w:p>
    <w:p>
      <w:pPr>
        <w:spacing w:after="0" w:line="244"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231F20"/>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PSUs,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years ended December 31, 2025 and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Leases</w:t>
      </w:r>
    </w:p>
    <w:p>
      <w:pPr>
        <w:spacing w:after="0" w:line="244"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The Company determines if an arrangement is a lease at contract inception. Right- 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20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20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231F20"/>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200"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231F20"/>
        </w:rPr>
        <w:t>Leases are accounted for under ASC 842, Leases (“ASC 842”). The Company made an accounting policy election not to apply the recognition requirements to short-term leases. The Company recognizes the lease payments for short -term leases in the consolidated statements of operations on a straight -line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evaluates amendments to its lease arrangements in accordance with ASC 842.</w:t>
      </w:r>
    </w:p>
    <w:p>
      <w:pPr>
        <w:sectPr>
          <w:pgSz w:w="12240" w:h="15840" w:orient="portrait"/>
          <w:cols w:equalWidth="0" w:num="1">
            <w:col w:w="9700"/>
          </w:cols>
          <w:pgMar w:left="1260" w:top="1247"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F-18</w:t>
      </w:r>
    </w:p>
    <w:p>
      <w:pPr>
        <w:sectPr>
          <w:pgSz w:w="12240" w:h="15840" w:orient="portrait"/>
          <w:cols w:equalWidth="0" w:num="1">
            <w:col w:w="9700"/>
          </w:cols>
          <w:pgMar w:left="1260" w:top="1247" w:right="1280" w:bottom="186" w:gutter="0" w:footer="0" w:header="0"/>
          <w:type w:val="continuous"/>
        </w:sectPr>
      </w:pPr>
    </w:p>
    <w:bookmarkStart w:id="149" w:name="page150"/>
    <w:bookmarkEnd w:id="149"/>
    <w:p>
      <w:pPr>
        <w:ind w:right="40" w:firstLine="720"/>
        <w:spacing w:after="0" w:line="244" w:lineRule="auto"/>
        <w:rPr>
          <w:sz w:val="20"/>
          <w:szCs w:val="20"/>
          <w:color w:val="auto"/>
        </w:rPr>
      </w:pPr>
      <w:r>
        <w:rPr>
          <w:rFonts w:ascii="Times New Roman" w:cs="Times New Roman" w:eastAsia="Times New Roman" w:hAnsi="Times New Roman"/>
          <w:sz w:val="20"/>
          <w:szCs w:val="20"/>
          <w:color w:val="231F20"/>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244"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231F20"/>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adopted this standard as of January 1, 2025. See Note 18. Income Taxes for further information.</w:t>
      </w:r>
    </w:p>
    <w:p>
      <w:pPr>
        <w:spacing w:after="0" w:line="197"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231F20"/>
        </w:rPr>
        <w:t>In November 2024, the FASB issued ASU 2024-03, Income Statement - Reporting Comprehensive Income - Expense Disaggregation Disclosures (Subtopic 220 -40): Disaggregation of Income Statement Expenses. This ASU requires additional disaggregated disclosures in the notes to financial statements for certain categories of expenses that are included on the face of the income statement. The guidance is effective for fiscal years beginning after December 15, 2026 and for interim periods within fiscal years beginning after December 15, 2027, with early adoption permitted. The Company is currently evaluating the effect of adopting this guidance on its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3. Accounts Receivable, net</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Accounts receivable, net, consisted of the following: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EBECEC"/>
            </w:tcBorders>
          </w:tcPr>
          <w:p>
            <w:pPr>
              <w:spacing w:after="0"/>
              <w:rPr>
                <w:sz w:val="17"/>
                <w:szCs w:val="17"/>
                <w:color w:val="auto"/>
              </w:rPr>
            </w:pPr>
          </w:p>
        </w:tc>
        <w:tc>
          <w:tcPr>
            <w:tcW w:w="20" w:type="dxa"/>
            <w:vAlign w:val="bottom"/>
            <w:tcBorders>
              <w:bottom w:val="single" w:sz="8" w:color="EBEC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20" w:type="dxa"/>
            <w:vAlign w:val="bottom"/>
            <w:tcBorders>
              <w:bottom w:val="single" w:sz="8" w:color="EBECEC"/>
            </w:tcBorders>
          </w:tcPr>
          <w:p>
            <w:pPr>
              <w:spacing w:after="0"/>
              <w:rPr>
                <w:sz w:val="17"/>
                <w:szCs w:val="17"/>
                <w:color w:val="auto"/>
              </w:rPr>
            </w:pPr>
          </w:p>
        </w:tc>
        <w:tc>
          <w:tcPr>
            <w:tcW w:w="240" w:type="dxa"/>
            <w:vAlign w:val="bottom"/>
            <w:tcBorders>
              <w:bottom w:val="single" w:sz="8" w:color="EBECEC"/>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0" w:type="dxa"/>
            <w:vAlign w:val="bottom"/>
            <w:tcBorders>
              <w:bottom w:val="single" w:sz="8" w:color="EBECEC"/>
            </w:tcBorders>
          </w:tcPr>
          <w:p>
            <w:pPr>
              <w:spacing w:after="0"/>
              <w:rPr>
                <w:sz w:val="17"/>
                <w:szCs w:val="17"/>
                <w:color w:val="auto"/>
              </w:rPr>
            </w:pPr>
          </w:p>
        </w:tc>
        <w:tc>
          <w:tcPr>
            <w:tcW w:w="80" w:type="dxa"/>
            <w:vAlign w:val="bottom"/>
            <w:tcBorders>
              <w:bottom w:val="single" w:sz="8" w:color="EBECE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Trade receivables</w:t>
            </w:r>
          </w:p>
        </w:tc>
        <w:tc>
          <w:tcPr>
            <w:tcW w:w="20" w:type="dxa"/>
            <w:vAlign w:val="bottom"/>
            <w:shd w:val="clear" w:color="auto" w:fill="EBECEC"/>
          </w:tcPr>
          <w:p>
            <w:pPr>
              <w:spacing w:after="0"/>
              <w:rPr>
                <w:sz w:val="20"/>
                <w:szCs w:val="20"/>
                <w:color w:val="auto"/>
              </w:rPr>
            </w:pPr>
          </w:p>
        </w:tc>
        <w:tc>
          <w:tcPr>
            <w:tcW w:w="1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246,674</w:t>
            </w:r>
          </w:p>
        </w:tc>
        <w:tc>
          <w:tcPr>
            <w:tcW w:w="2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16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155,505</w:t>
            </w:r>
          </w:p>
        </w:tc>
        <w:tc>
          <w:tcPr>
            <w:tcW w:w="2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Less: Reserves for variable consideration</w:t>
            </w:r>
          </w:p>
        </w:tc>
        <w:tc>
          <w:tcPr>
            <w:tcW w:w="20" w:type="dxa"/>
            <w:vAlign w:val="bottom"/>
            <w:tcBorders>
              <w:bottom w:val="single" w:sz="8" w:color="EBEC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(22,210)</w:t>
            </w:r>
          </w:p>
        </w:tc>
        <w:tc>
          <w:tcPr>
            <w:tcW w:w="20" w:type="dxa"/>
            <w:vAlign w:val="bottom"/>
            <w:tcBorders>
              <w:bottom w:val="single" w:sz="8" w:color="EBECEC"/>
            </w:tcBorders>
          </w:tcPr>
          <w:p>
            <w:pPr>
              <w:spacing w:after="0"/>
              <w:rPr>
                <w:sz w:val="21"/>
                <w:szCs w:val="21"/>
                <w:color w:val="auto"/>
              </w:rPr>
            </w:pPr>
          </w:p>
        </w:tc>
        <w:tc>
          <w:tcPr>
            <w:tcW w:w="240" w:type="dxa"/>
            <w:vAlign w:val="bottom"/>
            <w:tcBorders>
              <w:bottom w:val="single" w:sz="8" w:color="EBECEC"/>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(13,504)</w:t>
            </w:r>
          </w:p>
        </w:tc>
        <w:tc>
          <w:tcPr>
            <w:tcW w:w="20" w:type="dxa"/>
            <w:vAlign w:val="bottom"/>
            <w:tcBorders>
              <w:bottom w:val="single" w:sz="8" w:color="EBECEC"/>
            </w:tcBorders>
          </w:tcPr>
          <w:p>
            <w:pPr>
              <w:spacing w:after="0"/>
              <w:rPr>
                <w:sz w:val="21"/>
                <w:szCs w:val="21"/>
                <w:color w:val="auto"/>
              </w:rPr>
            </w:pPr>
          </w:p>
        </w:tc>
        <w:tc>
          <w:tcPr>
            <w:tcW w:w="80" w:type="dxa"/>
            <w:vAlign w:val="bottom"/>
            <w:tcBorders>
              <w:bottom w:val="single" w:sz="8" w:color="EBECEC"/>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Accounts receivable, net</w:t>
            </w:r>
          </w:p>
        </w:tc>
        <w:tc>
          <w:tcPr>
            <w:tcW w:w="20" w:type="dxa"/>
            <w:vAlign w:val="bottom"/>
            <w:shd w:val="clear" w:color="auto" w:fill="EBECEC"/>
          </w:tcPr>
          <w:p>
            <w:pPr>
              <w:spacing w:after="0"/>
              <w:rPr>
                <w:sz w:val="20"/>
                <w:szCs w:val="20"/>
                <w:color w:val="auto"/>
              </w:rPr>
            </w:pPr>
          </w:p>
        </w:tc>
        <w:tc>
          <w:tcPr>
            <w:tcW w:w="140" w:type="dxa"/>
            <w:vAlign w:val="bottom"/>
            <w:tcBorders>
              <w:bottom w:val="single" w:sz="8" w:color="231F20"/>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224,464</w:t>
            </w:r>
          </w:p>
        </w:tc>
        <w:tc>
          <w:tcPr>
            <w:tcW w:w="2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160" w:type="dxa"/>
            <w:vAlign w:val="bottom"/>
            <w:tcBorders>
              <w:bottom w:val="single" w:sz="8" w:color="231F20"/>
            </w:tcBorders>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142,001</w:t>
            </w:r>
          </w:p>
        </w:tc>
        <w:tc>
          <w:tcPr>
            <w:tcW w:w="2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Note 4. Inventory</w:t>
            </w:r>
          </w:p>
        </w:tc>
        <w:tc>
          <w:tcPr>
            <w:tcW w:w="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6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00" w:type="dxa"/>
            <w:vAlign w:val="bottom"/>
          </w:tcPr>
          <w:p>
            <w:pPr>
              <w:ind w:left="720"/>
              <w:spacing w:after="0"/>
              <w:rPr>
                <w:sz w:val="20"/>
                <w:szCs w:val="20"/>
                <w:color w:val="auto"/>
              </w:rPr>
            </w:pPr>
            <w:r>
              <w:rPr>
                <w:rFonts w:ascii="Times New Roman" w:cs="Times New Roman" w:eastAsia="Times New Roman" w:hAnsi="Times New Roman"/>
                <w:sz w:val="20"/>
                <w:szCs w:val="20"/>
                <w:color w:val="231F20"/>
              </w:rPr>
              <w:t>Inventory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8"/>
              </w:rPr>
              <w:t>December 31,</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EBECEC"/>
            </w:tcBorders>
          </w:tcPr>
          <w:p>
            <w:pPr>
              <w:spacing w:after="0"/>
              <w:rPr>
                <w:sz w:val="17"/>
                <w:szCs w:val="17"/>
                <w:color w:val="auto"/>
              </w:rPr>
            </w:pPr>
          </w:p>
        </w:tc>
        <w:tc>
          <w:tcPr>
            <w:tcW w:w="20" w:type="dxa"/>
            <w:vAlign w:val="bottom"/>
            <w:tcBorders>
              <w:bottom w:val="single" w:sz="8" w:color="EBEC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20" w:type="dxa"/>
            <w:vAlign w:val="bottom"/>
            <w:tcBorders>
              <w:bottom w:val="single" w:sz="8" w:color="231F20"/>
            </w:tcBorders>
          </w:tcPr>
          <w:p>
            <w:pPr>
              <w:spacing w:after="0"/>
              <w:rPr>
                <w:sz w:val="17"/>
                <w:szCs w:val="17"/>
                <w:color w:val="auto"/>
              </w:rPr>
            </w:pPr>
          </w:p>
        </w:tc>
        <w:tc>
          <w:tcPr>
            <w:tcW w:w="240" w:type="dxa"/>
            <w:vAlign w:val="bottom"/>
            <w:tcBorders>
              <w:bottom w:val="single" w:sz="8" w:color="EBECEC"/>
            </w:tcBorders>
          </w:tcPr>
          <w:p>
            <w:pPr>
              <w:spacing w:after="0"/>
              <w:rPr>
                <w:sz w:val="17"/>
                <w:szCs w:val="17"/>
                <w:color w:val="auto"/>
              </w:rPr>
            </w:pPr>
          </w:p>
        </w:tc>
        <w:tc>
          <w:tcPr>
            <w:tcW w:w="20" w:type="dxa"/>
            <w:vAlign w:val="bottom"/>
            <w:tcBorders>
              <w:bottom w:val="single" w:sz="8" w:color="EBEC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20" w:type="dxa"/>
            <w:vAlign w:val="bottom"/>
            <w:tcBorders>
              <w:bottom w:val="single" w:sz="8" w:color="231F20"/>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0" w:type="dxa"/>
            <w:vAlign w:val="bottom"/>
            <w:tcBorders>
              <w:bottom w:val="single" w:sz="8" w:color="231F20"/>
            </w:tcBorders>
          </w:tcPr>
          <w:p>
            <w:pPr>
              <w:spacing w:after="0"/>
              <w:rPr>
                <w:sz w:val="17"/>
                <w:szCs w:val="17"/>
                <w:color w:val="auto"/>
              </w:rPr>
            </w:pPr>
          </w:p>
        </w:tc>
        <w:tc>
          <w:tcPr>
            <w:tcW w:w="80" w:type="dxa"/>
            <w:vAlign w:val="bottom"/>
            <w:tcBorders>
              <w:bottom w:val="single" w:sz="8" w:color="EBECE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Raw materials</w:t>
            </w:r>
          </w:p>
        </w:tc>
        <w:tc>
          <w:tcPr>
            <w:tcW w:w="20" w:type="dxa"/>
            <w:vAlign w:val="bottom"/>
            <w:shd w:val="clear" w:color="auto" w:fill="EBECEC"/>
          </w:tcPr>
          <w:p>
            <w:pPr>
              <w:spacing w:after="0"/>
              <w:rPr>
                <w:sz w:val="20"/>
                <w:szCs w:val="20"/>
                <w:color w:val="auto"/>
              </w:rPr>
            </w:pPr>
          </w:p>
        </w:tc>
        <w:tc>
          <w:tcPr>
            <w:tcW w:w="1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10,377</w:t>
            </w:r>
          </w:p>
        </w:tc>
        <w:tc>
          <w:tcPr>
            <w:tcW w:w="2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20" w:type="dxa"/>
            <w:vAlign w:val="bottom"/>
            <w:shd w:val="clear" w:color="auto" w:fill="EBECEC"/>
          </w:tcPr>
          <w:p>
            <w:pPr>
              <w:spacing w:after="0"/>
              <w:rPr>
                <w:sz w:val="20"/>
                <w:szCs w:val="20"/>
                <w:color w:val="auto"/>
              </w:rPr>
            </w:pPr>
          </w:p>
        </w:tc>
        <w:tc>
          <w:tcPr>
            <w:tcW w:w="1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4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9,541</w:t>
            </w:r>
          </w:p>
        </w:tc>
        <w:tc>
          <w:tcPr>
            <w:tcW w:w="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Work in process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17,836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7,723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Finished goods</w:t>
            </w:r>
          </w:p>
        </w:tc>
        <w:tc>
          <w:tcPr>
            <w:tcW w:w="20" w:type="dxa"/>
            <w:vAlign w:val="bottom"/>
            <w:shd w:val="clear" w:color="auto" w:fill="EBECEC"/>
          </w:tcPr>
          <w:p>
            <w:pPr>
              <w:spacing w:after="0"/>
              <w:rPr>
                <w:sz w:val="21"/>
                <w:szCs w:val="21"/>
                <w:color w:val="auto"/>
              </w:rPr>
            </w:pPr>
          </w:p>
        </w:tc>
        <w:tc>
          <w:tcPr>
            <w:tcW w:w="140" w:type="dxa"/>
            <w:vAlign w:val="bottom"/>
            <w:tcBorders>
              <w:bottom w:val="single" w:sz="8" w:color="231F20"/>
            </w:tcBorders>
            <w:shd w:val="clear" w:color="auto" w:fill="EBECEC"/>
          </w:tcPr>
          <w:p>
            <w:pPr>
              <w:spacing w:after="0"/>
              <w:rPr>
                <w:sz w:val="21"/>
                <w:szCs w:val="21"/>
                <w:color w:val="auto"/>
              </w:rPr>
            </w:pPr>
          </w:p>
        </w:tc>
        <w:tc>
          <w:tcPr>
            <w:tcW w:w="12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11,280</w:t>
            </w:r>
          </w:p>
        </w:tc>
        <w:tc>
          <w:tcPr>
            <w:tcW w:w="20" w:type="dxa"/>
            <w:vAlign w:val="bottom"/>
            <w:tcBorders>
              <w:bottom w:val="single" w:sz="8" w:color="231F20"/>
            </w:tcBorders>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c>
          <w:tcPr>
            <w:tcW w:w="140" w:type="dxa"/>
            <w:vAlign w:val="bottom"/>
            <w:tcBorders>
              <w:bottom w:val="single" w:sz="8" w:color="231F20"/>
            </w:tcBorders>
            <w:shd w:val="clear" w:color="auto" w:fill="EBECEC"/>
          </w:tcPr>
          <w:p>
            <w:pPr>
              <w:spacing w:after="0"/>
              <w:rPr>
                <w:sz w:val="21"/>
                <w:szCs w:val="21"/>
                <w:color w:val="auto"/>
              </w:rPr>
            </w:pPr>
          </w:p>
        </w:tc>
        <w:tc>
          <w:tcPr>
            <w:tcW w:w="1240" w:type="dxa"/>
            <w:vAlign w:val="bottom"/>
            <w:tcBorders>
              <w:bottom w:val="single" w:sz="8" w:color="231F20"/>
            </w:tcBorders>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8,986</w:t>
            </w:r>
          </w:p>
        </w:tc>
        <w:tc>
          <w:tcPr>
            <w:tcW w:w="8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Total</w:t>
            </w:r>
          </w:p>
        </w:tc>
        <w:tc>
          <w:tcPr>
            <w:tcW w:w="2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39,493</w:t>
            </w:r>
          </w:p>
        </w:tc>
        <w:tc>
          <w:tcPr>
            <w:tcW w:w="20" w:type="dxa"/>
            <w:vAlign w:val="bottom"/>
            <w:tcBorders>
              <w:bottom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26,250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231F20"/>
        </w:rPr>
        <w:t>There were no material inventory reserves or write downs of any excess and obsolete inventory as of December 31, 2025. Non-current inventory, which consists of raw materials and work in process inventory, is included in non-current inventory and other assets on the accompanying consolidated balance sheets. Non-current inventory is estimated to be consumed beyond the next 12 months.</w:t>
      </w:r>
    </w:p>
    <w:p>
      <w:pPr>
        <w:sectPr>
          <w:pgSz w:w="12240" w:h="15840" w:orient="portrait"/>
          <w:cols w:equalWidth="0" w:num="1">
            <w:col w:w="9720"/>
          </w:cols>
          <w:pgMar w:left="1260" w:top="1247"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F-19</w:t>
      </w:r>
    </w:p>
    <w:p>
      <w:pPr>
        <w:sectPr>
          <w:pgSz w:w="12240" w:h="15840" w:orient="portrait"/>
          <w:cols w:equalWidth="0" w:num="1">
            <w:col w:w="9720"/>
          </w:cols>
          <w:pgMar w:left="1260" w:top="1247" w:right="1260" w:bottom="186" w:gutter="0" w:footer="0" w:header="0"/>
          <w:type w:val="continuous"/>
        </w:sectPr>
      </w:pPr>
    </w:p>
    <w:bookmarkStart w:id="150" w:name="page151"/>
    <w:bookmarkEnd w:id="150"/>
    <w:p>
      <w:pPr>
        <w:ind w:right="380" w:firstLine="72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balance sheet classification of the Company’s inventory for each of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48"/>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80" w:type="dxa"/>
            <w:vAlign w:val="bottom"/>
          </w:tcPr>
          <w:p>
            <w:pPr>
              <w:spacing w:after="0"/>
              <w:rPr>
                <w:sz w:val="16"/>
                <w:szCs w:val="16"/>
                <w:color w:val="auto"/>
              </w:rPr>
            </w:pPr>
          </w:p>
        </w:tc>
      </w:tr>
      <w:tr>
        <w:trPr>
          <w:trHeight w:val="203"/>
        </w:trPr>
        <w:tc>
          <w:tcPr>
            <w:tcW w:w="6600" w:type="dxa"/>
            <w:vAlign w:val="bottom"/>
            <w:tcBorders>
              <w:bottom w:val="single" w:sz="8" w:color="EBECEC"/>
            </w:tcBorders>
          </w:tcPr>
          <w:p>
            <w:pPr>
              <w:spacing w:after="0"/>
              <w:rPr>
                <w:sz w:val="17"/>
                <w:szCs w:val="17"/>
                <w:color w:val="auto"/>
              </w:rPr>
            </w:pPr>
          </w:p>
        </w:tc>
        <w:tc>
          <w:tcPr>
            <w:tcW w:w="20" w:type="dxa"/>
            <w:vAlign w:val="bottom"/>
            <w:tcBorders>
              <w:bottom w:val="single" w:sz="8" w:color="EBECEC"/>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BECEC"/>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BECEC"/>
            </w:tcBorders>
          </w:tcPr>
          <w:p>
            <w:pPr>
              <w:spacing w:after="0"/>
              <w:rPr>
                <w:sz w:val="17"/>
                <w:szCs w:val="17"/>
                <w:color w:val="auto"/>
              </w:rPr>
            </w:pPr>
          </w:p>
        </w:tc>
      </w:tr>
      <w:tr>
        <w:trPr>
          <w:trHeight w:val="239"/>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Balance sheet classification</w:t>
            </w:r>
          </w:p>
        </w:tc>
        <w:tc>
          <w:tcPr>
            <w:tcW w:w="20" w:type="dxa"/>
            <w:vAlign w:val="bottom"/>
            <w:shd w:val="clear" w:color="auto" w:fill="EBECEC"/>
          </w:tcPr>
          <w:p>
            <w:pPr>
              <w:spacing w:after="0"/>
              <w:rPr>
                <w:sz w:val="20"/>
                <w:szCs w:val="20"/>
                <w:color w:val="auto"/>
              </w:rPr>
            </w:pPr>
          </w:p>
        </w:tc>
        <w:tc>
          <w:tcPr>
            <w:tcW w:w="140" w:type="dxa"/>
            <w:vAlign w:val="bottom"/>
            <w:shd w:val="clear" w:color="auto" w:fill="EBECEC"/>
          </w:tcPr>
          <w:p>
            <w:pPr>
              <w:spacing w:after="0"/>
              <w:rPr>
                <w:sz w:val="20"/>
                <w:szCs w:val="20"/>
                <w:color w:val="auto"/>
              </w:rPr>
            </w:pPr>
          </w:p>
        </w:tc>
        <w:tc>
          <w:tcPr>
            <w:tcW w:w="124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160" w:type="dxa"/>
            <w:vAlign w:val="bottom"/>
            <w:shd w:val="clear" w:color="auto" w:fill="EBECEC"/>
          </w:tcPr>
          <w:p>
            <w:pPr>
              <w:spacing w:after="0"/>
              <w:rPr>
                <w:sz w:val="20"/>
                <w:szCs w:val="20"/>
                <w:color w:val="auto"/>
              </w:rPr>
            </w:pPr>
          </w:p>
        </w:tc>
        <w:tc>
          <w:tcPr>
            <w:tcW w:w="124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Inventories, net</w:t>
            </w: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27,938</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15,732</w:t>
            </w:r>
          </w:p>
        </w:tc>
        <w:tc>
          <w:tcPr>
            <w:tcW w:w="80" w:type="dxa"/>
            <w:vAlign w:val="bottom"/>
          </w:tcPr>
          <w:p>
            <w:pPr>
              <w:spacing w:after="0"/>
              <w:rPr>
                <w:sz w:val="21"/>
                <w:szCs w:val="21"/>
                <w:color w:val="auto"/>
              </w:rPr>
            </w:pPr>
          </w:p>
        </w:tc>
      </w:tr>
      <w:tr>
        <w:trPr>
          <w:trHeight w:val="244"/>
        </w:trPr>
        <w:tc>
          <w:tcPr>
            <w:tcW w:w="660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Non-current inventory and other assets</w:t>
            </w:r>
          </w:p>
        </w:tc>
        <w:tc>
          <w:tcPr>
            <w:tcW w:w="20" w:type="dxa"/>
            <w:vAlign w:val="bottom"/>
            <w:shd w:val="clear" w:color="auto" w:fill="EBECEC"/>
          </w:tcPr>
          <w:p>
            <w:pPr>
              <w:spacing w:after="0"/>
              <w:rPr>
                <w:sz w:val="21"/>
                <w:szCs w:val="21"/>
                <w:color w:val="auto"/>
              </w:rPr>
            </w:pPr>
          </w:p>
        </w:tc>
        <w:tc>
          <w:tcPr>
            <w:tcW w:w="140" w:type="dxa"/>
            <w:vAlign w:val="bottom"/>
            <w:tcBorders>
              <w:bottom w:val="single" w:sz="8" w:color="231F20"/>
            </w:tcBorders>
            <w:shd w:val="clear" w:color="auto" w:fill="EBECEC"/>
          </w:tcPr>
          <w:p>
            <w:pPr>
              <w:spacing w:after="0"/>
              <w:rPr>
                <w:sz w:val="21"/>
                <w:szCs w:val="21"/>
                <w:color w:val="auto"/>
              </w:rPr>
            </w:pPr>
          </w:p>
        </w:tc>
        <w:tc>
          <w:tcPr>
            <w:tcW w:w="124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11,555</w:t>
            </w:r>
          </w:p>
        </w:tc>
        <w:tc>
          <w:tcPr>
            <w:tcW w:w="240" w:type="dxa"/>
            <w:vAlign w:val="bottom"/>
            <w:shd w:val="clear" w:color="auto" w:fill="EBECEC"/>
          </w:tcPr>
          <w:p>
            <w:pPr>
              <w:spacing w:after="0"/>
              <w:rPr>
                <w:sz w:val="21"/>
                <w:szCs w:val="21"/>
                <w:color w:val="auto"/>
              </w:rPr>
            </w:pPr>
          </w:p>
        </w:tc>
        <w:tc>
          <w:tcPr>
            <w:tcW w:w="160" w:type="dxa"/>
            <w:vAlign w:val="bottom"/>
            <w:tcBorders>
              <w:bottom w:val="single" w:sz="8" w:color="231F20"/>
            </w:tcBorders>
            <w:shd w:val="clear" w:color="auto" w:fill="EBECEC"/>
          </w:tcPr>
          <w:p>
            <w:pPr>
              <w:spacing w:after="0"/>
              <w:rPr>
                <w:sz w:val="21"/>
                <w:szCs w:val="21"/>
                <w:color w:val="auto"/>
              </w:rPr>
            </w:pPr>
          </w:p>
        </w:tc>
        <w:tc>
          <w:tcPr>
            <w:tcW w:w="124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10,518</w:t>
            </w:r>
          </w:p>
        </w:tc>
        <w:tc>
          <w:tcPr>
            <w:tcW w:w="80" w:type="dxa"/>
            <w:vAlign w:val="bottom"/>
            <w:shd w:val="clear" w:color="auto" w:fill="EBECEC"/>
          </w:tcPr>
          <w:p>
            <w:pPr>
              <w:spacing w:after="0"/>
              <w:rPr>
                <w:sz w:val="21"/>
                <w:szCs w:val="21"/>
                <w:color w:val="auto"/>
              </w:rPr>
            </w:pPr>
          </w:p>
        </w:tc>
      </w:tr>
      <w:tr>
        <w:trPr>
          <w:trHeight w:val="239"/>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Total</w:t>
            </w:r>
          </w:p>
        </w:tc>
        <w:tc>
          <w:tcPr>
            <w:tcW w:w="20" w:type="dxa"/>
            <w:vAlign w:val="bottom"/>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39,493</w:t>
            </w:r>
          </w:p>
        </w:tc>
        <w:tc>
          <w:tcPr>
            <w:tcW w:w="240" w:type="dxa"/>
            <w:vAlign w:val="bottom"/>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26,250</w:t>
            </w:r>
          </w:p>
        </w:tc>
        <w:tc>
          <w:tcPr>
            <w:tcW w:w="80" w:type="dxa"/>
            <w:vAlign w:val="bottom"/>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5. Goodwill</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provides the Company’s carrying amount of goodwill as of December 31, 2025.</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231F20"/>
              </w:rPr>
              <w:t>Goodwill</w:t>
            </w:r>
          </w:p>
        </w:tc>
      </w:tr>
      <w:tr>
        <w:trPr>
          <w:trHeight w:val="225"/>
        </w:trPr>
        <w:tc>
          <w:tcPr>
            <w:tcW w:w="7960" w:type="dxa"/>
            <w:vAlign w:val="bottom"/>
            <w:tcBorders>
              <w:top w:val="single" w:sz="8" w:color="EBECEC"/>
            </w:tcBorders>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Balance at December 31, 2024</w:t>
            </w:r>
          </w:p>
        </w:tc>
        <w:tc>
          <w:tcPr>
            <w:tcW w:w="300" w:type="dxa"/>
            <w:vAlign w:val="bottom"/>
            <w:tcBorders>
              <w:top w:val="single" w:sz="8" w:color="231F20"/>
            </w:tcBorders>
            <w:shd w:val="clear" w:color="auto" w:fill="EBECEC"/>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38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12,042</w:t>
            </w:r>
          </w:p>
        </w:tc>
        <w:tc>
          <w:tcPr>
            <w:tcW w:w="80" w:type="dxa"/>
            <w:vAlign w:val="bottom"/>
            <w:tcBorders>
              <w:top w:val="single" w:sz="8" w:color="EBECEC"/>
            </w:tcBorders>
            <w:shd w:val="clear" w:color="auto" w:fill="EBECEC"/>
          </w:tcPr>
          <w:p>
            <w:pPr>
              <w:spacing w:after="0"/>
              <w:rPr>
                <w:sz w:val="19"/>
                <w:szCs w:val="19"/>
                <w:color w:val="auto"/>
              </w:rPr>
            </w:pPr>
          </w:p>
        </w:tc>
      </w:tr>
      <w:tr>
        <w:trPr>
          <w:trHeight w:val="230"/>
        </w:trPr>
        <w:tc>
          <w:tcPr>
            <w:tcW w:w="796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Additions/adjustments</w:t>
            </w:r>
          </w:p>
        </w:tc>
        <w:tc>
          <w:tcPr>
            <w:tcW w:w="300" w:type="dxa"/>
            <w:vAlign w:val="bottom"/>
            <w:tcBorders>
              <w:bottom w:val="single" w:sz="8" w:color="231F20"/>
            </w:tcBorders>
          </w:tcPr>
          <w:p>
            <w:pPr>
              <w:spacing w:after="0"/>
              <w:rPr>
                <w:sz w:val="20"/>
                <w:szCs w:val="20"/>
                <w:color w:val="auto"/>
              </w:rPr>
            </w:pPr>
          </w:p>
        </w:tc>
        <w:tc>
          <w:tcPr>
            <w:tcW w:w="1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BECEC"/>
            </w:tcBorders>
          </w:tcPr>
          <w:p>
            <w:pPr>
              <w:spacing w:after="0"/>
              <w:rPr>
                <w:sz w:val="20"/>
                <w:szCs w:val="20"/>
                <w:color w:val="auto"/>
              </w:rPr>
            </w:pPr>
          </w:p>
        </w:tc>
      </w:tr>
      <w:tr>
        <w:trPr>
          <w:trHeight w:val="225"/>
        </w:trPr>
        <w:tc>
          <w:tcPr>
            <w:tcW w:w="796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Balance at December 31, 2025</w:t>
            </w:r>
          </w:p>
        </w:tc>
        <w:tc>
          <w:tcPr>
            <w:tcW w:w="300" w:type="dxa"/>
            <w:vAlign w:val="bottom"/>
            <w:shd w:val="clear" w:color="auto" w:fill="EBECEC"/>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38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12,042</w:t>
            </w:r>
          </w:p>
        </w:tc>
        <w:tc>
          <w:tcPr>
            <w:tcW w:w="80" w:type="dxa"/>
            <w:vAlign w:val="bottom"/>
            <w:shd w:val="clear" w:color="auto" w:fill="EBECEC"/>
          </w:tcPr>
          <w:p>
            <w:pPr>
              <w:spacing w:after="0"/>
              <w:rPr>
                <w:sz w:val="19"/>
                <w:szCs w:val="19"/>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6. Intangible Asset</w:t>
      </w:r>
    </w:p>
    <w:p>
      <w:pPr>
        <w:spacing w:after="0" w:line="244" w:lineRule="exact"/>
        <w:rPr>
          <w:sz w:val="20"/>
          <w:szCs w:val="20"/>
          <w:color w:val="auto"/>
        </w:rPr>
      </w:pPr>
    </w:p>
    <w:p>
      <w:pPr>
        <w:ind w:right="400" w:firstLine="720"/>
        <w:spacing w:after="0" w:line="277" w:lineRule="auto"/>
        <w:rPr>
          <w:sz w:val="20"/>
          <w:szCs w:val="20"/>
          <w:color w:val="auto"/>
        </w:rPr>
      </w:pPr>
      <w:r>
        <w:rPr>
          <w:rFonts w:ascii="Times New Roman" w:cs="Times New Roman" w:eastAsia="Times New Roman" w:hAnsi="Times New Roman"/>
          <w:sz w:val="20"/>
          <w:szCs w:val="20"/>
          <w:color w:val="231F20"/>
        </w:rPr>
        <w:t>The following table provides the Company’s carrying amount of the intangible asset for each of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Remaining</w:t>
            </w:r>
          </w:p>
        </w:tc>
      </w:tr>
      <w:tr>
        <w:trPr>
          <w:trHeight w:val="184"/>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231F20"/>
                <w:w w:val="99"/>
              </w:rPr>
              <w:t>Gross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weighted-</w:t>
            </w:r>
          </w:p>
        </w:tc>
      </w:tr>
      <w:tr>
        <w:trPr>
          <w:trHeight w:val="184"/>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231F20"/>
                <w:w w:val="98"/>
              </w:rPr>
              <w:t>carrying</w:t>
            </w:r>
          </w:p>
        </w:tc>
        <w:tc>
          <w:tcPr>
            <w:tcW w:w="2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Accumulated</w:t>
            </w:r>
          </w:p>
        </w:tc>
        <w:tc>
          <w:tcPr>
            <w:tcW w:w="200" w:type="dxa"/>
            <w:vAlign w:val="bottom"/>
          </w:tcPr>
          <w:p>
            <w:pPr>
              <w:spacing w:after="0"/>
              <w:rPr>
                <w:sz w:val="16"/>
                <w:szCs w:val="16"/>
                <w:color w:val="auto"/>
              </w:rPr>
            </w:pPr>
          </w:p>
        </w:tc>
        <w:tc>
          <w:tcPr>
            <w:tcW w:w="1040" w:type="dxa"/>
            <w:vAlign w:val="bottom"/>
            <w:gridSpan w:val="2"/>
          </w:tcPr>
          <w:p>
            <w:pPr>
              <w:jc w:val="right"/>
              <w:ind w:right="7"/>
              <w:spacing w:after="0"/>
              <w:rPr>
                <w:sz w:val="20"/>
                <w:szCs w:val="20"/>
                <w:color w:val="auto"/>
              </w:rPr>
            </w:pPr>
            <w:r>
              <w:rPr>
                <w:rFonts w:ascii="Times New Roman" w:cs="Times New Roman" w:eastAsia="Times New Roman" w:hAnsi="Times New Roman"/>
                <w:sz w:val="16"/>
                <w:szCs w:val="16"/>
                <w:b w:val="1"/>
                <w:bCs w:val="1"/>
                <w:color w:val="231F20"/>
              </w:rPr>
              <w:t>Net carrying</w:t>
            </w:r>
          </w:p>
        </w:tc>
        <w:tc>
          <w:tcPr>
            <w:tcW w:w="2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average useful</w:t>
            </w:r>
          </w:p>
        </w:tc>
      </w:tr>
      <w:tr>
        <w:trPr>
          <w:trHeight w:val="203"/>
        </w:trPr>
        <w:tc>
          <w:tcPr>
            <w:tcW w:w="4900" w:type="dxa"/>
            <w:vAlign w:val="bottom"/>
            <w:tcBorders>
              <w:bottom w:val="single" w:sz="8" w:color="EBECEC"/>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231F20"/>
                <w:w w:val="99"/>
              </w:rPr>
              <w:t>amount</w:t>
            </w:r>
          </w:p>
        </w:tc>
        <w:tc>
          <w:tcPr>
            <w:tcW w:w="220" w:type="dxa"/>
            <w:vAlign w:val="bottom"/>
            <w:tcBorders>
              <w:bottom w:val="single" w:sz="8" w:color="EBECEC"/>
            </w:tcBorders>
          </w:tcPr>
          <w:p>
            <w:pPr>
              <w:spacing w:after="0"/>
              <w:rPr>
                <w:sz w:val="17"/>
                <w:szCs w:val="17"/>
                <w:color w:val="auto"/>
              </w:rPr>
            </w:pPr>
          </w:p>
        </w:tc>
        <w:tc>
          <w:tcPr>
            <w:tcW w:w="10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amortization</w:t>
            </w:r>
          </w:p>
        </w:tc>
        <w:tc>
          <w:tcPr>
            <w:tcW w:w="200" w:type="dxa"/>
            <w:vAlign w:val="bottom"/>
            <w:tcBorders>
              <w:bottom w:val="single" w:sz="8" w:color="EBECEC"/>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220" w:type="dxa"/>
            <w:vAlign w:val="bottom"/>
            <w:tcBorders>
              <w:bottom w:val="single" w:sz="8" w:color="EBECEC"/>
            </w:tcBorders>
          </w:tcPr>
          <w:p>
            <w:pPr>
              <w:spacing w:after="0"/>
              <w:rPr>
                <w:sz w:val="17"/>
                <w:szCs w:val="17"/>
                <w:color w:val="auto"/>
              </w:rPr>
            </w:pPr>
          </w:p>
        </w:tc>
        <w:tc>
          <w:tcPr>
            <w:tcW w:w="10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life</w:t>
            </w:r>
          </w:p>
        </w:tc>
      </w:tr>
      <w:tr>
        <w:trPr>
          <w:trHeight w:val="239"/>
        </w:trPr>
        <w:tc>
          <w:tcPr>
            <w:tcW w:w="49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Balance at December 31, 2024</w:t>
            </w:r>
          </w:p>
        </w:tc>
        <w:tc>
          <w:tcPr>
            <w:tcW w:w="160" w:type="dxa"/>
            <w:vAlign w:val="bottom"/>
            <w:shd w:val="clear" w:color="auto" w:fill="EBECEC"/>
          </w:tcPr>
          <w:p>
            <w:pPr>
              <w:spacing w:after="0"/>
              <w:rPr>
                <w:sz w:val="20"/>
                <w:szCs w:val="20"/>
                <w:color w:val="auto"/>
              </w:rPr>
            </w:pPr>
          </w:p>
        </w:tc>
        <w:tc>
          <w:tcPr>
            <w:tcW w:w="88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c>
          <w:tcPr>
            <w:tcW w:w="280" w:type="dxa"/>
            <w:vAlign w:val="bottom"/>
            <w:shd w:val="clear" w:color="auto" w:fill="EBECEC"/>
          </w:tcPr>
          <w:p>
            <w:pPr>
              <w:spacing w:after="0"/>
              <w:rPr>
                <w:sz w:val="20"/>
                <w:szCs w:val="20"/>
                <w:color w:val="auto"/>
              </w:rPr>
            </w:pPr>
          </w:p>
        </w:tc>
        <w:tc>
          <w:tcPr>
            <w:tcW w:w="76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180" w:type="dxa"/>
            <w:vAlign w:val="bottom"/>
            <w:shd w:val="clear" w:color="auto" w:fill="EBECEC"/>
          </w:tcPr>
          <w:p>
            <w:pPr>
              <w:spacing w:after="0"/>
              <w:rPr>
                <w:sz w:val="20"/>
                <w:szCs w:val="20"/>
                <w:color w:val="auto"/>
              </w:rPr>
            </w:pPr>
          </w:p>
        </w:tc>
        <w:tc>
          <w:tcPr>
            <w:tcW w:w="86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c>
          <w:tcPr>
            <w:tcW w:w="1060" w:type="dxa"/>
            <w:vAlign w:val="bottom"/>
            <w:shd w:val="clear" w:color="auto" w:fill="EBECEC"/>
          </w:tcPr>
          <w:p>
            <w:pPr>
              <w:spacing w:after="0"/>
              <w:rPr>
                <w:sz w:val="20"/>
                <w:szCs w:val="20"/>
                <w:color w:val="auto"/>
              </w:rPr>
            </w:pPr>
          </w:p>
        </w:tc>
      </w:tr>
      <w:tr>
        <w:trPr>
          <w:trHeight w:val="244"/>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Finite-lived intangible asset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63,800</w:t>
            </w:r>
          </w:p>
        </w:tc>
        <w:tc>
          <w:tcPr>
            <w:tcW w:w="220" w:type="dxa"/>
            <w:vAlign w:val="bottom"/>
          </w:tcPr>
          <w:p>
            <w:pPr>
              <w:spacing w:after="0"/>
              <w:rPr>
                <w:sz w:val="21"/>
                <w:szCs w:val="21"/>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16,906</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46,894</w:t>
            </w:r>
          </w:p>
        </w:tc>
        <w:tc>
          <w:tcPr>
            <w:tcW w:w="220" w:type="dxa"/>
            <w:vAlign w:val="bottom"/>
          </w:tcPr>
          <w:p>
            <w:pPr>
              <w:spacing w:after="0"/>
              <w:rPr>
                <w:sz w:val="21"/>
                <w:szCs w:val="21"/>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20"/>
                <w:szCs w:val="20"/>
                <w:color w:val="231F20"/>
                <w:w w:val="98"/>
              </w:rPr>
              <w:t>8-years</w:t>
            </w:r>
          </w:p>
        </w:tc>
      </w:tr>
      <w:tr>
        <w:trPr>
          <w:trHeight w:val="244"/>
        </w:trPr>
        <w:tc>
          <w:tcPr>
            <w:tcW w:w="49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Balance at December 31, 2025</w:t>
            </w:r>
          </w:p>
        </w:tc>
        <w:tc>
          <w:tcPr>
            <w:tcW w:w="160" w:type="dxa"/>
            <w:vAlign w:val="bottom"/>
            <w:shd w:val="clear" w:color="auto" w:fill="EBECEC"/>
          </w:tcPr>
          <w:p>
            <w:pPr>
              <w:spacing w:after="0"/>
              <w:rPr>
                <w:sz w:val="21"/>
                <w:szCs w:val="21"/>
                <w:color w:val="auto"/>
              </w:rPr>
            </w:pPr>
          </w:p>
        </w:tc>
        <w:tc>
          <w:tcPr>
            <w:tcW w:w="88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280" w:type="dxa"/>
            <w:vAlign w:val="bottom"/>
            <w:shd w:val="clear" w:color="auto" w:fill="EBECEC"/>
          </w:tcPr>
          <w:p>
            <w:pPr>
              <w:spacing w:after="0"/>
              <w:rPr>
                <w:sz w:val="21"/>
                <w:szCs w:val="21"/>
                <w:color w:val="auto"/>
              </w:rPr>
            </w:pPr>
          </w:p>
        </w:tc>
        <w:tc>
          <w:tcPr>
            <w:tcW w:w="76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86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1060" w:type="dxa"/>
            <w:vAlign w:val="bottom"/>
            <w:shd w:val="clear" w:color="auto" w:fill="EBECEC"/>
          </w:tcPr>
          <w:p>
            <w:pPr>
              <w:spacing w:after="0"/>
              <w:rPr>
                <w:sz w:val="21"/>
                <w:szCs w:val="21"/>
                <w:color w:val="auto"/>
              </w:rPr>
            </w:pPr>
          </w:p>
        </w:tc>
      </w:tr>
      <w:tr>
        <w:trPr>
          <w:trHeight w:val="266"/>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Finite-lived intangible asset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63,800</w:t>
            </w:r>
          </w:p>
        </w:tc>
        <w:tc>
          <w:tcPr>
            <w:tcW w:w="500" w:type="dxa"/>
            <w:vAlign w:val="bottom"/>
            <w:gridSpan w:val="2"/>
          </w:tcPr>
          <w:p>
            <w:pPr>
              <w:jc w:val="right"/>
              <w:ind w:right="93"/>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23,281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40,519</w:t>
            </w:r>
          </w:p>
        </w:tc>
        <w:tc>
          <w:tcPr>
            <w:tcW w:w="220" w:type="dxa"/>
            <w:vAlign w:val="bottom"/>
          </w:tcPr>
          <w:p>
            <w:pPr>
              <w:spacing w:after="0"/>
              <w:rPr>
                <w:sz w:val="23"/>
                <w:szCs w:val="23"/>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20"/>
                <w:szCs w:val="20"/>
                <w:color w:val="231F20"/>
                <w:w w:val="98"/>
              </w:rPr>
              <w:t>7-years</w:t>
            </w:r>
          </w:p>
        </w:tc>
      </w:tr>
    </w:tbl>
    <w:p>
      <w:pPr>
        <w:spacing w:after="0" w:line="198"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231F20"/>
        </w:rPr>
        <w:t>Based on the finite-lived intangible asset recorded as of December 31, 2025, and assuming the underlying asset will not be impaired and that the Company will not change the expected life of the asset, future amortization expense over the next five years and periods thereafter are estimated to be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31F20"/>
              </w:rPr>
              <w:t>Estimated amortization</w:t>
            </w:r>
          </w:p>
        </w:tc>
        <w:tc>
          <w:tcPr>
            <w:tcW w:w="80" w:type="dxa"/>
            <w:vAlign w:val="bottom"/>
          </w:tcPr>
          <w:p>
            <w:pPr>
              <w:spacing w:after="0"/>
              <w:rPr>
                <w:sz w:val="16"/>
                <w:szCs w:val="16"/>
                <w:color w:val="auto"/>
              </w:rPr>
            </w:pPr>
          </w:p>
        </w:tc>
      </w:tr>
      <w:tr>
        <w:trPr>
          <w:trHeight w:val="203"/>
        </w:trPr>
        <w:tc>
          <w:tcPr>
            <w:tcW w:w="7960" w:type="dxa"/>
            <w:vAlign w:val="bottom"/>
            <w:tcBorders>
              <w:bottom w:val="single" w:sz="8" w:color="EBECEC"/>
            </w:tcBorders>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231F20"/>
              </w:rPr>
              <w:t>expense</w:t>
            </w:r>
          </w:p>
        </w:tc>
        <w:tc>
          <w:tcPr>
            <w:tcW w:w="80" w:type="dxa"/>
            <w:vAlign w:val="bottom"/>
            <w:tcBorders>
              <w:bottom w:val="single" w:sz="8" w:color="EBECEC"/>
            </w:tcBorders>
          </w:tcPr>
          <w:p>
            <w:pPr>
              <w:spacing w:after="0"/>
              <w:rPr>
                <w:sz w:val="17"/>
                <w:szCs w:val="17"/>
                <w:color w:val="auto"/>
              </w:rPr>
            </w:pPr>
          </w:p>
        </w:tc>
      </w:tr>
      <w:tr>
        <w:trPr>
          <w:trHeight w:val="239"/>
        </w:trPr>
        <w:tc>
          <w:tcPr>
            <w:tcW w:w="79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2026</w:t>
            </w:r>
          </w:p>
        </w:tc>
        <w:tc>
          <w:tcPr>
            <w:tcW w:w="320" w:type="dxa"/>
            <w:vAlign w:val="bottom"/>
            <w:shd w:val="clear" w:color="auto" w:fill="EBECEC"/>
          </w:tcPr>
          <w:p>
            <w:pPr>
              <w:jc w:val="right"/>
              <w:ind w:right="127"/>
              <w:spacing w:after="0"/>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6,375</w:t>
            </w:r>
          </w:p>
        </w:tc>
        <w:tc>
          <w:tcPr>
            <w:tcW w:w="80" w:type="dxa"/>
            <w:vAlign w:val="bottom"/>
            <w:shd w:val="clear" w:color="auto" w:fill="EBECEC"/>
          </w:tcPr>
          <w:p>
            <w:pPr>
              <w:spacing w:after="0"/>
              <w:rPr>
                <w:sz w:val="20"/>
                <w:szCs w:val="20"/>
                <w:color w:val="auto"/>
              </w:rPr>
            </w:pPr>
          </w:p>
        </w:tc>
      </w:tr>
      <w:tr>
        <w:trPr>
          <w:trHeight w:val="244"/>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6,375</w:t>
            </w:r>
          </w:p>
        </w:tc>
        <w:tc>
          <w:tcPr>
            <w:tcW w:w="80" w:type="dxa"/>
            <w:vAlign w:val="bottom"/>
          </w:tcPr>
          <w:p>
            <w:pPr>
              <w:spacing w:after="0"/>
              <w:rPr>
                <w:sz w:val="21"/>
                <w:szCs w:val="21"/>
                <w:color w:val="auto"/>
              </w:rPr>
            </w:pPr>
          </w:p>
        </w:tc>
      </w:tr>
      <w:tr>
        <w:trPr>
          <w:trHeight w:val="244"/>
        </w:trPr>
        <w:tc>
          <w:tcPr>
            <w:tcW w:w="79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2028</w:t>
            </w:r>
          </w:p>
        </w:tc>
        <w:tc>
          <w:tcPr>
            <w:tcW w:w="320" w:type="dxa"/>
            <w:vAlign w:val="bottom"/>
            <w:shd w:val="clear" w:color="auto" w:fill="EBECEC"/>
          </w:tcPr>
          <w:p>
            <w:pPr>
              <w:spacing w:after="0"/>
              <w:rPr>
                <w:sz w:val="21"/>
                <w:szCs w:val="21"/>
                <w:color w:val="auto"/>
              </w:rPr>
            </w:pPr>
          </w:p>
        </w:tc>
        <w:tc>
          <w:tcPr>
            <w:tcW w:w="13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6,392</w:t>
            </w:r>
          </w:p>
        </w:tc>
        <w:tc>
          <w:tcPr>
            <w:tcW w:w="80" w:type="dxa"/>
            <w:vAlign w:val="bottom"/>
            <w:shd w:val="clear" w:color="auto" w:fill="EBECEC"/>
          </w:tcPr>
          <w:p>
            <w:pPr>
              <w:spacing w:after="0"/>
              <w:rPr>
                <w:sz w:val="21"/>
                <w:szCs w:val="21"/>
                <w:color w:val="auto"/>
              </w:rPr>
            </w:pPr>
          </w:p>
        </w:tc>
      </w:tr>
      <w:tr>
        <w:trPr>
          <w:trHeight w:val="244"/>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6,375</w:t>
            </w:r>
          </w:p>
        </w:tc>
        <w:tc>
          <w:tcPr>
            <w:tcW w:w="80" w:type="dxa"/>
            <w:vAlign w:val="bottom"/>
          </w:tcPr>
          <w:p>
            <w:pPr>
              <w:spacing w:after="0"/>
              <w:rPr>
                <w:sz w:val="21"/>
                <w:szCs w:val="21"/>
                <w:color w:val="auto"/>
              </w:rPr>
            </w:pPr>
          </w:p>
        </w:tc>
      </w:tr>
      <w:tr>
        <w:trPr>
          <w:trHeight w:val="244"/>
        </w:trPr>
        <w:tc>
          <w:tcPr>
            <w:tcW w:w="79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2030</w:t>
            </w:r>
          </w:p>
        </w:tc>
        <w:tc>
          <w:tcPr>
            <w:tcW w:w="320" w:type="dxa"/>
            <w:vAlign w:val="bottom"/>
            <w:shd w:val="clear" w:color="auto" w:fill="EBECEC"/>
          </w:tcPr>
          <w:p>
            <w:pPr>
              <w:spacing w:after="0"/>
              <w:rPr>
                <w:sz w:val="21"/>
                <w:szCs w:val="21"/>
                <w:color w:val="auto"/>
              </w:rPr>
            </w:pPr>
          </w:p>
        </w:tc>
        <w:tc>
          <w:tcPr>
            <w:tcW w:w="13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6,375</w:t>
            </w:r>
          </w:p>
        </w:tc>
        <w:tc>
          <w:tcPr>
            <w:tcW w:w="80" w:type="dxa"/>
            <w:vAlign w:val="bottom"/>
            <w:shd w:val="clear" w:color="auto" w:fill="EBECEC"/>
          </w:tcPr>
          <w:p>
            <w:pPr>
              <w:spacing w:after="0"/>
              <w:rPr>
                <w:sz w:val="21"/>
                <w:szCs w:val="21"/>
                <w:color w:val="auto"/>
              </w:rPr>
            </w:pPr>
          </w:p>
        </w:tc>
      </w:tr>
      <w:tr>
        <w:trPr>
          <w:trHeight w:val="244"/>
        </w:trPr>
        <w:tc>
          <w:tcPr>
            <w:tcW w:w="796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32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8,627</w:t>
            </w:r>
          </w:p>
        </w:tc>
        <w:tc>
          <w:tcPr>
            <w:tcW w:w="80" w:type="dxa"/>
            <w:vAlign w:val="bottom"/>
            <w:tcBorders>
              <w:bottom w:val="single" w:sz="8" w:color="EBECEC"/>
            </w:tcBorders>
          </w:tcPr>
          <w:p>
            <w:pPr>
              <w:spacing w:after="0"/>
              <w:rPr>
                <w:sz w:val="21"/>
                <w:szCs w:val="21"/>
                <w:color w:val="auto"/>
              </w:rPr>
            </w:pPr>
          </w:p>
        </w:tc>
      </w:tr>
      <w:tr>
        <w:trPr>
          <w:trHeight w:val="239"/>
        </w:trPr>
        <w:tc>
          <w:tcPr>
            <w:tcW w:w="79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w:t>
            </w:r>
          </w:p>
        </w:tc>
        <w:tc>
          <w:tcPr>
            <w:tcW w:w="320" w:type="dxa"/>
            <w:vAlign w:val="bottom"/>
            <w:tcBorders>
              <w:bottom w:val="single" w:sz="8" w:color="231F20"/>
            </w:tcBorders>
            <w:shd w:val="clear" w:color="auto" w:fill="EBECEC"/>
          </w:tcPr>
          <w:p>
            <w:pPr>
              <w:jc w:val="right"/>
              <w:ind w:right="127"/>
              <w:spacing w:after="0"/>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40,519</w:t>
            </w:r>
          </w:p>
        </w:tc>
        <w:tc>
          <w:tcPr>
            <w:tcW w:w="80" w:type="dxa"/>
            <w:vAlign w:val="bottom"/>
            <w:shd w:val="clear" w:color="auto" w:fill="EBECEC"/>
          </w:tcPr>
          <w:p>
            <w:pPr>
              <w:spacing w:after="0"/>
              <w:rPr>
                <w:sz w:val="20"/>
                <w:szCs w:val="20"/>
                <w:color w:val="auto"/>
              </w:rPr>
            </w:pP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7. Fair Value of Financial Instruments</w:t>
      </w:r>
    </w:p>
    <w:p>
      <w:pPr>
        <w:spacing w:after="0" w:line="244" w:lineRule="exact"/>
        <w:rPr>
          <w:sz w:val="20"/>
          <w:szCs w:val="20"/>
          <w:color w:val="auto"/>
        </w:rPr>
      </w:pPr>
    </w:p>
    <w:p>
      <w:pPr>
        <w:jc w:val="both"/>
        <w:ind w:right="500" w:firstLine="720"/>
        <w:spacing w:after="0" w:line="249" w:lineRule="auto"/>
        <w:rPr>
          <w:sz w:val="20"/>
          <w:szCs w:val="20"/>
          <w:color w:val="auto"/>
        </w:rPr>
      </w:pPr>
      <w:r>
        <w:rPr>
          <w:rFonts w:ascii="Times New Roman" w:cs="Times New Roman" w:eastAsia="Times New Roman" w:hAnsi="Times New Roman"/>
          <w:sz w:val="20"/>
          <w:szCs w:val="20"/>
          <w:color w:val="231F20"/>
        </w:rPr>
        <w:t>In connection with the Acquisition, the Company pays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$10.0 million and non-current contingent consideration liability of $77.5 million in the consolidated balance sheet as of December 31, 2025.</w:t>
      </w:r>
    </w:p>
    <w:p>
      <w:pPr>
        <w:sectPr>
          <w:pgSz w:w="12240" w:h="15840" w:orient="portrait"/>
          <w:cols w:equalWidth="0" w:num="1">
            <w:col w:w="9720"/>
          </w:cols>
          <w:pgMar w:left="1260" w:top="1247"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F-20</w:t>
      </w:r>
    </w:p>
    <w:p>
      <w:pPr>
        <w:sectPr>
          <w:pgSz w:w="12240" w:h="15840" w:orient="portrait"/>
          <w:cols w:equalWidth="0" w:num="1">
            <w:col w:w="9720"/>
          </w:cols>
          <w:pgMar w:left="1260" w:top="1247" w:right="1260" w:bottom="186" w:gutter="0" w:footer="0" w:header="0"/>
          <w:type w:val="continuous"/>
        </w:sectPr>
      </w:pPr>
    </w:p>
    <w:bookmarkStart w:id="151" w:name="page152"/>
    <w:bookmarkEnd w:id="151"/>
    <w:p>
      <w:pPr>
        <w:ind w:left="720"/>
        <w:spacing w:after="0"/>
        <w:rPr>
          <w:sz w:val="20"/>
          <w:szCs w:val="20"/>
          <w:color w:val="auto"/>
        </w:rPr>
      </w:pPr>
      <w:r>
        <w:rPr>
          <w:rFonts w:ascii="Times New Roman" w:cs="Times New Roman" w:eastAsia="Times New Roman" w:hAnsi="Times New Roman"/>
          <w:sz w:val="20"/>
          <w:szCs w:val="20"/>
          <w:color w:val="231F20"/>
        </w:rPr>
        <w:t>The fair value of financial instruments measured on a recurring basis is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4"/>
          </w:tcPr>
          <w:p>
            <w:pPr>
              <w:jc w:val="right"/>
              <w:ind w:right="407"/>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4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180" w:type="dxa"/>
            <w:vAlign w:val="bottom"/>
          </w:tcPr>
          <w:p>
            <w:pPr>
              <w:spacing w:after="0"/>
              <w:rPr>
                <w:sz w:val="21"/>
                <w:szCs w:val="21"/>
                <w:color w:val="auto"/>
              </w:rPr>
            </w:pPr>
          </w:p>
        </w:tc>
        <w:tc>
          <w:tcPr>
            <w:tcW w:w="84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39"/>
        </w:trPr>
        <w:tc>
          <w:tcPr>
            <w:tcW w:w="4880" w:type="dxa"/>
            <w:vAlign w:val="bottom"/>
            <w:tcBorders>
              <w:top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Assets:</w:t>
            </w:r>
          </w:p>
        </w:tc>
        <w:tc>
          <w:tcPr>
            <w:tcW w:w="180" w:type="dxa"/>
            <w:vAlign w:val="bottom"/>
            <w:tcBorders>
              <w:top w:val="single" w:sz="8" w:color="231F20"/>
            </w:tcBorders>
            <w:shd w:val="clear" w:color="auto" w:fill="EBECEC"/>
          </w:tcPr>
          <w:p>
            <w:pPr>
              <w:spacing w:after="0"/>
              <w:rPr>
                <w:sz w:val="20"/>
                <w:szCs w:val="20"/>
                <w:color w:val="auto"/>
              </w:rPr>
            </w:pPr>
          </w:p>
        </w:tc>
        <w:tc>
          <w:tcPr>
            <w:tcW w:w="860" w:type="dxa"/>
            <w:vAlign w:val="bottom"/>
            <w:tcBorders>
              <w:top w:val="single" w:sz="8" w:color="231F20"/>
            </w:tcBorders>
            <w:shd w:val="clear" w:color="auto" w:fill="EBECEC"/>
          </w:tcPr>
          <w:p>
            <w:pPr>
              <w:spacing w:after="0"/>
              <w:rPr>
                <w:sz w:val="20"/>
                <w:szCs w:val="20"/>
                <w:color w:val="auto"/>
              </w:rPr>
            </w:pPr>
          </w:p>
        </w:tc>
        <w:tc>
          <w:tcPr>
            <w:tcW w:w="100" w:type="dxa"/>
            <w:vAlign w:val="bottom"/>
            <w:tcBorders>
              <w:top w:val="single" w:sz="8" w:color="EBECEC"/>
            </w:tcBorders>
            <w:shd w:val="clear" w:color="auto" w:fill="EBECEC"/>
          </w:tcPr>
          <w:p>
            <w:pPr>
              <w:spacing w:after="0"/>
              <w:rPr>
                <w:sz w:val="20"/>
                <w:szCs w:val="20"/>
                <w:color w:val="auto"/>
              </w:rPr>
            </w:pPr>
          </w:p>
        </w:tc>
        <w:tc>
          <w:tcPr>
            <w:tcW w:w="100" w:type="dxa"/>
            <w:vAlign w:val="bottom"/>
            <w:tcBorders>
              <w:top w:val="single" w:sz="8" w:color="EBECEC"/>
            </w:tcBorders>
            <w:shd w:val="clear" w:color="auto" w:fill="EBECEC"/>
          </w:tcPr>
          <w:p>
            <w:pPr>
              <w:spacing w:after="0"/>
              <w:rPr>
                <w:sz w:val="20"/>
                <w:szCs w:val="20"/>
                <w:color w:val="auto"/>
              </w:rPr>
            </w:pPr>
          </w:p>
        </w:tc>
        <w:tc>
          <w:tcPr>
            <w:tcW w:w="200" w:type="dxa"/>
            <w:vAlign w:val="bottom"/>
            <w:tcBorders>
              <w:top w:val="single" w:sz="8" w:color="231F20"/>
            </w:tcBorders>
            <w:shd w:val="clear" w:color="auto" w:fill="EBECEC"/>
          </w:tcPr>
          <w:p>
            <w:pPr>
              <w:spacing w:after="0"/>
              <w:rPr>
                <w:sz w:val="20"/>
                <w:szCs w:val="20"/>
                <w:color w:val="auto"/>
              </w:rPr>
            </w:pPr>
          </w:p>
        </w:tc>
        <w:tc>
          <w:tcPr>
            <w:tcW w:w="840" w:type="dxa"/>
            <w:vAlign w:val="bottom"/>
            <w:tcBorders>
              <w:top w:val="single" w:sz="8" w:color="231F20"/>
            </w:tcBorders>
            <w:shd w:val="clear" w:color="auto" w:fill="EBECEC"/>
          </w:tcPr>
          <w:p>
            <w:pPr>
              <w:spacing w:after="0"/>
              <w:rPr>
                <w:sz w:val="20"/>
                <w:szCs w:val="20"/>
                <w:color w:val="auto"/>
              </w:rPr>
            </w:pPr>
          </w:p>
        </w:tc>
        <w:tc>
          <w:tcPr>
            <w:tcW w:w="220" w:type="dxa"/>
            <w:vAlign w:val="bottom"/>
            <w:tcBorders>
              <w:top w:val="single" w:sz="8" w:color="EBECEC"/>
            </w:tcBorders>
            <w:shd w:val="clear" w:color="auto" w:fill="EBECEC"/>
          </w:tcPr>
          <w:p>
            <w:pPr>
              <w:spacing w:after="0"/>
              <w:rPr>
                <w:sz w:val="20"/>
                <w:szCs w:val="20"/>
                <w:color w:val="auto"/>
              </w:rPr>
            </w:pPr>
          </w:p>
        </w:tc>
        <w:tc>
          <w:tcPr>
            <w:tcW w:w="180" w:type="dxa"/>
            <w:vAlign w:val="bottom"/>
            <w:tcBorders>
              <w:top w:val="single" w:sz="8" w:color="231F20"/>
            </w:tcBorders>
            <w:shd w:val="clear" w:color="auto" w:fill="EBECEC"/>
          </w:tcPr>
          <w:p>
            <w:pPr>
              <w:spacing w:after="0"/>
              <w:rPr>
                <w:sz w:val="20"/>
                <w:szCs w:val="20"/>
                <w:color w:val="auto"/>
              </w:rPr>
            </w:pPr>
          </w:p>
        </w:tc>
        <w:tc>
          <w:tcPr>
            <w:tcW w:w="840" w:type="dxa"/>
            <w:vAlign w:val="bottom"/>
            <w:tcBorders>
              <w:top w:val="single" w:sz="8" w:color="231F20"/>
            </w:tcBorders>
            <w:shd w:val="clear" w:color="auto" w:fill="EBECEC"/>
          </w:tcPr>
          <w:p>
            <w:pPr>
              <w:spacing w:after="0"/>
              <w:rPr>
                <w:sz w:val="20"/>
                <w:szCs w:val="20"/>
                <w:color w:val="auto"/>
              </w:rPr>
            </w:pPr>
          </w:p>
        </w:tc>
        <w:tc>
          <w:tcPr>
            <w:tcW w:w="220" w:type="dxa"/>
            <w:vAlign w:val="bottom"/>
            <w:tcBorders>
              <w:top w:val="single" w:sz="8" w:color="EBECEC"/>
            </w:tcBorders>
            <w:shd w:val="clear" w:color="auto" w:fill="EBECEC"/>
          </w:tcPr>
          <w:p>
            <w:pPr>
              <w:spacing w:after="0"/>
              <w:rPr>
                <w:sz w:val="20"/>
                <w:szCs w:val="20"/>
                <w:color w:val="auto"/>
              </w:rPr>
            </w:pPr>
          </w:p>
        </w:tc>
        <w:tc>
          <w:tcPr>
            <w:tcW w:w="220" w:type="dxa"/>
            <w:vAlign w:val="bottom"/>
            <w:tcBorders>
              <w:top w:val="single" w:sz="8" w:color="231F20"/>
            </w:tcBorders>
            <w:shd w:val="clear" w:color="auto" w:fill="EBECEC"/>
          </w:tcPr>
          <w:p>
            <w:pPr>
              <w:spacing w:after="0"/>
              <w:rPr>
                <w:sz w:val="20"/>
                <w:szCs w:val="20"/>
                <w:color w:val="auto"/>
              </w:rPr>
            </w:pPr>
          </w:p>
        </w:tc>
        <w:tc>
          <w:tcPr>
            <w:tcW w:w="800" w:type="dxa"/>
            <w:vAlign w:val="bottom"/>
            <w:tcBorders>
              <w:top w:val="single" w:sz="8" w:color="231F20"/>
            </w:tcBorders>
            <w:shd w:val="clear" w:color="auto" w:fill="EBECEC"/>
          </w:tcPr>
          <w:p>
            <w:pPr>
              <w:spacing w:after="0"/>
              <w:rPr>
                <w:sz w:val="20"/>
                <w:szCs w:val="20"/>
                <w:color w:val="auto"/>
              </w:rPr>
            </w:pPr>
          </w:p>
        </w:tc>
        <w:tc>
          <w:tcPr>
            <w:tcW w:w="80" w:type="dxa"/>
            <w:vAlign w:val="bottom"/>
            <w:tcBorders>
              <w:top w:val="single" w:sz="8" w:color="EBECEC"/>
            </w:tcBorders>
            <w:shd w:val="clear" w:color="auto" w:fill="EBECEC"/>
          </w:tcPr>
          <w:p>
            <w:pPr>
              <w:spacing w:after="0"/>
              <w:rPr>
                <w:sz w:val="20"/>
                <w:szCs w:val="20"/>
                <w:color w:val="auto"/>
              </w:rPr>
            </w:pPr>
          </w:p>
        </w:tc>
      </w:tr>
      <w:tr>
        <w:trPr>
          <w:trHeight w:val="244"/>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Cash and cash equivalents - 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173,111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20"/>
                <w:szCs w:val="20"/>
                <w:color w:val="231F20"/>
                <w:w w:val="99"/>
              </w:rPr>
              <w:t>—</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173,111</w:t>
            </w:r>
          </w:p>
        </w:tc>
        <w:tc>
          <w:tcPr>
            <w:tcW w:w="80" w:type="dxa"/>
            <w:vAlign w:val="bottom"/>
          </w:tcPr>
          <w:p>
            <w:pPr>
              <w:spacing w:after="0"/>
              <w:rPr>
                <w:sz w:val="21"/>
                <w:szCs w:val="21"/>
                <w:color w:val="auto"/>
              </w:rPr>
            </w:pPr>
          </w:p>
        </w:tc>
      </w:tr>
      <w:tr>
        <w:trPr>
          <w:trHeight w:val="244"/>
        </w:trPr>
        <w:tc>
          <w:tcPr>
            <w:tcW w:w="488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Liabilities:</w:t>
            </w:r>
          </w:p>
        </w:tc>
        <w:tc>
          <w:tcPr>
            <w:tcW w:w="180" w:type="dxa"/>
            <w:vAlign w:val="bottom"/>
            <w:shd w:val="clear" w:color="auto" w:fill="EBECEC"/>
          </w:tcPr>
          <w:p>
            <w:pPr>
              <w:spacing w:after="0"/>
              <w:rPr>
                <w:sz w:val="21"/>
                <w:szCs w:val="21"/>
                <w:color w:val="auto"/>
              </w:rPr>
            </w:pPr>
          </w:p>
        </w:tc>
        <w:tc>
          <w:tcPr>
            <w:tcW w:w="86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200" w:type="dxa"/>
            <w:vAlign w:val="bottom"/>
            <w:shd w:val="clear" w:color="auto" w:fill="EBECEC"/>
          </w:tcPr>
          <w:p>
            <w:pPr>
              <w:spacing w:after="0"/>
              <w:rPr>
                <w:sz w:val="21"/>
                <w:szCs w:val="21"/>
                <w:color w:val="auto"/>
              </w:rPr>
            </w:pPr>
          </w:p>
        </w:tc>
        <w:tc>
          <w:tcPr>
            <w:tcW w:w="84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180" w:type="dxa"/>
            <w:vAlign w:val="bottom"/>
            <w:shd w:val="clear" w:color="auto" w:fill="EBECEC"/>
          </w:tcPr>
          <w:p>
            <w:pPr>
              <w:spacing w:after="0"/>
              <w:rPr>
                <w:sz w:val="21"/>
                <w:szCs w:val="21"/>
                <w:color w:val="auto"/>
              </w:rPr>
            </w:pPr>
          </w:p>
        </w:tc>
        <w:tc>
          <w:tcPr>
            <w:tcW w:w="84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800" w:type="dxa"/>
            <w:vAlign w:val="bottom"/>
            <w:shd w:val="clear" w:color="auto" w:fill="EBECEC"/>
          </w:tcPr>
          <w:p>
            <w:pPr>
              <w:spacing w:after="0"/>
              <w:rPr>
                <w:sz w:val="21"/>
                <w:szCs w:val="21"/>
                <w:color w:val="auto"/>
              </w:rPr>
            </w:pPr>
          </w:p>
        </w:tc>
        <w:tc>
          <w:tcPr>
            <w:tcW w:w="80" w:type="dxa"/>
            <w:vAlign w:val="bottom"/>
            <w:shd w:val="clear" w:color="auto" w:fill="EBECEC"/>
          </w:tcPr>
          <w:p>
            <w:pPr>
              <w:spacing w:after="0"/>
              <w:rPr>
                <w:sz w:val="21"/>
                <w:szCs w:val="21"/>
                <w:color w:val="auto"/>
              </w:rPr>
            </w:pPr>
          </w:p>
        </w:tc>
      </w:tr>
      <w:tr>
        <w:trPr>
          <w:trHeight w:val="266"/>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Contingent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87,552</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87,552</w:t>
            </w:r>
          </w:p>
        </w:tc>
        <w:tc>
          <w:tcPr>
            <w:tcW w:w="80" w:type="dxa"/>
            <w:vAlign w:val="bottom"/>
          </w:tcPr>
          <w:p>
            <w:pPr>
              <w:spacing w:after="0"/>
              <w:rPr>
                <w:sz w:val="23"/>
                <w:szCs w:val="23"/>
                <w:color w:val="auto"/>
              </w:rPr>
            </w:pPr>
          </w:p>
        </w:tc>
      </w:tr>
      <w:tr>
        <w:trPr>
          <w:trHeight w:val="501"/>
        </w:trPr>
        <w:tc>
          <w:tcPr>
            <w:tcW w:w="4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4"/>
          </w:tcPr>
          <w:p>
            <w:pPr>
              <w:jc w:val="right"/>
              <w:ind w:right="387"/>
              <w:spacing w:after="0"/>
              <w:rPr>
                <w:sz w:val="20"/>
                <w:szCs w:val="20"/>
                <w:color w:val="auto"/>
              </w:rPr>
            </w:pPr>
            <w:r>
              <w:rPr>
                <w:rFonts w:ascii="Times New Roman" w:cs="Times New Roman" w:eastAsia="Times New Roman" w:hAnsi="Times New Roman"/>
                <w:sz w:val="16"/>
                <w:szCs w:val="16"/>
                <w:b w:val="1"/>
                <w:bCs w:val="1"/>
                <w:color w:val="231F20"/>
              </w:rPr>
              <w:t>December 31, 2024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4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180" w:type="dxa"/>
            <w:vAlign w:val="bottom"/>
          </w:tcPr>
          <w:p>
            <w:pPr>
              <w:spacing w:after="0"/>
              <w:rPr>
                <w:sz w:val="19"/>
                <w:szCs w:val="19"/>
                <w:color w:val="auto"/>
              </w:rPr>
            </w:pPr>
          </w:p>
        </w:tc>
        <w:tc>
          <w:tcPr>
            <w:tcW w:w="840" w:type="dxa"/>
            <w:vAlign w:val="bottom"/>
          </w:tcPr>
          <w:p>
            <w:pPr>
              <w:jc w:val="right"/>
              <w:ind w:right="167"/>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25"/>
        </w:trPr>
        <w:tc>
          <w:tcPr>
            <w:tcW w:w="4880" w:type="dxa"/>
            <w:vAlign w:val="bottom"/>
            <w:tcBorders>
              <w:top w:val="single" w:sz="8" w:color="EBECEC"/>
            </w:tcBorders>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Assets:</w:t>
            </w:r>
          </w:p>
        </w:tc>
        <w:tc>
          <w:tcPr>
            <w:tcW w:w="180" w:type="dxa"/>
            <w:vAlign w:val="bottom"/>
            <w:tcBorders>
              <w:top w:val="single" w:sz="8" w:color="231F20"/>
            </w:tcBorders>
            <w:shd w:val="clear" w:color="auto" w:fill="EBECEC"/>
          </w:tcPr>
          <w:p>
            <w:pPr>
              <w:spacing w:after="0"/>
              <w:rPr>
                <w:sz w:val="19"/>
                <w:szCs w:val="19"/>
                <w:color w:val="auto"/>
              </w:rPr>
            </w:pPr>
          </w:p>
        </w:tc>
        <w:tc>
          <w:tcPr>
            <w:tcW w:w="860" w:type="dxa"/>
            <w:vAlign w:val="bottom"/>
            <w:tcBorders>
              <w:top w:val="single" w:sz="8" w:color="231F20"/>
            </w:tcBorders>
            <w:shd w:val="clear" w:color="auto" w:fill="EBECEC"/>
          </w:tcPr>
          <w:p>
            <w:pPr>
              <w:spacing w:after="0"/>
              <w:rPr>
                <w:sz w:val="19"/>
                <w:szCs w:val="19"/>
                <w:color w:val="auto"/>
              </w:rPr>
            </w:pPr>
          </w:p>
        </w:tc>
        <w:tc>
          <w:tcPr>
            <w:tcW w:w="100" w:type="dxa"/>
            <w:vAlign w:val="bottom"/>
            <w:tcBorders>
              <w:top w:val="single" w:sz="8" w:color="EBECEC"/>
            </w:tcBorders>
            <w:shd w:val="clear" w:color="auto" w:fill="EBECEC"/>
          </w:tcPr>
          <w:p>
            <w:pPr>
              <w:spacing w:after="0"/>
              <w:rPr>
                <w:sz w:val="19"/>
                <w:szCs w:val="19"/>
                <w:color w:val="auto"/>
              </w:rPr>
            </w:pPr>
          </w:p>
        </w:tc>
        <w:tc>
          <w:tcPr>
            <w:tcW w:w="100" w:type="dxa"/>
            <w:vAlign w:val="bottom"/>
            <w:tcBorders>
              <w:top w:val="single" w:sz="8" w:color="EBECEC"/>
            </w:tcBorders>
            <w:shd w:val="clear" w:color="auto" w:fill="EBECEC"/>
          </w:tcPr>
          <w:p>
            <w:pPr>
              <w:spacing w:after="0"/>
              <w:rPr>
                <w:sz w:val="19"/>
                <w:szCs w:val="19"/>
                <w:color w:val="auto"/>
              </w:rPr>
            </w:pPr>
          </w:p>
        </w:tc>
        <w:tc>
          <w:tcPr>
            <w:tcW w:w="200" w:type="dxa"/>
            <w:vAlign w:val="bottom"/>
            <w:tcBorders>
              <w:top w:val="single" w:sz="8" w:color="231F20"/>
            </w:tcBorders>
            <w:shd w:val="clear" w:color="auto" w:fill="EBECEC"/>
          </w:tcPr>
          <w:p>
            <w:pPr>
              <w:spacing w:after="0"/>
              <w:rPr>
                <w:sz w:val="19"/>
                <w:szCs w:val="19"/>
                <w:color w:val="auto"/>
              </w:rPr>
            </w:pPr>
          </w:p>
        </w:tc>
        <w:tc>
          <w:tcPr>
            <w:tcW w:w="840" w:type="dxa"/>
            <w:vAlign w:val="bottom"/>
            <w:tcBorders>
              <w:top w:val="single" w:sz="8" w:color="231F20"/>
            </w:tcBorders>
            <w:shd w:val="clear" w:color="auto" w:fill="EBECEC"/>
          </w:tcPr>
          <w:p>
            <w:pPr>
              <w:spacing w:after="0"/>
              <w:rPr>
                <w:sz w:val="19"/>
                <w:szCs w:val="19"/>
                <w:color w:val="auto"/>
              </w:rPr>
            </w:pPr>
          </w:p>
        </w:tc>
        <w:tc>
          <w:tcPr>
            <w:tcW w:w="220" w:type="dxa"/>
            <w:vAlign w:val="bottom"/>
            <w:tcBorders>
              <w:top w:val="single" w:sz="8" w:color="EBECEC"/>
            </w:tcBorders>
            <w:shd w:val="clear" w:color="auto" w:fill="EBECEC"/>
          </w:tcPr>
          <w:p>
            <w:pPr>
              <w:spacing w:after="0"/>
              <w:rPr>
                <w:sz w:val="19"/>
                <w:szCs w:val="19"/>
                <w:color w:val="auto"/>
              </w:rPr>
            </w:pPr>
          </w:p>
        </w:tc>
        <w:tc>
          <w:tcPr>
            <w:tcW w:w="180" w:type="dxa"/>
            <w:vAlign w:val="bottom"/>
            <w:tcBorders>
              <w:top w:val="single" w:sz="8" w:color="231F20"/>
            </w:tcBorders>
            <w:shd w:val="clear" w:color="auto" w:fill="EBECEC"/>
          </w:tcPr>
          <w:p>
            <w:pPr>
              <w:spacing w:after="0"/>
              <w:rPr>
                <w:sz w:val="19"/>
                <w:szCs w:val="19"/>
                <w:color w:val="auto"/>
              </w:rPr>
            </w:pPr>
          </w:p>
        </w:tc>
        <w:tc>
          <w:tcPr>
            <w:tcW w:w="840" w:type="dxa"/>
            <w:vAlign w:val="bottom"/>
            <w:tcBorders>
              <w:top w:val="single" w:sz="8" w:color="231F20"/>
            </w:tcBorders>
            <w:shd w:val="clear" w:color="auto" w:fill="EBECEC"/>
          </w:tcPr>
          <w:p>
            <w:pPr>
              <w:spacing w:after="0"/>
              <w:rPr>
                <w:sz w:val="19"/>
                <w:szCs w:val="19"/>
                <w:color w:val="auto"/>
              </w:rPr>
            </w:pPr>
          </w:p>
        </w:tc>
        <w:tc>
          <w:tcPr>
            <w:tcW w:w="220" w:type="dxa"/>
            <w:vAlign w:val="bottom"/>
            <w:tcBorders>
              <w:top w:val="single" w:sz="8" w:color="EBECEC"/>
            </w:tcBorders>
            <w:shd w:val="clear" w:color="auto" w:fill="EBECEC"/>
          </w:tcPr>
          <w:p>
            <w:pPr>
              <w:spacing w:after="0"/>
              <w:rPr>
                <w:sz w:val="19"/>
                <w:szCs w:val="19"/>
                <w:color w:val="auto"/>
              </w:rPr>
            </w:pPr>
          </w:p>
        </w:tc>
        <w:tc>
          <w:tcPr>
            <w:tcW w:w="220" w:type="dxa"/>
            <w:vAlign w:val="bottom"/>
            <w:tcBorders>
              <w:top w:val="single" w:sz="8" w:color="231F20"/>
            </w:tcBorders>
            <w:shd w:val="clear" w:color="auto" w:fill="EBECEC"/>
          </w:tcPr>
          <w:p>
            <w:pPr>
              <w:spacing w:after="0"/>
              <w:rPr>
                <w:sz w:val="19"/>
                <w:szCs w:val="19"/>
                <w:color w:val="auto"/>
              </w:rPr>
            </w:pPr>
          </w:p>
        </w:tc>
        <w:tc>
          <w:tcPr>
            <w:tcW w:w="800" w:type="dxa"/>
            <w:vAlign w:val="bottom"/>
            <w:tcBorders>
              <w:top w:val="single" w:sz="8" w:color="231F20"/>
            </w:tcBorders>
            <w:shd w:val="clear" w:color="auto" w:fill="EBECEC"/>
          </w:tcPr>
          <w:p>
            <w:pPr>
              <w:spacing w:after="0"/>
              <w:rPr>
                <w:sz w:val="19"/>
                <w:szCs w:val="19"/>
                <w:color w:val="auto"/>
              </w:rPr>
            </w:pPr>
          </w:p>
        </w:tc>
        <w:tc>
          <w:tcPr>
            <w:tcW w:w="80" w:type="dxa"/>
            <w:vAlign w:val="bottom"/>
            <w:tcBorders>
              <w:top w:val="single" w:sz="8" w:color="EBECEC"/>
            </w:tcBorders>
            <w:shd w:val="clear" w:color="auto" w:fill="EBECEC"/>
          </w:tcPr>
          <w:p>
            <w:pPr>
              <w:spacing w:after="0"/>
              <w:rPr>
                <w:sz w:val="19"/>
                <w:szCs w:val="19"/>
                <w:color w:val="auto"/>
              </w:rPr>
            </w:pPr>
          </w:p>
        </w:tc>
      </w:tr>
      <w:tr>
        <w:trPr>
          <w:trHeight w:val="230"/>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Cash and cash equivalents - 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244,097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20"/>
                <w:szCs w:val="20"/>
                <w:color w:val="231F20"/>
                <w:w w:val="89"/>
              </w:rPr>
              <w:t>—</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244,097</w:t>
            </w:r>
          </w:p>
        </w:tc>
        <w:tc>
          <w:tcPr>
            <w:tcW w:w="80" w:type="dxa"/>
            <w:vAlign w:val="bottom"/>
          </w:tcPr>
          <w:p>
            <w:pPr>
              <w:spacing w:after="0"/>
              <w:rPr>
                <w:sz w:val="20"/>
                <w:szCs w:val="20"/>
                <w:color w:val="auto"/>
              </w:rPr>
            </w:pPr>
          </w:p>
        </w:tc>
      </w:tr>
      <w:tr>
        <w:trPr>
          <w:trHeight w:val="230"/>
        </w:trPr>
        <w:tc>
          <w:tcPr>
            <w:tcW w:w="488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Liabilities:</w:t>
            </w:r>
          </w:p>
        </w:tc>
        <w:tc>
          <w:tcPr>
            <w:tcW w:w="180" w:type="dxa"/>
            <w:vAlign w:val="bottom"/>
            <w:shd w:val="clear" w:color="auto" w:fill="EBECEC"/>
          </w:tcPr>
          <w:p>
            <w:pPr>
              <w:spacing w:after="0"/>
              <w:rPr>
                <w:sz w:val="20"/>
                <w:szCs w:val="20"/>
                <w:color w:val="auto"/>
              </w:rPr>
            </w:pPr>
          </w:p>
        </w:tc>
        <w:tc>
          <w:tcPr>
            <w:tcW w:w="86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84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c>
          <w:tcPr>
            <w:tcW w:w="180" w:type="dxa"/>
            <w:vAlign w:val="bottom"/>
            <w:shd w:val="clear" w:color="auto" w:fill="EBECEC"/>
          </w:tcPr>
          <w:p>
            <w:pPr>
              <w:spacing w:after="0"/>
              <w:rPr>
                <w:sz w:val="20"/>
                <w:szCs w:val="20"/>
                <w:color w:val="auto"/>
              </w:rPr>
            </w:pPr>
          </w:p>
        </w:tc>
        <w:tc>
          <w:tcPr>
            <w:tcW w:w="84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c>
          <w:tcPr>
            <w:tcW w:w="220" w:type="dxa"/>
            <w:vAlign w:val="bottom"/>
            <w:shd w:val="clear" w:color="auto" w:fill="EBECEC"/>
          </w:tcPr>
          <w:p>
            <w:pPr>
              <w:spacing w:after="0"/>
              <w:rPr>
                <w:sz w:val="20"/>
                <w:szCs w:val="20"/>
                <w:color w:val="auto"/>
              </w:rPr>
            </w:pPr>
          </w:p>
        </w:tc>
        <w:tc>
          <w:tcPr>
            <w:tcW w:w="80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r>
      <w:tr>
        <w:trPr>
          <w:trHeight w:val="266"/>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Contingent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99,965</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99,965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-1901190</wp:posOffset>
            </wp:positionV>
            <wp:extent cx="306451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3064510" cy="3810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-786130</wp:posOffset>
            </wp:positionV>
            <wp:extent cx="306451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3064510" cy="3810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Contingent Consideration Liabilities</w:t>
      </w:r>
    </w:p>
    <w:p>
      <w:pPr>
        <w:spacing w:after="0" w:line="244" w:lineRule="exact"/>
        <w:rPr>
          <w:sz w:val="20"/>
          <w:szCs w:val="20"/>
          <w:color w:val="auto"/>
        </w:rPr>
      </w:pPr>
    </w:p>
    <w:p>
      <w:pPr>
        <w:jc w:val="both"/>
        <w:ind w:right="200" w:firstLine="720"/>
        <w:spacing w:after="0" w:line="258" w:lineRule="auto"/>
        <w:rPr>
          <w:sz w:val="20"/>
          <w:szCs w:val="20"/>
          <w:color w:val="auto"/>
        </w:rPr>
      </w:pPr>
      <w:r>
        <w:rPr>
          <w:rFonts w:ascii="Times New Roman" w:cs="Times New Roman" w:eastAsia="Times New Roman" w:hAnsi="Times New Roman"/>
          <w:sz w:val="20"/>
          <w:szCs w:val="20"/>
          <w:color w:val="231F20"/>
        </w:rPr>
        <w:t>The fair value of the contingent consideration liabilities is marked-to-market at each reporting period and was remeasured at December 31, 2025. Changes in fair value of the contingent consideration liabilities as of December 31,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231F20"/>
              </w:rPr>
              <w:t>Contingent</w:t>
            </w:r>
          </w:p>
        </w:tc>
      </w:tr>
      <w:tr>
        <w:trPr>
          <w:trHeight w:val="203"/>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231F20"/>
              </w:rPr>
              <w:t>consideration</w:t>
            </w:r>
          </w:p>
        </w:tc>
      </w:tr>
      <w:tr>
        <w:trPr>
          <w:trHeight w:val="225"/>
        </w:trPr>
        <w:tc>
          <w:tcPr>
            <w:tcW w:w="7940" w:type="dxa"/>
            <w:vAlign w:val="bottom"/>
            <w:tcBorders>
              <w:top w:val="single" w:sz="8" w:color="EBECEC"/>
            </w:tcBorders>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Balance at December 31, 2024</w:t>
            </w:r>
          </w:p>
        </w:tc>
        <w:tc>
          <w:tcPr>
            <w:tcW w:w="240" w:type="dxa"/>
            <w:vAlign w:val="bottom"/>
            <w:tcBorders>
              <w:top w:val="single" w:sz="8" w:color="231F20"/>
            </w:tcBorders>
            <w:shd w:val="clear" w:color="auto" w:fill="EBECEC"/>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top w:val="single" w:sz="8" w:color="231F20"/>
            </w:tcBorders>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99,965</w:t>
            </w:r>
          </w:p>
        </w:tc>
        <w:tc>
          <w:tcPr>
            <w:tcW w:w="100" w:type="dxa"/>
            <w:vAlign w:val="bottom"/>
            <w:tcBorders>
              <w:top w:val="single" w:sz="8" w:color="EBECEC"/>
            </w:tcBorders>
            <w:shd w:val="clear" w:color="auto" w:fill="EBECEC"/>
          </w:tcPr>
          <w:p>
            <w:pPr>
              <w:spacing w:after="0"/>
              <w:rPr>
                <w:sz w:val="19"/>
                <w:szCs w:val="19"/>
                <w:color w:val="auto"/>
              </w:rPr>
            </w:pPr>
          </w:p>
        </w:tc>
      </w:tr>
      <w:tr>
        <w:trPr>
          <w:trHeight w:val="230"/>
        </w:trPr>
        <w:tc>
          <w:tcPr>
            <w:tcW w:w="7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Adjustment to fair value</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(2,473)</w:t>
            </w:r>
          </w:p>
        </w:tc>
        <w:tc>
          <w:tcPr>
            <w:tcW w:w="100" w:type="dxa"/>
            <w:vAlign w:val="bottom"/>
          </w:tcPr>
          <w:p>
            <w:pPr>
              <w:spacing w:after="0"/>
              <w:rPr>
                <w:sz w:val="20"/>
                <w:szCs w:val="20"/>
                <w:color w:val="auto"/>
              </w:rPr>
            </w:pPr>
          </w:p>
        </w:tc>
      </w:tr>
      <w:tr>
        <w:trPr>
          <w:trHeight w:val="250"/>
        </w:trPr>
        <w:tc>
          <w:tcPr>
            <w:tcW w:w="79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Payments</w:t>
            </w:r>
          </w:p>
        </w:tc>
        <w:tc>
          <w:tcPr>
            <w:tcW w:w="240" w:type="dxa"/>
            <w:vAlign w:val="bottom"/>
            <w:shd w:val="clear" w:color="auto" w:fill="EBECEC"/>
          </w:tcPr>
          <w:p>
            <w:pPr>
              <w:spacing w:after="0"/>
              <w:rPr>
                <w:sz w:val="21"/>
                <w:szCs w:val="21"/>
                <w:color w:val="auto"/>
              </w:rPr>
            </w:pPr>
          </w:p>
        </w:tc>
        <w:tc>
          <w:tcPr>
            <w:tcW w:w="154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(9,940)</w:t>
            </w:r>
          </w:p>
        </w:tc>
      </w:tr>
      <w:tr>
        <w:trPr>
          <w:trHeight w:val="241"/>
        </w:trPr>
        <w:tc>
          <w:tcPr>
            <w:tcW w:w="7940" w:type="dxa"/>
            <w:vAlign w:val="bottom"/>
            <w:tcBorders>
              <w:top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Balance at December 31, 2025 (Level 3)</w:t>
            </w:r>
          </w:p>
        </w:tc>
        <w:tc>
          <w:tcPr>
            <w:tcW w:w="240" w:type="dxa"/>
            <w:vAlign w:val="bottom"/>
            <w:tcBorders>
              <w:top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14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87,552</w:t>
            </w:r>
          </w:p>
        </w:tc>
        <w:tc>
          <w:tcPr>
            <w:tcW w:w="100" w:type="dxa"/>
            <w:vAlign w:val="bottom"/>
            <w:tcBorders>
              <w:top w:val="single" w:sz="8" w:color="EBECEC"/>
            </w:tcBorders>
          </w:tcPr>
          <w:p>
            <w:pPr>
              <w:spacing w:after="0"/>
              <w:rPr>
                <w:sz w:val="20"/>
                <w:szCs w:val="20"/>
                <w:color w:val="auto"/>
              </w:rPr>
            </w:pPr>
          </w:p>
        </w:tc>
      </w:tr>
    </w:tbl>
    <w:p>
      <w:pPr>
        <w:spacing w:after="0" w:line="184" w:lineRule="exact"/>
        <w:rPr>
          <w:sz w:val="20"/>
          <w:szCs w:val="20"/>
          <w:color w:val="auto"/>
        </w:rPr>
      </w:pPr>
    </w:p>
    <w:p>
      <w:pPr>
        <w:ind w:right="440" w:firstLine="720"/>
        <w:spacing w:after="0" w:line="277" w:lineRule="auto"/>
        <w:rPr>
          <w:sz w:val="20"/>
          <w:szCs w:val="20"/>
          <w:color w:val="auto"/>
        </w:rPr>
      </w:pPr>
      <w:r>
        <w:rPr>
          <w:rFonts w:ascii="Times New Roman" w:cs="Times New Roman" w:eastAsia="Times New Roman" w:hAnsi="Times New Roman"/>
          <w:sz w:val="20"/>
          <w:szCs w:val="20"/>
          <w:color w:val="231F20"/>
        </w:rPr>
        <w:t>The recurring Level 3 fair value measurements of contingent consideration for which a liability is recorded include the following significant unobservable inputs: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As of December 31, 2025</w:t>
            </w:r>
          </w:p>
        </w:tc>
        <w:tc>
          <w:tcPr>
            <w:tcW w:w="100" w:type="dxa"/>
            <w:vAlign w:val="bottom"/>
          </w:tcPr>
          <w:p>
            <w:pPr>
              <w:spacing w:after="0"/>
              <w:rPr>
                <w:sz w:val="17"/>
                <w:szCs w:val="17"/>
                <w:color w:val="auto"/>
              </w:rPr>
            </w:pPr>
          </w:p>
        </w:tc>
        <w:tc>
          <w:tcPr>
            <w:tcW w:w="2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9"/>
              </w:rPr>
              <w:t>As of December 31, 2024</w:t>
            </w:r>
          </w:p>
        </w:tc>
      </w:tr>
      <w:tr>
        <w:trPr>
          <w:trHeight w:val="174"/>
        </w:trPr>
        <w:tc>
          <w:tcPr>
            <w:tcW w:w="1380" w:type="dxa"/>
            <w:vAlign w:val="bottom"/>
          </w:tcPr>
          <w:p>
            <w:pPr>
              <w:spacing w:after="0"/>
              <w:rPr>
                <w:sz w:val="15"/>
                <w:szCs w:val="15"/>
                <w:color w:val="auto"/>
              </w:rPr>
            </w:pPr>
          </w:p>
        </w:tc>
        <w:tc>
          <w:tcPr>
            <w:tcW w:w="2020" w:type="dxa"/>
            <w:vAlign w:val="bottom"/>
            <w:tcBorders>
              <w:top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top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Significant</w:t>
            </w:r>
          </w:p>
        </w:tc>
        <w:tc>
          <w:tcPr>
            <w:tcW w:w="100" w:type="dxa"/>
            <w:vAlign w:val="bottom"/>
          </w:tcPr>
          <w:p>
            <w:pPr>
              <w:spacing w:after="0"/>
              <w:rPr>
                <w:sz w:val="15"/>
                <w:szCs w:val="15"/>
                <w:color w:val="auto"/>
              </w:rPr>
            </w:pPr>
          </w:p>
        </w:tc>
        <w:tc>
          <w:tcPr>
            <w:tcW w:w="2000" w:type="dxa"/>
            <w:vAlign w:val="bottom"/>
            <w:tcBorders>
              <w:top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Weighted average</w:t>
            </w:r>
          </w:p>
        </w:tc>
        <w:tc>
          <w:tcPr>
            <w:tcW w:w="100" w:type="dxa"/>
            <w:vAlign w:val="bottom"/>
          </w:tcPr>
          <w:p>
            <w:pPr>
              <w:spacing w:after="0"/>
              <w:rPr>
                <w:sz w:val="15"/>
                <w:szCs w:val="15"/>
                <w:color w:val="auto"/>
              </w:rPr>
            </w:pPr>
          </w:p>
        </w:tc>
        <w:tc>
          <w:tcPr>
            <w:tcW w:w="2020" w:type="dxa"/>
            <w:vAlign w:val="bottom"/>
            <w:tcBorders>
              <w:top w:val="single" w:sz="8" w:color="231F20"/>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rPr>
              <w:t>Weighted average</w:t>
            </w:r>
          </w:p>
        </w:tc>
        <w:tc>
          <w:tcPr>
            <w:tcW w:w="20" w:type="dxa"/>
            <w:vAlign w:val="bottom"/>
          </w:tcPr>
          <w:p>
            <w:pPr>
              <w:spacing w:after="0"/>
              <w:rPr>
                <w:sz w:val="15"/>
                <w:szCs w:val="15"/>
                <w:color w:val="auto"/>
              </w:rPr>
            </w:pPr>
          </w:p>
        </w:tc>
      </w:tr>
      <w:tr>
        <w:trPr>
          <w:trHeight w:val="203"/>
        </w:trPr>
        <w:tc>
          <w:tcPr>
            <w:tcW w:w="13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Valuation methodology</w:t>
            </w: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unobservable input</w:t>
            </w: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(range, if applicable)</w:t>
            </w:r>
          </w:p>
        </w:tc>
        <w:tc>
          <w:tcPr>
            <w:tcW w:w="100" w:type="dxa"/>
            <w:vAlign w:val="bottom"/>
          </w:tcPr>
          <w:p>
            <w:pPr>
              <w:spacing w:after="0"/>
              <w:rPr>
                <w:sz w:val="17"/>
                <w:szCs w:val="17"/>
                <w:color w:val="auto"/>
              </w:rPr>
            </w:pPr>
          </w:p>
        </w:tc>
        <w:tc>
          <w:tcPr>
            <w:tcW w:w="20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(range, if applicable)</w:t>
            </w:r>
          </w:p>
        </w:tc>
      </w:tr>
      <w:tr>
        <w:trPr>
          <w:trHeight w:val="220"/>
        </w:trPr>
        <w:tc>
          <w:tcPr>
            <w:tcW w:w="1380" w:type="dxa"/>
            <w:vAlign w:val="bottom"/>
            <w:tcBorders>
              <w:top w:val="single" w:sz="8" w:color="EBECEC"/>
            </w:tcBorders>
            <w:shd w:val="clear" w:color="auto" w:fill="EBECEC"/>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8"/>
              </w:rPr>
              <w:t>Contingent</w:t>
            </w:r>
          </w:p>
        </w:tc>
        <w:tc>
          <w:tcPr>
            <w:tcW w:w="2020" w:type="dxa"/>
            <w:vAlign w:val="bottom"/>
            <w:tcBorders>
              <w:top w:val="single" w:sz="8" w:color="231F20"/>
            </w:tcBorders>
            <w:shd w:val="clear" w:color="auto" w:fill="EBECEC"/>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9"/>
              </w:rPr>
              <w:t>Probability weighted</w:t>
            </w:r>
          </w:p>
        </w:tc>
        <w:tc>
          <w:tcPr>
            <w:tcW w:w="100" w:type="dxa"/>
            <w:vAlign w:val="bottom"/>
            <w:tcBorders>
              <w:top w:val="single" w:sz="8" w:color="EBECEC"/>
            </w:tcBorders>
            <w:shd w:val="clear" w:color="auto" w:fill="EBECEC"/>
          </w:tcPr>
          <w:p>
            <w:pPr>
              <w:spacing w:after="0"/>
              <w:rPr>
                <w:sz w:val="19"/>
                <w:szCs w:val="19"/>
                <w:color w:val="auto"/>
              </w:rPr>
            </w:pPr>
          </w:p>
        </w:tc>
        <w:tc>
          <w:tcPr>
            <w:tcW w:w="2000" w:type="dxa"/>
            <w:vAlign w:val="bottom"/>
            <w:tcBorders>
              <w:top w:val="single" w:sz="8" w:color="231F20"/>
            </w:tcBorders>
            <w:shd w:val="clear" w:color="auto" w:fill="EBECEC"/>
          </w:tcPr>
          <w:p>
            <w:pPr>
              <w:jc w:val="center"/>
              <w:spacing w:after="0" w:line="220" w:lineRule="exact"/>
              <w:rPr>
                <w:sz w:val="20"/>
                <w:szCs w:val="20"/>
                <w:color w:val="auto"/>
              </w:rPr>
            </w:pPr>
            <w:r>
              <w:rPr>
                <w:rFonts w:ascii="Times New Roman" w:cs="Times New Roman" w:eastAsia="Times New Roman" w:hAnsi="Times New Roman"/>
                <w:sz w:val="20"/>
                <w:szCs w:val="20"/>
                <w:color w:val="231F20"/>
                <w:w w:val="98"/>
              </w:rPr>
              <w:t>Discount rate</w:t>
            </w:r>
          </w:p>
        </w:tc>
        <w:tc>
          <w:tcPr>
            <w:tcW w:w="100" w:type="dxa"/>
            <w:vAlign w:val="bottom"/>
            <w:tcBorders>
              <w:top w:val="single" w:sz="8" w:color="EBECEC"/>
            </w:tcBorders>
            <w:shd w:val="clear" w:color="auto" w:fill="EBECEC"/>
          </w:tcPr>
          <w:p>
            <w:pPr>
              <w:spacing w:after="0"/>
              <w:rPr>
                <w:sz w:val="19"/>
                <w:szCs w:val="19"/>
                <w:color w:val="auto"/>
              </w:rPr>
            </w:pPr>
          </w:p>
        </w:tc>
        <w:tc>
          <w:tcPr>
            <w:tcW w:w="2000" w:type="dxa"/>
            <w:vAlign w:val="bottom"/>
            <w:tcBorders>
              <w:top w:val="single" w:sz="8" w:color="231F20"/>
            </w:tcBorders>
            <w:shd w:val="clear" w:color="auto" w:fill="EBECEC"/>
          </w:tcPr>
          <w:p>
            <w:pPr>
              <w:jc w:val="right"/>
              <w:ind w:right="652"/>
              <w:spacing w:after="0" w:line="220" w:lineRule="exact"/>
              <w:rPr>
                <w:sz w:val="20"/>
                <w:szCs w:val="20"/>
                <w:color w:val="auto"/>
              </w:rPr>
            </w:pPr>
            <w:r>
              <w:rPr>
                <w:rFonts w:ascii="Times New Roman" w:cs="Times New Roman" w:eastAsia="Times New Roman" w:hAnsi="Times New Roman"/>
                <w:sz w:val="20"/>
                <w:szCs w:val="20"/>
                <w:color w:val="231F20"/>
              </w:rPr>
              <w:t>14.9%</w:t>
            </w:r>
          </w:p>
        </w:tc>
        <w:tc>
          <w:tcPr>
            <w:tcW w:w="100" w:type="dxa"/>
            <w:vAlign w:val="bottom"/>
            <w:tcBorders>
              <w:top w:val="single" w:sz="8" w:color="EBECEC"/>
            </w:tcBorders>
            <w:shd w:val="clear" w:color="auto" w:fill="EBECEC"/>
          </w:tcPr>
          <w:p>
            <w:pPr>
              <w:spacing w:after="0"/>
              <w:rPr>
                <w:sz w:val="19"/>
                <w:szCs w:val="19"/>
                <w:color w:val="auto"/>
              </w:rPr>
            </w:pPr>
          </w:p>
        </w:tc>
        <w:tc>
          <w:tcPr>
            <w:tcW w:w="2020" w:type="dxa"/>
            <w:vAlign w:val="bottom"/>
            <w:tcBorders>
              <w:top w:val="single" w:sz="8" w:color="231F20"/>
            </w:tcBorders>
            <w:shd w:val="clear" w:color="auto" w:fill="EBECEC"/>
          </w:tcPr>
          <w:p>
            <w:pPr>
              <w:jc w:val="right"/>
              <w:ind w:right="672"/>
              <w:spacing w:after="0" w:line="220" w:lineRule="exact"/>
              <w:rPr>
                <w:sz w:val="20"/>
                <w:szCs w:val="20"/>
                <w:color w:val="auto"/>
              </w:rPr>
            </w:pPr>
            <w:r>
              <w:rPr>
                <w:rFonts w:ascii="Times New Roman" w:cs="Times New Roman" w:eastAsia="Times New Roman" w:hAnsi="Times New Roman"/>
                <w:sz w:val="20"/>
                <w:szCs w:val="20"/>
                <w:color w:val="231F20"/>
              </w:rPr>
              <w:t>12.0%</w:t>
            </w:r>
          </w:p>
        </w:tc>
        <w:tc>
          <w:tcPr>
            <w:tcW w:w="20" w:type="dxa"/>
            <w:vAlign w:val="bottom"/>
            <w:shd w:val="clear" w:color="auto" w:fill="EBECEC"/>
          </w:tcPr>
          <w:p>
            <w:pPr>
              <w:spacing w:after="0"/>
              <w:rPr>
                <w:sz w:val="19"/>
                <w:szCs w:val="19"/>
                <w:color w:val="auto"/>
              </w:rPr>
            </w:pPr>
          </w:p>
        </w:tc>
      </w:tr>
      <w:tr>
        <w:trPr>
          <w:trHeight w:val="249"/>
        </w:trPr>
        <w:tc>
          <w:tcPr>
            <w:tcW w:w="1380" w:type="dxa"/>
            <w:vAlign w:val="bottom"/>
            <w:shd w:val="clear" w:color="auto" w:fill="EBECEC"/>
          </w:tcPr>
          <w:p>
            <w:pPr>
              <w:jc w:val="center"/>
              <w:spacing w:after="0"/>
              <w:rPr>
                <w:sz w:val="20"/>
                <w:szCs w:val="20"/>
                <w:color w:val="auto"/>
              </w:rPr>
            </w:pPr>
            <w:r>
              <w:rPr>
                <w:rFonts w:ascii="Times New Roman" w:cs="Times New Roman" w:eastAsia="Times New Roman" w:hAnsi="Times New Roman"/>
                <w:sz w:val="20"/>
                <w:szCs w:val="20"/>
                <w:color w:val="231F20"/>
              </w:rPr>
              <w:t>consideration</w:t>
            </w:r>
          </w:p>
        </w:tc>
        <w:tc>
          <w:tcPr>
            <w:tcW w:w="2020" w:type="dxa"/>
            <w:vAlign w:val="bottom"/>
            <w:shd w:val="clear" w:color="auto" w:fill="EBECEC"/>
          </w:tcPr>
          <w:p>
            <w:pPr>
              <w:jc w:val="center"/>
              <w:spacing w:after="0"/>
              <w:rPr>
                <w:sz w:val="20"/>
                <w:szCs w:val="20"/>
                <w:color w:val="auto"/>
              </w:rPr>
            </w:pPr>
            <w:r>
              <w:rPr>
                <w:rFonts w:ascii="Times New Roman" w:cs="Times New Roman" w:eastAsia="Times New Roman" w:hAnsi="Times New Roman"/>
                <w:sz w:val="20"/>
                <w:szCs w:val="20"/>
                <w:color w:val="231F20"/>
              </w:rPr>
              <w:t>income approach</w:t>
            </w:r>
          </w:p>
        </w:tc>
        <w:tc>
          <w:tcPr>
            <w:tcW w:w="100" w:type="dxa"/>
            <w:vAlign w:val="bottom"/>
            <w:shd w:val="clear" w:color="auto" w:fill="EBECEC"/>
          </w:tcPr>
          <w:p>
            <w:pPr>
              <w:spacing w:after="0"/>
              <w:rPr>
                <w:sz w:val="21"/>
                <w:szCs w:val="21"/>
                <w:color w:val="auto"/>
              </w:rPr>
            </w:pPr>
          </w:p>
        </w:tc>
        <w:tc>
          <w:tcPr>
            <w:tcW w:w="200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200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c>
          <w:tcPr>
            <w:tcW w:w="2020" w:type="dxa"/>
            <w:vAlign w:val="bottom"/>
            <w:shd w:val="clear" w:color="auto" w:fill="EBECEC"/>
          </w:tcPr>
          <w:p>
            <w:pPr>
              <w:spacing w:after="0"/>
              <w:rPr>
                <w:sz w:val="21"/>
                <w:szCs w:val="21"/>
                <w:color w:val="auto"/>
              </w:rPr>
            </w:pPr>
          </w:p>
        </w:tc>
        <w:tc>
          <w:tcPr>
            <w:tcW w:w="20" w:type="dxa"/>
            <w:vAlign w:val="bottom"/>
            <w:shd w:val="clear" w:color="auto" w:fill="EBECEC"/>
          </w:tcPr>
          <w:p>
            <w:pPr>
              <w:spacing w:after="0"/>
              <w:rPr>
                <w:sz w:val="21"/>
                <w:szCs w:val="21"/>
                <w:color w:val="auto"/>
              </w:rPr>
            </w:pPr>
          </w:p>
        </w:tc>
      </w:tr>
      <w:tr>
        <w:trPr>
          <w:trHeight w:val="266"/>
        </w:trPr>
        <w:tc>
          <w:tcPr>
            <w:tcW w:w="13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Revenue discount rate</w:t>
            </w:r>
          </w:p>
        </w:tc>
        <w:tc>
          <w:tcPr>
            <w:tcW w:w="100" w:type="dxa"/>
            <w:vAlign w:val="bottom"/>
          </w:tcPr>
          <w:p>
            <w:pPr>
              <w:spacing w:after="0"/>
              <w:rPr>
                <w:sz w:val="23"/>
                <w:szCs w:val="23"/>
                <w:color w:val="auto"/>
              </w:rPr>
            </w:pPr>
          </w:p>
        </w:tc>
        <w:tc>
          <w:tcPr>
            <w:tcW w:w="2000" w:type="dxa"/>
            <w:vAlign w:val="bottom"/>
          </w:tcPr>
          <w:p>
            <w:pPr>
              <w:jc w:val="right"/>
              <w:ind w:right="312"/>
              <w:spacing w:after="0"/>
              <w:rPr>
                <w:sz w:val="20"/>
                <w:szCs w:val="20"/>
                <w:color w:val="auto"/>
              </w:rPr>
            </w:pPr>
            <w:r>
              <w:rPr>
                <w:rFonts w:ascii="Times New Roman" w:cs="Times New Roman" w:eastAsia="Times New Roman" w:hAnsi="Times New Roman"/>
                <w:sz w:val="20"/>
                <w:szCs w:val="20"/>
                <w:color w:val="231F20"/>
              </w:rPr>
              <w:t>17.2% - 20.2%</w:t>
            </w:r>
          </w:p>
        </w:tc>
        <w:tc>
          <w:tcPr>
            <w:tcW w:w="100" w:type="dxa"/>
            <w:vAlign w:val="bottom"/>
          </w:tcPr>
          <w:p>
            <w:pPr>
              <w:spacing w:after="0"/>
              <w:rPr>
                <w:sz w:val="23"/>
                <w:szCs w:val="23"/>
                <w:color w:val="auto"/>
              </w:rPr>
            </w:pPr>
          </w:p>
        </w:tc>
        <w:tc>
          <w:tcPr>
            <w:tcW w:w="2020" w:type="dxa"/>
            <w:vAlign w:val="bottom"/>
          </w:tcPr>
          <w:p>
            <w:pPr>
              <w:jc w:val="right"/>
              <w:ind w:right="332"/>
              <w:spacing w:after="0"/>
              <w:rPr>
                <w:sz w:val="20"/>
                <w:szCs w:val="20"/>
                <w:color w:val="auto"/>
              </w:rPr>
            </w:pPr>
            <w:r>
              <w:rPr>
                <w:rFonts w:ascii="Times New Roman" w:cs="Times New Roman" w:eastAsia="Times New Roman" w:hAnsi="Times New Roman"/>
                <w:sz w:val="20"/>
                <w:szCs w:val="20"/>
                <w:color w:val="231F20"/>
              </w:rPr>
              <w:t>17.6% - 20.6%</w:t>
            </w:r>
          </w:p>
        </w:tc>
        <w:tc>
          <w:tcPr>
            <w:tcW w:w="20" w:type="dxa"/>
            <w:vAlign w:val="bottom"/>
          </w:tcPr>
          <w:p>
            <w:pPr>
              <w:spacing w:after="0"/>
              <w:rPr>
                <w:sz w:val="23"/>
                <w:szCs w:val="23"/>
                <w:color w:val="auto"/>
              </w:rPr>
            </w:pPr>
          </w:p>
        </w:tc>
      </w:tr>
    </w:tbl>
    <w:p>
      <w:pPr>
        <w:spacing w:after="0" w:line="198"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231F20"/>
        </w:rPr>
        <w:t>The Company’s fair value measurement of contingent consideration liabilities has been classified as Level 3 as its valuation requires substantial judgment and estimation of factors which requires use of unobservable inputs.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ectPr>
          <w:pgSz w:w="12240" w:h="15840" w:orient="portrait"/>
          <w:cols w:equalWidth="0" w:num="1">
            <w:col w:w="9720"/>
          </w:cols>
          <w:pgMar w:left="1260" w:top="1247"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F-21</w:t>
      </w:r>
    </w:p>
    <w:p>
      <w:pPr>
        <w:sectPr>
          <w:pgSz w:w="12240" w:h="15840" w:orient="portrait"/>
          <w:cols w:equalWidth="0" w:num="1">
            <w:col w:w="9720"/>
          </w:cols>
          <w:pgMar w:left="1260" w:top="1247" w:right="1260" w:bottom="186"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b w:val="1"/>
          <w:bCs w:val="1"/>
          <w:color w:val="231F20"/>
        </w:rPr>
        <w:t>Note 8. Accrued Expenses and Other Current Liabilities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Accrued expenses and other current liabilities consisted of the following: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80" w:type="dxa"/>
            <w:vAlign w:val="bottom"/>
          </w:tcPr>
          <w:p>
            <w:pPr>
              <w:spacing w:after="0"/>
              <w:rPr>
                <w:sz w:val="16"/>
                <w:szCs w:val="16"/>
                <w:color w:val="auto"/>
              </w:rPr>
            </w:pPr>
          </w:p>
        </w:tc>
      </w:tr>
      <w:tr>
        <w:trPr>
          <w:trHeight w:val="203"/>
        </w:trPr>
        <w:tc>
          <w:tcPr>
            <w:tcW w:w="5260" w:type="dxa"/>
            <w:vAlign w:val="bottom"/>
            <w:tcBorders>
              <w:bottom w:val="single" w:sz="8" w:color="EBECEC"/>
            </w:tcBorders>
          </w:tcPr>
          <w:p>
            <w:pPr>
              <w:spacing w:after="0"/>
              <w:rPr>
                <w:sz w:val="17"/>
                <w:szCs w:val="17"/>
                <w:color w:val="auto"/>
              </w:rPr>
            </w:pPr>
          </w:p>
        </w:tc>
        <w:tc>
          <w:tcPr>
            <w:tcW w:w="1340" w:type="dxa"/>
            <w:vAlign w:val="bottom"/>
            <w:tcBorders>
              <w:bottom w:val="single" w:sz="8" w:color="EBECEC"/>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BECEC"/>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80" w:type="dxa"/>
            <w:vAlign w:val="bottom"/>
            <w:tcBorders>
              <w:bottom w:val="single" w:sz="8" w:color="EBECEC"/>
            </w:tcBorders>
          </w:tcPr>
          <w:p>
            <w:pPr>
              <w:spacing w:after="0"/>
              <w:rPr>
                <w:sz w:val="17"/>
                <w:szCs w:val="17"/>
                <w:color w:val="auto"/>
              </w:rPr>
            </w:pPr>
          </w:p>
        </w:tc>
      </w:tr>
      <w:tr>
        <w:trPr>
          <w:trHeight w:val="239"/>
        </w:trPr>
        <w:tc>
          <w:tcPr>
            <w:tcW w:w="52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Accrued research and development</w:t>
            </w:r>
          </w:p>
        </w:tc>
        <w:tc>
          <w:tcPr>
            <w:tcW w:w="1340" w:type="dxa"/>
            <w:vAlign w:val="bottom"/>
            <w:shd w:val="clear" w:color="auto" w:fill="EBECEC"/>
          </w:tcPr>
          <w:p>
            <w:pPr>
              <w:spacing w:after="0"/>
              <w:rPr>
                <w:sz w:val="20"/>
                <w:szCs w:val="20"/>
                <w:color w:val="auto"/>
              </w:rPr>
            </w:pPr>
          </w:p>
        </w:tc>
        <w:tc>
          <w:tcPr>
            <w:tcW w:w="1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8,654</w:t>
            </w:r>
          </w:p>
        </w:tc>
        <w:tc>
          <w:tcPr>
            <w:tcW w:w="240" w:type="dxa"/>
            <w:vAlign w:val="bottom"/>
            <w:shd w:val="clear" w:color="auto" w:fill="EBECEC"/>
          </w:tcPr>
          <w:p>
            <w:pPr>
              <w:spacing w:after="0"/>
              <w:rPr>
                <w:sz w:val="20"/>
                <w:szCs w:val="20"/>
                <w:color w:val="auto"/>
              </w:rPr>
            </w:pPr>
          </w:p>
        </w:tc>
        <w:tc>
          <w:tcPr>
            <w:tcW w:w="1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14,431</w:t>
            </w:r>
          </w:p>
        </w:tc>
        <w:tc>
          <w:tcPr>
            <w:tcW w:w="80" w:type="dxa"/>
            <w:vAlign w:val="bottom"/>
            <w:shd w:val="clear" w:color="auto" w:fill="EBECEC"/>
          </w:tcPr>
          <w:p>
            <w:pPr>
              <w:spacing w:after="0"/>
              <w:rPr>
                <w:sz w:val="20"/>
                <w:szCs w:val="20"/>
                <w:color w:val="auto"/>
              </w:rPr>
            </w:pPr>
          </w:p>
        </w:tc>
      </w:tr>
      <w:tr>
        <w:trPr>
          <w:trHeight w:val="244"/>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231F20"/>
              </w:rPr>
              <w:t>Accrued compensation</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36,938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28,225</w:t>
            </w:r>
          </w:p>
        </w:tc>
        <w:tc>
          <w:tcPr>
            <w:tcW w:w="80" w:type="dxa"/>
            <w:vAlign w:val="bottom"/>
          </w:tcPr>
          <w:p>
            <w:pPr>
              <w:spacing w:after="0"/>
              <w:rPr>
                <w:sz w:val="21"/>
                <w:szCs w:val="21"/>
                <w:color w:val="auto"/>
              </w:rPr>
            </w:pPr>
          </w:p>
        </w:tc>
      </w:tr>
      <w:tr>
        <w:trPr>
          <w:trHeight w:val="244"/>
        </w:trPr>
        <w:tc>
          <w:tcPr>
            <w:tcW w:w="52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Accrued selling, general, and administrative</w:t>
            </w:r>
          </w:p>
        </w:tc>
        <w:tc>
          <w:tcPr>
            <w:tcW w:w="134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2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26,423</w:t>
            </w:r>
          </w:p>
        </w:tc>
        <w:tc>
          <w:tcPr>
            <w:tcW w:w="24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2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17,498</w:t>
            </w:r>
          </w:p>
        </w:tc>
        <w:tc>
          <w:tcPr>
            <w:tcW w:w="80" w:type="dxa"/>
            <w:vAlign w:val="bottom"/>
            <w:shd w:val="clear" w:color="auto" w:fill="EBECEC"/>
          </w:tcPr>
          <w:p>
            <w:pPr>
              <w:spacing w:after="0"/>
              <w:rPr>
                <w:sz w:val="21"/>
                <w:szCs w:val="21"/>
                <w:color w:val="auto"/>
              </w:rPr>
            </w:pPr>
          </w:p>
        </w:tc>
      </w:tr>
      <w:tr>
        <w:trPr>
          <w:trHeight w:val="244"/>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231F20"/>
              </w:rPr>
              <w:t>Accrued sales discounts, rebates, and allowances</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150,247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73,952</w:t>
            </w:r>
          </w:p>
        </w:tc>
        <w:tc>
          <w:tcPr>
            <w:tcW w:w="80" w:type="dxa"/>
            <w:vAlign w:val="bottom"/>
          </w:tcPr>
          <w:p>
            <w:pPr>
              <w:spacing w:after="0"/>
              <w:rPr>
                <w:sz w:val="21"/>
                <w:szCs w:val="21"/>
                <w:color w:val="auto"/>
              </w:rPr>
            </w:pPr>
          </w:p>
        </w:tc>
      </w:tr>
      <w:tr>
        <w:trPr>
          <w:trHeight w:val="244"/>
        </w:trPr>
        <w:tc>
          <w:tcPr>
            <w:tcW w:w="52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Accrued royalties</w:t>
            </w:r>
          </w:p>
        </w:tc>
        <w:tc>
          <w:tcPr>
            <w:tcW w:w="134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2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7,902</w:t>
            </w:r>
          </w:p>
        </w:tc>
        <w:tc>
          <w:tcPr>
            <w:tcW w:w="24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2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9,958</w:t>
            </w:r>
          </w:p>
        </w:tc>
        <w:tc>
          <w:tcPr>
            <w:tcW w:w="80" w:type="dxa"/>
            <w:vAlign w:val="bottom"/>
            <w:shd w:val="clear" w:color="auto" w:fill="EBECEC"/>
          </w:tcPr>
          <w:p>
            <w:pPr>
              <w:spacing w:after="0"/>
              <w:rPr>
                <w:sz w:val="21"/>
                <w:szCs w:val="21"/>
                <w:color w:val="auto"/>
              </w:rPr>
            </w:pPr>
          </w:p>
        </w:tc>
      </w:tr>
      <w:tr>
        <w:trPr>
          <w:trHeight w:val="244"/>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231F20"/>
              </w:rPr>
              <w:t>Accrued interest</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1,542</w:t>
            </w:r>
          </w:p>
        </w:tc>
        <w:tc>
          <w:tcPr>
            <w:tcW w:w="80" w:type="dxa"/>
            <w:vAlign w:val="bottom"/>
          </w:tcPr>
          <w:p>
            <w:pPr>
              <w:spacing w:after="0"/>
              <w:rPr>
                <w:sz w:val="21"/>
                <w:szCs w:val="21"/>
                <w:color w:val="auto"/>
              </w:rPr>
            </w:pPr>
          </w:p>
        </w:tc>
      </w:tr>
      <w:tr>
        <w:trPr>
          <w:trHeight w:val="244"/>
        </w:trPr>
        <w:tc>
          <w:tcPr>
            <w:tcW w:w="52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Accrued taxes</w:t>
            </w:r>
          </w:p>
        </w:tc>
        <w:tc>
          <w:tcPr>
            <w:tcW w:w="134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2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24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12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960</w:t>
            </w:r>
          </w:p>
        </w:tc>
        <w:tc>
          <w:tcPr>
            <w:tcW w:w="80" w:type="dxa"/>
            <w:vAlign w:val="bottom"/>
            <w:shd w:val="clear" w:color="auto" w:fill="EBECEC"/>
          </w:tcPr>
          <w:p>
            <w:pPr>
              <w:spacing w:after="0"/>
              <w:rPr>
                <w:sz w:val="21"/>
                <w:szCs w:val="21"/>
                <w:color w:val="auto"/>
              </w:rPr>
            </w:pPr>
          </w:p>
        </w:tc>
      </w:tr>
      <w:tr>
        <w:trPr>
          <w:trHeight w:val="244"/>
        </w:trPr>
        <w:tc>
          <w:tcPr>
            <w:tcW w:w="526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Finance lease liability, current</w:t>
            </w:r>
          </w:p>
        </w:tc>
        <w:tc>
          <w:tcPr>
            <w:tcW w:w="1340" w:type="dxa"/>
            <w:vAlign w:val="bottom"/>
            <w:tcBorders>
              <w:bottom w:val="single" w:sz="8" w:color="EBECEC"/>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2,545</w:t>
            </w:r>
          </w:p>
        </w:tc>
        <w:tc>
          <w:tcPr>
            <w:tcW w:w="240" w:type="dxa"/>
            <w:vAlign w:val="bottom"/>
            <w:tcBorders>
              <w:bottom w:val="single" w:sz="8" w:color="EBECEC"/>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1,421</w:t>
            </w:r>
          </w:p>
        </w:tc>
        <w:tc>
          <w:tcPr>
            <w:tcW w:w="80" w:type="dxa"/>
            <w:vAlign w:val="bottom"/>
            <w:tcBorders>
              <w:bottom w:val="single" w:sz="8" w:color="EBECEC"/>
            </w:tcBorders>
          </w:tcPr>
          <w:p>
            <w:pPr>
              <w:spacing w:after="0"/>
              <w:rPr>
                <w:sz w:val="21"/>
                <w:szCs w:val="21"/>
                <w:color w:val="auto"/>
              </w:rPr>
            </w:pPr>
          </w:p>
        </w:tc>
      </w:tr>
      <w:tr>
        <w:trPr>
          <w:trHeight w:val="239"/>
        </w:trPr>
        <w:tc>
          <w:tcPr>
            <w:tcW w:w="52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w:t>
            </w:r>
          </w:p>
        </w:tc>
        <w:tc>
          <w:tcPr>
            <w:tcW w:w="1340" w:type="dxa"/>
            <w:vAlign w:val="bottom"/>
            <w:shd w:val="clear" w:color="auto" w:fill="EBECEC"/>
          </w:tcPr>
          <w:p>
            <w:pPr>
              <w:spacing w:after="0"/>
              <w:rPr>
                <w:sz w:val="20"/>
                <w:szCs w:val="20"/>
                <w:color w:val="auto"/>
              </w:rPr>
            </w:pPr>
          </w:p>
        </w:tc>
        <w:tc>
          <w:tcPr>
            <w:tcW w:w="1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232,853</w:t>
            </w:r>
          </w:p>
        </w:tc>
        <w:tc>
          <w:tcPr>
            <w:tcW w:w="240" w:type="dxa"/>
            <w:vAlign w:val="bottom"/>
            <w:shd w:val="clear" w:color="auto" w:fill="EBECEC"/>
          </w:tcPr>
          <w:p>
            <w:pPr>
              <w:spacing w:after="0"/>
              <w:rPr>
                <w:sz w:val="20"/>
                <w:szCs w:val="20"/>
                <w:color w:val="auto"/>
              </w:rPr>
            </w:pPr>
          </w:p>
        </w:tc>
        <w:tc>
          <w:tcPr>
            <w:tcW w:w="1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147,987</w:t>
            </w:r>
          </w:p>
        </w:tc>
        <w:tc>
          <w:tcPr>
            <w:tcW w:w="80" w:type="dxa"/>
            <w:vAlign w:val="bottom"/>
            <w:shd w:val="clear" w:color="auto" w:fill="EBECEC"/>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9. Loan and Security Agreement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Blackstone Alternative Credit Advisors LP and Blackstone Life Sciences Advisors L.L.C.</w:t>
      </w:r>
    </w:p>
    <w:p>
      <w:pPr>
        <w:spacing w:after="0" w:line="238" w:lineRule="exact"/>
        <w:rPr>
          <w:sz w:val="20"/>
          <w:szCs w:val="20"/>
          <w:color w:val="auto"/>
        </w:rPr>
      </w:pPr>
    </w:p>
    <w:p>
      <w:pPr>
        <w:jc w:val="both"/>
        <w:ind w:right="40" w:firstLine="720"/>
        <w:spacing w:after="0" w:line="277" w:lineRule="auto"/>
        <w:rPr>
          <w:sz w:val="20"/>
          <w:szCs w:val="20"/>
          <w:color w:val="auto"/>
        </w:rPr>
      </w:pPr>
      <w:r>
        <w:rPr>
          <w:rFonts w:ascii="Times New Roman" w:cs="Times New Roman" w:eastAsia="Times New Roman" w:hAnsi="Times New Roman"/>
          <w:sz w:val="20"/>
          <w:szCs w:val="20"/>
          <w:color w:val="231F20"/>
        </w:rPr>
        <w:t>For the purposes of this Note 9, capitalized terms used but not otherwise defined herein shall have the meanings assigned to them in the Blackstone Loan Agreement (as defined below).</w:t>
      </w:r>
    </w:p>
    <w:p>
      <w:pPr>
        <w:spacing w:after="0" w:line="169"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On May 8, 2025 (the “Closing Date”), the Company entered into a loan agreement (the “Blackstone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in its capacity as administrative agent, collateral agent and security trustee (“Wilmington Trust”), and the lenders from time to time party thereto (collectively, the “Lenders”). The Blackstone Loan Agreement provides for loans in an aggregate principal amount of up to $570.0 million, consisting of (i) a first lien senior secured term loan in an aggregate principal amount of $120.0 million funded to the Company on the Closing Date, (ii) a $180.0 million senior secured term loan available to the Company at its option, of which $90.0 million is available until May 31, 2026, and the remaining $90.0 million is available until May 31, 2027 (the “Term Loans”), and (iii) a super senior revolving credit facility in an aggregate principal amount of up to $70.0 million available at the Company’s option (the “Revolver” and, together with the Term Loans, the “Loans”). The Blackstone Loan Agreement also permits the Company,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the Company’s obligations under the Hercules Loan Agreement (as defined below). As of December 31, 2025, there were $120.0 million and $70.0 million of outstanding principal amounts under the Term Loans and Revolver facilities, respectively. The outstanding balance under the Revolver was classified as short-term based on the Company’s intent and ability to repay this amount in the next twelve months, and included in short-term borrowings on the accompanying consolidated balance sheets. In January 2026, the Company repaid the entire outstanding balance as of December 31, 2025, under the Revolver.</w:t>
      </w:r>
    </w:p>
    <w:p>
      <w:pPr>
        <w:spacing w:after="0" w:line="202"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The Term Loans bear interest at a rate equal to the Term SOFR (“Secured Overnight Financing Rate”) plus a margin of 4.75%. The effective interest rate on the Term Loans was 9.58% for the year ended December 31, 2025. The Revolver bears interest at SOFR plus a margin of 4.00%. If an Event of Default occurs and is continuing, all amounts outstanding under the Blackstone Loan Agreement will bear an additional 2.00% interest. The weighted-average interest rate on the Revolver was 7.67% as of December 31, 2025. The Loans mature and the principal amount (including any interest and fees) must be repaid on the date that is five years from the Closing Date. Fees and costs that were directly attributable to the Revolver have been capitalized as deferred assets and will be ratably expensed over the life of the Revolver. Deferred assets are included in non-current inventory and other assets on the accompanying consolidated balance sheets. As of December 31, 2025, the remaining unamortized balance of deferred assets was $1.0 million.</w:t>
      </w:r>
    </w:p>
    <w:p>
      <w:pPr>
        <w:sectPr>
          <w:pgSz w:w="12240" w:h="15840" w:orient="portrait"/>
          <w:cols w:equalWidth="0" w:num="1">
            <w:col w:w="9720"/>
          </w:cols>
          <w:pgMar w:left="1260" w:top="1243"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F-22</w:t>
      </w:r>
    </w:p>
    <w:p>
      <w:pPr>
        <w:sectPr>
          <w:pgSz w:w="12240" w:h="15840" w:orient="portrait"/>
          <w:cols w:equalWidth="0" w:num="1">
            <w:col w:w="9720"/>
          </w:cols>
          <w:pgMar w:left="1260" w:top="1243" w:right="1260" w:bottom="186" w:gutter="0" w:footer="0" w:header="0"/>
          <w:type w:val="continuous"/>
        </w:sectPr>
      </w:pPr>
    </w:p>
    <w:bookmarkStart w:id="153" w:name="page154"/>
    <w:bookmarkEnd w:id="153"/>
    <w:p>
      <w:pPr>
        <w:ind w:right="200" w:firstLine="720"/>
        <w:spacing w:after="0" w:line="247" w:lineRule="auto"/>
        <w:rPr>
          <w:sz w:val="20"/>
          <w:szCs w:val="20"/>
          <w:color w:val="auto"/>
        </w:rPr>
      </w:pPr>
      <w:r>
        <w:rPr>
          <w:rFonts w:ascii="Times New Roman" w:cs="Times New Roman" w:eastAsia="Times New Roman" w:hAnsi="Times New Roman"/>
          <w:sz w:val="20"/>
          <w:szCs w:val="20"/>
          <w:color w:val="231F20"/>
        </w:rPr>
        <w:t>The Loans are subject to mandatory prepayment provisions that may require prepayment upon a change of control, the incurrence of certain additional indebtedness, certain asset sales, or an event of loss, subject to certain conditions set forth in the Blackstone Loan Agreement. The Company may prepay the Loans in whole at its option at any time, subject to certain yield protection premiums. The obligations under the Blackstone Loan Agreement are guaranteed by the Company’s subsidiaries party thereto as guarantors and are secured by a first lien security interest in certain assets of the Company and the guarantors.</w:t>
      </w:r>
    </w:p>
    <w:p>
      <w:pPr>
        <w:spacing w:after="0" w:line="200"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The Blackstone Loan Agreement contains customary representations and warranties, affirmative and negative covenants, and events of default applicable to the Company and the guarantors. The Blackstone Loan Agreement also contains a minimum liquidity covenant of $30.0 million, tested quarterly. If an event of default occurs and is continuing, the Lenders may declare all amounts outstanding under the Blackstone Loan Agreement to be immediately due and payable.</w:t>
      </w:r>
    </w:p>
    <w:p>
      <w:pPr>
        <w:spacing w:after="0" w:line="197"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Concurrent with the closing of the Blackstone Loan Agreement, Blackstone purchased $15.0 million of the Company’s common stock at a purchase price of $107.14 per share in a private placement transaction. The purchase agreement for the private placement contains customary representations, warranties, and covenants, and includes a lock-up period that generally prohibits, without the prior written consent of the Company, the sale, transfer, pledge, or other disposition of the securities through the period ending 120 days from the Closing Date.</w:t>
      </w:r>
    </w:p>
    <w:p>
      <w:pPr>
        <w:spacing w:after="0" w:line="197"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In connection with the Blackstone Loan Agreement, Antecip consented to the collateral assignment of one of the license agreements, among other things, under a direct agreement among the Company, Antecip, a related party, and Blackstone. This new direct agreement superseded the prior direct agreement among us, Antecip, a related party, and Hercules Capital, Inc. (“Hercules”) that had been entered into in connection with the Hercules Loan Agreement, which terminated automatically upon repayment of our Hercules loan obligations in full on May 8,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Hercules Capital, Inc.</w:t>
      </w:r>
    </w:p>
    <w:p>
      <w:pPr>
        <w:spacing w:after="0" w:line="238" w:lineRule="exact"/>
        <w:rPr>
          <w:sz w:val="20"/>
          <w:szCs w:val="20"/>
          <w:color w:val="auto"/>
        </w:rPr>
      </w:pPr>
    </w:p>
    <w:p>
      <w:pPr>
        <w:jc w:val="both"/>
        <w:ind w:right="40" w:firstLine="720"/>
        <w:spacing w:after="0" w:line="258" w:lineRule="auto"/>
        <w:rPr>
          <w:sz w:val="20"/>
          <w:szCs w:val="20"/>
          <w:color w:val="auto"/>
        </w:rPr>
      </w:pPr>
      <w:r>
        <w:rPr>
          <w:rFonts w:ascii="Times New Roman" w:cs="Times New Roman" w:eastAsia="Times New Roman" w:hAnsi="Times New Roman"/>
          <w:sz w:val="20"/>
          <w:szCs w:val="20"/>
          <w:color w:val="231F20"/>
        </w:rPr>
        <w:t>In September 2020, the Company entered into a Loan and Security Agreement for a term loan with Hercules, a Maryland corporation, in its capacity as administrative agent and collateral agent, and as a lender, and the other financial institutions that from time to time act as lenders (the “Hercules Loan Agreement”, as amended).</w:t>
      </w:r>
    </w:p>
    <w:p>
      <w:pPr>
        <w:spacing w:after="0" w:line="188" w:lineRule="exact"/>
        <w:rPr>
          <w:sz w:val="20"/>
          <w:szCs w:val="20"/>
          <w:color w:val="auto"/>
        </w:rPr>
      </w:pPr>
    </w:p>
    <w:p>
      <w:pPr>
        <w:jc w:val="both"/>
        <w:ind w:right="20" w:firstLine="720"/>
        <w:spacing w:after="0" w:line="254" w:lineRule="auto"/>
        <w:rPr>
          <w:sz w:val="20"/>
          <w:szCs w:val="20"/>
          <w:color w:val="auto"/>
        </w:rPr>
      </w:pPr>
      <w:r>
        <w:rPr>
          <w:rFonts w:ascii="Times New Roman" w:cs="Times New Roman" w:eastAsia="Times New Roman" w:hAnsi="Times New Roman"/>
          <w:sz w:val="20"/>
          <w:szCs w:val="20"/>
          <w:color w:val="231F20"/>
        </w:rPr>
        <w:t>Borrowings under the Hercules Loan Agreement bore interest at a rate equal to: (a) if the prime rate was greater than or equal to 7.00%, the greater of either (i) the prime rate plus 2.20%, and (ii) 9.95%, but in no event greater than</w:t>
      </w:r>
    </w:p>
    <w:p>
      <w:pPr>
        <w:spacing w:after="0" w:line="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231F20"/>
        </w:rPr>
        <w:t>10.70%, and (b) if the prime rate was less than 7.00%, 9.70%. In addition, the Company was required to pay certain end of term charges, including (A) an initial end of term charge of $4.45 million and (B) a subsequent end of term charge of</w:t>
      </w:r>
    </w:p>
    <w:p>
      <w:pPr>
        <w:ind w:right="20" w:firstLine="7"/>
        <w:spacing w:after="0"/>
        <w:tabs>
          <w:tab w:leader="none" w:pos="239"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1.10% of the aggregate amount of all Tranche 1A Advances plus (ii) 4.95% of the aggregate amount of all term loan advances (other than Tranche 1A Advances) funded minus (iii) any charges paid by the Borrower to Hercules related to partial prepayments of the outstanding Secured Obligations. The end of term charges were accreted into interest expense using the effective interest rate method over the term of the loan. If certain maturity extension conditions were satisfied, the Company was required to pay an extension end of term charge equal to 1.00% of the aggregate amount of all Term Loan Advances outstanding as of the date on which the maturity extension conditions were satisfied, in addition to the end of term charges described above. The Company could, at its option, prepay the term loans in full or in part, subject to a prepayment penalty equal to (i) 2.0% of the Advance amount prepaid if the prepayment occurred prior to February 1, 2024, (ii) 1.5% of the Advance amount prepaid if the prepayment occurred on or after February 1, 2024 but prior to February 1, 2025, and (iii) 1.0% of the Advance amount prepaid if the prepayment occurred on or after February 1, 2025 but prior to February 1, 2026.</w:t>
      </w:r>
    </w:p>
    <w:p>
      <w:pPr>
        <w:spacing w:after="0" w:line="212"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231F20"/>
        </w:rPr>
        <w:t>Debt issuance costs and the value of warrants issued in connection with the Hercules Loan Agreement were recorded as a debt discount and amortized to interest expense using the effective interest method over the expected term of the borrowing.</w:t>
      </w:r>
    </w:p>
    <w:p>
      <w:pPr>
        <w:spacing w:after="0" w:line="18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On May 8, 2025, the Company repaid in full its obligations under the Hercules Loan Agreement using proceeds from the Blackstone Loan Agreement. Upon repayment, the Company recorded a loss on debt extinguishment of approximately $10.4 million in the Company’s consolidated statement of operations. As of December 31, 2025, there are no outstanding obligations under the Hercules Loan Agreement.</w:t>
      </w:r>
    </w:p>
    <w:p>
      <w:pPr>
        <w:sectPr>
          <w:pgSz w:w="12240" w:h="15840" w:orient="portrait"/>
          <w:cols w:equalWidth="0" w:num="1">
            <w:col w:w="9700"/>
          </w:cols>
          <w:pgMar w:left="1260" w:top="1247"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F-23</w:t>
      </w:r>
    </w:p>
    <w:p>
      <w:pPr>
        <w:sectPr>
          <w:pgSz w:w="12240" w:h="15840" w:orient="portrait"/>
          <w:cols w:equalWidth="0" w:num="1">
            <w:col w:w="9700"/>
          </w:cols>
          <w:pgMar w:left="1260" w:top="1247" w:right="1280" w:bottom="186"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i w:val="1"/>
          <w:iCs w:val="1"/>
          <w:color w:val="231F20"/>
        </w:rPr>
        <w:t>Loan Interest Expense and Amortization</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Long-term debt and unamortized debt discount balances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27"/>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227"/>
              <w:spacing w:after="0"/>
              <w:rPr>
                <w:sz w:val="20"/>
                <w:szCs w:val="20"/>
                <w:color w:val="auto"/>
              </w:rPr>
            </w:pPr>
            <w:r>
              <w:rPr>
                <w:rFonts w:ascii="Times New Roman" w:cs="Times New Roman" w:eastAsia="Times New Roman" w:hAnsi="Times New Roman"/>
                <w:sz w:val="16"/>
                <w:szCs w:val="16"/>
                <w:b w:val="1"/>
                <w:bCs w:val="1"/>
                <w:color w:val="231F20"/>
              </w:rPr>
              <w:t>December 31,</w:t>
            </w:r>
          </w:p>
        </w:tc>
      </w:tr>
      <w:tr>
        <w:trPr>
          <w:trHeight w:val="203"/>
        </w:trPr>
        <w:tc>
          <w:tcPr>
            <w:tcW w:w="6600" w:type="dxa"/>
            <w:vAlign w:val="bottom"/>
            <w:tcBorders>
              <w:bottom w:val="single" w:sz="8" w:color="EBECEC"/>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jc w:val="right"/>
              <w:ind w:right="54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0" w:type="dxa"/>
            <w:vAlign w:val="bottom"/>
            <w:tcBorders>
              <w:bottom w:val="single" w:sz="8" w:color="EBECEC"/>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jc w:val="right"/>
              <w:ind w:right="547"/>
              <w:spacing w:after="0"/>
              <w:rPr>
                <w:sz w:val="20"/>
                <w:szCs w:val="20"/>
                <w:color w:val="auto"/>
              </w:rPr>
            </w:pPr>
            <w:r>
              <w:rPr>
                <w:rFonts w:ascii="Times New Roman" w:cs="Times New Roman" w:eastAsia="Times New Roman" w:hAnsi="Times New Roman"/>
                <w:sz w:val="16"/>
                <w:szCs w:val="16"/>
                <w:b w:val="1"/>
                <w:bCs w:val="1"/>
                <w:color w:val="231F20"/>
              </w:rPr>
              <w:t>2024</w:t>
            </w:r>
          </w:p>
        </w:tc>
      </w:tr>
      <w:tr>
        <w:trPr>
          <w:trHeight w:val="239"/>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 outstanding debt, long-term</w:t>
            </w:r>
          </w:p>
        </w:tc>
        <w:tc>
          <w:tcPr>
            <w:tcW w:w="1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shd w:val="clear" w:color="auto" w:fill="EBECEC"/>
          </w:tcPr>
          <w:p>
            <w:pPr>
              <w:jc w:val="right"/>
              <w:ind w:right="7"/>
              <w:spacing w:after="0"/>
              <w:rPr>
                <w:sz w:val="20"/>
                <w:szCs w:val="20"/>
                <w:color w:val="auto"/>
              </w:rPr>
            </w:pPr>
            <w:r>
              <w:rPr>
                <w:rFonts w:ascii="Times New Roman" w:cs="Times New Roman" w:eastAsia="Times New Roman" w:hAnsi="Times New Roman"/>
                <w:sz w:val="20"/>
                <w:szCs w:val="20"/>
                <w:color w:val="231F20"/>
              </w:rPr>
              <w:t>120,000</w:t>
            </w:r>
          </w:p>
        </w:tc>
        <w:tc>
          <w:tcPr>
            <w:tcW w:w="160" w:type="dxa"/>
            <w:vAlign w:val="bottom"/>
            <w:shd w:val="clear" w:color="auto" w:fill="EBECEC"/>
          </w:tcPr>
          <w:p>
            <w:pPr>
              <w:spacing w:after="0"/>
              <w:rPr>
                <w:sz w:val="20"/>
                <w:szCs w:val="20"/>
                <w:color w:val="auto"/>
              </w:rPr>
            </w:pPr>
          </w:p>
        </w:tc>
        <w:tc>
          <w:tcPr>
            <w:tcW w:w="1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shd w:val="clear" w:color="auto" w:fill="EBECEC"/>
          </w:tcPr>
          <w:p>
            <w:pPr>
              <w:jc w:val="right"/>
              <w:ind w:right="7"/>
              <w:spacing w:after="0"/>
              <w:rPr>
                <w:sz w:val="20"/>
                <w:szCs w:val="20"/>
                <w:color w:val="auto"/>
              </w:rPr>
            </w:pPr>
            <w:r>
              <w:rPr>
                <w:rFonts w:ascii="Times New Roman" w:cs="Times New Roman" w:eastAsia="Times New Roman" w:hAnsi="Times New Roman"/>
                <w:sz w:val="20"/>
                <w:szCs w:val="20"/>
                <w:color w:val="231F20"/>
              </w:rPr>
              <w:t>180,000</w:t>
            </w:r>
          </w:p>
        </w:tc>
      </w:tr>
      <w:tr>
        <w:trPr>
          <w:trHeight w:val="244"/>
        </w:trPr>
        <w:tc>
          <w:tcPr>
            <w:tcW w:w="66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 accreted final payment fee</w:t>
            </w:r>
          </w:p>
        </w:tc>
        <w:tc>
          <w:tcPr>
            <w:tcW w:w="160" w:type="dxa"/>
            <w:vAlign w:val="bottom"/>
          </w:tcPr>
          <w:p>
            <w:pPr>
              <w:spacing w:after="0"/>
              <w:rPr>
                <w:sz w:val="21"/>
                <w:szCs w:val="21"/>
                <w:color w:val="auto"/>
              </w:rPr>
            </w:pP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231F20"/>
              </w:rPr>
              <w:t>4,085</w:t>
            </w:r>
          </w:p>
        </w:tc>
      </w:tr>
      <w:tr>
        <w:trPr>
          <w:trHeight w:val="264"/>
        </w:trPr>
        <w:tc>
          <w:tcPr>
            <w:tcW w:w="6600" w:type="dxa"/>
            <w:vAlign w:val="bottom"/>
            <w:tcBorders>
              <w:bottom w:val="single" w:sz="8" w:color="EBECEC"/>
            </w:tcBorders>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Less: unamortized debt discount, long-term</w:t>
            </w:r>
          </w:p>
        </w:tc>
        <w:tc>
          <w:tcPr>
            <w:tcW w:w="160" w:type="dxa"/>
            <w:vAlign w:val="bottom"/>
            <w:tcBorders>
              <w:bottom w:val="single" w:sz="8" w:color="EBECEC"/>
            </w:tcBorders>
            <w:shd w:val="clear" w:color="auto" w:fill="EBECEC"/>
          </w:tcPr>
          <w:p>
            <w:pPr>
              <w:spacing w:after="0"/>
              <w:rPr>
                <w:sz w:val="22"/>
                <w:szCs w:val="22"/>
                <w:color w:val="auto"/>
              </w:rPr>
            </w:pPr>
          </w:p>
        </w:tc>
        <w:tc>
          <w:tcPr>
            <w:tcW w:w="1320" w:type="dxa"/>
            <w:vAlign w:val="bottom"/>
            <w:tcBorders>
              <w:bottom w:val="single" w:sz="8" w:color="EBECEC"/>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(2,254)</w:t>
            </w:r>
          </w:p>
        </w:tc>
        <w:tc>
          <w:tcPr>
            <w:tcW w:w="160" w:type="dxa"/>
            <w:vAlign w:val="bottom"/>
            <w:tcBorders>
              <w:bottom w:val="single" w:sz="8" w:color="EBECEC"/>
            </w:tcBorders>
            <w:shd w:val="clear" w:color="auto" w:fill="EBECEC"/>
          </w:tcPr>
          <w:p>
            <w:pPr>
              <w:spacing w:after="0"/>
              <w:rPr>
                <w:sz w:val="22"/>
                <w:szCs w:val="22"/>
                <w:color w:val="auto"/>
              </w:rPr>
            </w:pPr>
          </w:p>
        </w:tc>
        <w:tc>
          <w:tcPr>
            <w:tcW w:w="160" w:type="dxa"/>
            <w:vAlign w:val="bottom"/>
            <w:tcBorders>
              <w:bottom w:val="single" w:sz="8" w:color="231F20"/>
            </w:tcBorders>
            <w:shd w:val="clear" w:color="auto" w:fill="EBECEC"/>
          </w:tcPr>
          <w:p>
            <w:pPr>
              <w:spacing w:after="0"/>
              <w:rPr>
                <w:sz w:val="22"/>
                <w:szCs w:val="22"/>
                <w:color w:val="auto"/>
              </w:rPr>
            </w:pPr>
          </w:p>
        </w:tc>
        <w:tc>
          <w:tcPr>
            <w:tcW w:w="13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(3,375)</w:t>
            </w:r>
          </w:p>
        </w:tc>
      </w:tr>
      <w:tr>
        <w:trPr>
          <w:trHeight w:val="219"/>
        </w:trPr>
        <w:tc>
          <w:tcPr>
            <w:tcW w:w="66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Loan payable, long-term</w:t>
            </w:r>
          </w:p>
        </w:tc>
        <w:tc>
          <w:tcPr>
            <w:tcW w:w="1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top w:val="single" w:sz="8" w:color="231F20"/>
              <w:bottom w:val="single" w:sz="8" w:color="231F20"/>
            </w:tcBorders>
          </w:tcPr>
          <w:p>
            <w:pPr>
              <w:jc w:val="right"/>
              <w:ind w:right="7"/>
              <w:spacing w:after="0" w:line="219" w:lineRule="exact"/>
              <w:rPr>
                <w:sz w:val="20"/>
                <w:szCs w:val="20"/>
                <w:color w:val="auto"/>
              </w:rPr>
            </w:pPr>
            <w:r>
              <w:rPr>
                <w:rFonts w:ascii="Times New Roman" w:cs="Times New Roman" w:eastAsia="Times New Roman" w:hAnsi="Times New Roman"/>
                <w:sz w:val="20"/>
                <w:szCs w:val="20"/>
                <w:color w:val="231F20"/>
              </w:rPr>
              <w:t>117,746</w:t>
            </w:r>
          </w:p>
        </w:tc>
        <w:tc>
          <w:tcPr>
            <w:tcW w:w="160" w:type="dxa"/>
            <w:vAlign w:val="bottom"/>
          </w:tcPr>
          <w:p>
            <w:pPr>
              <w:spacing w:after="0"/>
              <w:rPr>
                <w:sz w:val="19"/>
                <w:szCs w:val="19"/>
                <w:color w:val="auto"/>
              </w:rPr>
            </w:pPr>
          </w:p>
        </w:tc>
        <w:tc>
          <w:tcPr>
            <w:tcW w:w="1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top w:val="single" w:sz="8" w:color="231F20"/>
              <w:bottom w:val="single" w:sz="8" w:color="231F20"/>
            </w:tcBorders>
          </w:tcPr>
          <w:p>
            <w:pPr>
              <w:jc w:val="right"/>
              <w:ind w:right="7"/>
              <w:spacing w:after="0" w:line="219" w:lineRule="exact"/>
              <w:rPr>
                <w:sz w:val="20"/>
                <w:szCs w:val="20"/>
                <w:color w:val="auto"/>
              </w:rPr>
            </w:pPr>
            <w:r>
              <w:rPr>
                <w:rFonts w:ascii="Times New Roman" w:cs="Times New Roman" w:eastAsia="Times New Roman" w:hAnsi="Times New Roman"/>
                <w:sz w:val="20"/>
                <w:szCs w:val="20"/>
                <w:color w:val="231F20"/>
              </w:rPr>
              <w:t>180,710</w:t>
            </w: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r>
    </w:tbl>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book value of debt approximates its fair value given its variable interest rate.</w:t>
      </w:r>
    </w:p>
    <w:p>
      <w:pPr>
        <w:spacing w:after="0" w:line="240" w:lineRule="exact"/>
        <w:rPr>
          <w:sz w:val="20"/>
          <w:szCs w:val="20"/>
          <w:color w:val="auto"/>
        </w:rPr>
      </w:pPr>
    </w:p>
    <w:p>
      <w:pPr>
        <w:ind w:right="440" w:firstLine="720"/>
        <w:spacing w:after="0" w:line="277" w:lineRule="auto"/>
        <w:rPr>
          <w:sz w:val="20"/>
          <w:szCs w:val="20"/>
          <w:color w:val="auto"/>
        </w:rPr>
      </w:pPr>
      <w:r>
        <w:rPr>
          <w:rFonts w:ascii="Times New Roman" w:cs="Times New Roman" w:eastAsia="Times New Roman" w:hAnsi="Times New Roman"/>
          <w:sz w:val="20"/>
          <w:szCs w:val="20"/>
          <w:color w:val="231F20"/>
        </w:rPr>
        <w:t>Interest expense, amortization of the final payment fee, and amortization of the debt discount related to the issuance costs and warrants for the Company’s debt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62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BECEC"/>
            </w:tcBorders>
          </w:tcPr>
          <w:p>
            <w:pPr>
              <w:spacing w:after="0"/>
              <w:rPr>
                <w:sz w:val="17"/>
                <w:szCs w:val="17"/>
                <w:color w:val="auto"/>
              </w:rPr>
            </w:pPr>
          </w:p>
        </w:tc>
      </w:tr>
      <w:tr>
        <w:trPr>
          <w:trHeight w:val="239"/>
        </w:trPr>
        <w:tc>
          <w:tcPr>
            <w:tcW w:w="56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Interest expense</w:t>
            </w: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14,058</w:t>
            </w: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19,254</w:t>
            </w: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17,514</w:t>
            </w:r>
          </w:p>
        </w:tc>
        <w:tc>
          <w:tcPr>
            <w:tcW w:w="80" w:type="dxa"/>
            <w:vAlign w:val="bottom"/>
            <w:shd w:val="clear" w:color="auto" w:fill="EBECEC"/>
          </w:tcPr>
          <w:p>
            <w:pPr>
              <w:spacing w:after="0"/>
              <w:rPr>
                <w:sz w:val="20"/>
                <w:szCs w:val="20"/>
                <w:color w:val="auto"/>
              </w:rPr>
            </w:pPr>
          </w:p>
        </w:tc>
      </w:tr>
      <w:tr>
        <w:trPr>
          <w:trHeight w:val="24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Amortization of final payment fee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1,197</w:t>
            </w:r>
          </w:p>
        </w:tc>
        <w:tc>
          <w:tcPr>
            <w:tcW w:w="80" w:type="dxa"/>
            <w:vAlign w:val="bottom"/>
          </w:tcPr>
          <w:p>
            <w:pPr>
              <w:spacing w:after="0"/>
              <w:rPr>
                <w:sz w:val="21"/>
                <w:szCs w:val="21"/>
                <w:color w:val="auto"/>
              </w:rPr>
            </w:pPr>
          </w:p>
        </w:tc>
      </w:tr>
      <w:tr>
        <w:trPr>
          <w:trHeight w:val="244"/>
        </w:trPr>
        <w:tc>
          <w:tcPr>
            <w:tcW w:w="56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Amortization of debt discount related issuance costs and warrants</w:t>
            </w: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776</w:t>
            </w:r>
          </w:p>
        </w:tc>
        <w:tc>
          <w:tcPr>
            <w:tcW w:w="24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1,165</w:t>
            </w:r>
          </w:p>
        </w:tc>
        <w:tc>
          <w:tcPr>
            <w:tcW w:w="24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1,324</w:t>
            </w:r>
          </w:p>
        </w:tc>
        <w:tc>
          <w:tcPr>
            <w:tcW w:w="80" w:type="dxa"/>
            <w:vAlign w:val="bottom"/>
            <w:shd w:val="clear" w:color="auto" w:fill="EBECE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-623570</wp:posOffset>
            </wp:positionV>
            <wp:extent cx="259905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2599055" cy="38100"/>
                    </a:xfrm>
                    <a:prstGeom prst="rect">
                      <a:avLst/>
                    </a:prstGeom>
                    <a:noFill/>
                  </pic:spPr>
                </pic:pic>
              </a:graphicData>
            </a:graphic>
          </wp:anchor>
        </w:drawing>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Scheduled principal payments on outstanding debt, long-term, as of December 31, 2025,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9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2026</w:t>
            </w:r>
          </w:p>
        </w:tc>
        <w:tc>
          <w:tcPr>
            <w:tcW w:w="560" w:type="dxa"/>
            <w:vAlign w:val="bottom"/>
            <w:shd w:val="clear" w:color="auto" w:fill="EBECEC"/>
          </w:tcPr>
          <w:p>
            <w:pPr>
              <w:jc w:val="right"/>
              <w:ind w:right="36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79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2028</w:t>
            </w:r>
          </w:p>
        </w:tc>
        <w:tc>
          <w:tcPr>
            <w:tcW w:w="560" w:type="dxa"/>
            <w:vAlign w:val="bottom"/>
            <w:shd w:val="clear" w:color="auto" w:fill="EBECEC"/>
          </w:tcPr>
          <w:p>
            <w:pPr>
              <w:spacing w:after="0"/>
              <w:rPr>
                <w:sz w:val="21"/>
                <w:szCs w:val="21"/>
                <w:color w:val="auto"/>
              </w:rPr>
            </w:pPr>
          </w:p>
        </w:tc>
        <w:tc>
          <w:tcPr>
            <w:tcW w:w="12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5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79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2030</w:t>
            </w:r>
          </w:p>
        </w:tc>
        <w:tc>
          <w:tcPr>
            <w:tcW w:w="560" w:type="dxa"/>
            <w:vAlign w:val="bottom"/>
            <w:shd w:val="clear" w:color="auto" w:fill="EBECEC"/>
          </w:tcPr>
          <w:p>
            <w:pPr>
              <w:spacing w:after="0"/>
              <w:rPr>
                <w:sz w:val="21"/>
                <w:szCs w:val="21"/>
                <w:color w:val="auto"/>
              </w:rPr>
            </w:pPr>
          </w:p>
        </w:tc>
        <w:tc>
          <w:tcPr>
            <w:tcW w:w="12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120,000</w:t>
            </w:r>
          </w:p>
        </w:tc>
      </w:tr>
      <w:tr>
        <w:trPr>
          <w:trHeight w:val="244"/>
        </w:trPr>
        <w:tc>
          <w:tcPr>
            <w:tcW w:w="796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56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9"/>
        </w:trPr>
        <w:tc>
          <w:tcPr>
            <w:tcW w:w="796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 principal payments outstanding</w:t>
            </w:r>
          </w:p>
        </w:tc>
        <w:tc>
          <w:tcPr>
            <w:tcW w:w="560" w:type="dxa"/>
            <w:vAlign w:val="bottom"/>
            <w:tcBorders>
              <w:bottom w:val="single" w:sz="8" w:color="231F20"/>
            </w:tcBorders>
            <w:shd w:val="clear" w:color="auto" w:fill="EBECEC"/>
          </w:tcPr>
          <w:p>
            <w:pPr>
              <w:jc w:val="right"/>
              <w:ind w:right="36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120,000</w:t>
            </w:r>
          </w:p>
        </w:tc>
      </w:tr>
      <w:tr>
        <w:trPr>
          <w:trHeight w:val="20"/>
        </w:trPr>
        <w:tc>
          <w:tcPr>
            <w:tcW w:w="796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10. Commitments and Contingencies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Leases</w:t>
      </w:r>
    </w:p>
    <w:p>
      <w:pPr>
        <w:spacing w:after="0" w:line="244" w:lineRule="exact"/>
        <w:rPr>
          <w:sz w:val="20"/>
          <w:szCs w:val="20"/>
          <w:color w:val="auto"/>
        </w:rPr>
      </w:pPr>
    </w:p>
    <w:p>
      <w:pPr>
        <w:ind w:right="440" w:firstLine="720"/>
        <w:spacing w:after="0" w:line="277" w:lineRule="auto"/>
        <w:rPr>
          <w:sz w:val="20"/>
          <w:szCs w:val="20"/>
          <w:color w:val="auto"/>
        </w:rPr>
      </w:pPr>
      <w:r>
        <w:rPr>
          <w:rFonts w:ascii="Times New Roman" w:cs="Times New Roman" w:eastAsia="Times New Roman" w:hAnsi="Times New Roman"/>
          <w:sz w:val="20"/>
          <w:szCs w:val="20"/>
          <w:color w:val="231F20"/>
        </w:rPr>
        <w:t>In February 2023, the Company entered into a Sublease for the previous office space located at One World Trade Center.</w:t>
      </w:r>
    </w:p>
    <w:p>
      <w:pPr>
        <w:spacing w:after="0" w:line="169"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In January 2025, the Company entered into an amended sublease agreement (the “First Amendment”) to terminate the existing space in its corporate office and commence occupancy of different space within the same building. The First Amendment was treated as a lease modification to the Sublease which resulted in the recognition of a gain on modification of $2.3 million which is included in selling, general and administrative expenses. The Company also recorded a right-of-use asset and corresponding lease liability of $23.9 million during the first quarter of fiscal year</w:t>
      </w:r>
    </w:p>
    <w:p>
      <w:pPr>
        <w:spacing w:after="0" w:line="4"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0"/>
          <w:szCs w:val="20"/>
          <w:color w:val="231F20"/>
        </w:rPr>
        <w:t>2025. Based on the Company’s past experience and current expectations for administrative office needs, the Company determined the lease term to be approximately six years. As of December 31, 2025, the remaining lease term for the Company’s operating lease was 5.3 years with the discount rate of 7.12%.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ectPr>
          <w:pgSz w:w="12240" w:h="15840" w:orient="portrait"/>
          <w:cols w:equalWidth="0" w:num="1">
            <w:col w:w="9720"/>
          </w:cols>
          <w:pgMar w:left="1260" w:top="1249"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F-24</w:t>
      </w:r>
    </w:p>
    <w:p>
      <w:pPr>
        <w:sectPr>
          <w:pgSz w:w="12240" w:h="15840" w:orient="portrait"/>
          <w:cols w:equalWidth="0" w:num="1">
            <w:col w:w="9720"/>
          </w:cols>
          <w:pgMar w:left="1260" w:top="1249" w:right="1260" w:bottom="186" w:gutter="0" w:footer="0" w:header="0"/>
          <w:type w:val="continuous"/>
        </w:sectPr>
      </w:pPr>
    </w:p>
    <w:bookmarkStart w:id="155" w:name="page156"/>
    <w:bookmarkEnd w:id="155"/>
    <w:p>
      <w:pPr>
        <w:ind w:right="120" w:firstLine="720"/>
        <w:spacing w:after="0" w:line="246" w:lineRule="auto"/>
        <w:rPr>
          <w:sz w:val="20"/>
          <w:szCs w:val="20"/>
          <w:color w:val="auto"/>
        </w:rPr>
      </w:pPr>
      <w:r>
        <w:rPr>
          <w:rFonts w:ascii="Times New Roman" w:cs="Times New Roman" w:eastAsia="Times New Roman" w:hAnsi="Times New Roman"/>
          <w:sz w:val="20"/>
          <w:szCs w:val="20"/>
          <w:color w:val="231F20"/>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year ended December 31, 2025, the Company recognized a right-of-use asset and lease liability, both, of $ 4.5 million in connection to this lease. As of December 31, 2025, right-of-use asset and lease liability related to the finance lease were $6.6 million and $6.8 million, respectively, and the weighted average remaining lease term was 2.8 years, with a weighted average discount rate of 9.6%.</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Lease expenses recognized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2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r>
      <w:tr>
        <w:trPr>
          <w:trHeight w:val="193"/>
        </w:trPr>
        <w:tc>
          <w:tcPr>
            <w:tcW w:w="5620" w:type="dxa"/>
            <w:vAlign w:val="bottom"/>
            <w:tcBorders>
              <w:bottom w:val="single" w:sz="8" w:color="EBECEC"/>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1020" w:type="dxa"/>
            <w:vAlign w:val="bottom"/>
            <w:tcBorders>
              <w:bottom w:val="single" w:sz="8" w:color="231F20"/>
            </w:tcBorders>
          </w:tcPr>
          <w:p>
            <w:pPr>
              <w:jc w:val="right"/>
              <w:ind w:right="44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Borders>
              <w:bottom w:val="single" w:sz="8" w:color="EBECEC"/>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1020" w:type="dxa"/>
            <w:vAlign w:val="bottom"/>
            <w:tcBorders>
              <w:bottom w:val="single" w:sz="8" w:color="231F20"/>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Borders>
              <w:bottom w:val="single" w:sz="8" w:color="EBECEC"/>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92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231F20"/>
            </w:tcBorders>
          </w:tcPr>
          <w:p>
            <w:pPr>
              <w:spacing w:after="0"/>
              <w:rPr>
                <w:sz w:val="16"/>
                <w:szCs w:val="16"/>
                <w:color w:val="auto"/>
              </w:rPr>
            </w:pPr>
          </w:p>
        </w:tc>
      </w:tr>
      <w:tr>
        <w:trPr>
          <w:trHeight w:val="239"/>
        </w:trPr>
        <w:tc>
          <w:tcPr>
            <w:tcW w:w="56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Operating lease expense</w:t>
            </w: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EBECEC"/>
          </w:tcPr>
          <w:p>
            <w:pPr>
              <w:jc w:val="right"/>
              <w:ind w:right="8"/>
              <w:spacing w:after="0"/>
              <w:rPr>
                <w:sz w:val="20"/>
                <w:szCs w:val="20"/>
                <w:color w:val="auto"/>
              </w:rPr>
            </w:pPr>
            <w:r>
              <w:rPr>
                <w:rFonts w:ascii="Times New Roman" w:cs="Times New Roman" w:eastAsia="Times New Roman" w:hAnsi="Times New Roman"/>
                <w:sz w:val="20"/>
                <w:szCs w:val="20"/>
                <w:color w:val="231F20"/>
              </w:rPr>
              <w:t>4,740</w:t>
            </w:r>
          </w:p>
        </w:tc>
        <w:tc>
          <w:tcPr>
            <w:tcW w:w="140" w:type="dxa"/>
            <w:vAlign w:val="bottom"/>
            <w:shd w:val="clear" w:color="auto" w:fill="EBECEC"/>
          </w:tcPr>
          <w:p>
            <w:pPr>
              <w:spacing w:after="0"/>
              <w:rPr>
                <w:sz w:val="20"/>
                <w:szCs w:val="20"/>
                <w:color w:val="auto"/>
              </w:rPr>
            </w:pP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EBECEC"/>
          </w:tcPr>
          <w:p>
            <w:pPr>
              <w:jc w:val="right"/>
              <w:ind w:right="5"/>
              <w:spacing w:after="0"/>
              <w:rPr>
                <w:sz w:val="20"/>
                <w:szCs w:val="20"/>
                <w:color w:val="auto"/>
              </w:rPr>
            </w:pPr>
            <w:r>
              <w:rPr>
                <w:rFonts w:ascii="Times New Roman" w:cs="Times New Roman" w:eastAsia="Times New Roman" w:hAnsi="Times New Roman"/>
                <w:sz w:val="20"/>
                <w:szCs w:val="20"/>
                <w:color w:val="231F20"/>
              </w:rPr>
              <w:t>2,331</w:t>
            </w:r>
          </w:p>
        </w:tc>
        <w:tc>
          <w:tcPr>
            <w:tcW w:w="140" w:type="dxa"/>
            <w:vAlign w:val="bottom"/>
            <w:shd w:val="clear" w:color="auto" w:fill="EBECEC"/>
          </w:tcPr>
          <w:p>
            <w:pPr>
              <w:spacing w:after="0"/>
              <w:rPr>
                <w:sz w:val="20"/>
                <w:szCs w:val="20"/>
                <w:color w:val="auto"/>
              </w:rPr>
            </w:pP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2,173</w:t>
            </w:r>
          </w:p>
        </w:tc>
        <w:tc>
          <w:tcPr>
            <w:tcW w:w="80" w:type="dxa"/>
            <w:vAlign w:val="bottom"/>
            <w:shd w:val="clear" w:color="auto" w:fill="EBECEC"/>
          </w:tcPr>
          <w:p>
            <w:pPr>
              <w:spacing w:after="0"/>
              <w:rPr>
                <w:sz w:val="20"/>
                <w:szCs w:val="20"/>
                <w:color w:val="auto"/>
              </w:rPr>
            </w:pPr>
          </w:p>
        </w:tc>
      </w:tr>
      <w:tr>
        <w:trPr>
          <w:trHeight w:val="24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Finance lease expense:</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5620" w:type="dxa"/>
            <w:vAlign w:val="bottom"/>
            <w:shd w:val="clear" w:color="auto" w:fill="EBECEC"/>
          </w:tcPr>
          <w:p>
            <w:pPr>
              <w:ind w:left="100"/>
              <w:spacing w:after="0"/>
              <w:rPr>
                <w:sz w:val="20"/>
                <w:szCs w:val="20"/>
                <w:color w:val="auto"/>
              </w:rPr>
            </w:pPr>
            <w:r>
              <w:rPr>
                <w:rFonts w:ascii="Times New Roman" w:cs="Times New Roman" w:eastAsia="Times New Roman" w:hAnsi="Times New Roman"/>
                <w:sz w:val="20"/>
                <w:szCs w:val="20"/>
                <w:color w:val="231F20"/>
              </w:rPr>
              <w:t>Amortization of right-of-use assets</w:t>
            </w:r>
          </w:p>
        </w:tc>
        <w:tc>
          <w:tcPr>
            <w:tcW w:w="260" w:type="dxa"/>
            <w:vAlign w:val="bottom"/>
            <w:shd w:val="clear" w:color="auto" w:fill="EBECEC"/>
          </w:tcPr>
          <w:p>
            <w:pPr>
              <w:spacing w:after="0"/>
              <w:rPr>
                <w:sz w:val="21"/>
                <w:szCs w:val="21"/>
                <w:color w:val="auto"/>
              </w:rPr>
            </w:pPr>
          </w:p>
        </w:tc>
        <w:tc>
          <w:tcPr>
            <w:tcW w:w="1020" w:type="dxa"/>
            <w:vAlign w:val="bottom"/>
            <w:shd w:val="clear" w:color="auto" w:fill="EBECEC"/>
          </w:tcPr>
          <w:p>
            <w:pPr>
              <w:jc w:val="right"/>
              <w:ind w:right="8"/>
              <w:spacing w:after="0"/>
              <w:rPr>
                <w:sz w:val="20"/>
                <w:szCs w:val="20"/>
                <w:color w:val="auto"/>
              </w:rPr>
            </w:pPr>
            <w:r>
              <w:rPr>
                <w:rFonts w:ascii="Times New Roman" w:cs="Times New Roman" w:eastAsia="Times New Roman" w:hAnsi="Times New Roman"/>
                <w:sz w:val="20"/>
                <w:szCs w:val="20"/>
                <w:color w:val="231F20"/>
              </w:rPr>
              <w:t>2,186</w:t>
            </w:r>
          </w:p>
        </w:tc>
        <w:tc>
          <w:tcPr>
            <w:tcW w:w="14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1020" w:type="dxa"/>
            <w:vAlign w:val="bottom"/>
            <w:shd w:val="clear" w:color="auto" w:fill="EBECEC"/>
          </w:tcPr>
          <w:p>
            <w:pPr>
              <w:jc w:val="right"/>
              <w:ind w:right="5"/>
              <w:spacing w:after="0"/>
              <w:rPr>
                <w:sz w:val="20"/>
                <w:szCs w:val="20"/>
                <w:color w:val="auto"/>
              </w:rPr>
            </w:pPr>
            <w:r>
              <w:rPr>
                <w:rFonts w:ascii="Times New Roman" w:cs="Times New Roman" w:eastAsia="Times New Roman" w:hAnsi="Times New Roman"/>
                <w:sz w:val="20"/>
                <w:szCs w:val="20"/>
                <w:color w:val="231F20"/>
              </w:rPr>
              <w:t>1,034</w:t>
            </w:r>
          </w:p>
        </w:tc>
        <w:tc>
          <w:tcPr>
            <w:tcW w:w="14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100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66"/>
        </w:trPr>
        <w:tc>
          <w:tcPr>
            <w:tcW w:w="56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Interest on lease liabilities</w:t>
            </w:r>
          </w:p>
        </w:tc>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231F20"/>
              </w:rPr>
              <w:t>568</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320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-792480</wp:posOffset>
            </wp:positionV>
            <wp:extent cx="259905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2599055" cy="38100"/>
                    </a:xfrm>
                    <a:prstGeom prst="rect">
                      <a:avLst/>
                    </a:prstGeom>
                    <a:noFill/>
                  </pic:spPr>
                </pic:pic>
              </a:graphicData>
            </a:graphic>
          </wp:anchor>
        </w:drawing>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Future minimum lease payments of the Company’s leases as of December 31, 2025,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Borders>
              <w:bottom w:val="single" w:sz="8" w:color="EBEC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231F20"/>
              </w:rPr>
              <w:t>Operating lease</w:t>
            </w:r>
          </w:p>
        </w:tc>
        <w:tc>
          <w:tcPr>
            <w:tcW w:w="26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231F20"/>
              </w:rPr>
              <w:t>Finance lease</w:t>
            </w:r>
          </w:p>
        </w:tc>
      </w:tr>
      <w:tr>
        <w:trPr>
          <w:trHeight w:val="239"/>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2026</w:t>
            </w:r>
          </w:p>
        </w:tc>
        <w:tc>
          <w:tcPr>
            <w:tcW w:w="1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shd w:val="clear" w:color="auto" w:fill="EBECEC"/>
          </w:tcPr>
          <w:p>
            <w:pPr>
              <w:jc w:val="right"/>
              <w:ind w:right="62"/>
              <w:spacing w:after="0"/>
              <w:rPr>
                <w:sz w:val="20"/>
                <w:szCs w:val="20"/>
                <w:color w:val="auto"/>
              </w:rPr>
            </w:pPr>
            <w:r>
              <w:rPr>
                <w:rFonts w:ascii="Times New Roman" w:cs="Times New Roman" w:eastAsia="Times New Roman" w:hAnsi="Times New Roman"/>
                <w:sz w:val="20"/>
                <w:szCs w:val="20"/>
                <w:color w:val="231F20"/>
              </w:rPr>
              <w:t>2,028</w:t>
            </w:r>
          </w:p>
        </w:tc>
        <w:tc>
          <w:tcPr>
            <w:tcW w:w="26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3,056</w:t>
            </w: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20" w:type="dxa"/>
            <w:vAlign w:val="bottom"/>
          </w:tcPr>
          <w:p>
            <w:pPr>
              <w:spacing w:after="0"/>
              <w:rPr>
                <w:sz w:val="21"/>
                <w:szCs w:val="21"/>
                <w:color w:val="auto"/>
              </w:rPr>
            </w:pPr>
          </w:p>
        </w:tc>
        <w:tc>
          <w:tcPr>
            <w:tcW w:w="14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4,791</w:t>
            </w:r>
          </w:p>
        </w:tc>
        <w:tc>
          <w:tcPr>
            <w:tcW w:w="260" w:type="dxa"/>
            <w:vAlign w:val="bottom"/>
          </w:tcPr>
          <w:p>
            <w:pPr>
              <w:spacing w:after="0"/>
              <w:rPr>
                <w:sz w:val="21"/>
                <w:szCs w:val="21"/>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2,557</w:t>
            </w: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2028</w:t>
            </w:r>
          </w:p>
        </w:tc>
        <w:tc>
          <w:tcPr>
            <w:tcW w:w="120" w:type="dxa"/>
            <w:vAlign w:val="bottom"/>
            <w:shd w:val="clear" w:color="auto" w:fill="EBECEC"/>
          </w:tcPr>
          <w:p>
            <w:pPr>
              <w:spacing w:after="0"/>
              <w:rPr>
                <w:sz w:val="21"/>
                <w:szCs w:val="21"/>
                <w:color w:val="auto"/>
              </w:rPr>
            </w:pPr>
          </w:p>
        </w:tc>
        <w:tc>
          <w:tcPr>
            <w:tcW w:w="1420" w:type="dxa"/>
            <w:vAlign w:val="bottom"/>
            <w:shd w:val="clear" w:color="auto" w:fill="EBECEC"/>
          </w:tcPr>
          <w:p>
            <w:pPr>
              <w:jc w:val="right"/>
              <w:ind w:right="62"/>
              <w:spacing w:after="0"/>
              <w:rPr>
                <w:sz w:val="20"/>
                <w:szCs w:val="20"/>
                <w:color w:val="auto"/>
              </w:rPr>
            </w:pPr>
            <w:r>
              <w:rPr>
                <w:rFonts w:ascii="Times New Roman" w:cs="Times New Roman" w:eastAsia="Times New Roman" w:hAnsi="Times New Roman"/>
                <w:sz w:val="20"/>
                <w:szCs w:val="20"/>
                <w:color w:val="231F20"/>
              </w:rPr>
              <w:t>4,807</w:t>
            </w:r>
          </w:p>
        </w:tc>
        <w:tc>
          <w:tcPr>
            <w:tcW w:w="2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1,726</w:t>
            </w: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120" w:type="dxa"/>
            <w:vAlign w:val="bottom"/>
          </w:tcPr>
          <w:p>
            <w:pPr>
              <w:spacing w:after="0"/>
              <w:rPr>
                <w:sz w:val="21"/>
                <w:szCs w:val="21"/>
                <w:color w:val="auto"/>
              </w:rPr>
            </w:pPr>
          </w:p>
        </w:tc>
        <w:tc>
          <w:tcPr>
            <w:tcW w:w="14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231F20"/>
              </w:rPr>
              <w:t>11,284</w:t>
            </w:r>
          </w:p>
        </w:tc>
        <w:tc>
          <w:tcPr>
            <w:tcW w:w="260" w:type="dxa"/>
            <w:vAlign w:val="bottom"/>
          </w:tcPr>
          <w:p>
            <w:pPr>
              <w:spacing w:after="0"/>
              <w:rPr>
                <w:sz w:val="21"/>
                <w:szCs w:val="21"/>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294</w:t>
            </w: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2030</w:t>
            </w:r>
          </w:p>
        </w:tc>
        <w:tc>
          <w:tcPr>
            <w:tcW w:w="120" w:type="dxa"/>
            <w:vAlign w:val="bottom"/>
            <w:shd w:val="clear" w:color="auto" w:fill="EBECEC"/>
          </w:tcPr>
          <w:p>
            <w:pPr>
              <w:spacing w:after="0"/>
              <w:rPr>
                <w:sz w:val="21"/>
                <w:szCs w:val="21"/>
                <w:color w:val="auto"/>
              </w:rPr>
            </w:pPr>
          </w:p>
        </w:tc>
        <w:tc>
          <w:tcPr>
            <w:tcW w:w="1420" w:type="dxa"/>
            <w:vAlign w:val="bottom"/>
            <w:shd w:val="clear" w:color="auto" w:fill="EBECEC"/>
          </w:tcPr>
          <w:p>
            <w:pPr>
              <w:jc w:val="right"/>
              <w:ind w:right="62"/>
              <w:spacing w:after="0"/>
              <w:rPr>
                <w:sz w:val="20"/>
                <w:szCs w:val="20"/>
                <w:color w:val="auto"/>
              </w:rPr>
            </w:pPr>
            <w:r>
              <w:rPr>
                <w:rFonts w:ascii="Times New Roman" w:cs="Times New Roman" w:eastAsia="Times New Roman" w:hAnsi="Times New Roman"/>
                <w:sz w:val="20"/>
                <w:szCs w:val="20"/>
                <w:color w:val="231F20"/>
              </w:rPr>
              <w:t>5,032</w:t>
            </w:r>
          </w:p>
        </w:tc>
        <w:tc>
          <w:tcPr>
            <w:tcW w:w="260" w:type="dxa"/>
            <w:vAlign w:val="bottom"/>
            <w:shd w:val="clear" w:color="auto" w:fill="EBECEC"/>
          </w:tcPr>
          <w:p>
            <w:pPr>
              <w:spacing w:after="0"/>
              <w:rPr>
                <w:sz w:val="21"/>
                <w:szCs w:val="21"/>
                <w:color w:val="auto"/>
              </w:rPr>
            </w:pPr>
          </w:p>
        </w:tc>
        <w:tc>
          <w:tcPr>
            <w:tcW w:w="132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60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120" w:type="dxa"/>
            <w:vAlign w:val="bottom"/>
            <w:tcBorders>
              <w:bottom w:val="single" w:sz="8" w:color="231F20"/>
            </w:tcBorders>
          </w:tcPr>
          <w:p>
            <w:pPr>
              <w:spacing w:after="0"/>
              <w:rPr>
                <w:sz w:val="21"/>
                <w:szCs w:val="21"/>
                <w:color w:val="auto"/>
              </w:rPr>
            </w:pPr>
          </w:p>
        </w:tc>
        <w:tc>
          <w:tcPr>
            <w:tcW w:w="1420" w:type="dxa"/>
            <w:vAlign w:val="bottom"/>
            <w:tcBorders>
              <w:bottom w:val="single" w:sz="8" w:color="231F20"/>
            </w:tcBorders>
          </w:tcPr>
          <w:p>
            <w:pPr>
              <w:jc w:val="right"/>
              <w:ind w:right="62"/>
              <w:spacing w:after="0"/>
              <w:rPr>
                <w:sz w:val="20"/>
                <w:szCs w:val="20"/>
                <w:color w:val="auto"/>
              </w:rPr>
            </w:pPr>
            <w:r>
              <w:rPr>
                <w:rFonts w:ascii="Times New Roman" w:cs="Times New Roman" w:eastAsia="Times New Roman" w:hAnsi="Times New Roman"/>
                <w:sz w:val="20"/>
                <w:szCs w:val="20"/>
                <w:color w:val="231F20"/>
              </w:rPr>
              <w:t>1,285</w:t>
            </w:r>
          </w:p>
        </w:tc>
        <w:tc>
          <w:tcPr>
            <w:tcW w:w="2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r>
      <w:tr>
        <w:trPr>
          <w:trHeight w:val="239"/>
        </w:trPr>
        <w:tc>
          <w:tcPr>
            <w:tcW w:w="6600" w:type="dxa"/>
            <w:vAlign w:val="bottom"/>
            <w:shd w:val="clear" w:color="auto" w:fill="EBECEC"/>
          </w:tcPr>
          <w:p>
            <w:pPr>
              <w:ind w:left="100"/>
              <w:spacing w:after="0"/>
              <w:rPr>
                <w:sz w:val="20"/>
                <w:szCs w:val="20"/>
                <w:color w:val="auto"/>
              </w:rPr>
            </w:pPr>
            <w:r>
              <w:rPr>
                <w:rFonts w:ascii="Times New Roman" w:cs="Times New Roman" w:eastAsia="Times New Roman" w:hAnsi="Times New Roman"/>
                <w:sz w:val="20"/>
                <w:szCs w:val="20"/>
                <w:color w:val="231F20"/>
              </w:rPr>
              <w:t>Total lease payments</w:t>
            </w:r>
          </w:p>
        </w:tc>
        <w:tc>
          <w:tcPr>
            <w:tcW w:w="120" w:type="dxa"/>
            <w:vAlign w:val="bottom"/>
            <w:shd w:val="clear" w:color="auto" w:fill="EBECEC"/>
          </w:tcPr>
          <w:p>
            <w:pPr>
              <w:spacing w:after="0"/>
              <w:rPr>
                <w:sz w:val="20"/>
                <w:szCs w:val="20"/>
                <w:color w:val="auto"/>
              </w:rPr>
            </w:pPr>
          </w:p>
        </w:tc>
        <w:tc>
          <w:tcPr>
            <w:tcW w:w="1420" w:type="dxa"/>
            <w:vAlign w:val="bottom"/>
            <w:shd w:val="clear" w:color="auto" w:fill="EBECEC"/>
          </w:tcPr>
          <w:p>
            <w:pPr>
              <w:jc w:val="right"/>
              <w:ind w:right="62"/>
              <w:spacing w:after="0"/>
              <w:rPr>
                <w:sz w:val="20"/>
                <w:szCs w:val="20"/>
                <w:color w:val="auto"/>
              </w:rPr>
            </w:pPr>
            <w:r>
              <w:rPr>
                <w:rFonts w:ascii="Times New Roman" w:cs="Times New Roman" w:eastAsia="Times New Roman" w:hAnsi="Times New Roman"/>
                <w:sz w:val="20"/>
                <w:szCs w:val="20"/>
                <w:color w:val="231F20"/>
              </w:rPr>
              <w:t>29,227</w:t>
            </w:r>
          </w:p>
        </w:tc>
        <w:tc>
          <w:tcPr>
            <w:tcW w:w="260" w:type="dxa"/>
            <w:vAlign w:val="bottom"/>
            <w:shd w:val="clear" w:color="auto" w:fill="EBECEC"/>
          </w:tcPr>
          <w:p>
            <w:pPr>
              <w:spacing w:after="0"/>
              <w:rPr>
                <w:sz w:val="20"/>
                <w:szCs w:val="20"/>
                <w:color w:val="auto"/>
              </w:rPr>
            </w:pPr>
          </w:p>
        </w:tc>
        <w:tc>
          <w:tcPr>
            <w:tcW w:w="1320" w:type="dxa"/>
            <w:vAlign w:val="bottom"/>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7,633</w:t>
            </w:r>
          </w:p>
        </w:tc>
      </w:tr>
      <w:tr>
        <w:trPr>
          <w:trHeight w:val="244"/>
        </w:trPr>
        <w:tc>
          <w:tcPr>
            <w:tcW w:w="660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Less: imputed interest</w:t>
            </w:r>
          </w:p>
        </w:tc>
        <w:tc>
          <w:tcPr>
            <w:tcW w:w="120" w:type="dxa"/>
            <w:vAlign w:val="bottom"/>
            <w:tcBorders>
              <w:bottom w:val="single" w:sz="8" w:color="231F20"/>
            </w:tcBorders>
          </w:tcPr>
          <w:p>
            <w:pPr>
              <w:spacing w:after="0"/>
              <w:rPr>
                <w:sz w:val="21"/>
                <w:szCs w:val="21"/>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(5,611)</w:t>
            </w:r>
          </w:p>
        </w:tc>
        <w:tc>
          <w:tcPr>
            <w:tcW w:w="26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(882)</w:t>
            </w:r>
          </w:p>
        </w:tc>
      </w:tr>
      <w:tr>
        <w:trPr>
          <w:trHeight w:val="259"/>
        </w:trPr>
        <w:tc>
          <w:tcPr>
            <w:tcW w:w="6600" w:type="dxa"/>
            <w:vAlign w:val="bottom"/>
            <w:tcBorders>
              <w:bottom w:val="single" w:sz="8" w:color="EBECEC"/>
            </w:tcBorders>
            <w:shd w:val="clear" w:color="auto" w:fill="EBECEC"/>
          </w:tcPr>
          <w:p>
            <w:pPr>
              <w:ind w:left="100"/>
              <w:spacing w:after="0"/>
              <w:rPr>
                <w:sz w:val="20"/>
                <w:szCs w:val="20"/>
                <w:color w:val="auto"/>
              </w:rPr>
            </w:pPr>
            <w:r>
              <w:rPr>
                <w:rFonts w:ascii="Times New Roman" w:cs="Times New Roman" w:eastAsia="Times New Roman" w:hAnsi="Times New Roman"/>
                <w:sz w:val="20"/>
                <w:szCs w:val="20"/>
                <w:color w:val="231F20"/>
              </w:rPr>
              <w:t>Present value of lease liabilities</w:t>
            </w:r>
          </w:p>
        </w:tc>
        <w:tc>
          <w:tcPr>
            <w:tcW w:w="1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420" w:type="dxa"/>
            <w:vAlign w:val="bottom"/>
            <w:tcBorders>
              <w:bottom w:val="single" w:sz="8" w:color="231F20"/>
            </w:tcBorders>
            <w:shd w:val="clear" w:color="auto" w:fill="EBECEC"/>
          </w:tcPr>
          <w:p>
            <w:pPr>
              <w:jc w:val="right"/>
              <w:ind w:right="62"/>
              <w:spacing w:after="0"/>
              <w:rPr>
                <w:sz w:val="20"/>
                <w:szCs w:val="20"/>
                <w:color w:val="auto"/>
              </w:rPr>
            </w:pPr>
            <w:r>
              <w:rPr>
                <w:rFonts w:ascii="Times New Roman" w:cs="Times New Roman" w:eastAsia="Times New Roman" w:hAnsi="Times New Roman"/>
                <w:sz w:val="20"/>
                <w:szCs w:val="20"/>
                <w:color w:val="231F20"/>
              </w:rPr>
              <w:t>23,616</w:t>
            </w:r>
          </w:p>
        </w:tc>
        <w:tc>
          <w:tcPr>
            <w:tcW w:w="26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Borders>
              <w:bottom w:val="single" w:sz="8" w:color="231F20"/>
            </w:tcBorders>
            <w:shd w:val="clear" w:color="auto" w:fill="EBECEC"/>
          </w:tcPr>
          <w:p>
            <w:pPr>
              <w:jc w:val="right"/>
              <w:ind w:right="2"/>
              <w:spacing w:after="0"/>
              <w:rPr>
                <w:sz w:val="20"/>
                <w:szCs w:val="20"/>
                <w:color w:val="auto"/>
              </w:rPr>
            </w:pPr>
            <w:r>
              <w:rPr>
                <w:rFonts w:ascii="Times New Roman" w:cs="Times New Roman" w:eastAsia="Times New Roman" w:hAnsi="Times New Roman"/>
                <w:sz w:val="20"/>
                <w:szCs w:val="20"/>
                <w:color w:val="231F20"/>
              </w:rPr>
              <w:t>6,751</w:t>
            </w:r>
          </w:p>
        </w:tc>
      </w:tr>
      <w:tr>
        <w:trPr>
          <w:trHeight w:val="20"/>
        </w:trPr>
        <w:tc>
          <w:tcPr>
            <w:tcW w:w="66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Legal Proceedings</w:t>
      </w:r>
    </w:p>
    <w:p>
      <w:pPr>
        <w:spacing w:after="0" w:line="244"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231F20"/>
        </w:rPr>
        <w:t>The Company may be involved in various claims, litigation and legal proceedings from time to time. On a quarterly basis, the Company reviews the status of each significant matter and assesses its potential financial exposure. Because of uncertainties related to claims, litigation and legal proceedings, accruals are based on the Company’s best estimates based on available information. The Company records accruals for outstanding legal matters if a matter is both probable to result in material liability and the amount of loss or a range of possible loss can be reasonably estimated. If a loss contingency is not both probable and reasonably estimable, the Company does not establish an accrued liability.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Securities Class Action</w:t>
      </w:r>
    </w:p>
    <w:p>
      <w:pPr>
        <w:spacing w:after="0" w:line="238"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231F20"/>
        </w:rPr>
        <w:t>On May 13, 2022, Evy Gru filed a putative class action complaint captioned Gru v. Axsome Therapeutics, Inc., et al. in the U.S. District Court for the Southern District of New York, or the SDNY District Court, against the Company and certain of its current and former officers and one director, which the Company refers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NDA with the FDA, with respect to one of its then product candidates, AXS-07, now SYMBRAVO. The named plaintiff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w:t>
      </w:r>
    </w:p>
    <w:p>
      <w:pPr>
        <w:sectPr>
          <w:pgSz w:w="12240" w:h="15840" w:orient="portrait"/>
          <w:cols w:equalWidth="0" w:num="1">
            <w:col w:w="9720"/>
          </w:cols>
          <w:pgMar w:left="1260" w:top="1247"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F-25</w:t>
      </w:r>
    </w:p>
    <w:p>
      <w:pPr>
        <w:sectPr>
          <w:pgSz w:w="12240" w:h="15840" w:orient="portrait"/>
          <w:cols w:equalWidth="0" w:num="1">
            <w:col w:w="9720"/>
          </w:cols>
          <w:pgMar w:left="1260" w:top="1247" w:right="1260" w:bottom="186" w:gutter="0" w:footer="0" w:header="0"/>
          <w:type w:val="continuous"/>
        </w:sectPr>
      </w:pPr>
    </w:p>
    <w:bookmarkStart w:id="156" w:name="page157"/>
    <w:bookmarkEnd w:id="156"/>
    <w:p>
      <w:pPr>
        <w:ind w:firstLine="720"/>
        <w:spacing w:after="0" w:line="243" w:lineRule="auto"/>
        <w:rPr>
          <w:sz w:val="20"/>
          <w:szCs w:val="20"/>
          <w:color w:val="auto"/>
        </w:rPr>
      </w:pPr>
      <w:r>
        <w:rPr>
          <w:rFonts w:ascii="Times New Roman" w:cs="Times New Roman" w:eastAsia="Times New Roman" w:hAnsi="Times New Roman"/>
          <w:sz w:val="20"/>
          <w:szCs w:val="20"/>
          <w:color w:val="231F20"/>
        </w:rPr>
        <w:t>On October 13, 2023, plaintiffs’ counsel filed a letter seeking leave to file an amended complaint and to substitute new plaintiffs. On January 22, 2024, the SDNY District Court granted that motion and ordered that the case name be changed to In re Axsome Therapeutics, Inc. Securities Litigation. On January 26, 2024, the replacement plaintiffs renewed their request for leave to file a proposed second amended complaint, and, on February 6, 2024, the SDNY District Court granted that request. Plaintiffs filed the second amended complaint on February 7, 2024. On March 11, 2024, the defendants moved to dismiss the second amended complaint. On March 31, 2025, the SDNY District Court entered an order granting in part and denying in part defendants’ motions to dismiss, dismissing plaintiffs’ claims against three of Axsome’s current and former officers and allowing the claims against the Company and two current officers to proceed. On October 27, 2025, the SDNY District Court preliminarily approved the terms of a settlement resolving the Securities Class Action. On February 10, 2026, the SDNY District Court conducted a hearing on plaintiffs’ motion for final approval of the settlement and the parties are awaiting the Court’s decision.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Stockholder Derivative Action</w:t>
      </w:r>
    </w:p>
    <w:p>
      <w:pPr>
        <w:spacing w:after="0" w:line="23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On July 21, 2022, Daniel Engel filed a stockholder derivative complaint captioned Engel v. Herriot Tabuteau, et al. in the SDNY District Court against the Company’s then-current directors, certain of the Company’s current and former officers, and the Company (as nominal defendant). On January 27, 2023, Kyle Guterba filed a stockholder derivative complaint captioned Guterba v. Tabuteau, et al. in the SDNY District Court against the Company’s then-current directors, certain of the Company’s current and former officers, and the Company (as nominal defendant). The SDNY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were stayed pending further proceedings in the Securities Class Action. On November 25, 2025, the plaintiffs filed an amended complaint. On February 13, 2026, the defendants moved to dismiss the amended complaint. The plaintiffs’ deadline to respond to the motion to dismiss is March 9, 2026.</w:t>
      </w:r>
    </w:p>
    <w:p>
      <w:pPr>
        <w:spacing w:after="0" w:line="206"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On September 23, 2025, John Wickstrom filed a stockholder derivative complaint captioned Wickstrom v. Herriot Tabuteau, et al. in the Court of Chancery of the State of Delaware against the Company’s current directors, certain of the Company’s current and former officers, and the Company (as nominal defendant). On September 29, 2025, John Gildea filed a stockholder derivative complaint captioned Gildea v. Herriot Tabuteau, et al. in the Court of Chancery of the State of Delaware against the Company’s current directors, certain of the Company’s current and former officers, and the Company (as nominal defendant). The Delaware derivative complaints arise out of similar allegations as those made in the Securities Class Action and the SDNY derivative action. The plaintiffs assert claims for breach of fiduciary duties, unjust enrichment, and corporate waste against all of the defendants. The plaintiffs seek unspecified damages, fees, interest, and costs, as well as corporate governance changes. On November 6, 2025, the court consolidated the actions and designated the complaint in the Wickstrom action as the operative complaint. On February 2, 2026, the defendants moved to dismiss the complaint. The plaintiffs’ deadline to respond to the motion to dismiss is March 19, 2026.</w:t>
      </w:r>
    </w:p>
    <w:p>
      <w:pPr>
        <w:sectPr>
          <w:pgSz w:w="12240" w:h="15840" w:orient="portrait"/>
          <w:cols w:equalWidth="0" w:num="1">
            <w:col w:w="9700"/>
          </w:cols>
          <w:pgMar w:left="1260" w:top="1247"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F-26</w:t>
      </w:r>
    </w:p>
    <w:p>
      <w:pPr>
        <w:sectPr>
          <w:pgSz w:w="12240" w:h="15840" w:orient="portrait"/>
          <w:cols w:equalWidth="0" w:num="1">
            <w:col w:w="9700"/>
          </w:cols>
          <w:pgMar w:left="1260" w:top="1247" w:right="1280" w:bottom="186"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i w:val="1"/>
          <w:iCs w:val="1"/>
          <w:color w:val="231F20"/>
        </w:rPr>
        <w:t>SUNOSI Paragraph IV Litigation</w:t>
      </w:r>
    </w:p>
    <w:p>
      <w:pPr>
        <w:spacing w:after="0" w:line="238"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 xml:space="preserve">On September 13, 2023, the Company commenced a patent infringement action against Hikma Pharmaceuticals USA, Inc. (“Hikma”) and five other drug companies relating to each defendant’s ANDA for SUNOSI. This action is captioned </w:t>
      </w:r>
      <w:r>
        <w:rPr>
          <w:rFonts w:ascii="Times New Roman" w:cs="Times New Roman" w:eastAsia="Times New Roman" w:hAnsi="Times New Roman"/>
          <w:sz w:val="20"/>
          <w:szCs w:val="20"/>
          <w:i w:val="1"/>
          <w:iCs w:val="1"/>
          <w:color w:val="231F20"/>
        </w:rPr>
        <w:t>Axsome Malta Ltd. &amp; Axsome Therapeutics, Inc. v. Alkem Laboratories Ltd., et al</w:t>
      </w:r>
      <w:r>
        <w:rPr>
          <w:rFonts w:ascii="Times New Roman" w:cs="Times New Roman" w:eastAsia="Times New Roman" w:hAnsi="Times New Roman"/>
          <w:sz w:val="20"/>
          <w:szCs w:val="20"/>
          <w:color w:val="231F20"/>
        </w:rPr>
        <w:t xml:space="preserve">. No. 2:23-cv-20354 in the U.S. District Court for the District of New Jersey, or the NJ District Court. The Company commenced related patent infringement actions against the defendants relating to their ANDAs on December 20, 2023, January 11, 2024, January 18, 2024, February 14, 2024, March 19, 2024 (2 actions filed), April 5, 2024, July 2, 2024, August 8, 2024, August 21, 2024, September 16, 2024, November 20, 2024 (4 actions filed), January 21, 2025, January 29, 2025, May 1, 2025, August 15, 2025, November 12, 2025, and November 14, 2025. Those actions are captioned </w:t>
      </w:r>
      <w:r>
        <w:rPr>
          <w:rFonts w:ascii="Times New Roman" w:cs="Times New Roman" w:eastAsia="Times New Roman" w:hAnsi="Times New Roman"/>
          <w:sz w:val="20"/>
          <w:szCs w:val="20"/>
          <w:i w:val="1"/>
          <w:iCs w:val="1"/>
          <w:color w:val="231F20"/>
        </w:rPr>
        <w:t>Axsome Malta Ltd. &amp;</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Axsome Therapeutics, Inc. v. Unichem Laboratories Ltd</w:t>
      </w:r>
      <w:r>
        <w:rPr>
          <w:rFonts w:ascii="Times New Roman" w:cs="Times New Roman" w:eastAsia="Times New Roman" w:hAnsi="Times New Roman"/>
          <w:sz w:val="20"/>
          <w:szCs w:val="20"/>
          <w:color w:val="231F20"/>
        </w:rPr>
        <w:t>. No. 2:23-cv-23255;</w:t>
      </w:r>
      <w:r>
        <w:rPr>
          <w:rFonts w:ascii="Times New Roman" w:cs="Times New Roman" w:eastAsia="Times New Roman" w:hAnsi="Times New Roman"/>
          <w:sz w:val="20"/>
          <w:szCs w:val="20"/>
          <w:i w:val="1"/>
          <w:iCs w:val="1"/>
          <w:color w:val="231F20"/>
        </w:rPr>
        <w:t xml:space="preserve"> Axsome Malta Ltd. &amp; Axsome Therapeutics, Inc. v. Hetero USA, Inc. et al</w:t>
      </w:r>
      <w:r>
        <w:rPr>
          <w:rFonts w:ascii="Times New Roman" w:cs="Times New Roman" w:eastAsia="Times New Roman" w:hAnsi="Times New Roman"/>
          <w:sz w:val="20"/>
          <w:szCs w:val="20"/>
          <w:color w:val="231F20"/>
        </w:rPr>
        <w:t>. No. 2:24-cv-00196;</w:t>
      </w:r>
      <w:r>
        <w:rPr>
          <w:rFonts w:ascii="Times New Roman" w:cs="Times New Roman" w:eastAsia="Times New Roman" w:hAnsi="Times New Roman"/>
          <w:sz w:val="20"/>
          <w:szCs w:val="20"/>
          <w:i w:val="1"/>
          <w:iCs w:val="1"/>
          <w:color w:val="231F20"/>
        </w:rPr>
        <w:t xml:space="preserve"> Axsome Malta Ltd. &amp; Axsome Therapeutics, Inc. v. Aurobindo Pharma USA, Inc. et al</w:t>
      </w:r>
      <w:r>
        <w:rPr>
          <w:rFonts w:ascii="Times New Roman" w:cs="Times New Roman" w:eastAsia="Times New Roman" w:hAnsi="Times New Roman"/>
          <w:sz w:val="20"/>
          <w:szCs w:val="20"/>
          <w:color w:val="231F20"/>
        </w:rPr>
        <w:t>. No. 2:24-cv-00309;</w:t>
      </w:r>
      <w:r>
        <w:rPr>
          <w:rFonts w:ascii="Times New Roman" w:cs="Times New Roman" w:eastAsia="Times New Roman" w:hAnsi="Times New Roman"/>
          <w:sz w:val="20"/>
          <w:szCs w:val="20"/>
          <w:i w:val="1"/>
          <w:iCs w:val="1"/>
          <w:color w:val="231F20"/>
        </w:rPr>
        <w:t xml:space="preserve"> Axsome Malta Ltd. &amp; Axsome Therapeutics, Inc. v. Sandoz, Inc</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No. 2:24-cv-00860; </w:t>
      </w:r>
      <w:r>
        <w:rPr>
          <w:rFonts w:ascii="Times New Roman" w:cs="Times New Roman" w:eastAsia="Times New Roman" w:hAnsi="Times New Roman"/>
          <w:sz w:val="20"/>
          <w:szCs w:val="20"/>
          <w:i w:val="1"/>
          <w:iCs w:val="1"/>
          <w:color w:val="231F20"/>
        </w:rPr>
        <w:t>Axsome Malta Ltd. &amp; Axsome Therapeutics, Inc. v. Hetero USA, Inc. et al</w:t>
      </w:r>
      <w:r>
        <w:rPr>
          <w:rFonts w:ascii="Times New Roman" w:cs="Times New Roman" w:eastAsia="Times New Roman" w:hAnsi="Times New Roman"/>
          <w:sz w:val="20"/>
          <w:szCs w:val="20"/>
          <w:color w:val="231F20"/>
        </w:rPr>
        <w:t xml:space="preserve">. No. 2:24-cv-03999; </w:t>
      </w:r>
      <w:r>
        <w:rPr>
          <w:rFonts w:ascii="Times New Roman" w:cs="Times New Roman" w:eastAsia="Times New Roman" w:hAnsi="Times New Roman"/>
          <w:sz w:val="20"/>
          <w:szCs w:val="20"/>
          <w:i w:val="1"/>
          <w:iCs w:val="1"/>
          <w:color w:val="231F20"/>
        </w:rPr>
        <w:t>Axsome Malta Ltd. &amp; Axsome Therapeutics, Inc. v. Aurobindo Pharma USA, Inc. et al</w:t>
      </w:r>
      <w:r>
        <w:rPr>
          <w:rFonts w:ascii="Times New Roman" w:cs="Times New Roman" w:eastAsia="Times New Roman" w:hAnsi="Times New Roman"/>
          <w:sz w:val="20"/>
          <w:szCs w:val="20"/>
          <w:color w:val="231F20"/>
        </w:rPr>
        <w:t>. No. 2:24-cv-04002;</w:t>
      </w:r>
      <w:r>
        <w:rPr>
          <w:rFonts w:ascii="Times New Roman" w:cs="Times New Roman" w:eastAsia="Times New Roman" w:hAnsi="Times New Roman"/>
          <w:sz w:val="20"/>
          <w:szCs w:val="20"/>
          <w:i w:val="1"/>
          <w:iCs w:val="1"/>
          <w:color w:val="231F20"/>
        </w:rPr>
        <w:t xml:space="preserve"> Axsome Malta Ltd. &amp; Axsome Therapeutics, Inc. v. Alkem Laboratories Ltd., et al</w:t>
      </w:r>
      <w:r>
        <w:rPr>
          <w:rFonts w:ascii="Times New Roman" w:cs="Times New Roman" w:eastAsia="Times New Roman" w:hAnsi="Times New Roman"/>
          <w:sz w:val="20"/>
          <w:szCs w:val="20"/>
          <w:color w:val="231F20"/>
        </w:rPr>
        <w:t>. No. 2:24-cv-04608;</w:t>
      </w:r>
      <w:r>
        <w:rPr>
          <w:rFonts w:ascii="Times New Roman" w:cs="Times New Roman" w:eastAsia="Times New Roman" w:hAnsi="Times New Roman"/>
          <w:sz w:val="20"/>
          <w:szCs w:val="20"/>
          <w:i w:val="1"/>
          <w:iCs w:val="1"/>
          <w:color w:val="231F20"/>
        </w:rPr>
        <w:t xml:space="preserve"> Axsome Malta Ltd. &amp; Axsome Therapeutics, Inc. v. Aurobindo Pharma USA, Inc. et al</w:t>
      </w:r>
      <w:r>
        <w:rPr>
          <w:rFonts w:ascii="Times New Roman" w:cs="Times New Roman" w:eastAsia="Times New Roman" w:hAnsi="Times New Roman"/>
          <w:sz w:val="20"/>
          <w:szCs w:val="20"/>
          <w:color w:val="231F20"/>
        </w:rPr>
        <w:t>. No. 2-24-cv-07511;</w:t>
      </w:r>
      <w:r>
        <w:rPr>
          <w:rFonts w:ascii="Times New Roman" w:cs="Times New Roman" w:eastAsia="Times New Roman" w:hAnsi="Times New Roman"/>
          <w:sz w:val="20"/>
          <w:szCs w:val="20"/>
          <w:i w:val="1"/>
          <w:iCs w:val="1"/>
          <w:color w:val="231F20"/>
        </w:rPr>
        <w:t xml:space="preserve"> Axsome Malta Ltd. &amp; Axsome Therapeutics, Inc. v. Alkem Laboratories Ltd. </w:t>
      </w:r>
      <w:r>
        <w:rPr>
          <w:rFonts w:ascii="Times New Roman" w:cs="Times New Roman" w:eastAsia="Times New Roman" w:hAnsi="Times New Roman"/>
          <w:sz w:val="20"/>
          <w:szCs w:val="20"/>
          <w:color w:val="231F20"/>
        </w:rPr>
        <w:t>No. 2-24-cv-08365;</w:t>
      </w:r>
      <w:r>
        <w:rPr>
          <w:rFonts w:ascii="Times New Roman" w:cs="Times New Roman" w:eastAsia="Times New Roman" w:hAnsi="Times New Roman"/>
          <w:sz w:val="20"/>
          <w:szCs w:val="20"/>
          <w:i w:val="1"/>
          <w:iCs w:val="1"/>
          <w:color w:val="231F20"/>
        </w:rPr>
        <w:t xml:space="preserve"> Axsome Malta Ltd. &amp; Axsome Therapeutics, Inc. v. Aurobindo Pharma USA, Inc. et al. </w:t>
      </w:r>
      <w:r>
        <w:rPr>
          <w:rFonts w:ascii="Times New Roman" w:cs="Times New Roman" w:eastAsia="Times New Roman" w:hAnsi="Times New Roman"/>
          <w:sz w:val="20"/>
          <w:szCs w:val="20"/>
          <w:color w:val="231F20"/>
        </w:rPr>
        <w:t>No. 2-24-cv-08624;</w:t>
      </w:r>
      <w:r>
        <w:rPr>
          <w:rFonts w:ascii="Times New Roman" w:cs="Times New Roman" w:eastAsia="Times New Roman" w:hAnsi="Times New Roman"/>
          <w:sz w:val="20"/>
          <w:szCs w:val="20"/>
          <w:i w:val="1"/>
          <w:iCs w:val="1"/>
          <w:color w:val="231F20"/>
        </w:rPr>
        <w:t xml:space="preserve"> Axsome Malta Ltd. &amp; Axsome Therapeutics, Inc. v. Alkem Laboratories Ltd. et al. </w:t>
      </w:r>
      <w:r>
        <w:rPr>
          <w:rFonts w:ascii="Times New Roman" w:cs="Times New Roman" w:eastAsia="Times New Roman" w:hAnsi="Times New Roman"/>
          <w:sz w:val="20"/>
          <w:szCs w:val="20"/>
          <w:color w:val="231F20"/>
        </w:rPr>
        <w:t>No. 2-24-cv-09209;</w:t>
      </w:r>
      <w:r>
        <w:rPr>
          <w:rFonts w:ascii="Times New Roman" w:cs="Times New Roman" w:eastAsia="Times New Roman" w:hAnsi="Times New Roman"/>
          <w:sz w:val="20"/>
          <w:szCs w:val="20"/>
          <w:i w:val="1"/>
          <w:iCs w:val="1"/>
          <w:color w:val="231F20"/>
        </w:rPr>
        <w:t xml:space="preserve"> Axsome Malta Ltd. &amp; Axsome Therapeutics, Inc. v. Alkem Laboratories Ltd. </w:t>
      </w:r>
      <w:r>
        <w:rPr>
          <w:rFonts w:ascii="Times New Roman" w:cs="Times New Roman" w:eastAsia="Times New Roman" w:hAnsi="Times New Roman"/>
          <w:sz w:val="20"/>
          <w:szCs w:val="20"/>
          <w:color w:val="231F20"/>
        </w:rPr>
        <w:t xml:space="preserve">No. 2-24-cv-10617; </w:t>
      </w:r>
      <w:r>
        <w:rPr>
          <w:rFonts w:ascii="Times New Roman" w:cs="Times New Roman" w:eastAsia="Times New Roman" w:hAnsi="Times New Roman"/>
          <w:sz w:val="20"/>
          <w:szCs w:val="20"/>
          <w:i w:val="1"/>
          <w:iCs w:val="1"/>
          <w:color w:val="231F20"/>
        </w:rPr>
        <w:t>Axsome Malta Ltd. &amp; Axsome Therapeutics, Inc. v. Hetero USA, Inc. et al</w:t>
      </w:r>
      <w:r>
        <w:rPr>
          <w:rFonts w:ascii="Times New Roman" w:cs="Times New Roman" w:eastAsia="Times New Roman" w:hAnsi="Times New Roman"/>
          <w:sz w:val="20"/>
          <w:szCs w:val="20"/>
          <w:color w:val="231F20"/>
        </w:rPr>
        <w:t xml:space="preserve">. No. 2:24-cv-10618; </w:t>
      </w:r>
      <w:r>
        <w:rPr>
          <w:rFonts w:ascii="Times New Roman" w:cs="Times New Roman" w:eastAsia="Times New Roman" w:hAnsi="Times New Roman"/>
          <w:sz w:val="20"/>
          <w:szCs w:val="20"/>
          <w:i w:val="1"/>
          <w:iCs w:val="1"/>
          <w:color w:val="231F20"/>
        </w:rPr>
        <w:t>Axsome Malta Ltd. &amp; Axsome Therapeutics, Inc. v. Aurobindo Pharma USA, Inc. et al</w:t>
      </w:r>
      <w:r>
        <w:rPr>
          <w:rFonts w:ascii="Times New Roman" w:cs="Times New Roman" w:eastAsia="Times New Roman" w:hAnsi="Times New Roman"/>
          <w:sz w:val="20"/>
          <w:szCs w:val="20"/>
          <w:color w:val="231F20"/>
        </w:rPr>
        <w:t>. No. 2:24-cv-10619;</w:t>
      </w:r>
      <w:r>
        <w:rPr>
          <w:rFonts w:ascii="Times New Roman" w:cs="Times New Roman" w:eastAsia="Times New Roman" w:hAnsi="Times New Roman"/>
          <w:sz w:val="20"/>
          <w:szCs w:val="20"/>
          <w:i w:val="1"/>
          <w:iCs w:val="1"/>
          <w:color w:val="231F20"/>
        </w:rPr>
        <w:t xml:space="preserve"> Axsome Malta Ltd. &amp; Axsome Therapeutics, Inc. v. Hikma Pharmaceuticals USA Inc</w:t>
      </w:r>
      <w:r>
        <w:rPr>
          <w:rFonts w:ascii="Times New Roman" w:cs="Times New Roman" w:eastAsia="Times New Roman" w:hAnsi="Times New Roman"/>
          <w:sz w:val="20"/>
          <w:szCs w:val="20"/>
          <w:color w:val="231F20"/>
        </w:rPr>
        <w:t>. No. 2:24-cv-10620;</w:t>
      </w:r>
      <w:r>
        <w:rPr>
          <w:rFonts w:ascii="Times New Roman" w:cs="Times New Roman" w:eastAsia="Times New Roman" w:hAnsi="Times New Roman"/>
          <w:sz w:val="20"/>
          <w:szCs w:val="20"/>
          <w:i w:val="1"/>
          <w:iCs w:val="1"/>
          <w:color w:val="231F20"/>
        </w:rPr>
        <w:t xml:space="preserve"> Axsome Malta Ltd. &amp; Axsome Therapeutics, Inc. v. Aurobindo Pharma USA, Inc. et al</w:t>
      </w:r>
      <w:r>
        <w:rPr>
          <w:rFonts w:ascii="Times New Roman" w:cs="Times New Roman" w:eastAsia="Times New Roman" w:hAnsi="Times New Roman"/>
          <w:sz w:val="20"/>
          <w:szCs w:val="20"/>
          <w:color w:val="231F20"/>
        </w:rPr>
        <w:t>. No. 2:25-cv-00643;</w:t>
      </w:r>
      <w:r>
        <w:rPr>
          <w:rFonts w:ascii="Times New Roman" w:cs="Times New Roman" w:eastAsia="Times New Roman" w:hAnsi="Times New Roman"/>
          <w:sz w:val="20"/>
          <w:szCs w:val="20"/>
          <w:i w:val="1"/>
          <w:iCs w:val="1"/>
          <w:color w:val="231F20"/>
        </w:rPr>
        <w:t xml:space="preserve"> Axsome Malta Ltd. et al v. Hetero USA Inc. et al</w:t>
      </w:r>
      <w:r>
        <w:rPr>
          <w:rFonts w:ascii="Times New Roman" w:cs="Times New Roman" w:eastAsia="Times New Roman" w:hAnsi="Times New Roman"/>
          <w:sz w:val="20"/>
          <w:szCs w:val="20"/>
          <w:color w:val="231F20"/>
        </w:rPr>
        <w:t>. No. 2-25-cv-00801;</w:t>
      </w:r>
      <w:r>
        <w:rPr>
          <w:rFonts w:ascii="Times New Roman" w:cs="Times New Roman" w:eastAsia="Times New Roman" w:hAnsi="Times New Roman"/>
          <w:sz w:val="20"/>
          <w:szCs w:val="20"/>
          <w:i w:val="1"/>
          <w:iCs w:val="1"/>
          <w:color w:val="231F20"/>
        </w:rPr>
        <w:t xml:space="preserve"> Axsome Malta Ltd. &amp; Axsome Therapeutics, Inc. v. Aurobindo Pharma USA, Inc. et al</w:t>
      </w:r>
      <w:r>
        <w:rPr>
          <w:rFonts w:ascii="Times New Roman" w:cs="Times New Roman" w:eastAsia="Times New Roman" w:hAnsi="Times New Roman"/>
          <w:sz w:val="20"/>
          <w:szCs w:val="20"/>
          <w:color w:val="231F20"/>
        </w:rPr>
        <w:t>. No. 2-25-cv-03721;</w:t>
      </w:r>
      <w:r>
        <w:rPr>
          <w:rFonts w:ascii="Times New Roman" w:cs="Times New Roman" w:eastAsia="Times New Roman" w:hAnsi="Times New Roman"/>
          <w:sz w:val="20"/>
          <w:szCs w:val="20"/>
          <w:i w:val="1"/>
          <w:iCs w:val="1"/>
          <w:color w:val="231F20"/>
        </w:rPr>
        <w:t xml:space="preserve"> Axsome Malta Ltd. et al v. Alkem Laboratories Ltd</w:t>
      </w:r>
      <w:r>
        <w:rPr>
          <w:rFonts w:ascii="Times New Roman" w:cs="Times New Roman" w:eastAsia="Times New Roman" w:hAnsi="Times New Roman"/>
          <w:sz w:val="20"/>
          <w:szCs w:val="20"/>
          <w:color w:val="231F20"/>
        </w:rPr>
        <w:t>. No. 2-25-cv-14694;</w:t>
      </w:r>
      <w:r>
        <w:rPr>
          <w:rFonts w:ascii="Times New Roman" w:cs="Times New Roman" w:eastAsia="Times New Roman" w:hAnsi="Times New Roman"/>
          <w:sz w:val="20"/>
          <w:szCs w:val="20"/>
          <w:i w:val="1"/>
          <w:iCs w:val="1"/>
          <w:color w:val="231F20"/>
        </w:rPr>
        <w:t xml:space="preserve"> Axsome Malta Ltd. et al v. Alkem Laboratories Ltd</w:t>
      </w:r>
      <w:r>
        <w:rPr>
          <w:rFonts w:ascii="Times New Roman" w:cs="Times New Roman" w:eastAsia="Times New Roman" w:hAnsi="Times New Roman"/>
          <w:sz w:val="20"/>
          <w:szCs w:val="20"/>
          <w:color w:val="231F20"/>
        </w:rPr>
        <w:t>. No. 2-25-cv-17395; and</w:t>
      </w:r>
      <w:r>
        <w:rPr>
          <w:rFonts w:ascii="Times New Roman" w:cs="Times New Roman" w:eastAsia="Times New Roman" w:hAnsi="Times New Roman"/>
          <w:sz w:val="20"/>
          <w:szCs w:val="20"/>
          <w:i w:val="1"/>
          <w:iCs w:val="1"/>
          <w:color w:val="231F20"/>
        </w:rPr>
        <w:t xml:space="preserve"> Axsome Malta Ltd. et al. v. Aurobindo Pharma USA, Inc. et al</w:t>
      </w:r>
      <w:r>
        <w:rPr>
          <w:rFonts w:ascii="Times New Roman" w:cs="Times New Roman" w:eastAsia="Times New Roman" w:hAnsi="Times New Roman"/>
          <w:sz w:val="20"/>
          <w:szCs w:val="20"/>
          <w:color w:val="231F20"/>
        </w:rPr>
        <w:t>. 2-25-cv-17592, respectively, all of which were filed in the NJ District Court.</w:t>
      </w:r>
    </w:p>
    <w:p>
      <w:pPr>
        <w:spacing w:after="0" w:line="216"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231F20"/>
        </w:rPr>
        <w:t xml:space="preserve">On June 4, 2024, Axsome and Axsome Malta Ltd. (the “Malta Subsidiary”) entered into a settlement agreement with Unichem Laboratories Ltd. (“Unichem”) under which agreement Unichem agreed not to launch its generic solriamfetol product until June 30, 2042, or earlier under certain circumstances. On August 21, 2024, Axsome and the Malta Subsidiary reached an agreement to dismiss the actions pending against Sandoz Inc. On September 25, 2024, Hikma filed a petition for Inter Partes Review of U.S. Patent No. 11,560,354 before the United States Patent and Trademark Office’s Patent Trial and Appeal Board. That petition was captioned </w:t>
      </w:r>
      <w:r>
        <w:rPr>
          <w:rFonts w:ascii="Times New Roman" w:cs="Times New Roman" w:eastAsia="Times New Roman" w:hAnsi="Times New Roman"/>
          <w:sz w:val="20"/>
          <w:szCs w:val="20"/>
          <w:i w:val="1"/>
          <w:iCs w:val="1"/>
          <w:color w:val="231F20"/>
        </w:rPr>
        <w:t>Hikma Pharmaceuticals USA Inc. f/k/a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West-Ward Pharmaceuticals Corp. v. Axsome Malta Ltd</w:t>
      </w:r>
      <w:r>
        <w:rPr>
          <w:rFonts w:ascii="Times New Roman" w:cs="Times New Roman" w:eastAsia="Times New Roman" w:hAnsi="Times New Roman"/>
          <w:sz w:val="20"/>
          <w:szCs w:val="20"/>
          <w:color w:val="231F20"/>
        </w:rPr>
        <w:t>. IPR2024-01418. On March 2, 2025, Axsome and the Malta</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Subsidiary entered into a settlement agreement with Hikma under which agreement Hikma agreed not to launch its generic solriamfetol product until September 1, 2040, if pediatric exclusivity is granted for SUNOSI, or on or after March 1, 2040, if no pediatric exclusivity is granted, or earlier under certain circumstances. On March 6, 2025 the Malta Subsidiary and Hikma jointly requested that the PTAB dismiss IPR2024-01418. That request was granted on March 12, 2025. On May 21, 2025, Axsome and the Malta Subsidiary entered into a settlement with Hetero USA, Inc., Hetero Labs Limited Unit-V, and Hetero Labs Ltd. (collectively, “Hetero”) under which agreement Hetero agreed not to launch its generic solriamfetol product until September 1, 2040, if pediatric exclusivity is granted for SUNOSI, or on or after March 1, 2040, if no pediatric exclusivity is granted, or earlier under certain circumstances. On February 13, 2026, Axsome and the Malta Subsidiary entered into a settlement with Alkem Laboratories Ltd. (“Alkem”) under which agreement Alkem agreed not to launch its generic solriamfetol product until September 1, 2040, if pediatric exclusivity is granted for SUNOSI, or on or after March 1, 2040, if no pediatric exclusivity is granted, or earlier under certain circumstances. All other actions remain pending and are in fact discovery.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SYMBRAVO Paragraph IV Litigation</w:t>
      </w:r>
    </w:p>
    <w:p>
      <w:pPr>
        <w:spacing w:after="0" w:line="238"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231F20"/>
        </w:rPr>
        <w:t xml:space="preserve">On September 26, 2025, the Company commenced a patent infringement action against Apotex Inc. relating to Apotex’s ANDA for SYMBRAVO. This action is captioned </w:t>
      </w:r>
      <w:r>
        <w:rPr>
          <w:rFonts w:ascii="Times New Roman" w:cs="Times New Roman" w:eastAsia="Times New Roman" w:hAnsi="Times New Roman"/>
          <w:sz w:val="20"/>
          <w:szCs w:val="20"/>
          <w:i w:val="1"/>
          <w:iCs w:val="1"/>
          <w:color w:val="231F20"/>
        </w:rPr>
        <w:t>Axsome Therapeutics, Inc. v. Apotex, Inc.,</w:t>
      </w:r>
      <w:r>
        <w:rPr>
          <w:rFonts w:ascii="Times New Roman" w:cs="Times New Roman" w:eastAsia="Times New Roman" w:hAnsi="Times New Roman"/>
          <w:sz w:val="20"/>
          <w:szCs w:val="20"/>
          <w:color w:val="231F20"/>
        </w:rPr>
        <w:t xml:space="preserve"> No. 1:25-cv-16038 in the NJ District Court. The Court has not yet set a schedule for the action.</w:t>
      </w:r>
    </w:p>
    <w:p>
      <w:pPr>
        <w:sectPr>
          <w:pgSz w:w="12240" w:h="15840" w:orient="portrait"/>
          <w:cols w:equalWidth="0" w:num="1">
            <w:col w:w="9700"/>
          </w:cols>
          <w:pgMar w:left="1260" w:top="1249"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F-27</w:t>
      </w:r>
    </w:p>
    <w:p>
      <w:pPr>
        <w:sectPr>
          <w:pgSz w:w="12240" w:h="15840" w:orient="portrait"/>
          <w:cols w:equalWidth="0" w:num="1">
            <w:col w:w="9700"/>
          </w:cols>
          <w:pgMar w:left="1260" w:top="1249" w:right="1280" w:bottom="186" w:gutter="0" w:footer="0" w:header="0"/>
          <w:type w:val="continuous"/>
        </w:sectPr>
      </w:pPr>
    </w:p>
    <w:bookmarkStart w:id="158" w:name="page159"/>
    <w:bookmarkEnd w:id="158"/>
    <w:p>
      <w:pPr>
        <w:ind w:firstLine="720"/>
        <w:spacing w:after="0" w:line="252" w:lineRule="auto"/>
        <w:rPr>
          <w:sz w:val="20"/>
          <w:szCs w:val="20"/>
          <w:color w:val="auto"/>
        </w:rPr>
      </w:pPr>
      <w:r>
        <w:rPr>
          <w:rFonts w:ascii="Times New Roman" w:cs="Times New Roman" w:eastAsia="Times New Roman" w:hAnsi="Times New Roman"/>
          <w:sz w:val="20"/>
          <w:szCs w:val="20"/>
          <w:color w:val="231F20"/>
        </w:rPr>
        <w:t>The Company believes that its assertions in pending legal proceedings have merit and does not believe that any of these matters, individually or in the aggregate, will have a material adverse effect on its financial position. As of December 31, 2025, there were no potential material losses from claims, asserted or unasserted, or legal proceedings that the Company determined were both probable and reasonably estimable.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11. Stockholders’ Equity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Public Offerings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At-the-Market Offerings</w:t>
      </w:r>
    </w:p>
    <w:p>
      <w:pPr>
        <w:spacing w:after="0" w:line="240"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231F20"/>
        </w:rPr>
        <w:t>In March 2022, the Company entered into a sales agreement (the “March 2022 Sales Agreement”) with Leerink Partners LLC (“Leerink”) and filed a prospectus supplement. The March 2022 Sales Agreement supersedes the sales agreement, dated December 5, 2019, by and between the Company and Leerink. The Company exhausted sales of shares of the Company’s common stock under its prior at-the-market offering program.</w:t>
      </w:r>
    </w:p>
    <w:p>
      <w:pPr>
        <w:spacing w:after="0" w:line="194"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231F20"/>
        </w:rPr>
        <w:t>Under the March 2022 Sales Agreement, for the three months ended December 31, 2025, the Company received approximately $5.7 million in gross proceeds through the sale of 39,694 shares, of which net proceeds were approximately $5.6 million. For the year ended December 31, 2025, the Company received approximately $52.9 million in gross proceeds through the sale of 451,176 shares, of which net proceeds were approximately $51.9 million under the March 2022 Sales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June 2023 Public Offering</w:t>
      </w:r>
    </w:p>
    <w:p>
      <w:pPr>
        <w:spacing w:after="0" w:line="240"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231F20"/>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$ 13.5 million and other offering costs of $0.2 million. Additionally, in connection with this public offering, in July 2023, the underwriters fully exercised their option to purchase 450,000 additional shares of the Company’s common stock at a public offering price of $ 75.00 per share. The net proceeds from the exercise of the option were $31.7 million, net of underwriting discounts and commissions of $2.0 million and other minimal offering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Blackstone Securities Purchase Agreement</w:t>
      </w:r>
    </w:p>
    <w:p>
      <w:pPr>
        <w:spacing w:after="0" w:line="244"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231F20"/>
        </w:rPr>
        <w:t>In May 2025, the Company entered into a securities purchase agreement with Blackstone, and its affiliates, for the private placement (the “Private Placement”) of an aggregate of 140,000 shares of the Company’s common stock, at a purchase price of $107.14 per share. Gross proceeds from the Private Placement were approximately $ 15.0 million. The closing of the Private Placement occurred contemporaneously with the closing of the Blackstone Loan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Shelf Registration Statement</w:t>
      </w:r>
    </w:p>
    <w:p>
      <w:pPr>
        <w:spacing w:after="0" w:line="244" w:lineRule="exact"/>
        <w:rPr>
          <w:sz w:val="20"/>
          <w:szCs w:val="20"/>
          <w:color w:val="auto"/>
        </w:rPr>
      </w:pPr>
    </w:p>
    <w:p>
      <w:pPr>
        <w:ind w:right="540" w:firstLine="720"/>
        <w:spacing w:after="0" w:line="252" w:lineRule="auto"/>
        <w:rPr>
          <w:sz w:val="20"/>
          <w:szCs w:val="20"/>
          <w:color w:val="auto"/>
        </w:rPr>
      </w:pPr>
      <w:r>
        <w:rPr>
          <w:rFonts w:ascii="Times New Roman" w:cs="Times New Roman" w:eastAsia="Times New Roman" w:hAnsi="Times New Roman"/>
          <w:sz w:val="20"/>
          <w:szCs w:val="20"/>
          <w:color w:val="231F20"/>
        </w:rPr>
        <w:t>On November 3, 2025, the Company filed an automatic shelf registration statement (the “2025 Shelf Registration Statement”) with the SEC for the issuance of common stock, preferred stock, warrants, rights, debt securities and units. It became effective upon filing with the SEC and is currently the Company’s only active shelf registration.</w:t>
      </w:r>
    </w:p>
    <w:p>
      <w:pPr>
        <w:spacing w:after="0" w:line="194"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231F20"/>
        </w:rPr>
        <w:t>Under SEC rules, the 2025 Shelf Registration Statement allows for the potential future offer and sale by the Company, from time to time, in one or more public offerings of an unlimited amount of the Company’s common stock, preferred stock, debt securities, and units at indeterminate prices. At the time any of the securities covered by the 2025 Shelf Registration Statement are offered for sale, a prospectus supplement will be prepared and filed with the SEC containing specific information about the terms of any such offering.</w:t>
      </w:r>
    </w:p>
    <w:p>
      <w:pPr>
        <w:sectPr>
          <w:pgSz w:w="12240" w:h="15840" w:orient="portrait"/>
          <w:cols w:equalWidth="0" w:num="1">
            <w:col w:w="9700"/>
          </w:cols>
          <w:pgMar w:left="1260" w:top="1247"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F-28</w:t>
      </w:r>
    </w:p>
    <w:p>
      <w:pPr>
        <w:sectPr>
          <w:pgSz w:w="12240" w:h="15840" w:orient="portrait"/>
          <w:cols w:equalWidth="0" w:num="1">
            <w:col w:w="9700"/>
          </w:cols>
          <w:pgMar w:left="1260" w:top="1247" w:right="1280" w:bottom="186"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b w:val="1"/>
          <w:bCs w:val="1"/>
          <w:color w:val="231F20"/>
        </w:rPr>
        <w:t>Equity Incentive Plan</w:t>
      </w:r>
    </w:p>
    <w:p>
      <w:pPr>
        <w:spacing w:after="0" w:line="244"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In October 2015, the Board adopted the 2015 Omnibus Incentive Compensation Plan (the “2015 Plan”) and the Company’s stockholders approved the 2015 Plan in November 2015. In April 2025, the Board adopted the Company’s 2025 Long-Term Incentive Plan (“2025 Plan”) and the Company’s stockholders approved the 2025 Plan in June 2025. The Company will make all future equity awards from the 2025 Plan and the Company does not intend to grant any future equity awards from the 2015 Plan. As of December 31, 2025, there were 2,560,212 shares available for future grant under the 2025 Plan.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Stock Options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sets forth stock option activity as of December 31,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144"/>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120" w:type="dxa"/>
            <w:vAlign w:val="bottom"/>
          </w:tcPr>
          <w:p>
            <w:pPr>
              <w:spacing w:after="0"/>
              <w:rPr>
                <w:sz w:val="16"/>
                <w:szCs w:val="16"/>
                <w:color w:val="auto"/>
              </w:rPr>
            </w:pPr>
          </w:p>
        </w:tc>
        <w:tc>
          <w:tcPr>
            <w:tcW w:w="11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112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144"/>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120" w:type="dxa"/>
            <w:vAlign w:val="bottom"/>
          </w:tcPr>
          <w:p>
            <w:pPr>
              <w:spacing w:after="0"/>
              <w:rPr>
                <w:sz w:val="16"/>
                <w:szCs w:val="16"/>
                <w:color w:val="auto"/>
              </w:rPr>
            </w:pPr>
          </w:p>
        </w:tc>
        <w:tc>
          <w:tcPr>
            <w:tcW w:w="114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231F20"/>
              </w:rPr>
              <w:t>intrinsic</w:t>
            </w:r>
          </w:p>
        </w:tc>
        <w:tc>
          <w:tcPr>
            <w:tcW w:w="0" w:type="dxa"/>
            <w:vAlign w:val="bottom"/>
          </w:tcPr>
          <w:p>
            <w:pPr>
              <w:spacing w:after="0"/>
              <w:rPr>
                <w:sz w:val="1"/>
                <w:szCs w:val="1"/>
                <w:color w:val="auto"/>
              </w:rPr>
            </w:pPr>
          </w:p>
        </w:tc>
      </w:tr>
      <w:tr>
        <w:trPr>
          <w:trHeight w:val="203"/>
        </w:trPr>
        <w:tc>
          <w:tcPr>
            <w:tcW w:w="4880" w:type="dxa"/>
            <w:vAlign w:val="bottom"/>
            <w:tcBorders>
              <w:bottom w:val="single" w:sz="8" w:color="EBECEC"/>
            </w:tcBorders>
          </w:tcPr>
          <w:p>
            <w:pPr>
              <w:spacing w:after="0"/>
              <w:rPr>
                <w:sz w:val="17"/>
                <w:szCs w:val="17"/>
                <w:color w:val="auto"/>
              </w:rPr>
            </w:pPr>
          </w:p>
        </w:tc>
        <w:tc>
          <w:tcPr>
            <w:tcW w:w="1120" w:type="dxa"/>
            <w:vAlign w:val="bottom"/>
            <w:tcBorders>
              <w:bottom w:val="single" w:sz="8" w:color="231F20"/>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231F20"/>
              </w:rPr>
              <w:t>of shares</w:t>
            </w:r>
          </w:p>
        </w:tc>
        <w:tc>
          <w:tcPr>
            <w:tcW w:w="120" w:type="dxa"/>
            <w:vAlign w:val="bottom"/>
            <w:tcBorders>
              <w:bottom w:val="single" w:sz="8" w:color="EBECEC"/>
            </w:tcBorders>
          </w:tcPr>
          <w:p>
            <w:pPr>
              <w:spacing w:after="0"/>
              <w:rPr>
                <w:sz w:val="17"/>
                <w:szCs w:val="17"/>
                <w:color w:val="auto"/>
              </w:rPr>
            </w:pPr>
          </w:p>
        </w:tc>
        <w:tc>
          <w:tcPr>
            <w:tcW w:w="1120" w:type="dxa"/>
            <w:vAlign w:val="bottom"/>
            <w:tcBorders>
              <w:bottom w:val="single" w:sz="8" w:color="231F20"/>
            </w:tcBorders>
            <w:gridSpan w:val="2"/>
          </w:tcPr>
          <w:p>
            <w:pPr>
              <w:jc w:val="center"/>
              <w:ind w:right="24"/>
              <w:spacing w:after="0"/>
              <w:rPr>
                <w:sz w:val="20"/>
                <w:szCs w:val="20"/>
                <w:color w:val="auto"/>
              </w:rPr>
            </w:pPr>
            <w:r>
              <w:rPr>
                <w:rFonts w:ascii="Times New Roman" w:cs="Times New Roman" w:eastAsia="Times New Roman" w:hAnsi="Times New Roman"/>
                <w:sz w:val="16"/>
                <w:szCs w:val="16"/>
                <w:b w:val="1"/>
                <w:bCs w:val="1"/>
                <w:color w:val="231F20"/>
                <w:w w:val="99"/>
              </w:rPr>
              <w:t>exercise price</w:t>
            </w:r>
          </w:p>
        </w:tc>
        <w:tc>
          <w:tcPr>
            <w:tcW w:w="120" w:type="dxa"/>
            <w:vAlign w:val="bottom"/>
            <w:tcBorders>
              <w:bottom w:val="single" w:sz="8" w:color="EBECEC"/>
            </w:tcBorders>
          </w:tcPr>
          <w:p>
            <w:pPr>
              <w:spacing w:after="0"/>
              <w:rPr>
                <w:sz w:val="17"/>
                <w:szCs w:val="17"/>
                <w:color w:val="auto"/>
              </w:rPr>
            </w:pPr>
          </w:p>
        </w:tc>
        <w:tc>
          <w:tcPr>
            <w:tcW w:w="1140" w:type="dxa"/>
            <w:vAlign w:val="bottom"/>
            <w:tcBorders>
              <w:bottom w:val="single" w:sz="8" w:color="231F20"/>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231F20"/>
                <w:w w:val="99"/>
              </w:rPr>
              <w:t>term (years)</w:t>
            </w:r>
          </w:p>
        </w:tc>
        <w:tc>
          <w:tcPr>
            <w:tcW w:w="120" w:type="dxa"/>
            <w:vAlign w:val="bottom"/>
            <w:tcBorders>
              <w:bottom w:val="single" w:sz="8" w:color="EBEC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center"/>
              <w:ind w:right="130"/>
              <w:spacing w:after="0"/>
              <w:rPr>
                <w:sz w:val="20"/>
                <w:szCs w:val="20"/>
                <w:color w:val="auto"/>
              </w:rPr>
            </w:pPr>
            <w:r>
              <w:rPr>
                <w:rFonts w:ascii="Times New Roman" w:cs="Times New Roman" w:eastAsia="Times New Roman" w:hAnsi="Times New Roman"/>
                <w:sz w:val="16"/>
                <w:szCs w:val="16"/>
                <w:b w:val="1"/>
                <w:bCs w:val="1"/>
                <w:color w:val="231F20"/>
                <w:w w:val="98"/>
              </w:rPr>
              <w:t>value</w:t>
            </w:r>
          </w:p>
        </w:tc>
        <w:tc>
          <w:tcPr>
            <w:tcW w:w="0" w:type="dxa"/>
            <w:vAlign w:val="bottom"/>
          </w:tcPr>
          <w:p>
            <w:pPr>
              <w:spacing w:after="0"/>
              <w:rPr>
                <w:sz w:val="1"/>
                <w:szCs w:val="1"/>
                <w:color w:val="auto"/>
              </w:rPr>
            </w:pPr>
          </w:p>
        </w:tc>
      </w:tr>
      <w:tr>
        <w:trPr>
          <w:trHeight w:val="239"/>
        </w:trPr>
        <w:tc>
          <w:tcPr>
            <w:tcW w:w="488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Outstanding at December 31, 2024</w:t>
            </w:r>
          </w:p>
        </w:tc>
        <w:tc>
          <w:tcPr>
            <w:tcW w:w="1120" w:type="dxa"/>
            <w:vAlign w:val="bottom"/>
            <w:shd w:val="clear" w:color="auto" w:fill="EBECEC"/>
          </w:tcPr>
          <w:p>
            <w:pPr>
              <w:jc w:val="right"/>
              <w:ind w:right="4"/>
              <w:spacing w:after="0"/>
              <w:rPr>
                <w:sz w:val="20"/>
                <w:szCs w:val="20"/>
                <w:color w:val="auto"/>
              </w:rPr>
            </w:pPr>
            <w:r>
              <w:rPr>
                <w:rFonts w:ascii="Times New Roman" w:cs="Times New Roman" w:eastAsia="Times New Roman" w:hAnsi="Times New Roman"/>
                <w:sz w:val="20"/>
                <w:szCs w:val="20"/>
                <w:color w:val="231F20"/>
              </w:rPr>
              <w:t>8,439,121</w:t>
            </w:r>
          </w:p>
        </w:tc>
        <w:tc>
          <w:tcPr>
            <w:tcW w:w="120" w:type="dxa"/>
            <w:vAlign w:val="bottom"/>
            <w:shd w:val="clear" w:color="auto" w:fill="EBECEC"/>
          </w:tcPr>
          <w:p>
            <w:pPr>
              <w:spacing w:after="0"/>
              <w:rPr>
                <w:sz w:val="20"/>
                <w:szCs w:val="20"/>
                <w:color w:val="auto"/>
              </w:rPr>
            </w:pPr>
          </w:p>
        </w:tc>
        <w:tc>
          <w:tcPr>
            <w:tcW w:w="1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BECEC"/>
          </w:tcPr>
          <w:p>
            <w:pPr>
              <w:jc w:val="right"/>
              <w:ind w:right="4"/>
              <w:spacing w:after="0"/>
              <w:rPr>
                <w:sz w:val="20"/>
                <w:szCs w:val="20"/>
                <w:color w:val="auto"/>
              </w:rPr>
            </w:pPr>
            <w:r>
              <w:rPr>
                <w:rFonts w:ascii="Times New Roman" w:cs="Times New Roman" w:eastAsia="Times New Roman" w:hAnsi="Times New Roman"/>
                <w:sz w:val="20"/>
                <w:szCs w:val="20"/>
                <w:color w:val="231F20"/>
              </w:rPr>
              <w:t>46.72</w:t>
            </w:r>
          </w:p>
        </w:tc>
        <w:tc>
          <w:tcPr>
            <w:tcW w:w="120" w:type="dxa"/>
            <w:vAlign w:val="bottom"/>
            <w:shd w:val="clear" w:color="auto" w:fill="EBECEC"/>
          </w:tcPr>
          <w:p>
            <w:pPr>
              <w:spacing w:after="0"/>
              <w:rPr>
                <w:sz w:val="20"/>
                <w:szCs w:val="20"/>
                <w:color w:val="auto"/>
              </w:rPr>
            </w:pPr>
          </w:p>
        </w:tc>
        <w:tc>
          <w:tcPr>
            <w:tcW w:w="114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980" w:type="dxa"/>
            <w:vAlign w:val="bottom"/>
            <w:shd w:val="clear" w:color="auto" w:fill="EBEC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Granted</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390,395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125.20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8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Exercised</w:t>
            </w:r>
          </w:p>
        </w:tc>
        <w:tc>
          <w:tcPr>
            <w:tcW w:w="11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(1,498,360)</w:t>
            </w:r>
          </w:p>
        </w:tc>
        <w:tc>
          <w:tcPr>
            <w:tcW w:w="120" w:type="dxa"/>
            <w:vAlign w:val="bottom"/>
            <w:shd w:val="clear" w:color="auto" w:fill="EBECEC"/>
          </w:tcPr>
          <w:p>
            <w:pPr>
              <w:spacing w:after="0"/>
              <w:rPr>
                <w:sz w:val="21"/>
                <w:szCs w:val="21"/>
                <w:color w:val="auto"/>
              </w:rPr>
            </w:pPr>
          </w:p>
        </w:tc>
        <w:tc>
          <w:tcPr>
            <w:tcW w:w="140" w:type="dxa"/>
            <w:vAlign w:val="bottom"/>
            <w:shd w:val="clear" w:color="auto" w:fill="EBECEC"/>
          </w:tcPr>
          <w:p>
            <w:pPr>
              <w:spacing w:after="0"/>
              <w:rPr>
                <w:sz w:val="21"/>
                <w:szCs w:val="21"/>
                <w:color w:val="auto"/>
              </w:rPr>
            </w:pPr>
          </w:p>
        </w:tc>
        <w:tc>
          <w:tcPr>
            <w:tcW w:w="980" w:type="dxa"/>
            <w:vAlign w:val="bottom"/>
            <w:shd w:val="clear" w:color="auto" w:fill="EBECEC"/>
          </w:tcPr>
          <w:p>
            <w:pPr>
              <w:jc w:val="right"/>
              <w:ind w:right="4"/>
              <w:spacing w:after="0"/>
              <w:rPr>
                <w:sz w:val="20"/>
                <w:szCs w:val="20"/>
                <w:color w:val="auto"/>
              </w:rPr>
            </w:pPr>
            <w:r>
              <w:rPr>
                <w:rFonts w:ascii="Times New Roman" w:cs="Times New Roman" w:eastAsia="Times New Roman" w:hAnsi="Times New Roman"/>
                <w:sz w:val="20"/>
                <w:szCs w:val="20"/>
                <w:color w:val="231F20"/>
              </w:rPr>
              <w:t>37.40</w:t>
            </w:r>
          </w:p>
        </w:tc>
        <w:tc>
          <w:tcPr>
            <w:tcW w:w="120" w:type="dxa"/>
            <w:vAlign w:val="bottom"/>
            <w:shd w:val="clear" w:color="auto" w:fill="EBECEC"/>
          </w:tcPr>
          <w:p>
            <w:pPr>
              <w:spacing w:after="0"/>
              <w:rPr>
                <w:sz w:val="21"/>
                <w:szCs w:val="21"/>
                <w:color w:val="auto"/>
              </w:rPr>
            </w:pPr>
          </w:p>
        </w:tc>
        <w:tc>
          <w:tcPr>
            <w:tcW w:w="114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120" w:type="dxa"/>
            <w:vAlign w:val="bottom"/>
            <w:shd w:val="clear" w:color="auto" w:fill="EBECEC"/>
          </w:tcPr>
          <w:p>
            <w:pPr>
              <w:spacing w:after="0"/>
              <w:rPr>
                <w:sz w:val="21"/>
                <w:szCs w:val="21"/>
                <w:color w:val="auto"/>
              </w:rPr>
            </w:pPr>
          </w:p>
        </w:tc>
        <w:tc>
          <w:tcPr>
            <w:tcW w:w="98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Forfeited/Canceled</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(296,878)</w:t>
            </w:r>
          </w:p>
        </w:tc>
        <w:tc>
          <w:tcPr>
            <w:tcW w:w="120" w:type="dxa"/>
            <w:vAlign w:val="bottom"/>
            <w:tcBorders>
              <w:bottom w:val="single" w:sz="8" w:color="EBECEC"/>
            </w:tcBorders>
          </w:tcPr>
          <w:p>
            <w:pPr>
              <w:spacing w:after="0"/>
              <w:rPr>
                <w:sz w:val="21"/>
                <w:szCs w:val="21"/>
                <w:color w:val="auto"/>
              </w:rPr>
            </w:pPr>
          </w:p>
        </w:tc>
        <w:tc>
          <w:tcPr>
            <w:tcW w:w="140" w:type="dxa"/>
            <w:vAlign w:val="bottom"/>
            <w:tcBorders>
              <w:bottom w:val="single" w:sz="8" w:color="EBECEC"/>
            </w:tcBorders>
          </w:tcPr>
          <w:p>
            <w:pPr>
              <w:spacing w:after="0"/>
              <w:rPr>
                <w:sz w:val="21"/>
                <w:szCs w:val="21"/>
                <w:color w:val="auto"/>
              </w:rPr>
            </w:pPr>
          </w:p>
        </w:tc>
        <w:tc>
          <w:tcPr>
            <w:tcW w:w="980" w:type="dxa"/>
            <w:vAlign w:val="bottom"/>
            <w:tcBorders>
              <w:bottom w:val="single" w:sz="8" w:color="EBECEC"/>
            </w:tcBorders>
          </w:tcPr>
          <w:p>
            <w:pPr>
              <w:jc w:val="right"/>
              <w:ind w:right="4"/>
              <w:spacing w:after="0"/>
              <w:rPr>
                <w:sz w:val="20"/>
                <w:szCs w:val="20"/>
                <w:color w:val="auto"/>
              </w:rPr>
            </w:pPr>
            <w:r>
              <w:rPr>
                <w:rFonts w:ascii="Times New Roman" w:cs="Times New Roman" w:eastAsia="Times New Roman" w:hAnsi="Times New Roman"/>
                <w:sz w:val="20"/>
                <w:szCs w:val="20"/>
                <w:color w:val="231F20"/>
              </w:rPr>
              <w:t>72.49</w:t>
            </w:r>
          </w:p>
        </w:tc>
        <w:tc>
          <w:tcPr>
            <w:tcW w:w="120" w:type="dxa"/>
            <w:vAlign w:val="bottom"/>
            <w:tcBorders>
              <w:bottom w:val="single" w:sz="8" w:color="EBECEC"/>
            </w:tcBorders>
          </w:tcPr>
          <w:p>
            <w:pPr>
              <w:spacing w:after="0"/>
              <w:rPr>
                <w:sz w:val="21"/>
                <w:szCs w:val="21"/>
                <w:color w:val="auto"/>
              </w:rPr>
            </w:pPr>
          </w:p>
        </w:tc>
        <w:tc>
          <w:tcPr>
            <w:tcW w:w="1140" w:type="dxa"/>
            <w:vAlign w:val="bottom"/>
            <w:tcBorders>
              <w:bottom w:val="single" w:sz="8" w:color="EBECEC"/>
            </w:tcBorders>
          </w:tcPr>
          <w:p>
            <w:pPr>
              <w:spacing w:after="0"/>
              <w:rPr>
                <w:sz w:val="21"/>
                <w:szCs w:val="21"/>
                <w:color w:val="auto"/>
              </w:rPr>
            </w:pPr>
          </w:p>
        </w:tc>
        <w:tc>
          <w:tcPr>
            <w:tcW w:w="120" w:type="dxa"/>
            <w:vAlign w:val="bottom"/>
            <w:tcBorders>
              <w:bottom w:val="single" w:sz="8" w:color="EBECEC"/>
            </w:tcBorders>
          </w:tcPr>
          <w:p>
            <w:pPr>
              <w:spacing w:after="0"/>
              <w:rPr>
                <w:sz w:val="21"/>
                <w:szCs w:val="21"/>
                <w:color w:val="auto"/>
              </w:rPr>
            </w:pPr>
          </w:p>
        </w:tc>
        <w:tc>
          <w:tcPr>
            <w:tcW w:w="120" w:type="dxa"/>
            <w:vAlign w:val="bottom"/>
            <w:tcBorders>
              <w:bottom w:val="single" w:sz="8" w:color="EBECEC"/>
            </w:tcBorders>
          </w:tcPr>
          <w:p>
            <w:pPr>
              <w:spacing w:after="0"/>
              <w:rPr>
                <w:sz w:val="21"/>
                <w:szCs w:val="21"/>
                <w:color w:val="auto"/>
              </w:rPr>
            </w:pPr>
          </w:p>
        </w:tc>
        <w:tc>
          <w:tcPr>
            <w:tcW w:w="980" w:type="dxa"/>
            <w:vAlign w:val="bottom"/>
            <w:tcBorders>
              <w:bottom w:val="single" w:sz="8" w:color="EBECEC"/>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88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Outstanding at December 31, 2025</w:t>
            </w:r>
          </w:p>
        </w:tc>
        <w:tc>
          <w:tcPr>
            <w:tcW w:w="1120" w:type="dxa"/>
            <w:vAlign w:val="bottom"/>
            <w:shd w:val="clear" w:color="auto" w:fill="EBECEC"/>
          </w:tcPr>
          <w:p>
            <w:pPr>
              <w:jc w:val="right"/>
              <w:ind w:right="4"/>
              <w:spacing w:after="0"/>
              <w:rPr>
                <w:sz w:val="20"/>
                <w:szCs w:val="20"/>
                <w:color w:val="auto"/>
              </w:rPr>
            </w:pPr>
            <w:r>
              <w:rPr>
                <w:rFonts w:ascii="Times New Roman" w:cs="Times New Roman" w:eastAsia="Times New Roman" w:hAnsi="Times New Roman"/>
                <w:sz w:val="20"/>
                <w:szCs w:val="20"/>
                <w:color w:val="231F20"/>
              </w:rPr>
              <w:t>7,034,278</w:t>
            </w:r>
          </w:p>
        </w:tc>
        <w:tc>
          <w:tcPr>
            <w:tcW w:w="26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BECEC"/>
          </w:tcPr>
          <w:p>
            <w:pPr>
              <w:jc w:val="right"/>
              <w:ind w:right="4"/>
              <w:spacing w:after="0"/>
              <w:rPr>
                <w:sz w:val="20"/>
                <w:szCs w:val="20"/>
                <w:color w:val="auto"/>
              </w:rPr>
            </w:pPr>
            <w:r>
              <w:rPr>
                <w:rFonts w:ascii="Times New Roman" w:cs="Times New Roman" w:eastAsia="Times New Roman" w:hAnsi="Times New Roman"/>
                <w:sz w:val="20"/>
                <w:szCs w:val="20"/>
                <w:color w:val="231F20"/>
              </w:rPr>
              <w:t>51.98</w:t>
            </w:r>
          </w:p>
        </w:tc>
        <w:tc>
          <w:tcPr>
            <w:tcW w:w="1260" w:type="dxa"/>
            <w:vAlign w:val="bottom"/>
            <w:gridSpan w:val="2"/>
            <w:shd w:val="clear" w:color="auto" w:fill="EBECEC"/>
          </w:tcPr>
          <w:p>
            <w:pPr>
              <w:jc w:val="right"/>
              <w:ind w:right="13"/>
              <w:spacing w:after="0"/>
              <w:rPr>
                <w:sz w:val="20"/>
                <w:szCs w:val="20"/>
                <w:color w:val="auto"/>
              </w:rPr>
            </w:pPr>
            <w:r>
              <w:rPr>
                <w:rFonts w:ascii="Times New Roman" w:cs="Times New Roman" w:eastAsia="Times New Roman" w:hAnsi="Times New Roman"/>
                <w:sz w:val="20"/>
                <w:szCs w:val="20"/>
                <w:color w:val="231F20"/>
              </w:rPr>
              <w:t>5.9</w:t>
            </w:r>
          </w:p>
        </w:tc>
        <w:tc>
          <w:tcPr>
            <w:tcW w:w="24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919,114</w:t>
            </w:r>
          </w:p>
        </w:tc>
        <w:tc>
          <w:tcPr>
            <w:tcW w:w="0" w:type="dxa"/>
            <w:vAlign w:val="bottom"/>
          </w:tcPr>
          <w:p>
            <w:pPr>
              <w:spacing w:after="0"/>
              <w:rPr>
                <w:sz w:val="1"/>
                <w:szCs w:val="1"/>
                <w:color w:val="auto"/>
              </w:rPr>
            </w:pPr>
          </w:p>
        </w:tc>
      </w:tr>
      <w:tr>
        <w:trPr>
          <w:trHeight w:val="20"/>
        </w:trPr>
        <w:tc>
          <w:tcPr>
            <w:tcW w:w="4880" w:type="dxa"/>
            <w:vAlign w:val="bottom"/>
            <w:tcBorders>
              <w:top w:val="single" w:sz="8" w:color="EBECEC"/>
              <w:bottom w:val="single" w:sz="8" w:color="EBECEC"/>
            </w:tcBorders>
            <w:vMerge w:val="restart"/>
          </w:tcPr>
          <w:p>
            <w:pPr>
              <w:spacing w:after="0"/>
              <w:rPr>
                <w:sz w:val="20"/>
                <w:szCs w:val="20"/>
                <w:color w:val="auto"/>
              </w:rPr>
            </w:pPr>
            <w:r>
              <w:rPr>
                <w:rFonts w:ascii="Times New Roman" w:cs="Times New Roman" w:eastAsia="Times New Roman" w:hAnsi="Times New Roman"/>
                <w:sz w:val="20"/>
                <w:szCs w:val="20"/>
                <w:color w:val="231F20"/>
              </w:rPr>
              <w:t>Vested and expected to vest at December 31, 2025</w:t>
            </w: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EBECEC"/>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EBECEC"/>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EBECEC"/>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80" w:type="dxa"/>
            <w:vAlign w:val="bottom"/>
            <w:tcBorders>
              <w:bottom w:val="single" w:sz="8" w:color="EBECEC"/>
            </w:tcBorders>
            <w:vMerge w:val="continue"/>
          </w:tcPr>
          <w:p>
            <w:pPr>
              <w:spacing w:after="0"/>
              <w:rPr>
                <w:sz w:val="21"/>
                <w:szCs w:val="21"/>
                <w:color w:val="auto"/>
              </w:rPr>
            </w:pPr>
          </w:p>
        </w:tc>
        <w:tc>
          <w:tcPr>
            <w:tcW w:w="1120" w:type="dxa"/>
            <w:vAlign w:val="bottom"/>
            <w:tcBorders>
              <w:bottom w:val="single" w:sz="8" w:color="231F20"/>
            </w:tcBorders>
          </w:tcPr>
          <w:p>
            <w:pPr>
              <w:jc w:val="right"/>
              <w:ind w:right="4"/>
              <w:spacing w:after="0" w:line="209" w:lineRule="exact"/>
              <w:rPr>
                <w:sz w:val="20"/>
                <w:szCs w:val="20"/>
                <w:color w:val="auto"/>
              </w:rPr>
            </w:pPr>
            <w:r>
              <w:rPr>
                <w:rFonts w:ascii="Times New Roman" w:cs="Times New Roman" w:eastAsia="Times New Roman" w:hAnsi="Times New Roman"/>
                <w:sz w:val="20"/>
                <w:szCs w:val="20"/>
                <w:color w:val="231F20"/>
              </w:rPr>
              <w:t>7,034,278</w:t>
            </w:r>
          </w:p>
        </w:tc>
        <w:tc>
          <w:tcPr>
            <w:tcW w:w="120" w:type="dxa"/>
            <w:vAlign w:val="bottom"/>
            <w:tcBorders>
              <w:bottom w:val="single" w:sz="8" w:color="EBECEC"/>
            </w:tcBorders>
          </w:tcPr>
          <w:p>
            <w:pPr>
              <w:spacing w:after="0"/>
              <w:rPr>
                <w:sz w:val="21"/>
                <w:szCs w:val="21"/>
                <w:color w:val="auto"/>
              </w:rPr>
            </w:pPr>
          </w:p>
        </w:tc>
        <w:tc>
          <w:tcPr>
            <w:tcW w:w="14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ind w:right="4"/>
              <w:spacing w:after="0" w:line="209" w:lineRule="exact"/>
              <w:rPr>
                <w:sz w:val="20"/>
                <w:szCs w:val="20"/>
                <w:color w:val="auto"/>
              </w:rPr>
            </w:pPr>
            <w:r>
              <w:rPr>
                <w:rFonts w:ascii="Times New Roman" w:cs="Times New Roman" w:eastAsia="Times New Roman" w:hAnsi="Times New Roman"/>
                <w:sz w:val="20"/>
                <w:szCs w:val="20"/>
                <w:color w:val="231F20"/>
              </w:rPr>
              <w:t>51.98</w:t>
            </w:r>
          </w:p>
        </w:tc>
        <w:tc>
          <w:tcPr>
            <w:tcW w:w="120" w:type="dxa"/>
            <w:vAlign w:val="bottom"/>
            <w:tcBorders>
              <w:bottom w:val="single" w:sz="8" w:color="EBECEC"/>
            </w:tcBorders>
          </w:tcPr>
          <w:p>
            <w:pPr>
              <w:spacing w:after="0"/>
              <w:rPr>
                <w:sz w:val="21"/>
                <w:szCs w:val="21"/>
                <w:color w:val="auto"/>
              </w:rPr>
            </w:pPr>
          </w:p>
        </w:tc>
        <w:tc>
          <w:tcPr>
            <w:tcW w:w="1140" w:type="dxa"/>
            <w:vAlign w:val="bottom"/>
            <w:tcBorders>
              <w:bottom w:val="single" w:sz="8" w:color="231F20"/>
            </w:tcBorders>
          </w:tcPr>
          <w:p>
            <w:pPr>
              <w:jc w:val="right"/>
              <w:ind w:right="13"/>
              <w:spacing w:after="0" w:line="209" w:lineRule="exact"/>
              <w:rPr>
                <w:sz w:val="20"/>
                <w:szCs w:val="20"/>
                <w:color w:val="auto"/>
              </w:rPr>
            </w:pPr>
            <w:r>
              <w:rPr>
                <w:rFonts w:ascii="Times New Roman" w:cs="Times New Roman" w:eastAsia="Times New Roman" w:hAnsi="Times New Roman"/>
                <w:sz w:val="20"/>
                <w:szCs w:val="20"/>
                <w:color w:val="231F20"/>
              </w:rPr>
              <w:t>5.9</w:t>
            </w:r>
          </w:p>
        </w:tc>
        <w:tc>
          <w:tcPr>
            <w:tcW w:w="120" w:type="dxa"/>
            <w:vAlign w:val="bottom"/>
            <w:tcBorders>
              <w:bottom w:val="single" w:sz="8" w:color="EBECEC"/>
            </w:tcBorders>
          </w:tcPr>
          <w:p>
            <w:pPr>
              <w:spacing w:after="0"/>
              <w:rPr>
                <w:sz w:val="21"/>
                <w:szCs w:val="21"/>
                <w:color w:val="auto"/>
              </w:rPr>
            </w:pPr>
          </w:p>
        </w:tc>
        <w:tc>
          <w:tcPr>
            <w:tcW w:w="12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line="209" w:lineRule="exact"/>
              <w:rPr>
                <w:sz w:val="20"/>
                <w:szCs w:val="20"/>
                <w:color w:val="auto"/>
              </w:rPr>
            </w:pPr>
            <w:r>
              <w:rPr>
                <w:rFonts w:ascii="Times New Roman" w:cs="Times New Roman" w:eastAsia="Times New Roman" w:hAnsi="Times New Roman"/>
                <w:sz w:val="20"/>
                <w:szCs w:val="20"/>
                <w:color w:val="231F20"/>
              </w:rPr>
              <w:t>919,114</w:t>
            </w:r>
          </w:p>
        </w:tc>
        <w:tc>
          <w:tcPr>
            <w:tcW w:w="0" w:type="dxa"/>
            <w:vAlign w:val="bottom"/>
          </w:tcPr>
          <w:p>
            <w:pPr>
              <w:spacing w:after="0"/>
              <w:rPr>
                <w:sz w:val="1"/>
                <w:szCs w:val="1"/>
                <w:color w:val="auto"/>
              </w:rPr>
            </w:pPr>
          </w:p>
        </w:tc>
      </w:tr>
      <w:tr>
        <w:trPr>
          <w:trHeight w:val="249"/>
        </w:trPr>
        <w:tc>
          <w:tcPr>
            <w:tcW w:w="488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Exercisable at December 31, 2025</w:t>
            </w:r>
          </w:p>
        </w:tc>
        <w:tc>
          <w:tcPr>
            <w:tcW w:w="1120" w:type="dxa"/>
            <w:vAlign w:val="bottom"/>
            <w:tcBorders>
              <w:bottom w:val="single" w:sz="8" w:color="231F20"/>
            </w:tcBorders>
            <w:shd w:val="clear" w:color="auto" w:fill="EBECEC"/>
          </w:tcPr>
          <w:p>
            <w:pPr>
              <w:jc w:val="right"/>
              <w:ind w:right="4"/>
              <w:spacing w:after="0"/>
              <w:rPr>
                <w:sz w:val="20"/>
                <w:szCs w:val="20"/>
                <w:color w:val="auto"/>
              </w:rPr>
            </w:pPr>
            <w:r>
              <w:rPr>
                <w:rFonts w:ascii="Times New Roman" w:cs="Times New Roman" w:eastAsia="Times New Roman" w:hAnsi="Times New Roman"/>
                <w:sz w:val="20"/>
                <w:szCs w:val="20"/>
                <w:color w:val="231F20"/>
              </w:rPr>
              <w:t>5,310,522</w:t>
            </w:r>
          </w:p>
        </w:tc>
        <w:tc>
          <w:tcPr>
            <w:tcW w:w="120" w:type="dxa"/>
            <w:vAlign w:val="bottom"/>
            <w:tcBorders>
              <w:bottom w:val="single" w:sz="8" w:color="EBECEC"/>
            </w:tcBorders>
            <w:shd w:val="clear" w:color="auto" w:fill="EBECEC"/>
          </w:tcPr>
          <w:p>
            <w:pPr>
              <w:spacing w:after="0"/>
              <w:rPr>
                <w:sz w:val="21"/>
                <w:szCs w:val="21"/>
                <w:color w:val="auto"/>
              </w:rPr>
            </w:pPr>
          </w:p>
        </w:tc>
        <w:tc>
          <w:tcPr>
            <w:tcW w:w="14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EBECEC"/>
          </w:tcPr>
          <w:p>
            <w:pPr>
              <w:jc w:val="right"/>
              <w:ind w:right="4"/>
              <w:spacing w:after="0"/>
              <w:rPr>
                <w:sz w:val="20"/>
                <w:szCs w:val="20"/>
                <w:color w:val="auto"/>
              </w:rPr>
            </w:pPr>
            <w:r>
              <w:rPr>
                <w:rFonts w:ascii="Times New Roman" w:cs="Times New Roman" w:eastAsia="Times New Roman" w:hAnsi="Times New Roman"/>
                <w:sz w:val="20"/>
                <w:szCs w:val="20"/>
                <w:color w:val="231F20"/>
              </w:rPr>
              <w:t>42.30</w:t>
            </w:r>
          </w:p>
        </w:tc>
        <w:tc>
          <w:tcPr>
            <w:tcW w:w="120" w:type="dxa"/>
            <w:vAlign w:val="bottom"/>
            <w:tcBorders>
              <w:bottom w:val="single" w:sz="8" w:color="EBECEC"/>
            </w:tcBorders>
            <w:shd w:val="clear" w:color="auto" w:fill="EBECEC"/>
          </w:tcPr>
          <w:p>
            <w:pPr>
              <w:spacing w:after="0"/>
              <w:rPr>
                <w:sz w:val="21"/>
                <w:szCs w:val="21"/>
                <w:color w:val="auto"/>
              </w:rPr>
            </w:pPr>
          </w:p>
        </w:tc>
        <w:tc>
          <w:tcPr>
            <w:tcW w:w="1140" w:type="dxa"/>
            <w:vAlign w:val="bottom"/>
            <w:tcBorders>
              <w:bottom w:val="single" w:sz="8" w:color="231F20"/>
            </w:tcBorders>
            <w:shd w:val="clear" w:color="auto" w:fill="EBECEC"/>
          </w:tcPr>
          <w:p>
            <w:pPr>
              <w:jc w:val="right"/>
              <w:ind w:right="13"/>
              <w:spacing w:after="0"/>
              <w:rPr>
                <w:sz w:val="20"/>
                <w:szCs w:val="20"/>
                <w:color w:val="auto"/>
              </w:rPr>
            </w:pPr>
            <w:r>
              <w:rPr>
                <w:rFonts w:ascii="Times New Roman" w:cs="Times New Roman" w:eastAsia="Times New Roman" w:hAnsi="Times New Roman"/>
                <w:sz w:val="20"/>
                <w:szCs w:val="20"/>
                <w:color w:val="231F20"/>
              </w:rPr>
              <w:t>5.2</w:t>
            </w:r>
          </w:p>
        </w:tc>
        <w:tc>
          <w:tcPr>
            <w:tcW w:w="120" w:type="dxa"/>
            <w:vAlign w:val="bottom"/>
            <w:tcBorders>
              <w:bottom w:val="single" w:sz="8" w:color="EBECEC"/>
            </w:tcBorders>
            <w:shd w:val="clear" w:color="auto" w:fill="EBECEC"/>
          </w:tcPr>
          <w:p>
            <w:pPr>
              <w:spacing w:after="0"/>
              <w:rPr>
                <w:sz w:val="21"/>
                <w:szCs w:val="21"/>
                <w:color w:val="auto"/>
              </w:rPr>
            </w:pPr>
          </w:p>
        </w:tc>
        <w:tc>
          <w:tcPr>
            <w:tcW w:w="1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BECEC"/>
              </w:rPr>
              <w:t>$</w:t>
            </w:r>
          </w:p>
        </w:tc>
        <w:tc>
          <w:tcPr>
            <w:tcW w:w="9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745,283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option exercise history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relevant data used to determine the value of the stock option grants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Black-Scholes option valuation assumptions</w:t>
            </w: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7"/>
                <w:szCs w:val="17"/>
                <w:color w:val="auto"/>
              </w:rPr>
            </w:pPr>
          </w:p>
        </w:tc>
      </w:tr>
      <w:tr>
        <w:trPr>
          <w:trHeight w:val="239"/>
        </w:trPr>
        <w:tc>
          <w:tcPr>
            <w:tcW w:w="4860" w:type="dxa"/>
            <w:vAlign w:val="bottom"/>
            <w:tcBorders>
              <w:top w:val="single" w:sz="8" w:color="231F20"/>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Risk-free interest rates</w:t>
            </w:r>
          </w:p>
        </w:tc>
        <w:tc>
          <w:tcPr>
            <w:tcW w:w="120" w:type="dxa"/>
            <w:vAlign w:val="bottom"/>
            <w:tcBorders>
              <w:top w:val="single" w:sz="8" w:color="EBECEC"/>
            </w:tcBorders>
            <w:shd w:val="clear" w:color="auto" w:fill="EBECEC"/>
          </w:tcPr>
          <w:p>
            <w:pPr>
              <w:spacing w:after="0"/>
              <w:rPr>
                <w:sz w:val="20"/>
                <w:szCs w:val="20"/>
                <w:color w:val="auto"/>
              </w:rPr>
            </w:pPr>
          </w:p>
        </w:tc>
        <w:tc>
          <w:tcPr>
            <w:tcW w:w="142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3.65 - 4.61%</w:t>
            </w:r>
          </w:p>
        </w:tc>
        <w:tc>
          <w:tcPr>
            <w:tcW w:w="200" w:type="dxa"/>
            <w:vAlign w:val="bottom"/>
            <w:tcBorders>
              <w:top w:val="single" w:sz="8" w:color="EBECEC"/>
            </w:tcBorders>
            <w:shd w:val="clear" w:color="auto" w:fill="EBECEC"/>
          </w:tcPr>
          <w:p>
            <w:pPr>
              <w:spacing w:after="0"/>
              <w:rPr>
                <w:sz w:val="20"/>
                <w:szCs w:val="20"/>
                <w:color w:val="auto"/>
              </w:rPr>
            </w:pPr>
          </w:p>
        </w:tc>
        <w:tc>
          <w:tcPr>
            <w:tcW w:w="142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3.51 - 4.62%</w:t>
            </w:r>
          </w:p>
        </w:tc>
        <w:tc>
          <w:tcPr>
            <w:tcW w:w="220" w:type="dxa"/>
            <w:vAlign w:val="bottom"/>
            <w:tcBorders>
              <w:top w:val="single" w:sz="8" w:color="EBECEC"/>
            </w:tcBorders>
            <w:shd w:val="clear" w:color="auto" w:fill="EBECEC"/>
          </w:tcPr>
          <w:p>
            <w:pPr>
              <w:spacing w:after="0"/>
              <w:rPr>
                <w:sz w:val="20"/>
                <w:szCs w:val="20"/>
                <w:color w:val="auto"/>
              </w:rPr>
            </w:pPr>
          </w:p>
        </w:tc>
        <w:tc>
          <w:tcPr>
            <w:tcW w:w="140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3.34 - 4.88%</w:t>
            </w:r>
          </w:p>
        </w:tc>
        <w:tc>
          <w:tcPr>
            <w:tcW w:w="80" w:type="dxa"/>
            <w:vAlign w:val="bottom"/>
            <w:tcBorders>
              <w:top w:val="single" w:sz="8" w:color="EBECEC"/>
            </w:tcBorders>
            <w:shd w:val="clear" w:color="auto" w:fill="EBECEC"/>
          </w:tcPr>
          <w:p>
            <w:pPr>
              <w:spacing w:after="0"/>
              <w:rPr>
                <w:sz w:val="20"/>
                <w:szCs w:val="20"/>
                <w:color w:val="auto"/>
              </w:rPr>
            </w:pPr>
          </w:p>
        </w:tc>
      </w:tr>
      <w:tr>
        <w:trPr>
          <w:trHeight w:val="244"/>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231F20"/>
              </w:rPr>
              <w:t>Dividend yield</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r>
      <w:tr>
        <w:trPr>
          <w:trHeight w:val="244"/>
        </w:trPr>
        <w:tc>
          <w:tcPr>
            <w:tcW w:w="48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Volatility</w:t>
            </w:r>
          </w:p>
        </w:tc>
        <w:tc>
          <w:tcPr>
            <w:tcW w:w="154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75 - 90%</w:t>
            </w:r>
          </w:p>
        </w:tc>
        <w:tc>
          <w:tcPr>
            <w:tcW w:w="162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81 - 93%</w:t>
            </w:r>
          </w:p>
        </w:tc>
        <w:tc>
          <w:tcPr>
            <w:tcW w:w="162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93 - 99%</w:t>
            </w:r>
          </w:p>
        </w:tc>
        <w:tc>
          <w:tcPr>
            <w:tcW w:w="80" w:type="dxa"/>
            <w:vAlign w:val="bottom"/>
            <w:shd w:val="clear" w:color="auto" w:fill="EBECEC"/>
          </w:tcPr>
          <w:p>
            <w:pPr>
              <w:spacing w:after="0"/>
              <w:rPr>
                <w:sz w:val="21"/>
                <w:szCs w:val="21"/>
                <w:color w:val="auto"/>
              </w:rPr>
            </w:pPr>
          </w:p>
        </w:tc>
      </w:tr>
      <w:tr>
        <w:trPr>
          <w:trHeight w:val="266"/>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expected term</w:t>
            </w: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5.0 - 6.11 years</w:t>
            </w:r>
          </w:p>
        </w:tc>
        <w:tc>
          <w:tcPr>
            <w:tcW w:w="2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5.0 - 6.11 years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5.0 - 6.11 years</w:t>
            </w:r>
          </w:p>
        </w:tc>
        <w:tc>
          <w:tcPr>
            <w:tcW w:w="80" w:type="dxa"/>
            <w:vAlign w:val="bottom"/>
          </w:tcPr>
          <w:p>
            <w:pPr>
              <w:spacing w:after="0"/>
              <w:rPr>
                <w:sz w:val="23"/>
                <w:szCs w:val="23"/>
                <w:color w:val="auto"/>
              </w:rPr>
            </w:pPr>
          </w:p>
        </w:tc>
      </w:tr>
    </w:tbl>
    <w:p>
      <w:pPr>
        <w:spacing w:after="0" w:line="198"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231F20"/>
        </w:rPr>
        <w:t>The weighted average grant date fair value of options granted was $89.06, $64.88, and $53.07 per option for the years ended December 31, 2025, 2024 and 2023, respectively. As of December 31, 2025, there was $99.1 million of total unrecognized compensation cost related to unvested stock options which is expected to be recognized over a weighted average period of 1.9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Restricted Stock Units</w:t>
      </w:r>
    </w:p>
    <w:p>
      <w:pPr>
        <w:spacing w:after="0" w:line="244"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231F20"/>
        </w:rPr>
        <w:t>The fair value of the RSUs is recognized as an expense ratably over the vesting period of four years. As of December 31, 2025, total compensation cost not yet recognized related to nonvested RSUs was $71.4 million, which is expected to be recognized over a weighted-average period of 2.4 years. The intrinsic value of RSUs lapsed during the years ended December 31, 2025, 2024 and 2023 was $20.0 million, $10.3 million, and $4.9 million, respectively.</w:t>
      </w:r>
    </w:p>
    <w:p>
      <w:pPr>
        <w:sectPr>
          <w:pgSz w:w="12240" w:h="15840" w:orient="portrait"/>
          <w:cols w:equalWidth="0" w:num="1">
            <w:col w:w="9720"/>
          </w:cols>
          <w:pgMar w:left="1260" w:top="1243"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F-29</w:t>
      </w:r>
    </w:p>
    <w:p>
      <w:pPr>
        <w:sectPr>
          <w:pgSz w:w="12240" w:h="15840" w:orient="portrait"/>
          <w:cols w:equalWidth="0" w:num="1">
            <w:col w:w="9720"/>
          </w:cols>
          <w:pgMar w:left="1260" w:top="1243" w:right="1260" w:bottom="186" w:gutter="0" w:footer="0" w:header="0"/>
          <w:type w:val="continuous"/>
        </w:sectPr>
      </w:pPr>
    </w:p>
    <w:bookmarkStart w:id="160" w:name="page161"/>
    <w:bookmarkEnd w:id="160"/>
    <w:p>
      <w:pPr>
        <w:ind w:left="720"/>
        <w:spacing w:after="0"/>
        <w:rPr>
          <w:sz w:val="20"/>
          <w:szCs w:val="20"/>
          <w:color w:val="auto"/>
        </w:rPr>
      </w:pPr>
      <w:r>
        <w:rPr>
          <w:rFonts w:ascii="Times New Roman" w:cs="Times New Roman" w:eastAsia="Times New Roman" w:hAnsi="Times New Roman"/>
          <w:sz w:val="20"/>
          <w:szCs w:val="20"/>
          <w:color w:val="231F20"/>
        </w:rPr>
        <w:t>The following table sets forth the RSU activity for the year ended December 31,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231F20"/>
                <w:w w:val="97"/>
              </w:rPr>
              <w:t>Weighted</w:t>
            </w:r>
          </w:p>
        </w:tc>
        <w:tc>
          <w:tcPr>
            <w:tcW w:w="80" w:type="dxa"/>
            <w:vAlign w:val="bottom"/>
          </w:tcPr>
          <w:p>
            <w:pPr>
              <w:spacing w:after="0"/>
              <w:rPr>
                <w:sz w:val="16"/>
                <w:szCs w:val="16"/>
                <w:color w:val="auto"/>
              </w:rPr>
            </w:pPr>
          </w:p>
        </w:tc>
      </w:tr>
      <w:tr>
        <w:trPr>
          <w:trHeight w:val="184"/>
        </w:trPr>
        <w:tc>
          <w:tcPr>
            <w:tcW w:w="6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231F20"/>
                <w:w w:val="97"/>
              </w:rPr>
              <w:t>average</w:t>
            </w:r>
          </w:p>
        </w:tc>
        <w:tc>
          <w:tcPr>
            <w:tcW w:w="80" w:type="dxa"/>
            <w:vAlign w:val="bottom"/>
          </w:tcPr>
          <w:p>
            <w:pPr>
              <w:spacing w:after="0"/>
              <w:rPr>
                <w:sz w:val="16"/>
                <w:szCs w:val="16"/>
                <w:color w:val="auto"/>
              </w:rPr>
            </w:pPr>
          </w:p>
        </w:tc>
      </w:tr>
      <w:tr>
        <w:trPr>
          <w:trHeight w:val="184"/>
        </w:trPr>
        <w:tc>
          <w:tcPr>
            <w:tcW w:w="6580" w:type="dxa"/>
            <w:vAlign w:val="bottom"/>
          </w:tcPr>
          <w:p>
            <w:pPr>
              <w:spacing w:after="0"/>
              <w:rPr>
                <w:sz w:val="16"/>
                <w:szCs w:val="16"/>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220" w:type="dxa"/>
            <w:vAlign w:val="bottom"/>
          </w:tcPr>
          <w:p>
            <w:pPr>
              <w:spacing w:after="0"/>
              <w:rPr>
                <w:sz w:val="16"/>
                <w:szCs w:val="16"/>
                <w:color w:val="auto"/>
              </w:rPr>
            </w:pPr>
          </w:p>
        </w:tc>
        <w:tc>
          <w:tcPr>
            <w:tcW w:w="118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231F20"/>
              </w:rPr>
              <w:t>grant date</w:t>
            </w:r>
          </w:p>
        </w:tc>
        <w:tc>
          <w:tcPr>
            <w:tcW w:w="80" w:type="dxa"/>
            <w:vAlign w:val="bottom"/>
          </w:tcPr>
          <w:p>
            <w:pPr>
              <w:spacing w:after="0"/>
              <w:rPr>
                <w:sz w:val="16"/>
                <w:szCs w:val="16"/>
                <w:color w:val="auto"/>
              </w:rPr>
            </w:pPr>
          </w:p>
        </w:tc>
      </w:tr>
      <w:tr>
        <w:trPr>
          <w:trHeight w:val="203"/>
        </w:trPr>
        <w:tc>
          <w:tcPr>
            <w:tcW w:w="6580" w:type="dxa"/>
            <w:vAlign w:val="bottom"/>
          </w:tcPr>
          <w:p>
            <w:pPr>
              <w:spacing w:after="0"/>
              <w:rPr>
                <w:sz w:val="17"/>
                <w:szCs w:val="17"/>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231F20"/>
              </w:rPr>
              <w:t>of shares</w:t>
            </w:r>
          </w:p>
        </w:tc>
        <w:tc>
          <w:tcPr>
            <w:tcW w:w="220" w:type="dxa"/>
            <w:vAlign w:val="bottom"/>
          </w:tcPr>
          <w:p>
            <w:pPr>
              <w:spacing w:after="0"/>
              <w:rPr>
                <w:sz w:val="17"/>
                <w:szCs w:val="17"/>
                <w:color w:val="auto"/>
              </w:rPr>
            </w:pPr>
          </w:p>
        </w:tc>
        <w:tc>
          <w:tcPr>
            <w:tcW w:w="118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231F20"/>
                <w:w w:val="97"/>
              </w:rPr>
              <w:t>fair value</w:t>
            </w:r>
          </w:p>
        </w:tc>
        <w:tc>
          <w:tcPr>
            <w:tcW w:w="80" w:type="dxa"/>
            <w:vAlign w:val="bottom"/>
          </w:tcPr>
          <w:p>
            <w:pPr>
              <w:spacing w:after="0"/>
              <w:rPr>
                <w:sz w:val="17"/>
                <w:szCs w:val="17"/>
                <w:color w:val="auto"/>
              </w:rPr>
            </w:pPr>
          </w:p>
        </w:tc>
      </w:tr>
      <w:tr>
        <w:trPr>
          <w:trHeight w:val="239"/>
        </w:trPr>
        <w:tc>
          <w:tcPr>
            <w:tcW w:w="6580" w:type="dxa"/>
            <w:vAlign w:val="bottom"/>
            <w:tcBorders>
              <w:top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Nonvested at December 31, 2024</w:t>
            </w:r>
          </w:p>
        </w:tc>
        <w:tc>
          <w:tcPr>
            <w:tcW w:w="142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906,944</w:t>
            </w:r>
          </w:p>
        </w:tc>
        <w:tc>
          <w:tcPr>
            <w:tcW w:w="240" w:type="dxa"/>
            <w:vAlign w:val="bottom"/>
            <w:tcBorders>
              <w:top w:val="single" w:sz="8" w:color="EBECEC"/>
            </w:tcBorders>
            <w:shd w:val="clear" w:color="auto" w:fill="EBECEC"/>
          </w:tcPr>
          <w:p>
            <w:pPr>
              <w:spacing w:after="0"/>
              <w:rPr>
                <w:sz w:val="20"/>
                <w:szCs w:val="20"/>
                <w:color w:val="auto"/>
              </w:rPr>
            </w:pPr>
          </w:p>
        </w:tc>
        <w:tc>
          <w:tcPr>
            <w:tcW w:w="220" w:type="dxa"/>
            <w:vAlign w:val="bottom"/>
            <w:tcBorders>
              <w:top w:val="single" w:sz="8" w:color="231F20"/>
            </w:tcBorders>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59.48</w:t>
            </w:r>
          </w:p>
        </w:tc>
        <w:tc>
          <w:tcPr>
            <w:tcW w:w="80" w:type="dxa"/>
            <w:vAlign w:val="bottom"/>
            <w:tcBorders>
              <w:top w:val="single" w:sz="8" w:color="EBECEC"/>
            </w:tcBorders>
            <w:shd w:val="clear" w:color="auto" w:fill="EBECEC"/>
          </w:tcPr>
          <w:p>
            <w:pPr>
              <w:spacing w:after="0"/>
              <w:rPr>
                <w:sz w:val="20"/>
                <w:szCs w:val="20"/>
                <w:color w:val="auto"/>
              </w:rPr>
            </w:pPr>
          </w:p>
        </w:tc>
      </w:tr>
      <w:tr>
        <w:trPr>
          <w:trHeight w:val="244"/>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512,767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122.68</w:t>
            </w:r>
          </w:p>
        </w:tc>
        <w:tc>
          <w:tcPr>
            <w:tcW w:w="80" w:type="dxa"/>
            <w:vAlign w:val="bottom"/>
          </w:tcPr>
          <w:p>
            <w:pPr>
              <w:spacing w:after="0"/>
              <w:rPr>
                <w:sz w:val="21"/>
                <w:szCs w:val="21"/>
                <w:color w:val="auto"/>
              </w:rPr>
            </w:pPr>
          </w:p>
        </w:tc>
      </w:tr>
      <w:tr>
        <w:trPr>
          <w:trHeight w:val="244"/>
        </w:trPr>
        <w:tc>
          <w:tcPr>
            <w:tcW w:w="658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Vested</w:t>
            </w:r>
          </w:p>
        </w:tc>
        <w:tc>
          <w:tcPr>
            <w:tcW w:w="1660" w:type="dxa"/>
            <w:vAlign w:val="bottom"/>
            <w:gridSpan w:val="2"/>
            <w:shd w:val="clear" w:color="auto" w:fill="EBECEC"/>
          </w:tcPr>
          <w:p>
            <w:pPr>
              <w:jc w:val="right"/>
              <w:ind w:right="180"/>
              <w:spacing w:after="0"/>
              <w:rPr>
                <w:sz w:val="20"/>
                <w:szCs w:val="20"/>
                <w:color w:val="auto"/>
              </w:rPr>
            </w:pPr>
            <w:r>
              <w:rPr>
                <w:rFonts w:ascii="Times New Roman" w:cs="Times New Roman" w:eastAsia="Times New Roman" w:hAnsi="Times New Roman"/>
                <w:sz w:val="20"/>
                <w:szCs w:val="20"/>
                <w:color w:val="231F20"/>
              </w:rPr>
              <w:t>(321,470)</w:t>
            </w:r>
          </w:p>
        </w:tc>
        <w:tc>
          <w:tcPr>
            <w:tcW w:w="220" w:type="dxa"/>
            <w:vAlign w:val="bottom"/>
            <w:shd w:val="clear" w:color="auto" w:fill="EBECEC"/>
          </w:tcPr>
          <w:p>
            <w:pPr>
              <w:spacing w:after="0"/>
              <w:rPr>
                <w:sz w:val="21"/>
                <w:szCs w:val="21"/>
                <w:color w:val="auto"/>
              </w:rPr>
            </w:pPr>
          </w:p>
        </w:tc>
        <w:tc>
          <w:tcPr>
            <w:tcW w:w="11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52.23</w:t>
            </w:r>
          </w:p>
        </w:tc>
        <w:tc>
          <w:tcPr>
            <w:tcW w:w="80" w:type="dxa"/>
            <w:vAlign w:val="bottom"/>
            <w:shd w:val="clear" w:color="auto" w:fill="EBECEC"/>
          </w:tcPr>
          <w:p>
            <w:pPr>
              <w:spacing w:after="0"/>
              <w:rPr>
                <w:sz w:val="21"/>
                <w:szCs w:val="21"/>
                <w:color w:val="auto"/>
              </w:rPr>
            </w:pPr>
          </w:p>
        </w:tc>
      </w:tr>
      <w:tr>
        <w:trPr>
          <w:trHeight w:val="244"/>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Forfeited</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(85,432)</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93.20</w:t>
            </w:r>
          </w:p>
        </w:tc>
        <w:tc>
          <w:tcPr>
            <w:tcW w:w="80" w:type="dxa"/>
            <w:vAlign w:val="bottom"/>
          </w:tcPr>
          <w:p>
            <w:pPr>
              <w:spacing w:after="0"/>
              <w:rPr>
                <w:sz w:val="21"/>
                <w:szCs w:val="21"/>
                <w:color w:val="auto"/>
              </w:rPr>
            </w:pPr>
          </w:p>
        </w:tc>
      </w:tr>
      <w:tr>
        <w:trPr>
          <w:trHeight w:val="239"/>
        </w:trPr>
        <w:tc>
          <w:tcPr>
            <w:tcW w:w="6580" w:type="dxa"/>
            <w:vAlign w:val="bottom"/>
            <w:tcBorders>
              <w:top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Nonvested at December 31, 2025</w:t>
            </w:r>
          </w:p>
        </w:tc>
        <w:tc>
          <w:tcPr>
            <w:tcW w:w="142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1,012,809</w:t>
            </w:r>
          </w:p>
        </w:tc>
        <w:tc>
          <w:tcPr>
            <w:tcW w:w="240" w:type="dxa"/>
            <w:vAlign w:val="bottom"/>
            <w:tcBorders>
              <w:top w:val="single" w:sz="8" w:color="EBECEC"/>
            </w:tcBorders>
            <w:shd w:val="clear" w:color="auto" w:fill="EBECEC"/>
          </w:tcPr>
          <w:p>
            <w:pPr>
              <w:spacing w:after="0"/>
              <w:rPr>
                <w:sz w:val="20"/>
                <w:szCs w:val="20"/>
                <w:color w:val="auto"/>
              </w:rPr>
            </w:pPr>
          </w:p>
        </w:tc>
        <w:tc>
          <w:tcPr>
            <w:tcW w:w="220" w:type="dxa"/>
            <w:vAlign w:val="bottom"/>
            <w:tcBorders>
              <w:top w:val="single" w:sz="8" w:color="EBECEC"/>
              <w:bottom w:val="single" w:sz="8" w:color="231F20"/>
            </w:tcBorders>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top w:val="single" w:sz="8" w:color="EBECEC"/>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90.93</w:t>
            </w:r>
          </w:p>
        </w:tc>
        <w:tc>
          <w:tcPr>
            <w:tcW w:w="80" w:type="dxa"/>
            <w:vAlign w:val="bottom"/>
            <w:tcBorders>
              <w:top w:val="single" w:sz="8" w:color="EBECEC"/>
            </w:tcBorders>
            <w:shd w:val="clear" w:color="auto" w:fill="EBECEC"/>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Performance Stock Units</w:t>
      </w:r>
    </w:p>
    <w:p>
      <w:pPr>
        <w:spacing w:after="0" w:line="244"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231F20"/>
        </w:rPr>
        <w:t>In February 2025, the Company granted PSUs to the executive officers. Vesting of the PSUs is subject to achievement of specified performance goals, which include achieving revenue, clinical, and regulatory targets. The actual number of common shares that would ultimately be issued is calculated by multiplying the number of PSUs granted by a payout multiplier ranging from 0 to 2. Achievement of the performance goals will ultimately be determined by the Compensation Committee or the Board at the end of the vesting term, which is approximately 3 years from the grant date. As of December 31, 2025, total compensation cost not yet recognized related to nonvested PSUs was $4.4 million, which is expected to be recognized over a weighted-average period of 2.2 years.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sets forth the PSU activity for the year ended December 31, 2025: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80" w:type="dxa"/>
            <w:vAlign w:val="bottom"/>
          </w:tcPr>
          <w:p>
            <w:pPr>
              <w:spacing w:after="0"/>
              <w:rPr>
                <w:sz w:val="16"/>
                <w:szCs w:val="16"/>
                <w:color w:val="auto"/>
              </w:rPr>
            </w:pPr>
          </w:p>
        </w:tc>
      </w:tr>
      <w:tr>
        <w:trPr>
          <w:trHeight w:val="184"/>
        </w:trPr>
        <w:tc>
          <w:tcPr>
            <w:tcW w:w="6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231F20"/>
                <w:w w:val="97"/>
              </w:rPr>
              <w:t>average</w:t>
            </w:r>
          </w:p>
        </w:tc>
        <w:tc>
          <w:tcPr>
            <w:tcW w:w="80" w:type="dxa"/>
            <w:vAlign w:val="bottom"/>
          </w:tcPr>
          <w:p>
            <w:pPr>
              <w:spacing w:after="0"/>
              <w:rPr>
                <w:sz w:val="16"/>
                <w:szCs w:val="16"/>
                <w:color w:val="auto"/>
              </w:rPr>
            </w:pPr>
          </w:p>
        </w:tc>
      </w:tr>
      <w:tr>
        <w:trPr>
          <w:trHeight w:val="184"/>
        </w:trPr>
        <w:tc>
          <w:tcPr>
            <w:tcW w:w="6580" w:type="dxa"/>
            <w:vAlign w:val="bottom"/>
          </w:tcPr>
          <w:p>
            <w:pPr>
              <w:spacing w:after="0"/>
              <w:rPr>
                <w:sz w:val="16"/>
                <w:szCs w:val="16"/>
                <w:color w:val="auto"/>
              </w:rPr>
            </w:pPr>
          </w:p>
        </w:tc>
        <w:tc>
          <w:tcPr>
            <w:tcW w:w="1420" w:type="dxa"/>
            <w:vAlign w:val="bottom"/>
          </w:tcPr>
          <w:p>
            <w:pPr>
              <w:jc w:val="right"/>
              <w:ind w:right="346"/>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231F20"/>
              </w:rPr>
              <w:t>grant date</w:t>
            </w:r>
          </w:p>
        </w:tc>
        <w:tc>
          <w:tcPr>
            <w:tcW w:w="80" w:type="dxa"/>
            <w:vAlign w:val="bottom"/>
          </w:tcPr>
          <w:p>
            <w:pPr>
              <w:spacing w:after="0"/>
              <w:rPr>
                <w:sz w:val="16"/>
                <w:szCs w:val="16"/>
                <w:color w:val="auto"/>
              </w:rPr>
            </w:pPr>
          </w:p>
        </w:tc>
      </w:tr>
      <w:tr>
        <w:trPr>
          <w:trHeight w:val="203"/>
        </w:trPr>
        <w:tc>
          <w:tcPr>
            <w:tcW w:w="6580" w:type="dxa"/>
            <w:vAlign w:val="bottom"/>
            <w:tcBorders>
              <w:bottom w:val="single" w:sz="8" w:color="EBECEC"/>
            </w:tcBorders>
          </w:tcPr>
          <w:p>
            <w:pPr>
              <w:spacing w:after="0"/>
              <w:rPr>
                <w:sz w:val="17"/>
                <w:szCs w:val="17"/>
                <w:color w:val="auto"/>
              </w:rPr>
            </w:pPr>
          </w:p>
        </w:tc>
        <w:tc>
          <w:tcPr>
            <w:tcW w:w="1420" w:type="dxa"/>
            <w:vAlign w:val="bottom"/>
            <w:tcBorders>
              <w:bottom w:val="single" w:sz="8" w:color="231F20"/>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231F20"/>
              </w:rPr>
              <w:t>of shares</w:t>
            </w:r>
          </w:p>
        </w:tc>
        <w:tc>
          <w:tcPr>
            <w:tcW w:w="240" w:type="dxa"/>
            <w:vAlign w:val="bottom"/>
            <w:tcBorders>
              <w:bottom w:val="single" w:sz="8" w:color="EBECEC"/>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center"/>
              <w:ind w:right="129"/>
              <w:spacing w:after="0"/>
              <w:rPr>
                <w:sz w:val="20"/>
                <w:szCs w:val="20"/>
                <w:color w:val="auto"/>
              </w:rPr>
            </w:pPr>
            <w:r>
              <w:rPr>
                <w:rFonts w:ascii="Times New Roman" w:cs="Times New Roman" w:eastAsia="Times New Roman" w:hAnsi="Times New Roman"/>
                <w:sz w:val="16"/>
                <w:szCs w:val="16"/>
                <w:b w:val="1"/>
                <w:bCs w:val="1"/>
                <w:color w:val="231F20"/>
                <w:w w:val="97"/>
              </w:rPr>
              <w:t>fair value</w:t>
            </w:r>
          </w:p>
        </w:tc>
        <w:tc>
          <w:tcPr>
            <w:tcW w:w="80" w:type="dxa"/>
            <w:vAlign w:val="bottom"/>
            <w:tcBorders>
              <w:bottom w:val="single" w:sz="8" w:color="EBECEC"/>
            </w:tcBorders>
          </w:tcPr>
          <w:p>
            <w:pPr>
              <w:spacing w:after="0"/>
              <w:rPr>
                <w:sz w:val="17"/>
                <w:szCs w:val="17"/>
                <w:color w:val="auto"/>
              </w:rPr>
            </w:pPr>
          </w:p>
        </w:tc>
      </w:tr>
      <w:tr>
        <w:trPr>
          <w:trHeight w:val="239"/>
        </w:trPr>
        <w:tc>
          <w:tcPr>
            <w:tcW w:w="658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Nonvested at December 31, 2024</w:t>
            </w:r>
          </w:p>
        </w:tc>
        <w:tc>
          <w:tcPr>
            <w:tcW w:w="14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BECEC"/>
          </w:tcPr>
          <w:p>
            <w:pPr>
              <w:spacing w:after="0"/>
              <w:rPr>
                <w:sz w:val="20"/>
                <w:szCs w:val="20"/>
                <w:color w:val="auto"/>
              </w:rPr>
            </w:pPr>
          </w:p>
        </w:tc>
        <w:tc>
          <w:tcPr>
            <w:tcW w:w="220" w:type="dxa"/>
            <w:vAlign w:val="bottom"/>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BECEC"/>
          </w:tcPr>
          <w:p>
            <w:pPr>
              <w:spacing w:after="0"/>
              <w:rPr>
                <w:sz w:val="20"/>
                <w:szCs w:val="20"/>
                <w:color w:val="auto"/>
              </w:rPr>
            </w:pPr>
          </w:p>
        </w:tc>
      </w:tr>
      <w:tr>
        <w:trPr>
          <w:trHeight w:val="244"/>
        </w:trPr>
        <w:tc>
          <w:tcPr>
            <w:tcW w:w="65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64,281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94.39</w:t>
            </w:r>
          </w:p>
        </w:tc>
        <w:tc>
          <w:tcPr>
            <w:tcW w:w="80" w:type="dxa"/>
            <w:vAlign w:val="bottom"/>
          </w:tcPr>
          <w:p>
            <w:pPr>
              <w:spacing w:after="0"/>
              <w:rPr>
                <w:sz w:val="21"/>
                <w:szCs w:val="21"/>
                <w:color w:val="auto"/>
              </w:rPr>
            </w:pPr>
          </w:p>
        </w:tc>
      </w:tr>
      <w:tr>
        <w:trPr>
          <w:trHeight w:val="244"/>
        </w:trPr>
        <w:tc>
          <w:tcPr>
            <w:tcW w:w="658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Vested</w:t>
            </w:r>
          </w:p>
        </w:tc>
        <w:tc>
          <w:tcPr>
            <w:tcW w:w="14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11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BECEC"/>
          </w:tcPr>
          <w:p>
            <w:pPr>
              <w:spacing w:after="0"/>
              <w:rPr>
                <w:sz w:val="21"/>
                <w:szCs w:val="21"/>
                <w:color w:val="auto"/>
              </w:rPr>
            </w:pPr>
          </w:p>
        </w:tc>
      </w:tr>
      <w:tr>
        <w:trPr>
          <w:trHeight w:val="244"/>
        </w:trPr>
        <w:tc>
          <w:tcPr>
            <w:tcW w:w="658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Forfeited</w:t>
            </w: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bottom w:val="single" w:sz="8" w:color="EBECEC"/>
            </w:tcBorders>
          </w:tcPr>
          <w:p>
            <w:pPr>
              <w:spacing w:after="0"/>
              <w:rPr>
                <w:sz w:val="21"/>
                <w:szCs w:val="21"/>
                <w:color w:val="auto"/>
              </w:rPr>
            </w:pPr>
          </w:p>
        </w:tc>
        <w:tc>
          <w:tcPr>
            <w:tcW w:w="220" w:type="dxa"/>
            <w:vAlign w:val="bottom"/>
            <w:tcBorders>
              <w:bottom w:val="single" w:sz="8" w:color="EBECEC"/>
            </w:tcBorders>
          </w:tcPr>
          <w:p>
            <w:pPr>
              <w:spacing w:after="0"/>
              <w:rPr>
                <w:sz w:val="21"/>
                <w:szCs w:val="21"/>
                <w:color w:val="auto"/>
              </w:rPr>
            </w:pPr>
          </w:p>
        </w:tc>
        <w:tc>
          <w:tcPr>
            <w:tcW w:w="1180" w:type="dxa"/>
            <w:vAlign w:val="bottom"/>
            <w:tcBorders>
              <w:bottom w:val="single" w:sz="8" w:color="EBECEC"/>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BECEC"/>
            </w:tcBorders>
          </w:tcPr>
          <w:p>
            <w:pPr>
              <w:spacing w:after="0"/>
              <w:rPr>
                <w:sz w:val="21"/>
                <w:szCs w:val="21"/>
                <w:color w:val="auto"/>
              </w:rPr>
            </w:pPr>
          </w:p>
        </w:tc>
      </w:tr>
      <w:tr>
        <w:trPr>
          <w:trHeight w:val="259"/>
        </w:trPr>
        <w:tc>
          <w:tcPr>
            <w:tcW w:w="658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Nonvested at December 31, 2025</w:t>
            </w:r>
          </w:p>
        </w:tc>
        <w:tc>
          <w:tcPr>
            <w:tcW w:w="14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64,281</w:t>
            </w:r>
          </w:p>
        </w:tc>
        <w:tc>
          <w:tcPr>
            <w:tcW w:w="460" w:type="dxa"/>
            <w:vAlign w:val="bottom"/>
            <w:gridSpan w:val="2"/>
            <w:shd w:val="clear" w:color="auto" w:fill="EBECEC"/>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94.39</w:t>
            </w:r>
          </w:p>
        </w:tc>
        <w:tc>
          <w:tcPr>
            <w:tcW w:w="80" w:type="dxa"/>
            <w:vAlign w:val="bottom"/>
            <w:shd w:val="clear" w:color="auto" w:fill="EBECEC"/>
          </w:tcPr>
          <w:p>
            <w:pPr>
              <w:spacing w:after="0"/>
              <w:rPr>
                <w:sz w:val="22"/>
                <w:szCs w:val="22"/>
                <w:color w:val="auto"/>
              </w:rPr>
            </w:pPr>
          </w:p>
        </w:tc>
      </w:tr>
      <w:tr>
        <w:trPr>
          <w:trHeight w:val="20"/>
        </w:trPr>
        <w:tc>
          <w:tcPr>
            <w:tcW w:w="6580" w:type="dxa"/>
            <w:vAlign w:val="bottom"/>
            <w:tcBorders>
              <w:top w:val="single" w:sz="8" w:color="EBECEC"/>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EBECEC"/>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EBECEC"/>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Employee Stock Purchase Plan</w:t>
      </w:r>
    </w:p>
    <w:p>
      <w:pPr>
        <w:spacing w:after="0" w:line="244"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second offering period pursuant to the ESPP on June 1, 2024, and such offering ended on May 31, 2025.</w:t>
      </w:r>
    </w:p>
    <w:p>
      <w:pPr>
        <w:spacing w:after="0" w:line="197" w:lineRule="exact"/>
        <w:rPr>
          <w:sz w:val="20"/>
          <w:szCs w:val="20"/>
          <w:color w:val="auto"/>
        </w:rPr>
      </w:pPr>
    </w:p>
    <w:p>
      <w:pPr>
        <w:jc w:val="both"/>
        <w:ind w:right="60" w:firstLine="720"/>
        <w:spacing w:after="0" w:line="249" w:lineRule="auto"/>
        <w:rPr>
          <w:sz w:val="20"/>
          <w:szCs w:val="20"/>
          <w:color w:val="auto"/>
        </w:rPr>
      </w:pPr>
      <w:r>
        <w:rPr>
          <w:rFonts w:ascii="Times New Roman" w:cs="Times New Roman" w:eastAsia="Times New Roman" w:hAnsi="Times New Roman"/>
          <w:sz w:val="20"/>
          <w:szCs w:val="20"/>
          <w:color w:val="231F20"/>
        </w:rPr>
        <w:t>During the year ended December 31, 2025, 59,607 common shares have been purchased and issued pursuant to the ESPP, and $2.2 million of expense was recorded. During the year ended December 31, 2024, 52,368 common shares have been purchased and issued pursuant to the ESPP, and $1.6 million of expense was recorded. During the year ended December 31, 2023, no shares of common stock were purchased pursuant to the ESPP, and $1.1 million of expense was recorded.</w:t>
      </w:r>
    </w:p>
    <w:p>
      <w:pPr>
        <w:sectPr>
          <w:pgSz w:w="12240" w:h="15840" w:orient="portrait"/>
          <w:cols w:equalWidth="0" w:num="1">
            <w:col w:w="9720"/>
          </w:cols>
          <w:pgMar w:left="1260" w:top="1247"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F-30</w:t>
      </w:r>
    </w:p>
    <w:p>
      <w:pPr>
        <w:sectPr>
          <w:pgSz w:w="12240" w:h="15840" w:orient="portrait"/>
          <w:cols w:equalWidth="0" w:num="1">
            <w:col w:w="9720"/>
          </w:cols>
          <w:pgMar w:left="1260" w:top="1247" w:right="1260" w:bottom="186"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20"/>
          <w:szCs w:val="20"/>
          <w:b w:val="1"/>
          <w:bCs w:val="1"/>
          <w:color w:val="231F20"/>
        </w:rPr>
        <w:t>Stock-based Compensation Expense</w:t>
      </w:r>
    </w:p>
    <w:p>
      <w:pPr>
        <w:spacing w:after="0" w:line="259" w:lineRule="exact"/>
        <w:rPr>
          <w:sz w:val="20"/>
          <w:szCs w:val="20"/>
          <w:color w:val="auto"/>
        </w:rPr>
      </w:pPr>
    </w:p>
    <w:p>
      <w:pPr>
        <w:ind w:left="720"/>
        <w:spacing w:after="0" w:line="230" w:lineRule="exact"/>
        <w:rPr>
          <w:sz w:val="20"/>
          <w:szCs w:val="20"/>
          <w:color w:val="auto"/>
        </w:rPr>
      </w:pPr>
      <w:r>
        <w:rPr>
          <w:rFonts w:ascii="Times New Roman" w:cs="Times New Roman" w:eastAsia="Times New Roman" w:hAnsi="Times New Roman"/>
          <w:sz w:val="20"/>
          <w:szCs w:val="20"/>
          <w:color w:val="231F20"/>
        </w:rPr>
        <w:t>Stock</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based compensation expense recognized was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200" w:type="dxa"/>
            <w:vAlign w:val="bottom"/>
            <w:tcBorders>
              <w:bottom w:val="single" w:sz="8" w:color="EBECEC"/>
            </w:tcBorders>
          </w:tcPr>
          <w:p>
            <w:pPr>
              <w:spacing w:after="0"/>
              <w:rPr>
                <w:sz w:val="17"/>
                <w:szCs w:val="17"/>
                <w:color w:val="auto"/>
              </w:rPr>
            </w:pPr>
          </w:p>
        </w:tc>
        <w:tc>
          <w:tcPr>
            <w:tcW w:w="142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BECEC"/>
            </w:tcBorders>
          </w:tcPr>
          <w:p>
            <w:pPr>
              <w:spacing w:after="0"/>
              <w:rPr>
                <w:sz w:val="17"/>
                <w:szCs w:val="17"/>
                <w:color w:val="auto"/>
              </w:rPr>
            </w:pPr>
          </w:p>
        </w:tc>
      </w:tr>
      <w:tr>
        <w:trPr>
          <w:trHeight w:val="239"/>
        </w:trPr>
        <w:tc>
          <w:tcPr>
            <w:tcW w:w="42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420" w:type="dxa"/>
            <w:vAlign w:val="bottom"/>
            <w:shd w:val="clear" w:color="auto" w:fill="EBECEC"/>
          </w:tcPr>
          <w:p>
            <w:pPr>
              <w:spacing w:after="0"/>
              <w:rPr>
                <w:sz w:val="20"/>
                <w:szCs w:val="20"/>
                <w:color w:val="auto"/>
              </w:rPr>
            </w:pP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26,828</w:t>
            </w: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21,417</w:t>
            </w: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14,080</w:t>
            </w:r>
          </w:p>
        </w:tc>
        <w:tc>
          <w:tcPr>
            <w:tcW w:w="80" w:type="dxa"/>
            <w:vAlign w:val="bottom"/>
            <w:shd w:val="clear" w:color="auto" w:fill="EBECEC"/>
          </w:tcPr>
          <w:p>
            <w:pPr>
              <w:spacing w:after="0"/>
              <w:rPr>
                <w:sz w:val="20"/>
                <w:szCs w:val="20"/>
                <w:color w:val="auto"/>
              </w:rPr>
            </w:pPr>
          </w:p>
        </w:tc>
      </w:tr>
      <w:tr>
        <w:trPr>
          <w:trHeight w:val="244"/>
        </w:trPr>
        <w:tc>
          <w:tcPr>
            <w:tcW w:w="420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Selling, general and administrative</w:t>
            </w:r>
          </w:p>
        </w:tc>
        <w:tc>
          <w:tcPr>
            <w:tcW w:w="1420" w:type="dxa"/>
            <w:vAlign w:val="bottom"/>
            <w:tcBorders>
              <w:bottom w:val="single" w:sz="8" w:color="EBECEC"/>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66,924</w:t>
            </w:r>
          </w:p>
        </w:tc>
        <w:tc>
          <w:tcPr>
            <w:tcW w:w="240" w:type="dxa"/>
            <w:vAlign w:val="bottom"/>
            <w:tcBorders>
              <w:bottom w:val="single" w:sz="8" w:color="EBECEC"/>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63,801</w:t>
            </w:r>
          </w:p>
        </w:tc>
        <w:tc>
          <w:tcPr>
            <w:tcW w:w="240" w:type="dxa"/>
            <w:vAlign w:val="bottom"/>
            <w:tcBorders>
              <w:bottom w:val="single" w:sz="8" w:color="EBECEC"/>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48,540</w:t>
            </w:r>
          </w:p>
        </w:tc>
        <w:tc>
          <w:tcPr>
            <w:tcW w:w="80" w:type="dxa"/>
            <w:vAlign w:val="bottom"/>
            <w:tcBorders>
              <w:bottom w:val="single" w:sz="8" w:color="EBECEC"/>
            </w:tcBorders>
          </w:tcPr>
          <w:p>
            <w:pPr>
              <w:spacing w:after="0"/>
              <w:rPr>
                <w:sz w:val="21"/>
                <w:szCs w:val="21"/>
                <w:color w:val="auto"/>
              </w:rPr>
            </w:pPr>
          </w:p>
        </w:tc>
      </w:tr>
      <w:tr>
        <w:trPr>
          <w:trHeight w:val="259"/>
        </w:trPr>
        <w:tc>
          <w:tcPr>
            <w:tcW w:w="420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w:t>
            </w:r>
          </w:p>
        </w:tc>
        <w:tc>
          <w:tcPr>
            <w:tcW w:w="1420" w:type="dxa"/>
            <w:vAlign w:val="bottom"/>
            <w:tcBorders>
              <w:bottom w:val="single" w:sz="8" w:color="EBECEC"/>
            </w:tcBorders>
            <w:shd w:val="clear" w:color="auto" w:fill="EBECEC"/>
          </w:tcPr>
          <w:p>
            <w:pPr>
              <w:spacing w:after="0"/>
              <w:rPr>
                <w:sz w:val="22"/>
                <w:szCs w:val="22"/>
                <w:color w:val="auto"/>
              </w:rPr>
            </w:pPr>
          </w:p>
        </w:tc>
        <w:tc>
          <w:tcPr>
            <w:tcW w:w="260" w:type="dxa"/>
            <w:vAlign w:val="bottom"/>
            <w:tcBorders>
              <w:bottom w:val="single" w:sz="8" w:color="231F20"/>
            </w:tcBorders>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93,752</w:t>
            </w:r>
          </w:p>
        </w:tc>
        <w:tc>
          <w:tcPr>
            <w:tcW w:w="240" w:type="dxa"/>
            <w:vAlign w:val="bottom"/>
            <w:tcBorders>
              <w:bottom w:val="single" w:sz="8" w:color="EBECEC"/>
            </w:tcBorders>
            <w:shd w:val="clear" w:color="auto" w:fill="EBECEC"/>
          </w:tcPr>
          <w:p>
            <w:pPr>
              <w:spacing w:after="0"/>
              <w:rPr>
                <w:sz w:val="22"/>
                <w:szCs w:val="22"/>
                <w:color w:val="auto"/>
              </w:rPr>
            </w:pPr>
          </w:p>
        </w:tc>
        <w:tc>
          <w:tcPr>
            <w:tcW w:w="260" w:type="dxa"/>
            <w:vAlign w:val="bottom"/>
            <w:tcBorders>
              <w:bottom w:val="single" w:sz="8" w:color="231F20"/>
            </w:tcBorders>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85,218</w:t>
            </w:r>
          </w:p>
        </w:tc>
        <w:tc>
          <w:tcPr>
            <w:tcW w:w="240" w:type="dxa"/>
            <w:vAlign w:val="bottom"/>
            <w:tcBorders>
              <w:bottom w:val="single" w:sz="8" w:color="EBECEC"/>
            </w:tcBorders>
            <w:shd w:val="clear" w:color="auto" w:fill="EBECEC"/>
          </w:tcPr>
          <w:p>
            <w:pPr>
              <w:spacing w:after="0"/>
              <w:rPr>
                <w:sz w:val="22"/>
                <w:szCs w:val="22"/>
                <w:color w:val="auto"/>
              </w:rPr>
            </w:pPr>
          </w:p>
        </w:tc>
        <w:tc>
          <w:tcPr>
            <w:tcW w:w="260" w:type="dxa"/>
            <w:vAlign w:val="bottom"/>
            <w:tcBorders>
              <w:bottom w:val="single" w:sz="8" w:color="231F20"/>
            </w:tcBorders>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62,620</w:t>
            </w:r>
          </w:p>
        </w:tc>
        <w:tc>
          <w:tcPr>
            <w:tcW w:w="80" w:type="dxa"/>
            <w:vAlign w:val="bottom"/>
            <w:tcBorders>
              <w:bottom w:val="single" w:sz="8" w:color="EBECEC"/>
            </w:tcBorders>
            <w:shd w:val="clear" w:color="auto" w:fill="EBECEC"/>
          </w:tcPr>
          <w:p>
            <w:pPr>
              <w:spacing w:after="0"/>
              <w:rPr>
                <w:sz w:val="22"/>
                <w:szCs w:val="22"/>
                <w:color w:val="auto"/>
              </w:rPr>
            </w:pPr>
          </w:p>
        </w:tc>
      </w:tr>
      <w:tr>
        <w:trPr>
          <w:trHeight w:val="20"/>
        </w:trPr>
        <w:tc>
          <w:tcPr>
            <w:tcW w:w="4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-661035</wp:posOffset>
            </wp:positionV>
            <wp:extent cx="259905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2599055" cy="38100"/>
                    </a:xfrm>
                    <a:prstGeom prst="rect">
                      <a:avLst/>
                    </a:prstGeom>
                    <a:noFill/>
                  </pic:spPr>
                </pic:pic>
              </a:graphicData>
            </a:graphic>
          </wp:anchor>
        </w:drawing>
      </w:r>
    </w:p>
    <w:p>
      <w:pPr>
        <w:spacing w:after="0" w:line="201"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231F20"/>
        </w:rPr>
        <w:t>Stock -based compensation expense capitalized into inventory totaled $1.5 million, $1.3 million, and $2.7 million for the years ended December 31, 2025, 2024 and 2023, respectively. Capitalized stock-based compensation is recognized as an expense in cost of product sales when the related product is sold or in selling, general and administrative expense when the related product is dispensed as a physician sample.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12. Warrants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summarizes warrant activity for the years ended December 31, 2025, 2024, and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231F20"/>
              </w:rPr>
              <w:t>Weighted average</w:t>
            </w:r>
          </w:p>
        </w:tc>
      </w:tr>
      <w:tr>
        <w:trPr>
          <w:trHeight w:val="203"/>
        </w:trPr>
        <w:tc>
          <w:tcPr>
            <w:tcW w:w="6580" w:type="dxa"/>
            <w:vAlign w:val="bottom"/>
            <w:tcBorders>
              <w:bottom w:val="single" w:sz="8" w:color="EBECEC"/>
            </w:tcBorders>
          </w:tcPr>
          <w:p>
            <w:pPr>
              <w:spacing w:after="0"/>
              <w:rPr>
                <w:sz w:val="17"/>
                <w:szCs w:val="17"/>
                <w:color w:val="auto"/>
              </w:rPr>
            </w:pPr>
          </w:p>
        </w:tc>
        <w:tc>
          <w:tcPr>
            <w:tcW w:w="152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231F20"/>
              </w:rPr>
              <w:t>Warrants</w:t>
            </w:r>
          </w:p>
        </w:tc>
        <w:tc>
          <w:tcPr>
            <w:tcW w:w="140" w:type="dxa"/>
            <w:vAlign w:val="bottom"/>
            <w:tcBorders>
              <w:bottom w:val="single" w:sz="8" w:color="EBECEC"/>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231F20"/>
              </w:rPr>
              <w:t>exercise price</w:t>
            </w:r>
          </w:p>
        </w:tc>
      </w:tr>
      <w:tr>
        <w:trPr>
          <w:trHeight w:val="259"/>
        </w:trPr>
        <w:tc>
          <w:tcPr>
            <w:tcW w:w="658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Outstanding at December 31, 2022</w:t>
            </w:r>
          </w:p>
        </w:tc>
        <w:tc>
          <w:tcPr>
            <w:tcW w:w="1520" w:type="dxa"/>
            <w:vAlign w:val="bottom"/>
            <w:tcBorders>
              <w:bottom w:val="single" w:sz="8" w:color="231F20"/>
            </w:tcBorders>
            <w:shd w:val="clear" w:color="auto" w:fill="EBECEC"/>
          </w:tcPr>
          <w:p>
            <w:pPr>
              <w:jc w:val="right"/>
              <w:ind w:right="22"/>
              <w:spacing w:after="0"/>
              <w:rPr>
                <w:sz w:val="20"/>
                <w:szCs w:val="20"/>
                <w:color w:val="auto"/>
              </w:rPr>
            </w:pPr>
            <w:r>
              <w:rPr>
                <w:rFonts w:ascii="Times New Roman" w:cs="Times New Roman" w:eastAsia="Times New Roman" w:hAnsi="Times New Roman"/>
                <w:sz w:val="20"/>
                <w:szCs w:val="20"/>
                <w:color w:val="231F20"/>
              </w:rPr>
              <w:t>50,796</w:t>
            </w:r>
          </w:p>
        </w:tc>
        <w:tc>
          <w:tcPr>
            <w:tcW w:w="140" w:type="dxa"/>
            <w:vAlign w:val="bottom"/>
            <w:tcBorders>
              <w:bottom w:val="single" w:sz="8" w:color="EBECEC"/>
            </w:tcBorders>
            <w:shd w:val="clear" w:color="auto" w:fill="EBECEC"/>
          </w:tcPr>
          <w:p>
            <w:pPr>
              <w:spacing w:after="0"/>
              <w:rPr>
                <w:sz w:val="22"/>
                <w:szCs w:val="22"/>
                <w:color w:val="auto"/>
              </w:rPr>
            </w:pPr>
          </w:p>
        </w:tc>
        <w:tc>
          <w:tcPr>
            <w:tcW w:w="1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46.75</w:t>
            </w:r>
          </w:p>
        </w:tc>
      </w:tr>
      <w:tr>
        <w:trPr>
          <w:trHeight w:val="219"/>
        </w:trPr>
        <w:tc>
          <w:tcPr>
            <w:tcW w:w="658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231F20"/>
              </w:rPr>
              <w:t>Issued</w:t>
            </w:r>
          </w:p>
        </w:tc>
        <w:tc>
          <w:tcPr>
            <w:tcW w:w="1520" w:type="dxa"/>
            <w:vAlign w:val="bottom"/>
          </w:tcPr>
          <w:p>
            <w:pPr>
              <w:jc w:val="right"/>
              <w:ind w:right="22"/>
              <w:spacing w:after="0" w:line="219" w:lineRule="exact"/>
              <w:rPr>
                <w:sz w:val="20"/>
                <w:szCs w:val="20"/>
                <w:color w:val="auto"/>
              </w:rPr>
            </w:pPr>
            <w:r>
              <w:rPr>
                <w:rFonts w:ascii="Times New Roman" w:cs="Times New Roman" w:eastAsia="Times New Roman" w:hAnsi="Times New Roman"/>
                <w:sz w:val="20"/>
                <w:szCs w:val="20"/>
                <w:color w:val="231F20"/>
              </w:rPr>
              <w:t>28,424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74.75</w:t>
            </w:r>
          </w:p>
        </w:tc>
      </w:tr>
      <w:tr>
        <w:trPr>
          <w:trHeight w:val="264"/>
        </w:trPr>
        <w:tc>
          <w:tcPr>
            <w:tcW w:w="6580" w:type="dxa"/>
            <w:vAlign w:val="bottom"/>
            <w:tcBorders>
              <w:bottom w:val="single" w:sz="8" w:color="EBECEC"/>
            </w:tcBorders>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Exercised</w:t>
            </w:r>
          </w:p>
        </w:tc>
        <w:tc>
          <w:tcPr>
            <w:tcW w:w="1520" w:type="dxa"/>
            <w:vAlign w:val="bottom"/>
            <w:tcBorders>
              <w:bottom w:val="single" w:sz="8" w:color="231F20"/>
            </w:tcBorders>
            <w:shd w:val="clear" w:color="auto" w:fill="EBECEC"/>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EBECEC"/>
            </w:tcBorders>
            <w:shd w:val="clear" w:color="auto" w:fill="EBECEC"/>
          </w:tcPr>
          <w:p>
            <w:pPr>
              <w:spacing w:after="0"/>
              <w:rPr>
                <w:sz w:val="22"/>
                <w:szCs w:val="22"/>
                <w:color w:val="auto"/>
              </w:rPr>
            </w:pPr>
          </w:p>
        </w:tc>
        <w:tc>
          <w:tcPr>
            <w:tcW w:w="180" w:type="dxa"/>
            <w:vAlign w:val="bottom"/>
            <w:tcBorders>
              <w:bottom w:val="single" w:sz="8" w:color="231F20"/>
            </w:tcBorders>
            <w:shd w:val="clear" w:color="auto" w:fill="EBECEC"/>
          </w:tcPr>
          <w:p>
            <w:pPr>
              <w:spacing w:after="0"/>
              <w:rPr>
                <w:sz w:val="22"/>
                <w:szCs w:val="22"/>
                <w:color w:val="auto"/>
              </w:rPr>
            </w:pPr>
          </w:p>
        </w:tc>
        <w:tc>
          <w:tcPr>
            <w:tcW w:w="13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19"/>
        </w:trPr>
        <w:tc>
          <w:tcPr>
            <w:tcW w:w="6580" w:type="dxa"/>
            <w:vAlign w:val="bottom"/>
            <w:tcBorders>
              <w:bottom w:val="single" w:sz="8" w:color="EBECEC"/>
            </w:tcBorders>
          </w:tcPr>
          <w:p>
            <w:pPr>
              <w:spacing w:after="0" w:line="219" w:lineRule="exact"/>
              <w:rPr>
                <w:sz w:val="20"/>
                <w:szCs w:val="20"/>
                <w:color w:val="auto"/>
              </w:rPr>
            </w:pPr>
            <w:r>
              <w:rPr>
                <w:rFonts w:ascii="Times New Roman" w:cs="Times New Roman" w:eastAsia="Times New Roman" w:hAnsi="Times New Roman"/>
                <w:sz w:val="20"/>
                <w:szCs w:val="20"/>
                <w:color w:val="231F20"/>
              </w:rPr>
              <w:t>Outstanding at December 31, 2023</w:t>
            </w:r>
          </w:p>
        </w:tc>
        <w:tc>
          <w:tcPr>
            <w:tcW w:w="1520" w:type="dxa"/>
            <w:vAlign w:val="bottom"/>
            <w:tcBorders>
              <w:bottom w:val="single" w:sz="8" w:color="231F20"/>
            </w:tcBorders>
          </w:tcPr>
          <w:p>
            <w:pPr>
              <w:jc w:val="right"/>
              <w:ind w:right="22"/>
              <w:spacing w:after="0" w:line="219" w:lineRule="exact"/>
              <w:rPr>
                <w:sz w:val="20"/>
                <w:szCs w:val="20"/>
                <w:color w:val="auto"/>
              </w:rPr>
            </w:pPr>
            <w:r>
              <w:rPr>
                <w:rFonts w:ascii="Times New Roman" w:cs="Times New Roman" w:eastAsia="Times New Roman" w:hAnsi="Times New Roman"/>
                <w:sz w:val="20"/>
                <w:szCs w:val="20"/>
                <w:color w:val="231F20"/>
              </w:rPr>
              <w:t>79,220</w:t>
            </w:r>
          </w:p>
        </w:tc>
        <w:tc>
          <w:tcPr>
            <w:tcW w:w="140" w:type="dxa"/>
            <w:vAlign w:val="bottom"/>
            <w:tcBorders>
              <w:bottom w:val="single" w:sz="8" w:color="EBECEC"/>
            </w:tcBorders>
          </w:tcPr>
          <w:p>
            <w:pPr>
              <w:spacing w:after="0"/>
              <w:rPr>
                <w:sz w:val="19"/>
                <w:szCs w:val="19"/>
                <w:color w:val="auto"/>
              </w:rPr>
            </w:pPr>
          </w:p>
        </w:tc>
        <w:tc>
          <w:tcPr>
            <w:tcW w:w="1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56.80</w:t>
            </w:r>
          </w:p>
        </w:tc>
      </w:tr>
      <w:tr>
        <w:trPr>
          <w:trHeight w:val="239"/>
        </w:trPr>
        <w:tc>
          <w:tcPr>
            <w:tcW w:w="658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Issued</w:t>
            </w:r>
          </w:p>
        </w:tc>
        <w:tc>
          <w:tcPr>
            <w:tcW w:w="1520" w:type="dxa"/>
            <w:vAlign w:val="bottom"/>
            <w:shd w:val="clear" w:color="auto" w:fill="EBECEC"/>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BECEC"/>
          </w:tcPr>
          <w:p>
            <w:pPr>
              <w:spacing w:after="0"/>
              <w:rPr>
                <w:sz w:val="20"/>
                <w:szCs w:val="20"/>
                <w:color w:val="auto"/>
              </w:rPr>
            </w:pPr>
          </w:p>
        </w:tc>
        <w:tc>
          <w:tcPr>
            <w:tcW w:w="180" w:type="dxa"/>
            <w:vAlign w:val="bottom"/>
            <w:shd w:val="clear" w:color="auto" w:fill="EBECEC"/>
          </w:tcPr>
          <w:p>
            <w:pPr>
              <w:spacing w:after="0"/>
              <w:rPr>
                <w:sz w:val="20"/>
                <w:szCs w:val="20"/>
                <w:color w:val="auto"/>
              </w:rPr>
            </w:pPr>
          </w:p>
        </w:tc>
        <w:tc>
          <w:tcPr>
            <w:tcW w:w="13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58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Exercised</w:t>
            </w:r>
          </w:p>
        </w:tc>
        <w:tc>
          <w:tcPr>
            <w:tcW w:w="152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EBECEC"/>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9"/>
        </w:trPr>
        <w:tc>
          <w:tcPr>
            <w:tcW w:w="658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Outstanding at December 31, 2024</w:t>
            </w:r>
          </w:p>
        </w:tc>
        <w:tc>
          <w:tcPr>
            <w:tcW w:w="1520" w:type="dxa"/>
            <w:vAlign w:val="bottom"/>
            <w:tcBorders>
              <w:bottom w:val="single" w:sz="8" w:color="231F20"/>
            </w:tcBorders>
            <w:shd w:val="clear" w:color="auto" w:fill="EBECEC"/>
          </w:tcPr>
          <w:p>
            <w:pPr>
              <w:jc w:val="right"/>
              <w:ind w:right="22"/>
              <w:spacing w:after="0"/>
              <w:rPr>
                <w:sz w:val="20"/>
                <w:szCs w:val="20"/>
                <w:color w:val="auto"/>
              </w:rPr>
            </w:pPr>
            <w:r>
              <w:rPr>
                <w:rFonts w:ascii="Times New Roman" w:cs="Times New Roman" w:eastAsia="Times New Roman" w:hAnsi="Times New Roman"/>
                <w:sz w:val="20"/>
                <w:szCs w:val="20"/>
                <w:color w:val="231F20"/>
              </w:rPr>
              <w:t>79,220</w:t>
            </w:r>
          </w:p>
        </w:tc>
        <w:tc>
          <w:tcPr>
            <w:tcW w:w="140" w:type="dxa"/>
            <w:vAlign w:val="bottom"/>
            <w:tcBorders>
              <w:bottom w:val="single" w:sz="8" w:color="EBECEC"/>
            </w:tcBorders>
            <w:shd w:val="clear" w:color="auto" w:fill="EBECEC"/>
          </w:tcPr>
          <w:p>
            <w:pPr>
              <w:spacing w:after="0"/>
              <w:rPr>
                <w:sz w:val="22"/>
                <w:szCs w:val="22"/>
                <w:color w:val="auto"/>
              </w:rPr>
            </w:pPr>
          </w:p>
        </w:tc>
        <w:tc>
          <w:tcPr>
            <w:tcW w:w="1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56.80</w:t>
            </w:r>
          </w:p>
        </w:tc>
      </w:tr>
      <w:tr>
        <w:trPr>
          <w:trHeight w:val="219"/>
        </w:trPr>
        <w:tc>
          <w:tcPr>
            <w:tcW w:w="658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231F20"/>
              </w:rPr>
              <w:t>Issued</w:t>
            </w:r>
          </w:p>
        </w:tc>
        <w:tc>
          <w:tcPr>
            <w:tcW w:w="1520" w:type="dxa"/>
            <w:vAlign w:val="bottom"/>
          </w:tcPr>
          <w:p>
            <w:pPr>
              <w:jc w:val="right"/>
              <w:ind w:right="22"/>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r>
      <w:tr>
        <w:trPr>
          <w:trHeight w:val="264"/>
        </w:trPr>
        <w:tc>
          <w:tcPr>
            <w:tcW w:w="6580" w:type="dxa"/>
            <w:vAlign w:val="bottom"/>
            <w:tcBorders>
              <w:bottom w:val="single" w:sz="8" w:color="EBECEC"/>
            </w:tcBorders>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Exercised</w:t>
            </w:r>
          </w:p>
        </w:tc>
        <w:tc>
          <w:tcPr>
            <w:tcW w:w="1520" w:type="dxa"/>
            <w:vAlign w:val="bottom"/>
            <w:tcBorders>
              <w:bottom w:val="single" w:sz="8" w:color="231F20"/>
            </w:tcBorders>
            <w:shd w:val="clear" w:color="auto" w:fill="EBECEC"/>
          </w:tcPr>
          <w:p>
            <w:pPr>
              <w:jc w:val="right"/>
              <w:ind w:right="22"/>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Borders>
              <w:bottom w:val="single" w:sz="8" w:color="EBECEC"/>
            </w:tcBorders>
            <w:shd w:val="clear" w:color="auto" w:fill="EBECEC"/>
          </w:tcPr>
          <w:p>
            <w:pPr>
              <w:spacing w:after="0"/>
              <w:rPr>
                <w:sz w:val="22"/>
                <w:szCs w:val="22"/>
                <w:color w:val="auto"/>
              </w:rPr>
            </w:pPr>
          </w:p>
        </w:tc>
        <w:tc>
          <w:tcPr>
            <w:tcW w:w="180" w:type="dxa"/>
            <w:vAlign w:val="bottom"/>
            <w:tcBorders>
              <w:bottom w:val="single" w:sz="8" w:color="231F20"/>
            </w:tcBorders>
            <w:shd w:val="clear" w:color="auto" w:fill="EBECEC"/>
          </w:tcPr>
          <w:p>
            <w:pPr>
              <w:spacing w:after="0"/>
              <w:rPr>
                <w:sz w:val="22"/>
                <w:szCs w:val="22"/>
                <w:color w:val="auto"/>
              </w:rPr>
            </w:pPr>
          </w:p>
        </w:tc>
        <w:tc>
          <w:tcPr>
            <w:tcW w:w="13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19"/>
        </w:trPr>
        <w:tc>
          <w:tcPr>
            <w:tcW w:w="658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Outstanding at December 31, 2025</w:t>
            </w:r>
          </w:p>
        </w:tc>
        <w:tc>
          <w:tcPr>
            <w:tcW w:w="1520" w:type="dxa"/>
            <w:vAlign w:val="bottom"/>
            <w:tcBorders>
              <w:bottom w:val="single" w:sz="8" w:color="231F20"/>
            </w:tcBorders>
          </w:tcPr>
          <w:p>
            <w:pPr>
              <w:jc w:val="right"/>
              <w:ind w:right="22"/>
              <w:spacing w:after="0" w:line="219" w:lineRule="exact"/>
              <w:rPr>
                <w:sz w:val="20"/>
                <w:szCs w:val="20"/>
                <w:color w:val="auto"/>
              </w:rPr>
            </w:pPr>
            <w:r>
              <w:rPr>
                <w:rFonts w:ascii="Times New Roman" w:cs="Times New Roman" w:eastAsia="Times New Roman" w:hAnsi="Times New Roman"/>
                <w:sz w:val="20"/>
                <w:szCs w:val="20"/>
                <w:color w:val="231F20"/>
              </w:rPr>
              <w:t>79,220</w:t>
            </w:r>
          </w:p>
        </w:tc>
        <w:tc>
          <w:tcPr>
            <w:tcW w:w="140" w:type="dxa"/>
            <w:vAlign w:val="bottom"/>
          </w:tcPr>
          <w:p>
            <w:pPr>
              <w:spacing w:after="0"/>
              <w:rPr>
                <w:sz w:val="19"/>
                <w:szCs w:val="19"/>
                <w:color w:val="auto"/>
              </w:rPr>
            </w:pPr>
          </w:p>
        </w:tc>
        <w:tc>
          <w:tcPr>
            <w:tcW w:w="1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56.80</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Outstanding Warrants</w:t>
      </w:r>
    </w:p>
    <w:p>
      <w:pPr>
        <w:spacing w:after="0" w:line="23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231F20"/>
        </w:rPr>
        <w:t>In connection with the entry into the Third Amendment to the Hercules Loan Agreement, which the Company entered into in January 2023,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206"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231F20"/>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Upon full repayment of the Company’s obligations under the Hercules Loan Agreement, no additional warrants are issuable under the Hercules Loan Agreement.</w:t>
      </w:r>
    </w:p>
    <w:p>
      <w:pPr>
        <w:sectPr>
          <w:pgSz w:w="12240" w:h="15840" w:orient="portrait"/>
          <w:cols w:equalWidth="0" w:num="1">
            <w:col w:w="9720"/>
          </w:cols>
          <w:pgMar w:left="1260" w:top="1243"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F-31</w:t>
      </w:r>
    </w:p>
    <w:p>
      <w:pPr>
        <w:sectPr>
          <w:pgSz w:w="12240" w:h="15840" w:orient="portrait"/>
          <w:cols w:equalWidth="0" w:num="1">
            <w:col w:w="9720"/>
          </w:cols>
          <w:pgMar w:left="1260" w:top="1243" w:right="1260" w:bottom="186" w:gutter="0" w:footer="0" w:header="0"/>
          <w:type w:val="continuous"/>
        </w:sectPr>
      </w:pPr>
    </w:p>
    <w:bookmarkStart w:id="162" w:name="page163"/>
    <w:bookmarkEnd w:id="162"/>
    <w:p>
      <w:pPr>
        <w:ind w:right="80" w:firstLine="720"/>
        <w:spacing w:after="0" w:line="255" w:lineRule="exact"/>
        <w:rPr>
          <w:sz w:val="20"/>
          <w:szCs w:val="20"/>
          <w:color w:val="auto"/>
        </w:rPr>
      </w:pPr>
      <w:r>
        <w:rPr>
          <w:rFonts w:ascii="Times New Roman" w:cs="Times New Roman" w:eastAsia="Times New Roman" w:hAnsi="Times New Roman"/>
          <w:sz w:val="20"/>
          <w:szCs w:val="20"/>
          <w:color w:val="231F20"/>
        </w:rPr>
        <w:t>The initial fair value of warrants outstanding was estimated using the Black</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Scholes option pricing model with the following assumptions: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420" w:type="dxa"/>
            <w:vAlign w:val="bottom"/>
            <w:gridSpan w:val="2"/>
          </w:tcPr>
          <w:p>
            <w:pPr>
              <w:jc w:val="right"/>
              <w:ind w:right="44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420" w:type="dxa"/>
            <w:vAlign w:val="bottom"/>
            <w:gridSpan w:val="2"/>
          </w:tcPr>
          <w:p>
            <w:pPr>
              <w:jc w:val="right"/>
              <w:ind w:right="485"/>
              <w:spacing w:after="0"/>
              <w:rPr>
                <w:sz w:val="20"/>
                <w:szCs w:val="20"/>
                <w:color w:val="auto"/>
              </w:rPr>
            </w:pPr>
            <w:r>
              <w:rPr>
                <w:rFonts w:ascii="Times New Roman" w:cs="Times New Roman" w:eastAsia="Times New Roman" w:hAnsi="Times New Roman"/>
                <w:sz w:val="16"/>
                <w:szCs w:val="16"/>
                <w:b w:val="1"/>
                <w:bCs w:val="1"/>
                <w:color w:val="231F20"/>
              </w:rPr>
              <w:t>2022</w:t>
            </w:r>
          </w:p>
        </w:tc>
        <w:tc>
          <w:tcPr>
            <w:tcW w:w="1440" w:type="dxa"/>
            <w:vAlign w:val="bottom"/>
            <w:gridSpan w:val="2"/>
          </w:tcPr>
          <w:p>
            <w:pPr>
              <w:jc w:val="right"/>
              <w:ind w:right="505"/>
              <w:spacing w:after="0"/>
              <w:rPr>
                <w:sz w:val="20"/>
                <w:szCs w:val="20"/>
                <w:color w:val="auto"/>
              </w:rPr>
            </w:pPr>
            <w:r>
              <w:rPr>
                <w:rFonts w:ascii="Times New Roman" w:cs="Times New Roman" w:eastAsia="Times New Roman" w:hAnsi="Times New Roman"/>
                <w:sz w:val="16"/>
                <w:szCs w:val="16"/>
                <w:b w:val="1"/>
                <w:bCs w:val="1"/>
                <w:color w:val="231F20"/>
              </w:rPr>
              <w:t>2020</w:t>
            </w:r>
          </w:p>
        </w:tc>
      </w:tr>
      <w:tr>
        <w:trPr>
          <w:trHeight w:val="203"/>
        </w:trPr>
        <w:tc>
          <w:tcPr>
            <w:tcW w:w="54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Black-Scholes option valuation assumptions</w:t>
            </w:r>
          </w:p>
        </w:tc>
        <w:tc>
          <w:tcPr>
            <w:tcW w:w="120" w:type="dxa"/>
            <w:vAlign w:val="bottom"/>
            <w:tcBorders>
              <w:bottom w:val="single" w:sz="8" w:color="EBECEC"/>
            </w:tcBorders>
          </w:tcPr>
          <w:p>
            <w:pPr>
              <w:spacing w:after="0"/>
              <w:rPr>
                <w:sz w:val="17"/>
                <w:szCs w:val="17"/>
                <w:color w:val="auto"/>
              </w:rPr>
            </w:pPr>
          </w:p>
        </w:tc>
        <w:tc>
          <w:tcPr>
            <w:tcW w:w="1300" w:type="dxa"/>
            <w:vAlign w:val="bottom"/>
            <w:tcBorders>
              <w:bottom w:val="single" w:sz="8" w:color="231F20"/>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231F20"/>
              </w:rPr>
              <w:t>warrants</w:t>
            </w:r>
          </w:p>
        </w:tc>
        <w:tc>
          <w:tcPr>
            <w:tcW w:w="140" w:type="dxa"/>
            <w:vAlign w:val="bottom"/>
            <w:tcBorders>
              <w:bottom w:val="single" w:sz="8" w:color="EBECEC"/>
            </w:tcBorders>
          </w:tcPr>
          <w:p>
            <w:pPr>
              <w:spacing w:after="0"/>
              <w:rPr>
                <w:sz w:val="17"/>
                <w:szCs w:val="17"/>
                <w:color w:val="auto"/>
              </w:rPr>
            </w:pPr>
          </w:p>
        </w:tc>
        <w:tc>
          <w:tcPr>
            <w:tcW w:w="128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warrants</w:t>
            </w:r>
          </w:p>
        </w:tc>
        <w:tc>
          <w:tcPr>
            <w:tcW w:w="140" w:type="dxa"/>
            <w:vAlign w:val="bottom"/>
            <w:tcBorders>
              <w:bottom w:val="single" w:sz="8" w:color="EBECEC"/>
            </w:tcBorders>
          </w:tcPr>
          <w:p>
            <w:pPr>
              <w:spacing w:after="0"/>
              <w:rPr>
                <w:sz w:val="17"/>
                <w:szCs w:val="17"/>
                <w:color w:val="auto"/>
              </w:rPr>
            </w:pPr>
          </w:p>
        </w:tc>
        <w:tc>
          <w:tcPr>
            <w:tcW w:w="130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warrants</w:t>
            </w:r>
          </w:p>
        </w:tc>
      </w:tr>
      <w:tr>
        <w:trPr>
          <w:trHeight w:val="225"/>
        </w:trPr>
        <w:tc>
          <w:tcPr>
            <w:tcW w:w="5440" w:type="dxa"/>
            <w:vAlign w:val="bottom"/>
            <w:shd w:val="clear" w:color="auto" w:fill="EBECEC"/>
          </w:tcPr>
          <w:p>
            <w:pPr>
              <w:spacing w:after="0" w:line="225" w:lineRule="exact"/>
              <w:rPr>
                <w:sz w:val="20"/>
                <w:szCs w:val="20"/>
                <w:color w:val="auto"/>
              </w:rPr>
            </w:pPr>
            <w:r>
              <w:rPr>
                <w:rFonts w:ascii="Times New Roman" w:cs="Times New Roman" w:eastAsia="Times New Roman" w:hAnsi="Times New Roman"/>
                <w:sz w:val="20"/>
                <w:szCs w:val="20"/>
                <w:color w:val="231F20"/>
              </w:rPr>
              <w:t>Risk-free interest rate</w:t>
            </w:r>
          </w:p>
        </w:tc>
        <w:tc>
          <w:tcPr>
            <w:tcW w:w="120" w:type="dxa"/>
            <w:vAlign w:val="bottom"/>
            <w:shd w:val="clear" w:color="auto" w:fill="EBECEC"/>
          </w:tcPr>
          <w:p>
            <w:pPr>
              <w:spacing w:after="0"/>
              <w:rPr>
                <w:sz w:val="19"/>
                <w:szCs w:val="19"/>
                <w:color w:val="auto"/>
              </w:rPr>
            </w:pPr>
          </w:p>
        </w:tc>
        <w:tc>
          <w:tcPr>
            <w:tcW w:w="1300" w:type="dxa"/>
            <w:vAlign w:val="bottom"/>
            <w:shd w:val="clear" w:color="auto" w:fill="EBECEC"/>
          </w:tcPr>
          <w:p>
            <w:pPr>
              <w:jc w:val="right"/>
              <w:ind w:right="5"/>
              <w:spacing w:after="0" w:line="225" w:lineRule="exact"/>
              <w:rPr>
                <w:sz w:val="20"/>
                <w:szCs w:val="20"/>
                <w:color w:val="auto"/>
              </w:rPr>
            </w:pPr>
            <w:r>
              <w:rPr>
                <w:rFonts w:ascii="Times New Roman" w:cs="Times New Roman" w:eastAsia="Times New Roman" w:hAnsi="Times New Roman"/>
                <w:sz w:val="20"/>
                <w:szCs w:val="20"/>
                <w:color w:val="231F20"/>
              </w:rPr>
              <w:t>3.6 - 3.9%</w:t>
            </w:r>
          </w:p>
        </w:tc>
        <w:tc>
          <w:tcPr>
            <w:tcW w:w="140" w:type="dxa"/>
            <w:vAlign w:val="bottom"/>
            <w:shd w:val="clear" w:color="auto" w:fill="EBECEC"/>
          </w:tcPr>
          <w:p>
            <w:pPr>
              <w:spacing w:after="0"/>
              <w:rPr>
                <w:sz w:val="19"/>
                <w:szCs w:val="19"/>
                <w:color w:val="auto"/>
              </w:rPr>
            </w:pPr>
          </w:p>
        </w:tc>
        <w:tc>
          <w:tcPr>
            <w:tcW w:w="128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3.1%</w:t>
            </w:r>
          </w:p>
        </w:tc>
        <w:tc>
          <w:tcPr>
            <w:tcW w:w="140" w:type="dxa"/>
            <w:vAlign w:val="bottom"/>
            <w:shd w:val="clear" w:color="auto" w:fill="EBECEC"/>
          </w:tcPr>
          <w:p>
            <w:pPr>
              <w:spacing w:after="0"/>
              <w:rPr>
                <w:sz w:val="19"/>
                <w:szCs w:val="19"/>
                <w:color w:val="auto"/>
              </w:rPr>
            </w:pPr>
          </w:p>
        </w:tc>
        <w:tc>
          <w:tcPr>
            <w:tcW w:w="1300" w:type="dxa"/>
            <w:vAlign w:val="bottom"/>
            <w:shd w:val="clear" w:color="auto" w:fill="EBEC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0.5%</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231F20"/>
              </w:rPr>
              <w:t>Dividend yield</w:t>
            </w:r>
          </w:p>
        </w:tc>
        <w:tc>
          <w:tcPr>
            <w:tcW w:w="120" w:type="dxa"/>
            <w:vAlign w:val="bottom"/>
          </w:tcPr>
          <w:p>
            <w:pPr>
              <w:spacing w:after="0"/>
              <w:rPr>
                <w:sz w:val="20"/>
                <w:szCs w:val="20"/>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128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0"/>
                <w:szCs w:val="20"/>
                <w:color w:val="auto"/>
              </w:rPr>
            </w:pPr>
          </w:p>
        </w:tc>
        <w:tc>
          <w:tcPr>
            <w:tcW w:w="130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231F20"/>
              </w:rPr>
              <w:t>—</w:t>
            </w:r>
          </w:p>
        </w:tc>
      </w:tr>
      <w:tr>
        <w:trPr>
          <w:trHeight w:val="230"/>
        </w:trPr>
        <w:tc>
          <w:tcPr>
            <w:tcW w:w="54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Volatility</w:t>
            </w:r>
          </w:p>
        </w:tc>
        <w:tc>
          <w:tcPr>
            <w:tcW w:w="1420" w:type="dxa"/>
            <w:vAlign w:val="bottom"/>
            <w:gridSpan w:val="2"/>
            <w:shd w:val="clear" w:color="auto" w:fill="EBECEC"/>
          </w:tcPr>
          <w:p>
            <w:pPr>
              <w:jc w:val="right"/>
              <w:ind w:right="5"/>
              <w:spacing w:after="0"/>
              <w:rPr>
                <w:sz w:val="20"/>
                <w:szCs w:val="20"/>
                <w:color w:val="auto"/>
              </w:rPr>
            </w:pPr>
            <w:r>
              <w:rPr>
                <w:rFonts w:ascii="Times New Roman" w:cs="Times New Roman" w:eastAsia="Times New Roman" w:hAnsi="Times New Roman"/>
                <w:sz w:val="20"/>
                <w:szCs w:val="20"/>
                <w:color w:val="231F20"/>
              </w:rPr>
              <w:t>92 - 95%</w:t>
            </w:r>
          </w:p>
        </w:tc>
        <w:tc>
          <w:tcPr>
            <w:tcW w:w="142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144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88%</w:t>
            </w:r>
          </w:p>
        </w:tc>
      </w:tr>
      <w:tr>
        <w:trPr>
          <w:trHeight w:val="266"/>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contractual term</w:t>
            </w:r>
          </w:p>
        </w:tc>
        <w:tc>
          <w:tcPr>
            <w:tcW w:w="120" w:type="dxa"/>
            <w:vAlign w:val="bottom"/>
          </w:tcPr>
          <w:p>
            <w:pPr>
              <w:spacing w:after="0"/>
              <w:rPr>
                <w:sz w:val="23"/>
                <w:szCs w:val="23"/>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7 years</w:t>
            </w:r>
          </w:p>
        </w:tc>
        <w:tc>
          <w:tcPr>
            <w:tcW w:w="140" w:type="dxa"/>
            <w:vAlign w:val="bottom"/>
          </w:tcPr>
          <w:p>
            <w:pPr>
              <w:spacing w:after="0"/>
              <w:rPr>
                <w:sz w:val="23"/>
                <w:szCs w:val="23"/>
                <w:color w:val="auto"/>
              </w:rPr>
            </w:pPr>
          </w:p>
        </w:tc>
        <w:tc>
          <w:tcPr>
            <w:tcW w:w="128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231F20"/>
              </w:rPr>
              <w:t>7 years</w:t>
            </w:r>
          </w:p>
        </w:tc>
        <w:tc>
          <w:tcPr>
            <w:tcW w:w="140" w:type="dxa"/>
            <w:vAlign w:val="bottom"/>
          </w:tcPr>
          <w:p>
            <w:pPr>
              <w:spacing w:after="0"/>
              <w:rPr>
                <w:sz w:val="23"/>
                <w:szCs w:val="23"/>
                <w:color w:val="auto"/>
              </w:rPr>
            </w:pPr>
          </w:p>
        </w:tc>
        <w:tc>
          <w:tcPr>
            <w:tcW w:w="1300" w:type="dxa"/>
            <w:vAlign w:val="bottom"/>
          </w:tcPr>
          <w:p>
            <w:pPr>
              <w:jc w:val="right"/>
              <w:ind w:right="125"/>
              <w:spacing w:after="0"/>
              <w:rPr>
                <w:sz w:val="20"/>
                <w:szCs w:val="20"/>
                <w:color w:val="auto"/>
              </w:rPr>
            </w:pPr>
            <w:r>
              <w:rPr>
                <w:rFonts w:ascii="Times New Roman" w:cs="Times New Roman" w:eastAsia="Times New Roman" w:hAnsi="Times New Roman"/>
                <w:sz w:val="20"/>
                <w:szCs w:val="20"/>
                <w:color w:val="231F20"/>
              </w:rPr>
              <w:t>7 years</w:t>
            </w: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13. Net Loss per Common Share</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sets forth the computation of basic and diluted net loss per common share: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r>
      <w:tr>
        <w:trPr>
          <w:trHeight w:val="193"/>
        </w:trPr>
        <w:tc>
          <w:tcPr>
            <w:tcW w:w="5640" w:type="dxa"/>
            <w:vAlign w:val="bottom"/>
            <w:tcBorders>
              <w:bottom w:val="single" w:sz="8" w:color="EBECEC"/>
            </w:tcBorders>
          </w:tcPr>
          <w:p>
            <w:pPr>
              <w:spacing w:after="0"/>
              <w:rPr>
                <w:sz w:val="16"/>
                <w:szCs w:val="16"/>
                <w:color w:val="auto"/>
              </w:rPr>
            </w:pPr>
          </w:p>
        </w:tc>
        <w:tc>
          <w:tcPr>
            <w:tcW w:w="180" w:type="dxa"/>
            <w:vAlign w:val="bottom"/>
            <w:tcBorders>
              <w:bottom w:val="single" w:sz="8" w:color="231F20"/>
            </w:tcBorders>
          </w:tcPr>
          <w:p>
            <w:pPr>
              <w:spacing w:after="0"/>
              <w:rPr>
                <w:sz w:val="16"/>
                <w:szCs w:val="16"/>
                <w:color w:val="auto"/>
              </w:rPr>
            </w:pPr>
          </w:p>
        </w:tc>
        <w:tc>
          <w:tcPr>
            <w:tcW w:w="1080" w:type="dxa"/>
            <w:vAlign w:val="bottom"/>
            <w:tcBorders>
              <w:bottom w:val="single" w:sz="8" w:color="231F20"/>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Borders>
              <w:bottom w:val="single" w:sz="8" w:color="EBECEC"/>
            </w:tcBorders>
          </w:tcPr>
          <w:p>
            <w:pPr>
              <w:spacing w:after="0"/>
              <w:rPr>
                <w:sz w:val="16"/>
                <w:szCs w:val="16"/>
                <w:color w:val="auto"/>
              </w:rPr>
            </w:pPr>
          </w:p>
        </w:tc>
        <w:tc>
          <w:tcPr>
            <w:tcW w:w="18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20" w:type="dxa"/>
            <w:vAlign w:val="bottom"/>
            <w:tcBorders>
              <w:bottom w:val="single" w:sz="8" w:color="EBECEC"/>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80" w:type="dxa"/>
            <w:vAlign w:val="bottom"/>
            <w:tcBorders>
              <w:bottom w:val="single" w:sz="8" w:color="231F20"/>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231F20"/>
            </w:tcBorders>
          </w:tcPr>
          <w:p>
            <w:pPr>
              <w:spacing w:after="0"/>
              <w:rPr>
                <w:sz w:val="16"/>
                <w:szCs w:val="16"/>
                <w:color w:val="auto"/>
              </w:rPr>
            </w:pPr>
          </w:p>
        </w:tc>
      </w:tr>
      <w:tr>
        <w:trPr>
          <w:trHeight w:val="239"/>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Basic and diluted net loss per common share:</w:t>
            </w:r>
          </w:p>
        </w:tc>
        <w:tc>
          <w:tcPr>
            <w:tcW w:w="180" w:type="dxa"/>
            <w:vAlign w:val="bottom"/>
            <w:shd w:val="clear" w:color="auto" w:fill="EBECEC"/>
          </w:tcPr>
          <w:p>
            <w:pPr>
              <w:spacing w:after="0"/>
              <w:rPr>
                <w:sz w:val="20"/>
                <w:szCs w:val="20"/>
                <w:color w:val="auto"/>
              </w:rPr>
            </w:pPr>
          </w:p>
        </w:tc>
        <w:tc>
          <w:tcPr>
            <w:tcW w:w="1080" w:type="dxa"/>
            <w:vAlign w:val="bottom"/>
            <w:shd w:val="clear" w:color="auto" w:fill="EBECEC"/>
          </w:tcPr>
          <w:p>
            <w:pPr>
              <w:spacing w:after="0"/>
              <w:rPr>
                <w:sz w:val="20"/>
                <w:szCs w:val="20"/>
                <w:color w:val="auto"/>
              </w:rPr>
            </w:pPr>
          </w:p>
        </w:tc>
        <w:tc>
          <w:tcPr>
            <w:tcW w:w="140" w:type="dxa"/>
            <w:vAlign w:val="bottom"/>
            <w:shd w:val="clear" w:color="auto" w:fill="EBECEC"/>
          </w:tcPr>
          <w:p>
            <w:pPr>
              <w:spacing w:after="0"/>
              <w:rPr>
                <w:sz w:val="20"/>
                <w:szCs w:val="20"/>
                <w:color w:val="auto"/>
              </w:rPr>
            </w:pPr>
          </w:p>
        </w:tc>
        <w:tc>
          <w:tcPr>
            <w:tcW w:w="180" w:type="dxa"/>
            <w:vAlign w:val="bottom"/>
            <w:shd w:val="clear" w:color="auto" w:fill="EBECEC"/>
          </w:tcPr>
          <w:p>
            <w:pPr>
              <w:spacing w:after="0"/>
              <w:rPr>
                <w:sz w:val="20"/>
                <w:szCs w:val="20"/>
                <w:color w:val="auto"/>
              </w:rPr>
            </w:pPr>
          </w:p>
        </w:tc>
        <w:tc>
          <w:tcPr>
            <w:tcW w:w="1100" w:type="dxa"/>
            <w:vAlign w:val="bottom"/>
            <w:shd w:val="clear" w:color="auto" w:fill="EBECEC"/>
          </w:tcPr>
          <w:p>
            <w:pPr>
              <w:spacing w:after="0"/>
              <w:rPr>
                <w:sz w:val="20"/>
                <w:szCs w:val="20"/>
                <w:color w:val="auto"/>
              </w:rPr>
            </w:pPr>
          </w:p>
        </w:tc>
        <w:tc>
          <w:tcPr>
            <w:tcW w:w="120" w:type="dxa"/>
            <w:vAlign w:val="bottom"/>
            <w:shd w:val="clear" w:color="auto" w:fill="EBECEC"/>
          </w:tcPr>
          <w:p>
            <w:pPr>
              <w:spacing w:after="0"/>
              <w:rPr>
                <w:sz w:val="20"/>
                <w:szCs w:val="20"/>
                <w:color w:val="auto"/>
              </w:rPr>
            </w:pPr>
          </w:p>
        </w:tc>
        <w:tc>
          <w:tcPr>
            <w:tcW w:w="200" w:type="dxa"/>
            <w:vAlign w:val="bottom"/>
            <w:shd w:val="clear" w:color="auto" w:fill="EBECEC"/>
          </w:tcPr>
          <w:p>
            <w:pPr>
              <w:spacing w:after="0"/>
              <w:rPr>
                <w:sz w:val="20"/>
                <w:szCs w:val="20"/>
                <w:color w:val="auto"/>
              </w:rPr>
            </w:pPr>
          </w:p>
        </w:tc>
        <w:tc>
          <w:tcPr>
            <w:tcW w:w="980" w:type="dxa"/>
            <w:vAlign w:val="bottom"/>
            <w:shd w:val="clear" w:color="auto" w:fill="EBECEC"/>
          </w:tcPr>
          <w:p>
            <w:pPr>
              <w:spacing w:after="0"/>
              <w:rPr>
                <w:sz w:val="20"/>
                <w:szCs w:val="20"/>
                <w:color w:val="auto"/>
              </w:rPr>
            </w:pPr>
          </w:p>
        </w:tc>
        <w:tc>
          <w:tcPr>
            <w:tcW w:w="100" w:type="dxa"/>
            <w:vAlign w:val="bottom"/>
            <w:shd w:val="clear" w:color="auto" w:fill="EBECEC"/>
          </w:tcPr>
          <w:p>
            <w:pPr>
              <w:spacing w:after="0"/>
              <w:rPr>
                <w:sz w:val="20"/>
                <w:szCs w:val="20"/>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(183,174)</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(287,216)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(239,238)</w:t>
            </w:r>
          </w:p>
        </w:tc>
      </w:tr>
      <w:tr>
        <w:trPr>
          <w:trHeight w:val="224"/>
        </w:trPr>
        <w:tc>
          <w:tcPr>
            <w:tcW w:w="5640" w:type="dxa"/>
            <w:vAlign w:val="bottom"/>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Weighted average common shares outstanding—basic and</w:t>
            </w:r>
          </w:p>
        </w:tc>
        <w:tc>
          <w:tcPr>
            <w:tcW w:w="180" w:type="dxa"/>
            <w:vAlign w:val="bottom"/>
            <w:shd w:val="clear" w:color="auto" w:fill="EBECEC"/>
          </w:tcPr>
          <w:p>
            <w:pPr>
              <w:spacing w:after="0"/>
              <w:rPr>
                <w:sz w:val="19"/>
                <w:szCs w:val="19"/>
                <w:color w:val="auto"/>
              </w:rPr>
            </w:pPr>
          </w:p>
        </w:tc>
        <w:tc>
          <w:tcPr>
            <w:tcW w:w="1080" w:type="dxa"/>
            <w:vAlign w:val="bottom"/>
            <w:shd w:val="clear" w:color="auto" w:fill="EBECEC"/>
          </w:tcPr>
          <w:p>
            <w:pPr>
              <w:spacing w:after="0"/>
              <w:rPr>
                <w:sz w:val="19"/>
                <w:szCs w:val="19"/>
                <w:color w:val="auto"/>
              </w:rPr>
            </w:pPr>
          </w:p>
        </w:tc>
        <w:tc>
          <w:tcPr>
            <w:tcW w:w="140" w:type="dxa"/>
            <w:vAlign w:val="bottom"/>
            <w:shd w:val="clear" w:color="auto" w:fill="EBECEC"/>
          </w:tcPr>
          <w:p>
            <w:pPr>
              <w:spacing w:after="0"/>
              <w:rPr>
                <w:sz w:val="19"/>
                <w:szCs w:val="19"/>
                <w:color w:val="auto"/>
              </w:rPr>
            </w:pPr>
          </w:p>
        </w:tc>
        <w:tc>
          <w:tcPr>
            <w:tcW w:w="180" w:type="dxa"/>
            <w:vAlign w:val="bottom"/>
            <w:shd w:val="clear" w:color="auto" w:fill="EBECEC"/>
          </w:tcPr>
          <w:p>
            <w:pPr>
              <w:spacing w:after="0"/>
              <w:rPr>
                <w:sz w:val="19"/>
                <w:szCs w:val="19"/>
                <w:color w:val="auto"/>
              </w:rPr>
            </w:pPr>
          </w:p>
        </w:tc>
        <w:tc>
          <w:tcPr>
            <w:tcW w:w="1100" w:type="dxa"/>
            <w:vAlign w:val="bottom"/>
            <w:shd w:val="clear" w:color="auto" w:fill="EBECEC"/>
          </w:tcPr>
          <w:p>
            <w:pPr>
              <w:spacing w:after="0"/>
              <w:rPr>
                <w:sz w:val="19"/>
                <w:szCs w:val="19"/>
                <w:color w:val="auto"/>
              </w:rPr>
            </w:pPr>
          </w:p>
        </w:tc>
        <w:tc>
          <w:tcPr>
            <w:tcW w:w="120" w:type="dxa"/>
            <w:vAlign w:val="bottom"/>
            <w:shd w:val="clear" w:color="auto" w:fill="EBECEC"/>
          </w:tcPr>
          <w:p>
            <w:pPr>
              <w:spacing w:after="0"/>
              <w:rPr>
                <w:sz w:val="19"/>
                <w:szCs w:val="19"/>
                <w:color w:val="auto"/>
              </w:rPr>
            </w:pPr>
          </w:p>
        </w:tc>
        <w:tc>
          <w:tcPr>
            <w:tcW w:w="200" w:type="dxa"/>
            <w:vAlign w:val="bottom"/>
            <w:shd w:val="clear" w:color="auto" w:fill="EBECEC"/>
          </w:tcPr>
          <w:p>
            <w:pPr>
              <w:spacing w:after="0"/>
              <w:rPr>
                <w:sz w:val="19"/>
                <w:szCs w:val="19"/>
                <w:color w:val="auto"/>
              </w:rPr>
            </w:pPr>
          </w:p>
        </w:tc>
        <w:tc>
          <w:tcPr>
            <w:tcW w:w="98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r>
      <w:tr>
        <w:trPr>
          <w:trHeight w:val="269"/>
        </w:trPr>
        <w:tc>
          <w:tcPr>
            <w:tcW w:w="5640" w:type="dxa"/>
            <w:vAlign w:val="bottom"/>
            <w:tcBorders>
              <w:bottom w:val="single" w:sz="8" w:color="EBECEC"/>
            </w:tcBorders>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diluted</w:t>
            </w:r>
          </w:p>
        </w:tc>
        <w:tc>
          <w:tcPr>
            <w:tcW w:w="180" w:type="dxa"/>
            <w:vAlign w:val="bottom"/>
            <w:tcBorders>
              <w:bottom w:val="single" w:sz="8" w:color="231F20"/>
            </w:tcBorders>
            <w:shd w:val="clear" w:color="auto" w:fill="EBECEC"/>
          </w:tcPr>
          <w:p>
            <w:pPr>
              <w:spacing w:after="0"/>
              <w:rPr>
                <w:sz w:val="23"/>
                <w:szCs w:val="23"/>
                <w:color w:val="auto"/>
              </w:rPr>
            </w:pPr>
          </w:p>
        </w:tc>
        <w:tc>
          <w:tcPr>
            <w:tcW w:w="1080" w:type="dxa"/>
            <w:vAlign w:val="bottom"/>
            <w:tcBorders>
              <w:bottom w:val="single" w:sz="8" w:color="231F20"/>
            </w:tcBorders>
            <w:shd w:val="clear" w:color="auto" w:fill="EBECEC"/>
          </w:tcPr>
          <w:p>
            <w:pPr>
              <w:jc w:val="right"/>
              <w:ind w:right="8"/>
              <w:spacing w:after="0"/>
              <w:rPr>
                <w:sz w:val="20"/>
                <w:szCs w:val="20"/>
                <w:color w:val="auto"/>
              </w:rPr>
            </w:pPr>
            <w:r>
              <w:rPr>
                <w:rFonts w:ascii="Times New Roman" w:cs="Times New Roman" w:eastAsia="Times New Roman" w:hAnsi="Times New Roman"/>
                <w:sz w:val="20"/>
                <w:szCs w:val="20"/>
                <w:color w:val="231F20"/>
              </w:rPr>
              <w:t>49,747,178</w:t>
            </w:r>
          </w:p>
        </w:tc>
        <w:tc>
          <w:tcPr>
            <w:tcW w:w="140" w:type="dxa"/>
            <w:vAlign w:val="bottom"/>
            <w:tcBorders>
              <w:bottom w:val="single" w:sz="8" w:color="EBECEC"/>
            </w:tcBorders>
            <w:shd w:val="clear" w:color="auto" w:fill="EBECEC"/>
          </w:tcPr>
          <w:p>
            <w:pPr>
              <w:spacing w:after="0"/>
              <w:rPr>
                <w:sz w:val="23"/>
                <w:szCs w:val="23"/>
                <w:color w:val="auto"/>
              </w:rPr>
            </w:pPr>
          </w:p>
        </w:tc>
        <w:tc>
          <w:tcPr>
            <w:tcW w:w="180" w:type="dxa"/>
            <w:vAlign w:val="bottom"/>
            <w:tcBorders>
              <w:bottom w:val="single" w:sz="8" w:color="231F20"/>
            </w:tcBorders>
            <w:shd w:val="clear" w:color="auto" w:fill="EBECEC"/>
          </w:tcPr>
          <w:p>
            <w:pPr>
              <w:spacing w:after="0"/>
              <w:rPr>
                <w:sz w:val="23"/>
                <w:szCs w:val="23"/>
                <w:color w:val="auto"/>
              </w:rPr>
            </w:pPr>
          </w:p>
        </w:tc>
        <w:tc>
          <w:tcPr>
            <w:tcW w:w="1100" w:type="dxa"/>
            <w:vAlign w:val="bottom"/>
            <w:tcBorders>
              <w:bottom w:val="single" w:sz="8" w:color="231F20"/>
            </w:tcBorders>
            <w:shd w:val="clear" w:color="auto" w:fill="EBECEC"/>
          </w:tcPr>
          <w:p>
            <w:pPr>
              <w:jc w:val="right"/>
              <w:ind w:right="25"/>
              <w:spacing w:after="0"/>
              <w:rPr>
                <w:sz w:val="20"/>
                <w:szCs w:val="20"/>
                <w:color w:val="auto"/>
              </w:rPr>
            </w:pPr>
            <w:r>
              <w:rPr>
                <w:rFonts w:ascii="Times New Roman" w:cs="Times New Roman" w:eastAsia="Times New Roman" w:hAnsi="Times New Roman"/>
                <w:sz w:val="20"/>
                <w:szCs w:val="20"/>
                <w:color w:val="231F20"/>
              </w:rPr>
              <w:t>47,914,253</w:t>
            </w:r>
          </w:p>
        </w:tc>
        <w:tc>
          <w:tcPr>
            <w:tcW w:w="120" w:type="dxa"/>
            <w:vAlign w:val="bottom"/>
            <w:tcBorders>
              <w:bottom w:val="single" w:sz="8" w:color="EBECEC"/>
            </w:tcBorders>
            <w:shd w:val="clear" w:color="auto" w:fill="EBECEC"/>
          </w:tcPr>
          <w:p>
            <w:pPr>
              <w:spacing w:after="0"/>
              <w:rPr>
                <w:sz w:val="23"/>
                <w:szCs w:val="23"/>
                <w:color w:val="auto"/>
              </w:rPr>
            </w:pPr>
          </w:p>
        </w:tc>
        <w:tc>
          <w:tcPr>
            <w:tcW w:w="200" w:type="dxa"/>
            <w:vAlign w:val="bottom"/>
            <w:tcBorders>
              <w:bottom w:val="single" w:sz="8" w:color="231F20"/>
            </w:tcBorders>
            <w:shd w:val="clear" w:color="auto" w:fill="EBECEC"/>
          </w:tcPr>
          <w:p>
            <w:pPr>
              <w:spacing w:after="0"/>
              <w:rPr>
                <w:sz w:val="23"/>
                <w:szCs w:val="23"/>
                <w:color w:val="auto"/>
              </w:rPr>
            </w:pPr>
          </w:p>
        </w:tc>
        <w:tc>
          <w:tcPr>
            <w:tcW w:w="98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45,425,212</w:t>
            </w:r>
          </w:p>
        </w:tc>
        <w:tc>
          <w:tcPr>
            <w:tcW w:w="100" w:type="dxa"/>
            <w:vAlign w:val="bottom"/>
            <w:tcBorders>
              <w:bottom w:val="single" w:sz="8" w:color="231F20"/>
            </w:tcBorders>
            <w:shd w:val="clear" w:color="auto" w:fill="EBECEC"/>
          </w:tcPr>
          <w:p>
            <w:pPr>
              <w:spacing w:after="0"/>
              <w:rPr>
                <w:sz w:val="23"/>
                <w:szCs w:val="23"/>
                <w:color w:val="auto"/>
              </w:rPr>
            </w:pPr>
          </w:p>
        </w:tc>
      </w:tr>
      <w:tr>
        <w:trPr>
          <w:trHeight w:val="219"/>
        </w:trPr>
        <w:tc>
          <w:tcPr>
            <w:tcW w:w="56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Net loss per common share—basic and diluted</w:t>
            </w:r>
          </w:p>
        </w:tc>
        <w:tc>
          <w:tcPr>
            <w:tcW w:w="1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(3.68)</w:t>
            </w:r>
          </w:p>
        </w:tc>
        <w:tc>
          <w:tcPr>
            <w:tcW w:w="140" w:type="dxa"/>
            <w:vAlign w:val="bottom"/>
          </w:tcPr>
          <w:p>
            <w:pPr>
              <w:spacing w:after="0"/>
              <w:rPr>
                <w:sz w:val="19"/>
                <w:szCs w:val="19"/>
                <w:color w:val="auto"/>
              </w:rPr>
            </w:pPr>
          </w:p>
        </w:tc>
        <w:tc>
          <w:tcPr>
            <w:tcW w:w="1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(5.99)</w:t>
            </w:r>
          </w:p>
        </w:tc>
        <w:tc>
          <w:tcPr>
            <w:tcW w:w="120" w:type="dxa"/>
            <w:vAlign w:val="bottom"/>
          </w:tcPr>
          <w:p>
            <w:pPr>
              <w:spacing w:after="0"/>
              <w:rPr>
                <w:sz w:val="19"/>
                <w:szCs w:val="19"/>
                <w:color w:val="auto"/>
              </w:rPr>
            </w:pPr>
          </w:p>
        </w:tc>
        <w:tc>
          <w:tcPr>
            <w:tcW w:w="2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bottom w:val="single" w:sz="8" w:color="231F20"/>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rPr>
              <w:t>(5.27)</w:t>
            </w: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-962025</wp:posOffset>
            </wp:positionV>
            <wp:extent cx="257429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2574290" cy="38100"/>
                    </a:xfrm>
                    <a:prstGeom prst="rect">
                      <a:avLst/>
                    </a:prstGeom>
                    <a:noFill/>
                  </pic:spPr>
                </pic:pic>
              </a:graphicData>
            </a:graphic>
          </wp:anchor>
        </w:drawing>
      </w:r>
    </w:p>
    <w:p>
      <w:pPr>
        <w:spacing w:after="0" w:line="201" w:lineRule="exact"/>
        <w:rPr>
          <w:sz w:val="20"/>
          <w:szCs w:val="20"/>
          <w:color w:val="auto"/>
        </w:rPr>
      </w:pPr>
    </w:p>
    <w:p>
      <w:pPr>
        <w:ind w:right="460" w:firstLine="720"/>
        <w:spacing w:after="0" w:line="277" w:lineRule="auto"/>
        <w:rPr>
          <w:sz w:val="20"/>
          <w:szCs w:val="20"/>
          <w:color w:val="auto"/>
        </w:rPr>
      </w:pPr>
      <w:r>
        <w:rPr>
          <w:rFonts w:ascii="Times New Roman" w:cs="Times New Roman" w:eastAsia="Times New Roman" w:hAnsi="Times New Roman"/>
          <w:sz w:val="20"/>
          <w:szCs w:val="20"/>
          <w:color w:val="231F20"/>
        </w:rPr>
        <w:t>The following potentially dilutive securities have been excluded from the computation of diluted weighted average shares outstanding, as they would be anti-dilutive: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r>
      <w:tr>
        <w:trPr>
          <w:trHeight w:val="193"/>
        </w:trPr>
        <w:tc>
          <w:tcPr>
            <w:tcW w:w="5580" w:type="dxa"/>
            <w:vAlign w:val="bottom"/>
          </w:tcPr>
          <w:p>
            <w:pPr>
              <w:spacing w:after="0"/>
              <w:rPr>
                <w:sz w:val="16"/>
                <w:szCs w:val="16"/>
                <w:color w:val="auto"/>
              </w:rPr>
            </w:pPr>
          </w:p>
        </w:tc>
        <w:tc>
          <w:tcPr>
            <w:tcW w:w="130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40" w:type="dxa"/>
            <w:vAlign w:val="bottom"/>
            <w:gridSpan w:val="2"/>
          </w:tcPr>
          <w:p>
            <w:pPr>
              <w:jc w:val="right"/>
              <w:ind w:right="464"/>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Pr>
          <w:p>
            <w:pPr>
              <w:spacing w:after="0"/>
              <w:rPr>
                <w:sz w:val="16"/>
                <w:szCs w:val="16"/>
                <w:color w:val="auto"/>
              </w:rPr>
            </w:pPr>
          </w:p>
        </w:tc>
      </w:tr>
      <w:tr>
        <w:trPr>
          <w:trHeight w:val="239"/>
        </w:trPr>
        <w:tc>
          <w:tcPr>
            <w:tcW w:w="5580" w:type="dxa"/>
            <w:vAlign w:val="bottom"/>
            <w:tcBorders>
              <w:top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Stock options</w:t>
            </w:r>
          </w:p>
        </w:tc>
        <w:tc>
          <w:tcPr>
            <w:tcW w:w="1300" w:type="dxa"/>
            <w:vAlign w:val="bottom"/>
            <w:tcBorders>
              <w:top w:val="single" w:sz="8" w:color="231F20"/>
            </w:tcBorders>
            <w:shd w:val="clear" w:color="auto" w:fill="EBECEC"/>
          </w:tcPr>
          <w:p>
            <w:pPr>
              <w:jc w:val="right"/>
              <w:ind w:right="3"/>
              <w:spacing w:after="0"/>
              <w:rPr>
                <w:sz w:val="20"/>
                <w:szCs w:val="20"/>
                <w:color w:val="auto"/>
              </w:rPr>
            </w:pPr>
            <w:r>
              <w:rPr>
                <w:rFonts w:ascii="Times New Roman" w:cs="Times New Roman" w:eastAsia="Times New Roman" w:hAnsi="Times New Roman"/>
                <w:sz w:val="20"/>
                <w:szCs w:val="20"/>
                <w:color w:val="231F20"/>
              </w:rPr>
              <w:t>7,034,278</w:t>
            </w:r>
          </w:p>
        </w:tc>
        <w:tc>
          <w:tcPr>
            <w:tcW w:w="140" w:type="dxa"/>
            <w:vAlign w:val="bottom"/>
            <w:tcBorders>
              <w:top w:val="single" w:sz="8" w:color="EBECEC"/>
            </w:tcBorders>
            <w:shd w:val="clear" w:color="auto" w:fill="EBECEC"/>
          </w:tcPr>
          <w:p>
            <w:pPr>
              <w:spacing w:after="0"/>
              <w:rPr>
                <w:sz w:val="20"/>
                <w:szCs w:val="20"/>
                <w:color w:val="auto"/>
              </w:rPr>
            </w:pPr>
          </w:p>
        </w:tc>
        <w:tc>
          <w:tcPr>
            <w:tcW w:w="1300" w:type="dxa"/>
            <w:vAlign w:val="bottom"/>
            <w:tcBorders>
              <w:top w:val="single" w:sz="8" w:color="231F20"/>
            </w:tcBorders>
            <w:shd w:val="clear" w:color="auto" w:fill="EBECEC"/>
          </w:tcPr>
          <w:p>
            <w:pPr>
              <w:jc w:val="right"/>
              <w:ind w:right="24"/>
              <w:spacing w:after="0"/>
              <w:rPr>
                <w:sz w:val="20"/>
                <w:szCs w:val="20"/>
                <w:color w:val="auto"/>
              </w:rPr>
            </w:pPr>
            <w:r>
              <w:rPr>
                <w:rFonts w:ascii="Times New Roman" w:cs="Times New Roman" w:eastAsia="Times New Roman" w:hAnsi="Times New Roman"/>
                <w:sz w:val="20"/>
                <w:szCs w:val="20"/>
                <w:color w:val="231F20"/>
              </w:rPr>
              <w:t>8,439,121</w:t>
            </w:r>
          </w:p>
        </w:tc>
        <w:tc>
          <w:tcPr>
            <w:tcW w:w="120" w:type="dxa"/>
            <w:vAlign w:val="bottom"/>
            <w:tcBorders>
              <w:top w:val="single" w:sz="8" w:color="EBECEC"/>
            </w:tcBorders>
            <w:shd w:val="clear" w:color="auto" w:fill="EBECEC"/>
          </w:tcPr>
          <w:p>
            <w:pPr>
              <w:spacing w:after="0"/>
              <w:rPr>
                <w:sz w:val="20"/>
                <w:szCs w:val="20"/>
                <w:color w:val="auto"/>
              </w:rPr>
            </w:pPr>
          </w:p>
        </w:tc>
        <w:tc>
          <w:tcPr>
            <w:tcW w:w="120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8,462,294</w:t>
            </w:r>
          </w:p>
        </w:tc>
        <w:tc>
          <w:tcPr>
            <w:tcW w:w="80" w:type="dxa"/>
            <w:vAlign w:val="bottom"/>
            <w:tcBorders>
              <w:top w:val="single" w:sz="8" w:color="231F20"/>
            </w:tcBorders>
            <w:shd w:val="clear" w:color="auto" w:fill="EBECEC"/>
          </w:tcPr>
          <w:p>
            <w:pPr>
              <w:spacing w:after="0"/>
              <w:rPr>
                <w:sz w:val="20"/>
                <w:szCs w:val="20"/>
                <w:color w:val="auto"/>
              </w:rPr>
            </w:pPr>
          </w:p>
        </w:tc>
      </w:tr>
      <w:tr>
        <w:trPr>
          <w:trHeight w:val="24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231F20"/>
              </w:rPr>
              <w:t>Restricted stock units</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1,507,374</w:t>
            </w:r>
          </w:p>
        </w:tc>
        <w:tc>
          <w:tcPr>
            <w:tcW w:w="140" w:type="dxa"/>
            <w:vAlign w:val="bottom"/>
          </w:tcPr>
          <w:p>
            <w:pPr>
              <w:spacing w:after="0"/>
              <w:rPr>
                <w:sz w:val="21"/>
                <w:szCs w:val="21"/>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906,944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804,150</w:t>
            </w:r>
          </w:p>
        </w:tc>
        <w:tc>
          <w:tcPr>
            <w:tcW w:w="80" w:type="dxa"/>
            <w:vAlign w:val="bottom"/>
          </w:tcPr>
          <w:p>
            <w:pPr>
              <w:spacing w:after="0"/>
              <w:rPr>
                <w:sz w:val="21"/>
                <w:szCs w:val="21"/>
                <w:color w:val="auto"/>
              </w:rPr>
            </w:pPr>
          </w:p>
        </w:tc>
      </w:tr>
      <w:tr>
        <w:trPr>
          <w:trHeight w:val="244"/>
        </w:trPr>
        <w:tc>
          <w:tcPr>
            <w:tcW w:w="558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Performance stock units</w:t>
            </w:r>
          </w:p>
        </w:tc>
        <w:tc>
          <w:tcPr>
            <w:tcW w:w="1300" w:type="dxa"/>
            <w:vAlign w:val="bottom"/>
            <w:shd w:val="clear" w:color="auto" w:fill="EBECEC"/>
          </w:tcPr>
          <w:p>
            <w:pPr>
              <w:jc w:val="right"/>
              <w:ind w:right="3"/>
              <w:spacing w:after="0"/>
              <w:rPr>
                <w:sz w:val="20"/>
                <w:szCs w:val="20"/>
                <w:color w:val="auto"/>
              </w:rPr>
            </w:pPr>
            <w:r>
              <w:rPr>
                <w:rFonts w:ascii="Times New Roman" w:cs="Times New Roman" w:eastAsia="Times New Roman" w:hAnsi="Times New Roman"/>
                <w:sz w:val="20"/>
                <w:szCs w:val="20"/>
                <w:color w:val="231F20"/>
              </w:rPr>
              <w:t>64,281</w:t>
            </w:r>
          </w:p>
        </w:tc>
        <w:tc>
          <w:tcPr>
            <w:tcW w:w="140" w:type="dxa"/>
            <w:vAlign w:val="bottom"/>
            <w:shd w:val="clear" w:color="auto" w:fill="EBECEC"/>
          </w:tcPr>
          <w:p>
            <w:pPr>
              <w:spacing w:after="0"/>
              <w:rPr>
                <w:sz w:val="21"/>
                <w:szCs w:val="21"/>
                <w:color w:val="auto"/>
              </w:rPr>
            </w:pPr>
          </w:p>
        </w:tc>
        <w:tc>
          <w:tcPr>
            <w:tcW w:w="1300" w:type="dxa"/>
            <w:vAlign w:val="bottom"/>
            <w:shd w:val="clear" w:color="auto" w:fill="EBECEC"/>
          </w:tcPr>
          <w:p>
            <w:pPr>
              <w:jc w:val="right"/>
              <w:ind w:right="24"/>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BECEC"/>
          </w:tcPr>
          <w:p>
            <w:pPr>
              <w:spacing w:after="0"/>
              <w:rPr>
                <w:sz w:val="21"/>
                <w:szCs w:val="21"/>
                <w:color w:val="auto"/>
              </w:rPr>
            </w:pPr>
          </w:p>
        </w:tc>
        <w:tc>
          <w:tcPr>
            <w:tcW w:w="1280" w:type="dxa"/>
            <w:vAlign w:val="bottom"/>
            <w:gridSpan w:val="2"/>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231F20"/>
              </w:rPr>
              <w:t>Warrants</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79,220</w:t>
            </w:r>
          </w:p>
        </w:tc>
        <w:tc>
          <w:tcPr>
            <w:tcW w:w="1440" w:type="dxa"/>
            <w:vAlign w:val="bottom"/>
            <w:gridSpan w:val="2"/>
          </w:tcPr>
          <w:p>
            <w:pPr>
              <w:jc w:val="right"/>
              <w:ind w:right="24"/>
              <w:spacing w:after="0"/>
              <w:rPr>
                <w:sz w:val="20"/>
                <w:szCs w:val="20"/>
                <w:color w:val="auto"/>
              </w:rPr>
            </w:pPr>
            <w:r>
              <w:rPr>
                <w:rFonts w:ascii="Times New Roman" w:cs="Times New Roman" w:eastAsia="Times New Roman" w:hAnsi="Times New Roman"/>
                <w:sz w:val="20"/>
                <w:szCs w:val="20"/>
                <w:color w:val="231F20"/>
              </w:rPr>
              <w:t>79,220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79,220</w:t>
            </w:r>
          </w:p>
        </w:tc>
        <w:tc>
          <w:tcPr>
            <w:tcW w:w="80" w:type="dxa"/>
            <w:vAlign w:val="bottom"/>
          </w:tcPr>
          <w:p>
            <w:pPr>
              <w:spacing w:after="0"/>
              <w:rPr>
                <w:sz w:val="21"/>
                <w:szCs w:val="21"/>
                <w:color w:val="auto"/>
              </w:rPr>
            </w:pPr>
          </w:p>
        </w:tc>
      </w:tr>
      <w:tr>
        <w:trPr>
          <w:trHeight w:val="264"/>
        </w:trPr>
        <w:tc>
          <w:tcPr>
            <w:tcW w:w="558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ESPP</w:t>
            </w:r>
          </w:p>
        </w:tc>
        <w:tc>
          <w:tcPr>
            <w:tcW w:w="1300" w:type="dxa"/>
            <w:vAlign w:val="bottom"/>
            <w:shd w:val="clear" w:color="auto" w:fill="EBECEC"/>
          </w:tcPr>
          <w:p>
            <w:pPr>
              <w:jc w:val="right"/>
              <w:ind w:right="3"/>
              <w:spacing w:after="0"/>
              <w:rPr>
                <w:sz w:val="20"/>
                <w:szCs w:val="20"/>
                <w:color w:val="auto"/>
              </w:rPr>
            </w:pPr>
            <w:r>
              <w:rPr>
                <w:rFonts w:ascii="Times New Roman" w:cs="Times New Roman" w:eastAsia="Times New Roman" w:hAnsi="Times New Roman"/>
                <w:sz w:val="20"/>
                <w:szCs w:val="20"/>
                <w:color w:val="231F20"/>
              </w:rPr>
              <w:t>79,525</w:t>
            </w:r>
          </w:p>
        </w:tc>
        <w:tc>
          <w:tcPr>
            <w:tcW w:w="1440" w:type="dxa"/>
            <w:vAlign w:val="bottom"/>
            <w:gridSpan w:val="2"/>
            <w:shd w:val="clear" w:color="auto" w:fill="EBECEC"/>
          </w:tcPr>
          <w:p>
            <w:pPr>
              <w:jc w:val="right"/>
              <w:ind w:right="24"/>
              <w:spacing w:after="0"/>
              <w:rPr>
                <w:sz w:val="20"/>
                <w:szCs w:val="20"/>
                <w:color w:val="auto"/>
              </w:rPr>
            </w:pPr>
            <w:r>
              <w:rPr>
                <w:rFonts w:ascii="Times New Roman" w:cs="Times New Roman" w:eastAsia="Times New Roman" w:hAnsi="Times New Roman"/>
                <w:sz w:val="20"/>
                <w:szCs w:val="20"/>
                <w:color w:val="231F20"/>
              </w:rPr>
              <w:t>64,886</w:t>
            </w:r>
          </w:p>
        </w:tc>
        <w:tc>
          <w:tcPr>
            <w:tcW w:w="1320" w:type="dxa"/>
            <w:vAlign w:val="bottom"/>
            <w:gridSpan w:val="2"/>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56,760</w:t>
            </w:r>
          </w:p>
        </w:tc>
        <w:tc>
          <w:tcPr>
            <w:tcW w:w="80" w:type="dxa"/>
            <w:vAlign w:val="bottom"/>
            <w:shd w:val="clear" w:color="auto" w:fill="EBECEC"/>
          </w:tcPr>
          <w:p>
            <w:pPr>
              <w:spacing w:after="0"/>
              <w:rPr>
                <w:sz w:val="22"/>
                <w:szCs w:val="22"/>
                <w:color w:val="auto"/>
              </w:rPr>
            </w:pPr>
          </w:p>
        </w:tc>
      </w:tr>
      <w:tr>
        <w:trPr>
          <w:trHeight w:val="219"/>
        </w:trPr>
        <w:tc>
          <w:tcPr>
            <w:tcW w:w="5580" w:type="dxa"/>
            <w:vAlign w:val="bottom"/>
            <w:tcBorders>
              <w:top w:val="single" w:sz="8" w:color="EBECEC"/>
            </w:tcBorders>
          </w:tcPr>
          <w:p>
            <w:pPr>
              <w:spacing w:after="0" w:line="219" w:lineRule="exact"/>
              <w:rPr>
                <w:sz w:val="20"/>
                <w:szCs w:val="20"/>
                <w:color w:val="auto"/>
              </w:rPr>
            </w:pPr>
            <w:r>
              <w:rPr>
                <w:rFonts w:ascii="Times New Roman" w:cs="Times New Roman" w:eastAsia="Times New Roman" w:hAnsi="Times New Roman"/>
                <w:sz w:val="20"/>
                <w:szCs w:val="20"/>
                <w:color w:val="231F20"/>
              </w:rPr>
              <w:t>Total</w:t>
            </w:r>
          </w:p>
        </w:tc>
        <w:tc>
          <w:tcPr>
            <w:tcW w:w="1300" w:type="dxa"/>
            <w:vAlign w:val="bottom"/>
            <w:tcBorders>
              <w:top w:val="single" w:sz="8" w:color="231F20"/>
              <w:bottom w:val="single" w:sz="8" w:color="231F20"/>
            </w:tcBorders>
          </w:tcPr>
          <w:p>
            <w:pPr>
              <w:jc w:val="right"/>
              <w:ind w:right="3"/>
              <w:spacing w:after="0" w:line="219" w:lineRule="exact"/>
              <w:rPr>
                <w:sz w:val="20"/>
                <w:szCs w:val="20"/>
                <w:color w:val="auto"/>
              </w:rPr>
            </w:pPr>
            <w:r>
              <w:rPr>
                <w:rFonts w:ascii="Times New Roman" w:cs="Times New Roman" w:eastAsia="Times New Roman" w:hAnsi="Times New Roman"/>
                <w:sz w:val="20"/>
                <w:szCs w:val="20"/>
                <w:color w:val="231F20"/>
              </w:rPr>
              <w:t>8,764,678</w:t>
            </w:r>
          </w:p>
        </w:tc>
        <w:tc>
          <w:tcPr>
            <w:tcW w:w="140" w:type="dxa"/>
            <w:vAlign w:val="bottom"/>
            <w:tcBorders>
              <w:top w:val="single" w:sz="8" w:color="EBECEC"/>
            </w:tcBorders>
          </w:tcPr>
          <w:p>
            <w:pPr>
              <w:spacing w:after="0"/>
              <w:rPr>
                <w:sz w:val="19"/>
                <w:szCs w:val="19"/>
                <w:color w:val="auto"/>
              </w:rPr>
            </w:pPr>
          </w:p>
        </w:tc>
        <w:tc>
          <w:tcPr>
            <w:tcW w:w="1300" w:type="dxa"/>
            <w:vAlign w:val="bottom"/>
            <w:tcBorders>
              <w:top w:val="single" w:sz="8" w:color="231F20"/>
              <w:bottom w:val="single" w:sz="8" w:color="231F20"/>
            </w:tcBorders>
          </w:tcPr>
          <w:p>
            <w:pPr>
              <w:jc w:val="right"/>
              <w:ind w:right="24"/>
              <w:spacing w:after="0" w:line="219" w:lineRule="exact"/>
              <w:rPr>
                <w:sz w:val="20"/>
                <w:szCs w:val="20"/>
                <w:color w:val="auto"/>
              </w:rPr>
            </w:pPr>
            <w:r>
              <w:rPr>
                <w:rFonts w:ascii="Times New Roman" w:cs="Times New Roman" w:eastAsia="Times New Roman" w:hAnsi="Times New Roman"/>
                <w:sz w:val="20"/>
                <w:szCs w:val="20"/>
                <w:color w:val="231F20"/>
              </w:rPr>
              <w:t>9,490,171</w:t>
            </w:r>
          </w:p>
        </w:tc>
        <w:tc>
          <w:tcPr>
            <w:tcW w:w="120" w:type="dxa"/>
            <w:vAlign w:val="bottom"/>
            <w:tcBorders>
              <w:top w:val="single" w:sz="8" w:color="EBECEC"/>
            </w:tcBorders>
          </w:tcPr>
          <w:p>
            <w:pPr>
              <w:spacing w:after="0"/>
              <w:rPr>
                <w:sz w:val="19"/>
                <w:szCs w:val="19"/>
                <w:color w:val="auto"/>
              </w:rPr>
            </w:pPr>
          </w:p>
        </w:tc>
        <w:tc>
          <w:tcPr>
            <w:tcW w:w="12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9,402,424</w:t>
            </w:r>
          </w:p>
        </w:tc>
        <w:tc>
          <w:tcPr>
            <w:tcW w:w="80" w:type="dxa"/>
            <w:vAlign w:val="bottom"/>
            <w:tcBorders>
              <w:top w:val="single" w:sz="8" w:color="231F20"/>
              <w:bottom w:val="single" w:sz="8" w:color="231F20"/>
            </w:tcBorders>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-1125855</wp:posOffset>
            </wp:positionV>
            <wp:extent cx="261937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2619375" cy="3810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14. Revenues</w:t>
      </w:r>
    </w:p>
    <w:p>
      <w:pPr>
        <w:spacing w:after="0" w:line="244"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231F20"/>
        </w:rPr>
        <w:t>The Company sells AUVELITY, SUNOSI, and SYMBRAVO in the United States through the Distributors. The Company also sells SUNOSI to Distributors in Canada and on a product supply basis to Pharmanovia. SUNOSI is subsequently sold by Pharmanovia in certain ex-U.S. markets. For the year ended December 31, 2025, the Company’s three largest customers represented approximately 35%, 31%, and 25% of the Company’s gross product sales.</w:t>
      </w:r>
    </w:p>
    <w:p>
      <w:pPr>
        <w:spacing w:after="0" w:line="194"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231F20"/>
        </w:rPr>
        <w:t>License revenue consists of the recognition of the upfront payment the Company received from Pharmanovia in February 2023, royalty revenue related to the sales of SUNOSI by Pharmanovia in certain ex-U.S. markets, and a milestone revenue of $0.5 million related to an achievement of a regulatory milestone in China for SUNOSI from SK recorded in the fourth quarter of 2024.</w:t>
      </w:r>
    </w:p>
    <w:p>
      <w:pPr>
        <w:sectPr>
          <w:pgSz w:w="12240" w:h="15840" w:orient="portrait"/>
          <w:cols w:equalWidth="0" w:num="1">
            <w:col w:w="9720"/>
          </w:cols>
          <w:pgMar w:left="1260" w:top="1262"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F-32</w:t>
      </w:r>
    </w:p>
    <w:p>
      <w:pPr>
        <w:sectPr>
          <w:pgSz w:w="12240" w:h="15840" w:orient="portrait"/>
          <w:cols w:equalWidth="0" w:num="1">
            <w:col w:w="9720"/>
          </w:cols>
          <w:pgMar w:left="1260" w:top="1262" w:right="1260" w:bottom="186" w:gutter="0" w:footer="0" w:header="0"/>
          <w:type w:val="continuous"/>
        </w:sectPr>
      </w:pPr>
    </w:p>
    <w:bookmarkStart w:id="163" w:name="page164"/>
    <w:bookmarkEnd w:id="163"/>
    <w:p>
      <w:pPr>
        <w:ind w:left="720"/>
        <w:spacing w:after="0"/>
        <w:rPr>
          <w:sz w:val="20"/>
          <w:szCs w:val="20"/>
          <w:color w:val="auto"/>
        </w:rPr>
      </w:pPr>
      <w:r>
        <w:rPr>
          <w:rFonts w:ascii="Times New Roman" w:cs="Times New Roman" w:eastAsia="Times New Roman" w:hAnsi="Times New Roman"/>
          <w:sz w:val="20"/>
          <w:szCs w:val="20"/>
          <w:color w:val="231F20"/>
        </w:rPr>
        <w:t>The following table presents a summary of total revenues by product: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62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BECEC"/>
            </w:tcBorders>
          </w:tcPr>
          <w:p>
            <w:pPr>
              <w:spacing w:after="0"/>
              <w:rPr>
                <w:sz w:val="17"/>
                <w:szCs w:val="17"/>
                <w:color w:val="auto"/>
              </w:rPr>
            </w:pPr>
          </w:p>
        </w:tc>
      </w:tr>
      <w:tr>
        <w:trPr>
          <w:trHeight w:val="239"/>
        </w:trPr>
        <w:tc>
          <w:tcPr>
            <w:tcW w:w="56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Product sales, net</w:t>
            </w:r>
          </w:p>
        </w:tc>
        <w:tc>
          <w:tcPr>
            <w:tcW w:w="260" w:type="dxa"/>
            <w:vAlign w:val="bottom"/>
            <w:shd w:val="clear" w:color="auto" w:fill="EBECEC"/>
          </w:tcPr>
          <w:p>
            <w:pPr>
              <w:spacing w:after="0"/>
              <w:rPr>
                <w:sz w:val="20"/>
                <w:szCs w:val="20"/>
                <w:color w:val="auto"/>
              </w:rPr>
            </w:pPr>
          </w:p>
        </w:tc>
        <w:tc>
          <w:tcPr>
            <w:tcW w:w="92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spacing w:after="0"/>
              <w:rPr>
                <w:sz w:val="20"/>
                <w:szCs w:val="20"/>
                <w:color w:val="auto"/>
              </w:rPr>
            </w:pPr>
          </w:p>
        </w:tc>
        <w:tc>
          <w:tcPr>
            <w:tcW w:w="92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spacing w:after="0"/>
              <w:rPr>
                <w:sz w:val="20"/>
                <w:szCs w:val="20"/>
                <w:color w:val="auto"/>
              </w:rPr>
            </w:pPr>
          </w:p>
        </w:tc>
        <w:tc>
          <w:tcPr>
            <w:tcW w:w="92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r>
      <w:tr>
        <w:trPr>
          <w:trHeight w:val="244"/>
        </w:trPr>
        <w:tc>
          <w:tcPr>
            <w:tcW w:w="56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Auvelity</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507,093</w:t>
            </w:r>
          </w:p>
        </w:tc>
        <w:tc>
          <w:tcPr>
            <w:tcW w:w="24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291,378</w:t>
            </w:r>
          </w:p>
        </w:tc>
        <w:tc>
          <w:tcPr>
            <w:tcW w:w="24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130,072</w:t>
            </w:r>
          </w:p>
        </w:tc>
        <w:tc>
          <w:tcPr>
            <w:tcW w:w="80" w:type="dxa"/>
            <w:vAlign w:val="bottom"/>
          </w:tcPr>
          <w:p>
            <w:pPr>
              <w:spacing w:after="0"/>
              <w:rPr>
                <w:sz w:val="21"/>
                <w:szCs w:val="21"/>
                <w:color w:val="auto"/>
              </w:rPr>
            </w:pPr>
          </w:p>
        </w:tc>
      </w:tr>
      <w:tr>
        <w:trPr>
          <w:trHeight w:val="244"/>
        </w:trPr>
        <w:tc>
          <w:tcPr>
            <w:tcW w:w="56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Sunosi</w:t>
            </w: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120,093</w:t>
            </w:r>
          </w:p>
        </w:tc>
        <w:tc>
          <w:tcPr>
            <w:tcW w:w="24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90,299</w:t>
            </w:r>
          </w:p>
        </w:tc>
        <w:tc>
          <w:tcPr>
            <w:tcW w:w="24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72,388</w:t>
            </w:r>
          </w:p>
        </w:tc>
        <w:tc>
          <w:tcPr>
            <w:tcW w:w="80" w:type="dxa"/>
            <w:vAlign w:val="bottom"/>
            <w:shd w:val="clear" w:color="auto" w:fill="EBECEC"/>
          </w:tcPr>
          <w:p>
            <w:pPr>
              <w:spacing w:after="0"/>
              <w:rPr>
                <w:sz w:val="21"/>
                <w:szCs w:val="21"/>
                <w:color w:val="auto"/>
              </w:rPr>
            </w:pPr>
          </w:p>
        </w:tc>
      </w:tr>
      <w:tr>
        <w:trPr>
          <w:trHeight w:val="244"/>
        </w:trPr>
        <w:tc>
          <w:tcPr>
            <w:tcW w:w="562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Symbravo</w:t>
            </w: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6,610</w:t>
            </w:r>
          </w:p>
        </w:tc>
        <w:tc>
          <w:tcPr>
            <w:tcW w:w="240" w:type="dxa"/>
            <w:vAlign w:val="bottom"/>
            <w:tcBorders>
              <w:bottom w:val="single" w:sz="8" w:color="EBECEC"/>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Borders>
              <w:bottom w:val="single" w:sz="8" w:color="EBECEC"/>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Borders>
              <w:bottom w:val="single" w:sz="8" w:color="EBECEC"/>
            </w:tcBorders>
          </w:tcPr>
          <w:p>
            <w:pPr>
              <w:spacing w:after="0"/>
              <w:rPr>
                <w:sz w:val="21"/>
                <w:szCs w:val="21"/>
                <w:color w:val="auto"/>
              </w:rPr>
            </w:pPr>
          </w:p>
        </w:tc>
      </w:tr>
      <w:tr>
        <w:trPr>
          <w:trHeight w:val="239"/>
        </w:trPr>
        <w:tc>
          <w:tcPr>
            <w:tcW w:w="56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 product sales, net</w:t>
            </w:r>
          </w:p>
        </w:tc>
        <w:tc>
          <w:tcPr>
            <w:tcW w:w="260" w:type="dxa"/>
            <w:vAlign w:val="bottom"/>
            <w:shd w:val="clear" w:color="auto" w:fill="EBECEC"/>
          </w:tcPr>
          <w:p>
            <w:pPr>
              <w:spacing w:after="0"/>
              <w:rPr>
                <w:sz w:val="20"/>
                <w:szCs w:val="20"/>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633,796</w:t>
            </w: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spacing w:after="0"/>
              <w:rPr>
                <w:sz w:val="20"/>
                <w:szCs w:val="20"/>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381,677</w:t>
            </w: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spacing w:after="0"/>
              <w:rPr>
                <w:sz w:val="20"/>
                <w:szCs w:val="20"/>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202,460</w:t>
            </w:r>
          </w:p>
        </w:tc>
        <w:tc>
          <w:tcPr>
            <w:tcW w:w="80" w:type="dxa"/>
            <w:vAlign w:val="bottom"/>
            <w:shd w:val="clear" w:color="auto" w:fill="EBECEC"/>
          </w:tcPr>
          <w:p>
            <w:pPr>
              <w:spacing w:after="0"/>
              <w:rPr>
                <w:sz w:val="20"/>
                <w:szCs w:val="20"/>
                <w:color w:val="auto"/>
              </w:rPr>
            </w:pPr>
          </w:p>
        </w:tc>
      </w:tr>
      <w:tr>
        <w:trPr>
          <w:trHeight w:val="244"/>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Sunosi license revenue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65,735</w:t>
            </w:r>
          </w:p>
        </w:tc>
        <w:tc>
          <w:tcPr>
            <w:tcW w:w="80" w:type="dxa"/>
            <w:vAlign w:val="bottom"/>
          </w:tcPr>
          <w:p>
            <w:pPr>
              <w:spacing w:after="0"/>
              <w:rPr>
                <w:sz w:val="21"/>
                <w:szCs w:val="21"/>
                <w:color w:val="auto"/>
              </w:rPr>
            </w:pPr>
          </w:p>
        </w:tc>
      </w:tr>
      <w:tr>
        <w:trPr>
          <w:trHeight w:val="244"/>
        </w:trPr>
        <w:tc>
          <w:tcPr>
            <w:tcW w:w="56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Sunosi royalty and milestone revenue</w:t>
            </w:r>
          </w:p>
        </w:tc>
        <w:tc>
          <w:tcPr>
            <w:tcW w:w="260" w:type="dxa"/>
            <w:vAlign w:val="bottom"/>
            <w:tcBorders>
              <w:bottom w:val="single" w:sz="8" w:color="231F20"/>
            </w:tcBorders>
            <w:shd w:val="clear" w:color="auto" w:fill="EBECEC"/>
          </w:tcPr>
          <w:p>
            <w:pPr>
              <w:spacing w:after="0"/>
              <w:rPr>
                <w:sz w:val="21"/>
                <w:szCs w:val="21"/>
                <w:color w:val="auto"/>
              </w:rPr>
            </w:pP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4,700</w:t>
            </w:r>
          </w:p>
        </w:tc>
        <w:tc>
          <w:tcPr>
            <w:tcW w:w="240" w:type="dxa"/>
            <w:vAlign w:val="bottom"/>
            <w:shd w:val="clear" w:color="auto" w:fill="EBECEC"/>
          </w:tcPr>
          <w:p>
            <w:pPr>
              <w:spacing w:after="0"/>
              <w:rPr>
                <w:sz w:val="21"/>
                <w:szCs w:val="21"/>
                <w:color w:val="auto"/>
              </w:rPr>
            </w:pPr>
          </w:p>
        </w:tc>
        <w:tc>
          <w:tcPr>
            <w:tcW w:w="260" w:type="dxa"/>
            <w:vAlign w:val="bottom"/>
            <w:tcBorders>
              <w:bottom w:val="single" w:sz="8" w:color="231F20"/>
            </w:tcBorders>
            <w:shd w:val="clear" w:color="auto" w:fill="EBECEC"/>
          </w:tcPr>
          <w:p>
            <w:pPr>
              <w:spacing w:after="0"/>
              <w:rPr>
                <w:sz w:val="21"/>
                <w:szCs w:val="21"/>
                <w:color w:val="auto"/>
              </w:rPr>
            </w:pP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4,016</w:t>
            </w:r>
          </w:p>
        </w:tc>
        <w:tc>
          <w:tcPr>
            <w:tcW w:w="240" w:type="dxa"/>
            <w:vAlign w:val="bottom"/>
            <w:shd w:val="clear" w:color="auto" w:fill="EBECEC"/>
          </w:tcPr>
          <w:p>
            <w:pPr>
              <w:spacing w:after="0"/>
              <w:rPr>
                <w:sz w:val="21"/>
                <w:szCs w:val="21"/>
                <w:color w:val="auto"/>
              </w:rPr>
            </w:pPr>
          </w:p>
        </w:tc>
        <w:tc>
          <w:tcPr>
            <w:tcW w:w="260" w:type="dxa"/>
            <w:vAlign w:val="bottom"/>
            <w:tcBorders>
              <w:bottom w:val="single" w:sz="8" w:color="231F20"/>
            </w:tcBorders>
            <w:shd w:val="clear" w:color="auto" w:fill="EBECEC"/>
          </w:tcPr>
          <w:p>
            <w:pPr>
              <w:spacing w:after="0"/>
              <w:rPr>
                <w:sz w:val="21"/>
                <w:szCs w:val="21"/>
                <w:color w:val="auto"/>
              </w:rPr>
            </w:pP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2,405</w:t>
            </w:r>
          </w:p>
        </w:tc>
        <w:tc>
          <w:tcPr>
            <w:tcW w:w="80" w:type="dxa"/>
            <w:vAlign w:val="bottom"/>
            <w:shd w:val="clear" w:color="auto" w:fill="EBECEC"/>
          </w:tcPr>
          <w:p>
            <w:pPr>
              <w:spacing w:after="0"/>
              <w:rPr>
                <w:sz w:val="21"/>
                <w:szCs w:val="21"/>
                <w:color w:val="auto"/>
              </w:rPr>
            </w:pPr>
          </w:p>
        </w:tc>
      </w:tr>
      <w:tr>
        <w:trPr>
          <w:trHeight w:val="278"/>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Total revenues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638,496</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385,693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270,600</w:t>
            </w:r>
          </w:p>
        </w:tc>
        <w:tc>
          <w:tcPr>
            <w:tcW w:w="80" w:type="dxa"/>
            <w:vAlign w:val="bottom"/>
          </w:tcPr>
          <w:p>
            <w:pPr>
              <w:spacing w:after="0"/>
              <w:rPr>
                <w:sz w:val="24"/>
                <w:szCs w:val="24"/>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-1470025</wp:posOffset>
            </wp:positionV>
            <wp:extent cx="259905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2599055" cy="38100"/>
                    </a:xfrm>
                    <a:prstGeom prst="rect">
                      <a:avLst/>
                    </a:prstGeom>
                    <a:noFill/>
                  </pic:spPr>
                </pic:pic>
              </a:graphicData>
            </a:graphic>
          </wp:anchor>
        </w:drawing>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following table presents a summary of total revenues by geographic location: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060" w:type="dxa"/>
            <w:vAlign w:val="bottom"/>
            <w:tcBorders>
              <w:bottom w:val="single" w:sz="8" w:color="EBECEC"/>
            </w:tcBorders>
          </w:tcPr>
          <w:p>
            <w:pPr>
              <w:spacing w:after="0"/>
              <w:rPr>
                <w:sz w:val="17"/>
                <w:szCs w:val="17"/>
                <w:color w:val="auto"/>
              </w:rPr>
            </w:pPr>
          </w:p>
        </w:tc>
        <w:tc>
          <w:tcPr>
            <w:tcW w:w="156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BECEC"/>
            </w:tcBorders>
          </w:tcPr>
          <w:p>
            <w:pPr>
              <w:spacing w:after="0"/>
              <w:rPr>
                <w:sz w:val="17"/>
                <w:szCs w:val="17"/>
                <w:color w:val="auto"/>
              </w:rPr>
            </w:pPr>
          </w:p>
        </w:tc>
      </w:tr>
      <w:tr>
        <w:trPr>
          <w:trHeight w:val="239"/>
        </w:trPr>
        <w:tc>
          <w:tcPr>
            <w:tcW w:w="40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Product sales, net</w:t>
            </w:r>
          </w:p>
        </w:tc>
        <w:tc>
          <w:tcPr>
            <w:tcW w:w="1560" w:type="dxa"/>
            <w:vAlign w:val="bottom"/>
            <w:shd w:val="clear" w:color="auto" w:fill="EBECEC"/>
          </w:tcPr>
          <w:p>
            <w:pPr>
              <w:spacing w:after="0"/>
              <w:rPr>
                <w:sz w:val="20"/>
                <w:szCs w:val="20"/>
                <w:color w:val="auto"/>
              </w:rPr>
            </w:pPr>
          </w:p>
        </w:tc>
        <w:tc>
          <w:tcPr>
            <w:tcW w:w="260" w:type="dxa"/>
            <w:vAlign w:val="bottom"/>
            <w:shd w:val="clear" w:color="auto" w:fill="EBECEC"/>
          </w:tcPr>
          <w:p>
            <w:pPr>
              <w:spacing w:after="0"/>
              <w:rPr>
                <w:sz w:val="20"/>
                <w:szCs w:val="20"/>
                <w:color w:val="auto"/>
              </w:rPr>
            </w:pPr>
          </w:p>
        </w:tc>
        <w:tc>
          <w:tcPr>
            <w:tcW w:w="92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spacing w:after="0"/>
              <w:rPr>
                <w:sz w:val="20"/>
                <w:szCs w:val="20"/>
                <w:color w:val="auto"/>
              </w:rPr>
            </w:pPr>
          </w:p>
        </w:tc>
        <w:tc>
          <w:tcPr>
            <w:tcW w:w="920" w:type="dxa"/>
            <w:vAlign w:val="bottom"/>
            <w:shd w:val="clear" w:color="auto" w:fill="EBECEC"/>
          </w:tcPr>
          <w:p>
            <w:pPr>
              <w:spacing w:after="0"/>
              <w:rPr>
                <w:sz w:val="20"/>
                <w:szCs w:val="20"/>
                <w:color w:val="auto"/>
              </w:rPr>
            </w:pP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spacing w:after="0"/>
              <w:rPr>
                <w:sz w:val="20"/>
                <w:szCs w:val="20"/>
                <w:color w:val="auto"/>
              </w:rPr>
            </w:pPr>
          </w:p>
        </w:tc>
        <w:tc>
          <w:tcPr>
            <w:tcW w:w="920" w:type="dxa"/>
            <w:vAlign w:val="bottom"/>
            <w:shd w:val="clear" w:color="auto" w:fill="EBECEC"/>
          </w:tcPr>
          <w:p>
            <w:pPr>
              <w:spacing w:after="0"/>
              <w:rPr>
                <w:sz w:val="20"/>
                <w:szCs w:val="20"/>
                <w:color w:val="auto"/>
              </w:rPr>
            </w:pPr>
          </w:p>
        </w:tc>
        <w:tc>
          <w:tcPr>
            <w:tcW w:w="80" w:type="dxa"/>
            <w:vAlign w:val="bottom"/>
            <w:shd w:val="clear" w:color="auto" w:fill="EBECEC"/>
          </w:tcPr>
          <w:p>
            <w:pPr>
              <w:spacing w:after="0"/>
              <w:rPr>
                <w:sz w:val="20"/>
                <w:szCs w:val="20"/>
                <w:color w:val="auto"/>
              </w:rPr>
            </w:pPr>
          </w:p>
        </w:tc>
      </w:tr>
      <w:tr>
        <w:trPr>
          <w:trHeight w:val="244"/>
        </w:trPr>
        <w:tc>
          <w:tcPr>
            <w:tcW w:w="40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United States</w:t>
            </w:r>
          </w:p>
        </w:tc>
        <w:tc>
          <w:tcPr>
            <w:tcW w:w="156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628,617</w:t>
            </w:r>
          </w:p>
        </w:tc>
        <w:tc>
          <w:tcPr>
            <w:tcW w:w="24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378,159</w:t>
            </w:r>
          </w:p>
        </w:tc>
        <w:tc>
          <w:tcPr>
            <w:tcW w:w="24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197,224</w:t>
            </w:r>
          </w:p>
        </w:tc>
        <w:tc>
          <w:tcPr>
            <w:tcW w:w="80" w:type="dxa"/>
            <w:vAlign w:val="bottom"/>
          </w:tcPr>
          <w:p>
            <w:pPr>
              <w:spacing w:after="0"/>
              <w:rPr>
                <w:sz w:val="21"/>
                <w:szCs w:val="21"/>
                <w:color w:val="auto"/>
              </w:rPr>
            </w:pPr>
          </w:p>
        </w:tc>
      </w:tr>
      <w:tr>
        <w:trPr>
          <w:trHeight w:val="264"/>
        </w:trPr>
        <w:tc>
          <w:tcPr>
            <w:tcW w:w="4060" w:type="dxa"/>
            <w:vAlign w:val="bottom"/>
            <w:tcBorders>
              <w:bottom w:val="single" w:sz="8" w:color="EBECEC"/>
            </w:tcBorders>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Outside of the United States</w:t>
            </w:r>
          </w:p>
        </w:tc>
        <w:tc>
          <w:tcPr>
            <w:tcW w:w="1560" w:type="dxa"/>
            <w:vAlign w:val="bottom"/>
            <w:tcBorders>
              <w:bottom w:val="single" w:sz="8" w:color="EBECEC"/>
            </w:tcBorders>
            <w:shd w:val="clear" w:color="auto" w:fill="EBECEC"/>
          </w:tcPr>
          <w:p>
            <w:pPr>
              <w:spacing w:after="0"/>
              <w:rPr>
                <w:sz w:val="22"/>
                <w:szCs w:val="22"/>
                <w:color w:val="auto"/>
              </w:rPr>
            </w:pPr>
          </w:p>
        </w:tc>
        <w:tc>
          <w:tcPr>
            <w:tcW w:w="260" w:type="dxa"/>
            <w:vAlign w:val="bottom"/>
            <w:tcBorders>
              <w:bottom w:val="single" w:sz="8" w:color="231F20"/>
            </w:tcBorders>
            <w:shd w:val="clear" w:color="auto" w:fill="EBECEC"/>
          </w:tcPr>
          <w:p>
            <w:pPr>
              <w:spacing w:after="0"/>
              <w:rPr>
                <w:sz w:val="22"/>
                <w:szCs w:val="22"/>
                <w:color w:val="auto"/>
              </w:rPr>
            </w:pP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5,179</w:t>
            </w:r>
          </w:p>
        </w:tc>
        <w:tc>
          <w:tcPr>
            <w:tcW w:w="240" w:type="dxa"/>
            <w:vAlign w:val="bottom"/>
            <w:tcBorders>
              <w:bottom w:val="single" w:sz="8" w:color="EBECEC"/>
            </w:tcBorders>
            <w:shd w:val="clear" w:color="auto" w:fill="EBECEC"/>
          </w:tcPr>
          <w:p>
            <w:pPr>
              <w:spacing w:after="0"/>
              <w:rPr>
                <w:sz w:val="22"/>
                <w:szCs w:val="22"/>
                <w:color w:val="auto"/>
              </w:rPr>
            </w:pPr>
          </w:p>
        </w:tc>
        <w:tc>
          <w:tcPr>
            <w:tcW w:w="260" w:type="dxa"/>
            <w:vAlign w:val="bottom"/>
            <w:tcBorders>
              <w:bottom w:val="single" w:sz="8" w:color="231F20"/>
            </w:tcBorders>
            <w:shd w:val="clear" w:color="auto" w:fill="EBECEC"/>
          </w:tcPr>
          <w:p>
            <w:pPr>
              <w:spacing w:after="0"/>
              <w:rPr>
                <w:sz w:val="22"/>
                <w:szCs w:val="22"/>
                <w:color w:val="auto"/>
              </w:rPr>
            </w:pP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3,518</w:t>
            </w:r>
          </w:p>
        </w:tc>
        <w:tc>
          <w:tcPr>
            <w:tcW w:w="240" w:type="dxa"/>
            <w:vAlign w:val="bottom"/>
            <w:tcBorders>
              <w:bottom w:val="single" w:sz="8" w:color="EBECEC"/>
            </w:tcBorders>
            <w:shd w:val="clear" w:color="auto" w:fill="EBECEC"/>
          </w:tcPr>
          <w:p>
            <w:pPr>
              <w:spacing w:after="0"/>
              <w:rPr>
                <w:sz w:val="22"/>
                <w:szCs w:val="22"/>
                <w:color w:val="auto"/>
              </w:rPr>
            </w:pPr>
          </w:p>
        </w:tc>
        <w:tc>
          <w:tcPr>
            <w:tcW w:w="260" w:type="dxa"/>
            <w:vAlign w:val="bottom"/>
            <w:tcBorders>
              <w:bottom w:val="single" w:sz="8" w:color="231F20"/>
            </w:tcBorders>
            <w:shd w:val="clear" w:color="auto" w:fill="EBECEC"/>
          </w:tcPr>
          <w:p>
            <w:pPr>
              <w:spacing w:after="0"/>
              <w:rPr>
                <w:sz w:val="22"/>
                <w:szCs w:val="22"/>
                <w:color w:val="auto"/>
              </w:rPr>
            </w:pP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5,236</w:t>
            </w:r>
          </w:p>
        </w:tc>
        <w:tc>
          <w:tcPr>
            <w:tcW w:w="80" w:type="dxa"/>
            <w:vAlign w:val="bottom"/>
            <w:tcBorders>
              <w:bottom w:val="single" w:sz="8" w:color="EBECEC"/>
            </w:tcBorders>
            <w:shd w:val="clear" w:color="auto" w:fill="EBECEC"/>
          </w:tcPr>
          <w:p>
            <w:pPr>
              <w:spacing w:after="0"/>
              <w:rPr>
                <w:sz w:val="22"/>
                <w:szCs w:val="22"/>
                <w:color w:val="auto"/>
              </w:rPr>
            </w:pPr>
          </w:p>
        </w:tc>
      </w:tr>
      <w:tr>
        <w:trPr>
          <w:trHeight w:val="219"/>
        </w:trPr>
        <w:tc>
          <w:tcPr>
            <w:tcW w:w="40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product sales, net</w:t>
            </w: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633,796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381,677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202,460</w:t>
            </w:r>
          </w:p>
        </w:tc>
        <w:tc>
          <w:tcPr>
            <w:tcW w:w="80" w:type="dxa"/>
            <w:vAlign w:val="bottom"/>
          </w:tcPr>
          <w:p>
            <w:pPr>
              <w:spacing w:after="0"/>
              <w:rPr>
                <w:sz w:val="19"/>
                <w:szCs w:val="19"/>
                <w:color w:val="auto"/>
              </w:rPr>
            </w:pPr>
          </w:p>
        </w:tc>
      </w:tr>
      <w:tr>
        <w:trPr>
          <w:trHeight w:val="244"/>
        </w:trPr>
        <w:tc>
          <w:tcPr>
            <w:tcW w:w="40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License revenue</w:t>
            </w:r>
          </w:p>
        </w:tc>
        <w:tc>
          <w:tcPr>
            <w:tcW w:w="156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spacing w:after="0"/>
              <w:rPr>
                <w:sz w:val="21"/>
                <w:szCs w:val="21"/>
                <w:color w:val="auto"/>
              </w:rPr>
            </w:pPr>
          </w:p>
        </w:tc>
        <w:tc>
          <w:tcPr>
            <w:tcW w:w="80" w:type="dxa"/>
            <w:vAlign w:val="bottom"/>
            <w:shd w:val="clear" w:color="auto" w:fill="EBECEC"/>
          </w:tcPr>
          <w:p>
            <w:pPr>
              <w:spacing w:after="0"/>
              <w:rPr>
                <w:sz w:val="21"/>
                <w:szCs w:val="21"/>
                <w:color w:val="auto"/>
              </w:rPr>
            </w:pPr>
          </w:p>
        </w:tc>
      </w:tr>
      <w:tr>
        <w:trPr>
          <w:trHeight w:val="244"/>
        </w:trPr>
        <w:tc>
          <w:tcPr>
            <w:tcW w:w="40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Outside of the United States</w:t>
            </w: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65,735</w:t>
            </w:r>
          </w:p>
        </w:tc>
        <w:tc>
          <w:tcPr>
            <w:tcW w:w="80" w:type="dxa"/>
            <w:vAlign w:val="bottom"/>
          </w:tcPr>
          <w:p>
            <w:pPr>
              <w:spacing w:after="0"/>
              <w:rPr>
                <w:sz w:val="21"/>
                <w:szCs w:val="21"/>
                <w:color w:val="auto"/>
              </w:rPr>
            </w:pPr>
          </w:p>
        </w:tc>
      </w:tr>
      <w:tr>
        <w:trPr>
          <w:trHeight w:val="258"/>
        </w:trPr>
        <w:tc>
          <w:tcPr>
            <w:tcW w:w="40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Royalty and milestone revenue</w:t>
            </w:r>
          </w:p>
        </w:tc>
        <w:tc>
          <w:tcPr>
            <w:tcW w:w="1560" w:type="dxa"/>
            <w:vAlign w:val="bottom"/>
            <w:shd w:val="clear" w:color="auto" w:fill="EBECEC"/>
          </w:tcPr>
          <w:p>
            <w:pPr>
              <w:spacing w:after="0"/>
              <w:rPr>
                <w:sz w:val="22"/>
                <w:szCs w:val="22"/>
                <w:color w:val="auto"/>
              </w:rPr>
            </w:pPr>
          </w:p>
        </w:tc>
        <w:tc>
          <w:tcPr>
            <w:tcW w:w="260" w:type="dxa"/>
            <w:vAlign w:val="bottom"/>
            <w:shd w:val="clear" w:color="auto" w:fill="EBECEC"/>
          </w:tcPr>
          <w:p>
            <w:pPr>
              <w:spacing w:after="0"/>
              <w:rPr>
                <w:sz w:val="22"/>
                <w:szCs w:val="22"/>
                <w:color w:val="auto"/>
              </w:rPr>
            </w:pPr>
          </w:p>
        </w:tc>
        <w:tc>
          <w:tcPr>
            <w:tcW w:w="920" w:type="dxa"/>
            <w:vAlign w:val="bottom"/>
            <w:shd w:val="clear" w:color="auto" w:fill="EBECEC"/>
          </w:tcPr>
          <w:p>
            <w:pPr>
              <w:spacing w:after="0"/>
              <w:rPr>
                <w:sz w:val="22"/>
                <w:szCs w:val="22"/>
                <w:color w:val="auto"/>
              </w:rPr>
            </w:pPr>
          </w:p>
        </w:tc>
        <w:tc>
          <w:tcPr>
            <w:tcW w:w="240" w:type="dxa"/>
            <w:vAlign w:val="bottom"/>
            <w:shd w:val="clear" w:color="auto" w:fill="EBECEC"/>
          </w:tcPr>
          <w:p>
            <w:pPr>
              <w:spacing w:after="0"/>
              <w:rPr>
                <w:sz w:val="22"/>
                <w:szCs w:val="22"/>
                <w:color w:val="auto"/>
              </w:rPr>
            </w:pPr>
          </w:p>
        </w:tc>
        <w:tc>
          <w:tcPr>
            <w:tcW w:w="260" w:type="dxa"/>
            <w:vAlign w:val="bottom"/>
            <w:shd w:val="clear" w:color="auto" w:fill="EBECEC"/>
          </w:tcPr>
          <w:p>
            <w:pPr>
              <w:spacing w:after="0"/>
              <w:rPr>
                <w:sz w:val="22"/>
                <w:szCs w:val="22"/>
                <w:color w:val="auto"/>
              </w:rPr>
            </w:pPr>
          </w:p>
        </w:tc>
        <w:tc>
          <w:tcPr>
            <w:tcW w:w="920" w:type="dxa"/>
            <w:vAlign w:val="bottom"/>
            <w:shd w:val="clear" w:color="auto" w:fill="EBECEC"/>
          </w:tcPr>
          <w:p>
            <w:pPr>
              <w:spacing w:after="0"/>
              <w:rPr>
                <w:sz w:val="22"/>
                <w:szCs w:val="22"/>
                <w:color w:val="auto"/>
              </w:rPr>
            </w:pPr>
          </w:p>
        </w:tc>
        <w:tc>
          <w:tcPr>
            <w:tcW w:w="240" w:type="dxa"/>
            <w:vAlign w:val="bottom"/>
            <w:shd w:val="clear" w:color="auto" w:fill="EBECEC"/>
          </w:tcPr>
          <w:p>
            <w:pPr>
              <w:spacing w:after="0"/>
              <w:rPr>
                <w:sz w:val="22"/>
                <w:szCs w:val="22"/>
                <w:color w:val="auto"/>
              </w:rPr>
            </w:pPr>
          </w:p>
        </w:tc>
        <w:tc>
          <w:tcPr>
            <w:tcW w:w="260" w:type="dxa"/>
            <w:vAlign w:val="bottom"/>
            <w:shd w:val="clear" w:color="auto" w:fill="EBECEC"/>
          </w:tcPr>
          <w:p>
            <w:pPr>
              <w:spacing w:after="0"/>
              <w:rPr>
                <w:sz w:val="22"/>
                <w:szCs w:val="22"/>
                <w:color w:val="auto"/>
              </w:rPr>
            </w:pPr>
          </w:p>
        </w:tc>
        <w:tc>
          <w:tcPr>
            <w:tcW w:w="920" w:type="dxa"/>
            <w:vAlign w:val="bottom"/>
            <w:shd w:val="clear" w:color="auto" w:fill="EBECEC"/>
          </w:tcPr>
          <w:p>
            <w:pPr>
              <w:spacing w:after="0"/>
              <w:rPr>
                <w:sz w:val="22"/>
                <w:szCs w:val="22"/>
                <w:color w:val="auto"/>
              </w:rPr>
            </w:pPr>
          </w:p>
        </w:tc>
        <w:tc>
          <w:tcPr>
            <w:tcW w:w="80" w:type="dxa"/>
            <w:vAlign w:val="bottom"/>
            <w:shd w:val="clear" w:color="auto" w:fill="EBECEC"/>
          </w:tcPr>
          <w:p>
            <w:pPr>
              <w:spacing w:after="0"/>
              <w:rPr>
                <w:sz w:val="22"/>
                <w:szCs w:val="22"/>
                <w:color w:val="auto"/>
              </w:rPr>
            </w:pPr>
          </w:p>
        </w:tc>
      </w:tr>
      <w:tr>
        <w:trPr>
          <w:trHeight w:val="258"/>
        </w:trPr>
        <w:tc>
          <w:tcPr>
            <w:tcW w:w="4060" w:type="dxa"/>
            <w:vAlign w:val="bottom"/>
            <w:tcBorders>
              <w:bottom w:val="single" w:sz="8" w:color="EBECEC"/>
            </w:tcBorders>
          </w:tcPr>
          <w:p>
            <w:pPr>
              <w:ind w:left="200"/>
              <w:spacing w:after="0"/>
              <w:rPr>
                <w:sz w:val="20"/>
                <w:szCs w:val="20"/>
                <w:color w:val="auto"/>
              </w:rPr>
            </w:pPr>
            <w:r>
              <w:rPr>
                <w:rFonts w:ascii="Times New Roman" w:cs="Times New Roman" w:eastAsia="Times New Roman" w:hAnsi="Times New Roman"/>
                <w:sz w:val="20"/>
                <w:szCs w:val="20"/>
                <w:color w:val="231F20"/>
              </w:rPr>
              <w:t>Outside of the United States</w:t>
            </w:r>
          </w:p>
        </w:tc>
        <w:tc>
          <w:tcPr>
            <w:tcW w:w="1560" w:type="dxa"/>
            <w:vAlign w:val="bottom"/>
            <w:tcBorders>
              <w:bottom w:val="single" w:sz="8" w:color="EBECEC"/>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4,700</w:t>
            </w:r>
          </w:p>
        </w:tc>
        <w:tc>
          <w:tcPr>
            <w:tcW w:w="240" w:type="dxa"/>
            <w:vAlign w:val="bottom"/>
            <w:tcBorders>
              <w:bottom w:val="single" w:sz="8" w:color="EBECEC"/>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4,016</w:t>
            </w:r>
          </w:p>
        </w:tc>
        <w:tc>
          <w:tcPr>
            <w:tcW w:w="240" w:type="dxa"/>
            <w:vAlign w:val="bottom"/>
            <w:tcBorders>
              <w:bottom w:val="single" w:sz="8" w:color="EBECEC"/>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2,405</w:t>
            </w:r>
          </w:p>
        </w:tc>
        <w:tc>
          <w:tcPr>
            <w:tcW w:w="80" w:type="dxa"/>
            <w:vAlign w:val="bottom"/>
            <w:tcBorders>
              <w:bottom w:val="single" w:sz="8" w:color="EBECEC"/>
            </w:tcBorders>
          </w:tcPr>
          <w:p>
            <w:pPr>
              <w:spacing w:after="0"/>
              <w:rPr>
                <w:sz w:val="22"/>
                <w:szCs w:val="22"/>
                <w:color w:val="auto"/>
              </w:rPr>
            </w:pPr>
          </w:p>
        </w:tc>
      </w:tr>
      <w:tr>
        <w:trPr>
          <w:trHeight w:val="273"/>
        </w:trPr>
        <w:tc>
          <w:tcPr>
            <w:tcW w:w="406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 revenues</w:t>
            </w:r>
          </w:p>
        </w:tc>
        <w:tc>
          <w:tcPr>
            <w:tcW w:w="1560" w:type="dxa"/>
            <w:vAlign w:val="bottom"/>
            <w:tcBorders>
              <w:bottom w:val="single" w:sz="8" w:color="EBECEC"/>
            </w:tcBorders>
            <w:shd w:val="clear" w:color="auto" w:fill="EBECEC"/>
          </w:tcPr>
          <w:p>
            <w:pPr>
              <w:spacing w:after="0"/>
              <w:rPr>
                <w:sz w:val="23"/>
                <w:szCs w:val="23"/>
                <w:color w:val="auto"/>
              </w:rPr>
            </w:pPr>
          </w:p>
        </w:tc>
        <w:tc>
          <w:tcPr>
            <w:tcW w:w="260" w:type="dxa"/>
            <w:vAlign w:val="bottom"/>
            <w:tcBorders>
              <w:bottom w:val="single" w:sz="8" w:color="231F20"/>
            </w:tcBorders>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638,496</w:t>
            </w:r>
          </w:p>
        </w:tc>
        <w:tc>
          <w:tcPr>
            <w:tcW w:w="240" w:type="dxa"/>
            <w:vAlign w:val="bottom"/>
            <w:tcBorders>
              <w:bottom w:val="single" w:sz="8" w:color="EBECEC"/>
            </w:tcBorders>
            <w:shd w:val="clear" w:color="auto" w:fill="EBECEC"/>
          </w:tcPr>
          <w:p>
            <w:pPr>
              <w:spacing w:after="0"/>
              <w:rPr>
                <w:sz w:val="23"/>
                <w:szCs w:val="23"/>
                <w:color w:val="auto"/>
              </w:rPr>
            </w:pPr>
          </w:p>
        </w:tc>
        <w:tc>
          <w:tcPr>
            <w:tcW w:w="260" w:type="dxa"/>
            <w:vAlign w:val="bottom"/>
            <w:tcBorders>
              <w:bottom w:val="single" w:sz="8" w:color="231F20"/>
            </w:tcBorders>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385,693</w:t>
            </w:r>
          </w:p>
        </w:tc>
        <w:tc>
          <w:tcPr>
            <w:tcW w:w="240" w:type="dxa"/>
            <w:vAlign w:val="bottom"/>
            <w:tcBorders>
              <w:bottom w:val="single" w:sz="8" w:color="EBECEC"/>
            </w:tcBorders>
            <w:shd w:val="clear" w:color="auto" w:fill="EBECEC"/>
          </w:tcPr>
          <w:p>
            <w:pPr>
              <w:spacing w:after="0"/>
              <w:rPr>
                <w:sz w:val="23"/>
                <w:szCs w:val="23"/>
                <w:color w:val="auto"/>
              </w:rPr>
            </w:pPr>
          </w:p>
        </w:tc>
        <w:tc>
          <w:tcPr>
            <w:tcW w:w="260" w:type="dxa"/>
            <w:vAlign w:val="bottom"/>
            <w:tcBorders>
              <w:bottom w:val="single" w:sz="8" w:color="231F20"/>
            </w:tcBorders>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270,600</w:t>
            </w:r>
          </w:p>
        </w:tc>
        <w:tc>
          <w:tcPr>
            <w:tcW w:w="80" w:type="dxa"/>
            <w:vAlign w:val="bottom"/>
            <w:tcBorders>
              <w:bottom w:val="single" w:sz="8" w:color="EBECEC"/>
            </w:tcBorders>
            <w:shd w:val="clear" w:color="auto" w:fill="EBECEC"/>
          </w:tcPr>
          <w:p>
            <w:pPr>
              <w:spacing w:after="0"/>
              <w:rPr>
                <w:sz w:val="23"/>
                <w:szCs w:val="23"/>
                <w:color w:val="auto"/>
              </w:rPr>
            </w:pPr>
          </w:p>
        </w:tc>
      </w:tr>
      <w:tr>
        <w:trPr>
          <w:trHeight w:val="20"/>
        </w:trPr>
        <w:tc>
          <w:tcPr>
            <w:tcW w:w="4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-1627505</wp:posOffset>
            </wp:positionV>
            <wp:extent cx="259905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2599055" cy="38100"/>
                    </a:xfrm>
                    <a:prstGeom prst="rect">
                      <a:avLst/>
                    </a:prstGeom>
                    <a:noFill/>
                  </pic:spPr>
                </pic:pic>
              </a:graphicData>
            </a:graphic>
          </wp:anchor>
        </w:drawing>
      </w:r>
    </w:p>
    <w:p>
      <w:pPr>
        <w:spacing w:after="0" w:line="201"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231F20"/>
        </w:rPr>
        <w:t>For the year ended December 31, 2025, product sales, net, include adjustments for provisions for product sales made in previous fiscal years resulting from changes in estimates of $1.0 million for AUVELITY and $0.9 million for SUNOSI. For the year ended December 31, 2024, product sales, net, include adjustments for provisions for product sales made in previous fiscal years resulting from changes in estimates of $0.8 million for AUVELITY and $0.6 million for SUNOSI.</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15. License Agreements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License Agreement with Pharmanovia</w:t>
      </w:r>
    </w:p>
    <w:p>
      <w:pPr>
        <w:spacing w:after="0" w:line="238"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In February 2023, Axsome Malta, a Malta limited company and a wholly 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202" w:lineRule="exact"/>
        <w:rPr>
          <w:sz w:val="20"/>
          <w:szCs w:val="20"/>
          <w:color w:val="auto"/>
        </w:rPr>
      </w:pPr>
    </w:p>
    <w:p>
      <w:pPr>
        <w:ind w:right="280" w:firstLine="720"/>
        <w:spacing w:after="0" w:line="252" w:lineRule="auto"/>
        <w:rPr>
          <w:sz w:val="20"/>
          <w:szCs w:val="20"/>
          <w:color w:val="auto"/>
        </w:rPr>
      </w:pPr>
      <w:r>
        <w:rPr>
          <w:rFonts w:ascii="Times New Roman" w:cs="Times New Roman" w:eastAsia="Times New Roman" w:hAnsi="Times New Roman"/>
          <w:sz w:val="20"/>
          <w:szCs w:val="20"/>
          <w:color w:val="231F20"/>
        </w:rPr>
        <w:t>In consideration for entering the Pharmanovia License Agreement, the Company received a non-refundable upfront payment of € 62.0 million ($65.7 million). The Company also will receive a royalty percentage in the mid-twenties on SUNOSI net sales in the Territory and is eligible to receive sales-based milestone payments totaling up to €94.5 million.</w:t>
      </w:r>
    </w:p>
    <w:p>
      <w:pPr>
        <w:sectPr>
          <w:pgSz w:w="12240" w:h="15840" w:orient="portrait"/>
          <w:cols w:equalWidth="0" w:num="1">
            <w:col w:w="9720"/>
          </w:cols>
          <w:pgMar w:left="1260" w:top="1247"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F-33</w:t>
      </w:r>
    </w:p>
    <w:p>
      <w:pPr>
        <w:sectPr>
          <w:pgSz w:w="12240" w:h="15840" w:orient="portrait"/>
          <w:cols w:equalWidth="0" w:num="1">
            <w:col w:w="9720"/>
          </w:cols>
          <w:pgMar w:left="1260" w:top="1247" w:right="1260" w:bottom="186" w:gutter="0" w:footer="0" w:header="0"/>
          <w:type w:val="continuous"/>
        </w:sectPr>
      </w:pPr>
    </w:p>
    <w:bookmarkStart w:id="164" w:name="page165"/>
    <w:bookmarkEnd w:id="164"/>
    <w:p>
      <w:pPr>
        <w:ind w:firstLine="770"/>
        <w:spacing w:after="0" w:line="242" w:lineRule="auto"/>
        <w:rPr>
          <w:sz w:val="20"/>
          <w:szCs w:val="20"/>
          <w:color w:val="auto"/>
        </w:rPr>
      </w:pPr>
      <w:r>
        <w:rPr>
          <w:rFonts w:ascii="Times New Roman" w:cs="Times New Roman" w:eastAsia="Times New Roman" w:hAnsi="Times New Roman"/>
          <w:sz w:val="20"/>
          <w:szCs w:val="20"/>
          <w:color w:val="231F20"/>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For the year ended December 31, 2025, the Company recognized royalty revenue of $ 4.7 million related to Pharmanovia’s sales of SUNOSI. For the year ended December 31, 2024, the Company recognized royalty revenue of $3.5 million related to Pharmanovia’s sales of SUNOSI, and $0.5 million related to an achievement of a regulatory milestone in China for SUNOSI from SK in the fourth quarter of 2024. No other development or sales-based milestones were recognized during the year ended December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Exclusive License Agreement with Pfizer</w:t>
      </w:r>
    </w:p>
    <w:p>
      <w:pPr>
        <w:spacing w:after="0" w:line="238"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231F20"/>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97"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200"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231F20"/>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years ended December 31, 2025 and 2024, no milestone payments or royalties were paid to Pfizer by the Company.</w:t>
      </w:r>
    </w:p>
    <w:p>
      <w:pPr>
        <w:sectPr>
          <w:pgSz w:w="12240" w:h="15840" w:orient="portrait"/>
          <w:cols w:equalWidth="0" w:num="1">
            <w:col w:w="9700"/>
          </w:cols>
          <w:pgMar w:left="1260" w:top="1247"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F-34</w:t>
      </w:r>
    </w:p>
    <w:p>
      <w:pPr>
        <w:sectPr>
          <w:pgSz w:w="12240" w:h="15840" w:orient="portrait"/>
          <w:cols w:equalWidth="0" w:num="1">
            <w:col w:w="9700"/>
          </w:cols>
          <w:pgMar w:left="1260" w:top="1247" w:right="1280" w:bottom="186"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i w:val="1"/>
          <w:iCs w:val="1"/>
          <w:color w:val="231F20"/>
        </w:rPr>
        <w:t>Exclusive License Agreements with Antecip</w:t>
      </w:r>
    </w:p>
    <w:p>
      <w:pPr>
        <w:spacing w:after="0" w:line="238"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231F20"/>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The Company recorded royalty expense of $15.2 million and $8.7 million for the years ended December 31, 2025 and 2024, respectively, which equal 3.0% of net sales of AUVELITY for those respective years. This is considered to be a related party transaction.</w:t>
      </w:r>
    </w:p>
    <w:p>
      <w:pPr>
        <w:spacing w:after="0" w:line="219"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231F20"/>
        </w:rPr>
        <w:t>In connection with the Blackstone Loan Agreement, Antecip consented to the collateral assignment of one of the license agreements, among other things, under a direct agreement among the Company, Antecip, a related party, and Blackstone. This new direct agreement superseded the prior direct agreement among us, Antecip, a related party, and Hercules that had been entered into in connection with the Hercules Loan Agreement, which terminated automatically upon repayment of our Hercules loan obligations in full on May 8,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16. Acquisitions</w:t>
      </w:r>
    </w:p>
    <w:p>
      <w:pPr>
        <w:spacing w:after="0" w:line="244"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231F20"/>
        </w:rPr>
        <w:t>In November 2025, the Company acquired all the outstanding shares of Baergic. The acquisition provided the Company with global rights to AZD7325 (AXS-17), an oral GABA</w:t>
      </w:r>
      <w:r>
        <w:rPr>
          <w:rFonts w:ascii="Times New Roman" w:cs="Times New Roman" w:eastAsia="Times New Roman" w:hAnsi="Times New Roman"/>
          <w:sz w:val="13"/>
          <w:szCs w:val="13"/>
          <w:color w:val="231F20"/>
        </w:rPr>
        <w:t>A</w:t>
      </w:r>
      <w:r>
        <w:rPr>
          <w:rFonts w:ascii="Times New Roman" w:cs="Times New Roman" w:eastAsia="Times New Roman" w:hAnsi="Times New Roman"/>
          <w:sz w:val="20"/>
          <w:szCs w:val="20"/>
          <w:color w:val="231F20"/>
        </w:rPr>
        <w:t xml:space="preserve"> receptor α2,3 subtype-selective PAM, originally licensed from AstraZeneca AB (AZ), for the potential treatment of epilepsy. The Company also assumed the AZD7325 license agreement between Baergic and AZ. The former Baergic shareholders and AZ are also eligible to receive contingent development, regulatory and sales -based milestone payments of up to $159.5 million and tiered low double-digit to mid-teen royalties on potential global net sales of AZD7325.</w:t>
      </w:r>
    </w:p>
    <w:p>
      <w:pPr>
        <w:spacing w:after="0" w:line="20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231F20"/>
        </w:rPr>
        <w:t>The Company accounted for the transaction as an acquisition of an asset, as substantially all the fair value of the assets acquired were concentrated in AZD7325. The Company recorded a charge of $ 2.3 million in research and development expense, inclusive of the shares acquired, license amendment costs, and direct transaction costs.</w:t>
      </w:r>
    </w:p>
    <w:p>
      <w:pPr>
        <w:spacing w:after="0" w:line="188"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231F20"/>
        </w:rPr>
        <w:t>In December 2025, the Company acquired the global rights to deuterium-stabilized S-bupropion from DeuteRx. DeuteRx is eligible to receive contingent development, regulatory and sales-based milestones of up to $523 million and a tiered low single-digit royalty on potential global net sales.</w:t>
      </w:r>
    </w:p>
    <w:p>
      <w:pPr>
        <w:spacing w:after="0" w:line="1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231F20"/>
        </w:rPr>
        <w:t>The Company accounted for the transaction as an acquisition of an asset, as substantially all the fair value of the assets acquired were concentrated in deuterium- stabilized S-bupropion. The Company recorded a charge of $2.6 million in research and development expense, inclusive of the upfront payment and direct transaction costs.</w:t>
      </w:r>
    </w:p>
    <w:p>
      <w:pPr>
        <w:sectPr>
          <w:pgSz w:w="12240" w:h="15840" w:orient="portrait"/>
          <w:cols w:equalWidth="0" w:num="1">
            <w:col w:w="9700"/>
          </w:cols>
          <w:pgMar w:left="1260" w:top="1249"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F-35</w:t>
      </w:r>
    </w:p>
    <w:p>
      <w:pPr>
        <w:sectPr>
          <w:pgSz w:w="12240" w:h="15840" w:orient="portrait"/>
          <w:cols w:equalWidth="0" w:num="1">
            <w:col w:w="9700"/>
          </w:cols>
          <w:pgMar w:left="1260" w:top="1249" w:right="1280" w:bottom="186"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b w:val="1"/>
          <w:bCs w:val="1"/>
          <w:color w:val="231F20"/>
        </w:rPr>
        <w:t>Note 17. Royalty Agreements</w:t>
      </w:r>
    </w:p>
    <w:p>
      <w:pPr>
        <w:spacing w:after="0" w:line="244"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231F20"/>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206" w:lineRule="exact"/>
        <w:rPr>
          <w:sz w:val="20"/>
          <w:szCs w:val="20"/>
          <w:color w:val="auto"/>
        </w:rPr>
      </w:pPr>
    </w:p>
    <w:p>
      <w:pPr>
        <w:ind w:right="320" w:firstLine="720"/>
        <w:spacing w:after="0" w:line="252" w:lineRule="auto"/>
        <w:rPr>
          <w:sz w:val="20"/>
          <w:szCs w:val="20"/>
          <w:color w:val="auto"/>
        </w:rPr>
      </w:pPr>
      <w:r>
        <w:rPr>
          <w:rFonts w:ascii="Times New Roman" w:cs="Times New Roman" w:eastAsia="Times New Roman" w:hAnsi="Times New Roman"/>
          <w:sz w:val="20"/>
          <w:szCs w:val="20"/>
          <w:color w:val="231F20"/>
        </w:rPr>
        <w:t>Pursuant to the Purchase Agreement, the Company agreed to make non-refundable, non-creditable royalty payments to Jazz equal to a (A) high single-digit royalty for any current indication, or (B) mid single- digit royalty for any future indication of net sales in the U.S. Territory made during the applicable royalty term. There are no royalty payments due to Jazz for net sales outside of the U.S. Territory.</w:t>
      </w:r>
    </w:p>
    <w:p>
      <w:pPr>
        <w:spacing w:after="0" w:line="194"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231F20"/>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$162.5 million based on revenue milestones and $1.0 million based on development milestones. In the fourth quarter of 2024, the Company recorded a $2.5 million expense for the achievement of a sales-based milestone related to world-wide SUNOSI sales. No other development or sales-based milestones were recognized during the year ended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18. Income Taxes</w:t>
      </w:r>
    </w:p>
    <w:p>
      <w:pPr>
        <w:spacing w:after="0" w:line="244" w:lineRule="exact"/>
        <w:rPr>
          <w:sz w:val="20"/>
          <w:szCs w:val="20"/>
          <w:color w:val="auto"/>
        </w:rPr>
      </w:pPr>
    </w:p>
    <w:p>
      <w:pPr>
        <w:jc w:val="both"/>
        <w:ind w:right="280" w:firstLine="720"/>
        <w:spacing w:after="0" w:line="258" w:lineRule="auto"/>
        <w:rPr>
          <w:sz w:val="20"/>
          <w:szCs w:val="20"/>
          <w:color w:val="auto"/>
        </w:rPr>
      </w:pPr>
      <w:r>
        <w:rPr>
          <w:rFonts w:ascii="Times New Roman" w:cs="Times New Roman" w:eastAsia="Times New Roman" w:hAnsi="Times New Roman"/>
          <w:sz w:val="20"/>
          <w:szCs w:val="20"/>
          <w:color w:val="231F20"/>
        </w:rPr>
        <w:t>The Company has elected to prospectively adopt the guidance in ASU 2023-09. A reconciliation of the U.S. federal statutory rate of 21% to the Company’s effective tax rate for the year ended December 31, 2025 in accordance with the guidance in ASU 2023-09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231F20"/>
              </w:rPr>
              <w:t>Year ended December 31, 2025</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ind w:left="160"/>
              <w:spacing w:after="0"/>
              <w:rPr>
                <w:sz w:val="20"/>
                <w:szCs w:val="20"/>
                <w:color w:val="auto"/>
              </w:rPr>
            </w:pPr>
            <w:r>
              <w:rPr>
                <w:rFonts w:ascii="Times New Roman" w:cs="Times New Roman" w:eastAsia="Times New Roman" w:hAnsi="Times New Roman"/>
                <w:sz w:val="16"/>
                <w:szCs w:val="16"/>
                <w:b w:val="1"/>
                <w:bCs w:val="1"/>
                <w:color w:val="231F20"/>
              </w:rPr>
              <w:t>Amount</w:t>
            </w:r>
          </w:p>
        </w:tc>
        <w:tc>
          <w:tcPr>
            <w:tcW w:w="240" w:type="dxa"/>
            <w:vAlign w:val="bottom"/>
            <w:tcBorders>
              <w:bottom w:val="single" w:sz="8" w:color="EBECEC"/>
            </w:tcBorders>
          </w:tcPr>
          <w:p>
            <w:pPr>
              <w:spacing w:after="0"/>
              <w:rPr>
                <w:sz w:val="17"/>
                <w:szCs w:val="17"/>
                <w:color w:val="auto"/>
              </w:rPr>
            </w:pPr>
          </w:p>
        </w:tc>
        <w:tc>
          <w:tcPr>
            <w:tcW w:w="1300" w:type="dxa"/>
            <w:vAlign w:val="bottom"/>
            <w:tcBorders>
              <w:bottom w:val="single" w:sz="8" w:color="231F20"/>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231F20"/>
              </w:rPr>
              <w:t>Percentage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5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U.S. federal statutory tax rate</w:t>
            </w: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(38,479)</w:t>
            </w:r>
          </w:p>
        </w:tc>
        <w:tc>
          <w:tcPr>
            <w:tcW w:w="240" w:type="dxa"/>
            <w:vAlign w:val="bottom"/>
            <w:shd w:val="clear" w:color="auto" w:fill="EBECEC"/>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21.0%</w:t>
            </w:r>
          </w:p>
        </w:tc>
        <w:tc>
          <w:tcPr>
            <w:tcW w:w="0" w:type="dxa"/>
            <w:vAlign w:val="bottom"/>
          </w:tcPr>
          <w:p>
            <w:pPr>
              <w:spacing w:after="0"/>
              <w:rPr>
                <w:sz w:val="1"/>
                <w:szCs w:val="1"/>
                <w:color w:val="auto"/>
              </w:rPr>
            </w:pPr>
          </w:p>
        </w:tc>
      </w:tr>
      <w:tr>
        <w:trPr>
          <w:trHeight w:val="244"/>
        </w:trPr>
        <w:tc>
          <w:tcPr>
            <w:tcW w:w="6560" w:type="dxa"/>
            <w:vAlign w:val="bottom"/>
          </w:tcPr>
          <w:p>
            <w:pPr>
              <w:spacing w:after="0" w:line="243" w:lineRule="exact"/>
              <w:rPr>
                <w:sz w:val="20"/>
                <w:szCs w:val="20"/>
                <w:color w:val="auto"/>
              </w:rPr>
            </w:pPr>
            <w:r>
              <w:rPr>
                <w:rFonts w:ascii="Times New Roman" w:cs="Times New Roman" w:eastAsia="Times New Roman" w:hAnsi="Times New Roman"/>
                <w:sz w:val="20"/>
                <w:szCs w:val="20"/>
                <w:color w:val="231F20"/>
              </w:rPr>
              <w:t>State and local income tax, net of federal income tax effect</w:t>
            </w:r>
            <w:r>
              <w:rPr>
                <w:rFonts w:ascii="Times New Roman" w:cs="Times New Roman" w:eastAsia="Times New Roman" w:hAnsi="Times New Roman"/>
                <w:sz w:val="26"/>
                <w:szCs w:val="26"/>
                <w:color w:val="231F20"/>
                <w:vertAlign w:val="superscript"/>
              </w:rPr>
              <w:t>(a)</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3,810</w:t>
            </w:r>
          </w:p>
        </w:tc>
        <w:tc>
          <w:tcPr>
            <w:tcW w:w="2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rPr>
                <w:sz w:val="1"/>
                <w:szCs w:val="1"/>
                <w:color w:val="auto"/>
              </w:rPr>
            </w:pPr>
          </w:p>
        </w:tc>
      </w:tr>
      <w:tr>
        <w:trPr>
          <w:trHeight w:val="244"/>
        </w:trPr>
        <w:tc>
          <w:tcPr>
            <w:tcW w:w="65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Foreign tax effects</w:t>
            </w:r>
          </w:p>
        </w:tc>
        <w:tc>
          <w:tcPr>
            <w:tcW w:w="260" w:type="dxa"/>
            <w:vAlign w:val="bottom"/>
            <w:shd w:val="clear" w:color="auto" w:fill="EBECEC"/>
          </w:tcPr>
          <w:p>
            <w:pPr>
              <w:spacing w:after="0"/>
              <w:rPr>
                <w:sz w:val="21"/>
                <w:szCs w:val="21"/>
                <w:color w:val="auto"/>
              </w:rPr>
            </w:pPr>
          </w:p>
        </w:tc>
        <w:tc>
          <w:tcPr>
            <w:tcW w:w="114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30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Other adjustments</w:t>
            </w: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(79)</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6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Malta</w:t>
            </w:r>
          </w:p>
        </w:tc>
        <w:tc>
          <w:tcPr>
            <w:tcW w:w="260" w:type="dxa"/>
            <w:vAlign w:val="bottom"/>
            <w:shd w:val="clear" w:color="auto" w:fill="EBECEC"/>
          </w:tcPr>
          <w:p>
            <w:pPr>
              <w:spacing w:after="0"/>
              <w:rPr>
                <w:sz w:val="21"/>
                <w:szCs w:val="21"/>
                <w:color w:val="auto"/>
              </w:rPr>
            </w:pPr>
          </w:p>
        </w:tc>
        <w:tc>
          <w:tcPr>
            <w:tcW w:w="114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30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Other adjustments</w:t>
            </w: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(7,024)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60" w:type="dxa"/>
            <w:vAlign w:val="bottom"/>
            <w:shd w:val="clear" w:color="auto" w:fill="EBECEC"/>
          </w:tcPr>
          <w:p>
            <w:pPr>
              <w:ind w:left="300"/>
              <w:spacing w:after="0"/>
              <w:rPr>
                <w:sz w:val="20"/>
                <w:szCs w:val="20"/>
                <w:color w:val="auto"/>
              </w:rPr>
            </w:pPr>
            <w:r>
              <w:rPr>
                <w:rFonts w:ascii="Times New Roman" w:cs="Times New Roman" w:eastAsia="Times New Roman" w:hAnsi="Times New Roman"/>
                <w:sz w:val="20"/>
                <w:szCs w:val="20"/>
                <w:color w:val="231F20"/>
              </w:rPr>
              <w:t>Changes in valuation allowances</w:t>
            </w:r>
          </w:p>
        </w:tc>
        <w:tc>
          <w:tcPr>
            <w:tcW w:w="260" w:type="dxa"/>
            <w:vAlign w:val="bottom"/>
            <w:shd w:val="clear" w:color="auto" w:fill="EBECEC"/>
          </w:tcPr>
          <w:p>
            <w:pPr>
              <w:spacing w:after="0"/>
              <w:rPr>
                <w:sz w:val="21"/>
                <w:szCs w:val="21"/>
                <w:color w:val="auto"/>
              </w:rPr>
            </w:pPr>
          </w:p>
        </w:tc>
        <w:tc>
          <w:tcPr>
            <w:tcW w:w="11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9,505</w:t>
            </w:r>
          </w:p>
        </w:tc>
        <w:tc>
          <w:tcPr>
            <w:tcW w:w="240" w:type="dxa"/>
            <w:vAlign w:val="bottom"/>
            <w:shd w:val="clear" w:color="auto" w:fill="EBECEC"/>
          </w:tcPr>
          <w:p>
            <w:pPr>
              <w:spacing w:after="0"/>
              <w:rPr>
                <w:sz w:val="21"/>
                <w:szCs w:val="21"/>
                <w:color w:val="auto"/>
              </w:rPr>
            </w:pPr>
          </w:p>
        </w:tc>
        <w:tc>
          <w:tcPr>
            <w:tcW w:w="152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20"/>
                <w:szCs w:val="20"/>
                <w:color w:val="231F20"/>
              </w:rPr>
              <w:t>(5.2)</w:t>
            </w:r>
          </w:p>
        </w:tc>
        <w:tc>
          <w:tcPr>
            <w:tcW w:w="0" w:type="dxa"/>
            <w:vAlign w:val="bottom"/>
          </w:tcPr>
          <w:p>
            <w:pPr>
              <w:spacing w:after="0"/>
              <w:rPr>
                <w:sz w:val="1"/>
                <w:szCs w:val="1"/>
                <w:color w:val="auto"/>
              </w:rPr>
            </w:pPr>
          </w:p>
        </w:tc>
      </w:tr>
      <w:tr>
        <w:trPr>
          <w:trHeight w:val="244"/>
        </w:trPr>
        <w:tc>
          <w:tcPr>
            <w:tcW w:w="6560" w:type="dxa"/>
            <w:vAlign w:val="bottom"/>
          </w:tcPr>
          <w:p>
            <w:pPr>
              <w:ind w:left="300"/>
              <w:spacing w:after="0"/>
              <w:rPr>
                <w:sz w:val="20"/>
                <w:szCs w:val="20"/>
                <w:color w:val="auto"/>
              </w:rPr>
            </w:pPr>
            <w:r>
              <w:rPr>
                <w:rFonts w:ascii="Times New Roman" w:cs="Times New Roman" w:eastAsia="Times New Roman" w:hAnsi="Times New Roman"/>
                <w:sz w:val="20"/>
                <w:szCs w:val="20"/>
                <w:color w:val="231F20"/>
              </w:rPr>
              <w:t>Effect of rates different than statutory</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11,009</w:t>
            </w:r>
          </w:p>
        </w:tc>
        <w:tc>
          <w:tcPr>
            <w:tcW w:w="2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(6.0)</w:t>
            </w:r>
          </w:p>
        </w:tc>
        <w:tc>
          <w:tcPr>
            <w:tcW w:w="0" w:type="dxa"/>
            <w:vAlign w:val="bottom"/>
          </w:tcPr>
          <w:p>
            <w:pPr>
              <w:spacing w:after="0"/>
              <w:rPr>
                <w:sz w:val="1"/>
                <w:szCs w:val="1"/>
                <w:color w:val="auto"/>
              </w:rPr>
            </w:pPr>
          </w:p>
        </w:tc>
      </w:tr>
      <w:tr>
        <w:trPr>
          <w:trHeight w:val="244"/>
        </w:trPr>
        <w:tc>
          <w:tcPr>
            <w:tcW w:w="65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Tax credits</w:t>
            </w:r>
          </w:p>
        </w:tc>
        <w:tc>
          <w:tcPr>
            <w:tcW w:w="260" w:type="dxa"/>
            <w:vAlign w:val="bottom"/>
            <w:shd w:val="clear" w:color="auto" w:fill="EBECEC"/>
          </w:tcPr>
          <w:p>
            <w:pPr>
              <w:spacing w:after="0"/>
              <w:rPr>
                <w:sz w:val="21"/>
                <w:szCs w:val="21"/>
                <w:color w:val="auto"/>
              </w:rPr>
            </w:pPr>
          </w:p>
        </w:tc>
        <w:tc>
          <w:tcPr>
            <w:tcW w:w="114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30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589</w:t>
            </w:r>
          </w:p>
        </w:tc>
        <w:tc>
          <w:tcPr>
            <w:tcW w:w="2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44"/>
        </w:trPr>
        <w:tc>
          <w:tcPr>
            <w:tcW w:w="656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R&amp;D tax credit</w:t>
            </w:r>
          </w:p>
        </w:tc>
        <w:tc>
          <w:tcPr>
            <w:tcW w:w="260" w:type="dxa"/>
            <w:vAlign w:val="bottom"/>
            <w:shd w:val="clear" w:color="auto" w:fill="EBECEC"/>
          </w:tcPr>
          <w:p>
            <w:pPr>
              <w:spacing w:after="0"/>
              <w:rPr>
                <w:sz w:val="21"/>
                <w:szCs w:val="21"/>
                <w:color w:val="auto"/>
              </w:rPr>
            </w:pPr>
          </w:p>
        </w:tc>
        <w:tc>
          <w:tcPr>
            <w:tcW w:w="11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2,030</w:t>
            </w:r>
          </w:p>
        </w:tc>
        <w:tc>
          <w:tcPr>
            <w:tcW w:w="240" w:type="dxa"/>
            <w:vAlign w:val="bottom"/>
            <w:shd w:val="clear" w:color="auto" w:fill="EBECEC"/>
          </w:tcPr>
          <w:p>
            <w:pPr>
              <w:spacing w:after="0"/>
              <w:rPr>
                <w:sz w:val="21"/>
                <w:szCs w:val="21"/>
                <w:color w:val="auto"/>
              </w:rPr>
            </w:pPr>
          </w:p>
        </w:tc>
        <w:tc>
          <w:tcPr>
            <w:tcW w:w="152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44"/>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231F20"/>
              </w:rPr>
              <w:t>Changes in valuation allowances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17,941</w:t>
            </w:r>
          </w:p>
        </w:tc>
        <w:tc>
          <w:tcPr>
            <w:tcW w:w="2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(9.8)</w:t>
            </w:r>
          </w:p>
        </w:tc>
        <w:tc>
          <w:tcPr>
            <w:tcW w:w="0" w:type="dxa"/>
            <w:vAlign w:val="bottom"/>
          </w:tcPr>
          <w:p>
            <w:pPr>
              <w:spacing w:after="0"/>
              <w:rPr>
                <w:sz w:val="1"/>
                <w:szCs w:val="1"/>
                <w:color w:val="auto"/>
              </w:rPr>
            </w:pPr>
          </w:p>
        </w:tc>
      </w:tr>
      <w:tr>
        <w:trPr>
          <w:trHeight w:val="244"/>
        </w:trPr>
        <w:tc>
          <w:tcPr>
            <w:tcW w:w="65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Nontaxable or nondeductible items</w:t>
            </w:r>
          </w:p>
        </w:tc>
        <w:tc>
          <w:tcPr>
            <w:tcW w:w="260" w:type="dxa"/>
            <w:vAlign w:val="bottom"/>
            <w:shd w:val="clear" w:color="auto" w:fill="EBECEC"/>
          </w:tcPr>
          <w:p>
            <w:pPr>
              <w:spacing w:after="0"/>
              <w:rPr>
                <w:sz w:val="21"/>
                <w:szCs w:val="21"/>
                <w:color w:val="auto"/>
              </w:rPr>
            </w:pPr>
          </w:p>
        </w:tc>
        <w:tc>
          <w:tcPr>
            <w:tcW w:w="1140" w:type="dxa"/>
            <w:vAlign w:val="bottom"/>
            <w:shd w:val="clear" w:color="auto" w:fill="EBECEC"/>
          </w:tcPr>
          <w:p>
            <w:pPr>
              <w:spacing w:after="0"/>
              <w:rPr>
                <w:sz w:val="21"/>
                <w:szCs w:val="21"/>
                <w:color w:val="auto"/>
              </w:rPr>
            </w:pPr>
          </w:p>
        </w:tc>
        <w:tc>
          <w:tcPr>
            <w:tcW w:w="240" w:type="dxa"/>
            <w:vAlign w:val="bottom"/>
            <w:shd w:val="clear" w:color="auto" w:fill="EBECEC"/>
          </w:tcPr>
          <w:p>
            <w:pPr>
              <w:spacing w:after="0"/>
              <w:rPr>
                <w:sz w:val="21"/>
                <w:szCs w:val="21"/>
                <w:color w:val="auto"/>
              </w:rPr>
            </w:pPr>
          </w:p>
        </w:tc>
        <w:tc>
          <w:tcPr>
            <w:tcW w:w="130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(364)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6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Meals &amp; entertainment expense</w:t>
            </w:r>
          </w:p>
        </w:tc>
        <w:tc>
          <w:tcPr>
            <w:tcW w:w="260" w:type="dxa"/>
            <w:vAlign w:val="bottom"/>
            <w:shd w:val="clear" w:color="auto" w:fill="EBECEC"/>
          </w:tcPr>
          <w:p>
            <w:pPr>
              <w:spacing w:after="0"/>
              <w:rPr>
                <w:sz w:val="21"/>
                <w:szCs w:val="21"/>
                <w:color w:val="auto"/>
              </w:rPr>
            </w:pPr>
          </w:p>
        </w:tc>
        <w:tc>
          <w:tcPr>
            <w:tcW w:w="11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2,098</w:t>
            </w:r>
          </w:p>
        </w:tc>
        <w:tc>
          <w:tcPr>
            <w:tcW w:w="240" w:type="dxa"/>
            <w:vAlign w:val="bottom"/>
            <w:shd w:val="clear" w:color="auto" w:fill="EBECEC"/>
          </w:tcPr>
          <w:p>
            <w:pPr>
              <w:spacing w:after="0"/>
              <w:rPr>
                <w:sz w:val="21"/>
                <w:szCs w:val="21"/>
                <w:color w:val="auto"/>
              </w:rPr>
            </w:pPr>
          </w:p>
        </w:tc>
        <w:tc>
          <w:tcPr>
            <w:tcW w:w="152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162(m) Limitation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16,714</w:t>
            </w:r>
          </w:p>
        </w:tc>
        <w:tc>
          <w:tcPr>
            <w:tcW w:w="24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(9.1)</w:t>
            </w:r>
          </w:p>
        </w:tc>
        <w:tc>
          <w:tcPr>
            <w:tcW w:w="0" w:type="dxa"/>
            <w:vAlign w:val="bottom"/>
          </w:tcPr>
          <w:p>
            <w:pPr>
              <w:spacing w:after="0"/>
              <w:rPr>
                <w:sz w:val="1"/>
                <w:szCs w:val="1"/>
                <w:color w:val="auto"/>
              </w:rPr>
            </w:pPr>
          </w:p>
        </w:tc>
      </w:tr>
      <w:tr>
        <w:trPr>
          <w:trHeight w:val="244"/>
        </w:trPr>
        <w:tc>
          <w:tcPr>
            <w:tcW w:w="656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Debt extinguishment loss</w:t>
            </w:r>
          </w:p>
        </w:tc>
        <w:tc>
          <w:tcPr>
            <w:tcW w:w="260" w:type="dxa"/>
            <w:vAlign w:val="bottom"/>
            <w:shd w:val="clear" w:color="auto" w:fill="EBECEC"/>
          </w:tcPr>
          <w:p>
            <w:pPr>
              <w:spacing w:after="0"/>
              <w:rPr>
                <w:sz w:val="21"/>
                <w:szCs w:val="21"/>
                <w:color w:val="auto"/>
              </w:rPr>
            </w:pPr>
          </w:p>
        </w:tc>
        <w:tc>
          <w:tcPr>
            <w:tcW w:w="11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2,181</w:t>
            </w:r>
          </w:p>
        </w:tc>
        <w:tc>
          <w:tcPr>
            <w:tcW w:w="240" w:type="dxa"/>
            <w:vAlign w:val="bottom"/>
            <w:shd w:val="clear" w:color="auto" w:fill="EBECEC"/>
          </w:tcPr>
          <w:p>
            <w:pPr>
              <w:spacing w:after="0"/>
              <w:rPr>
                <w:sz w:val="21"/>
                <w:szCs w:val="21"/>
                <w:color w:val="auto"/>
              </w:rPr>
            </w:pPr>
          </w:p>
        </w:tc>
        <w:tc>
          <w:tcPr>
            <w:tcW w:w="1520" w:type="dxa"/>
            <w:vAlign w:val="bottom"/>
            <w:gridSpan w:val="2"/>
            <w:shd w:val="clear" w:color="auto" w:fill="EBECEC"/>
          </w:tcPr>
          <w:p>
            <w:pPr>
              <w:jc w:val="right"/>
              <w:ind w:right="160"/>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44"/>
        </w:trPr>
        <w:tc>
          <w:tcPr>
            <w:tcW w:w="65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Stock based compensation</w:t>
            </w: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(19,963)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6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Other</w:t>
            </w:r>
          </w:p>
        </w:tc>
        <w:tc>
          <w:tcPr>
            <w:tcW w:w="260" w:type="dxa"/>
            <w:vAlign w:val="bottom"/>
            <w:shd w:val="clear" w:color="auto" w:fill="EBECEC"/>
          </w:tcPr>
          <w:p>
            <w:pPr>
              <w:spacing w:after="0"/>
              <w:rPr>
                <w:sz w:val="21"/>
                <w:szCs w:val="21"/>
                <w:color w:val="auto"/>
              </w:rPr>
            </w:pPr>
          </w:p>
        </w:tc>
        <w:tc>
          <w:tcPr>
            <w:tcW w:w="1380" w:type="dxa"/>
            <w:vAlign w:val="bottom"/>
            <w:gridSpan w:val="2"/>
            <w:shd w:val="clear" w:color="auto" w:fill="EBECEC"/>
          </w:tcPr>
          <w:p>
            <w:pPr>
              <w:jc w:val="right"/>
              <w:ind w:right="180"/>
              <w:spacing w:after="0"/>
              <w:rPr>
                <w:sz w:val="20"/>
                <w:szCs w:val="20"/>
                <w:color w:val="auto"/>
              </w:rPr>
            </w:pPr>
            <w:r>
              <w:rPr>
                <w:rFonts w:ascii="Times New Roman" w:cs="Times New Roman" w:eastAsia="Times New Roman" w:hAnsi="Times New Roman"/>
                <w:sz w:val="20"/>
                <w:szCs w:val="20"/>
                <w:color w:val="231F20"/>
              </w:rPr>
              <w:t>(498)</w:t>
            </w:r>
          </w:p>
        </w:tc>
        <w:tc>
          <w:tcPr>
            <w:tcW w:w="13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22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Total tax benefit</w:t>
            </w:r>
          </w:p>
        </w:tc>
        <w:tc>
          <w:tcPr>
            <w:tcW w:w="26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0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60" w:type="dxa"/>
            <w:vAlign w:val="bottom"/>
            <w:vMerge w:val="continue"/>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(530)</w:t>
            </w:r>
          </w:p>
        </w:tc>
        <w:tc>
          <w:tcPr>
            <w:tcW w:w="240" w:type="dxa"/>
            <w:vAlign w:val="bottom"/>
            <w:vMerge w:val="continue"/>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0.3%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5207635</wp:posOffset>
                </wp:positionH>
                <wp:positionV relativeFrom="paragraph">
                  <wp:posOffset>-3136265</wp:posOffset>
                </wp:positionV>
                <wp:extent cx="824865" cy="15494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154940"/>
                        </a:xfrm>
                        <a:prstGeom prst="rect">
                          <a:avLst/>
                        </a:prstGeom>
                        <a:solidFill>
                          <a:srgbClr val="EBECEC"/>
                        </a:solidFill>
                      </wps:spPr>
                      <wps:bodyPr/>
                    </wps:wsp>
                  </a:graphicData>
                </a:graphic>
              </wp:anchor>
            </w:drawing>
          </mc:Choice>
          <mc:Fallback>
            <w:pict>
              <v:rect id="Shape 18" o:spid="_x0000_s1043" style="position:absolute;margin-left:410.05pt;margin-top:-246.9499pt;width:64.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w:r>
    </w:p>
    <w:p>
      <w:pPr>
        <w:spacing w:after="0" w:line="8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231F20"/>
        </w:rPr>
        <w:t>(a)</w:t>
      </w:r>
      <w:r>
        <w:rPr>
          <w:sz w:val="20"/>
          <w:szCs w:val="20"/>
          <w:color w:val="auto"/>
        </w:rPr>
        <w:tab/>
      </w:r>
      <w:r>
        <w:rPr>
          <w:rFonts w:ascii="Times New Roman" w:cs="Times New Roman" w:eastAsia="Times New Roman" w:hAnsi="Times New Roman"/>
          <w:sz w:val="13"/>
          <w:szCs w:val="13"/>
          <w:color w:val="231F20"/>
        </w:rPr>
        <w:t>Texas make up the majority (more than 50 percent) of the tax effect in this category.</w:t>
      </w:r>
    </w:p>
    <w:p>
      <w:pPr>
        <w:sectPr>
          <w:pgSz w:w="12240" w:h="15840" w:orient="portrait"/>
          <w:cols w:equalWidth="0" w:num="1">
            <w:col w:w="9720"/>
          </w:cols>
          <w:pgMar w:left="1260" w:top="1243" w:right="1260" w:bottom="186"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F-36</w:t>
      </w:r>
    </w:p>
    <w:p>
      <w:pPr>
        <w:sectPr>
          <w:pgSz w:w="12240" w:h="15840" w:orient="portrait"/>
          <w:cols w:equalWidth="0" w:num="1">
            <w:col w:w="9720"/>
          </w:cols>
          <w:pgMar w:left="1260" w:top="1243" w:right="1260" w:bottom="186" w:gutter="0" w:footer="0" w:header="0"/>
          <w:type w:val="continuous"/>
        </w:sectPr>
      </w:pPr>
    </w:p>
    <w:bookmarkStart w:id="167" w:name="page168"/>
    <w:bookmarkEnd w:id="167"/>
    <w:p>
      <w:pPr>
        <w:ind w:left="720"/>
        <w:spacing w:after="0"/>
        <w:rPr>
          <w:sz w:val="20"/>
          <w:szCs w:val="20"/>
          <w:color w:val="auto"/>
        </w:rPr>
      </w:pPr>
      <w:r>
        <w:rPr>
          <w:rFonts w:ascii="Times New Roman" w:cs="Times New Roman" w:eastAsia="Times New Roman" w:hAnsi="Times New Roman"/>
          <w:sz w:val="20"/>
          <w:szCs w:val="20"/>
          <w:color w:val="231F20"/>
        </w:rPr>
        <w:t>A reconciliation of the U.S. federal statutory rate of 21% to the Company’s effective rate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2024 and 2023 in accordance with the guidance prior to the adoption of ASU 2023-09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231F20"/>
              </w:rPr>
              <w:t>December 31,</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EBECEC"/>
            </w:tcBorders>
          </w:tcPr>
          <w:p>
            <w:pPr>
              <w:spacing w:after="0"/>
              <w:rPr>
                <w:sz w:val="17"/>
                <w:szCs w:val="17"/>
                <w:color w:val="auto"/>
              </w:rPr>
            </w:pPr>
          </w:p>
        </w:tc>
        <w:tc>
          <w:tcPr>
            <w:tcW w:w="1280" w:type="dxa"/>
            <w:vAlign w:val="bottom"/>
            <w:tcBorders>
              <w:bottom w:val="single" w:sz="8" w:color="231F20"/>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380" w:type="dxa"/>
            <w:vAlign w:val="bottom"/>
          </w:tcPr>
          <w:p>
            <w:pPr>
              <w:spacing w:after="0"/>
              <w:rPr>
                <w:sz w:val="17"/>
                <w:szCs w:val="17"/>
                <w:color w:val="auto"/>
              </w:rPr>
            </w:pPr>
          </w:p>
        </w:tc>
        <w:tc>
          <w:tcPr>
            <w:tcW w:w="1220" w:type="dxa"/>
            <w:vAlign w:val="bottom"/>
            <w:tcBorders>
              <w:bottom w:val="single" w:sz="8" w:color="231F20"/>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5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U.S. federal statutory income tax rate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21.0%</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21.0%</w:t>
            </w: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State taxes, net of federal benefit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Foreign Rate Differential</w:t>
            </w:r>
          </w:p>
        </w:tc>
        <w:tc>
          <w:tcPr>
            <w:tcW w:w="1660" w:type="dxa"/>
            <w:vAlign w:val="bottom"/>
            <w:gridSpan w:val="2"/>
            <w:shd w:val="clear" w:color="auto" w:fill="EBECEC"/>
          </w:tcPr>
          <w:p>
            <w:pPr>
              <w:jc w:val="right"/>
              <w:ind w:right="300"/>
              <w:spacing w:after="0"/>
              <w:rPr>
                <w:sz w:val="20"/>
                <w:szCs w:val="20"/>
                <w:color w:val="auto"/>
              </w:rPr>
            </w:pPr>
            <w:r>
              <w:rPr>
                <w:rFonts w:ascii="Times New Roman" w:cs="Times New Roman" w:eastAsia="Times New Roman" w:hAnsi="Times New Roman"/>
                <w:sz w:val="20"/>
                <w:szCs w:val="20"/>
                <w:color w:val="231F20"/>
              </w:rPr>
              <w:t>(6.3)</w:t>
            </w:r>
          </w:p>
        </w:tc>
        <w:tc>
          <w:tcPr>
            <w:tcW w:w="1520" w:type="dxa"/>
            <w:vAlign w:val="bottom"/>
            <w:gridSpan w:val="2"/>
            <w:shd w:val="clear" w:color="auto" w:fill="EBECEC"/>
          </w:tcPr>
          <w:p>
            <w:pPr>
              <w:jc w:val="right"/>
              <w:ind w:right="240"/>
              <w:spacing w:after="0"/>
              <w:rPr>
                <w:sz w:val="20"/>
                <w:szCs w:val="20"/>
                <w:color w:val="auto"/>
              </w:rPr>
            </w:pPr>
            <w:r>
              <w:rPr>
                <w:rFonts w:ascii="Times New Roman" w:cs="Times New Roman" w:eastAsia="Times New Roman" w:hAnsi="Times New Roman"/>
                <w:sz w:val="20"/>
                <w:szCs w:val="20"/>
                <w:color w:val="231F20"/>
              </w:rPr>
              <w:t>(1.8)</w:t>
            </w: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Stock based compensation - Excess tax benefit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0.7</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162(m) Limitation</w:t>
            </w:r>
          </w:p>
        </w:tc>
        <w:tc>
          <w:tcPr>
            <w:tcW w:w="1660" w:type="dxa"/>
            <w:vAlign w:val="bottom"/>
            <w:gridSpan w:val="2"/>
            <w:shd w:val="clear" w:color="auto" w:fill="EBECEC"/>
          </w:tcPr>
          <w:p>
            <w:pPr>
              <w:jc w:val="right"/>
              <w:ind w:right="300"/>
              <w:spacing w:after="0"/>
              <w:rPr>
                <w:sz w:val="20"/>
                <w:szCs w:val="20"/>
                <w:color w:val="auto"/>
              </w:rPr>
            </w:pPr>
            <w:r>
              <w:rPr>
                <w:rFonts w:ascii="Times New Roman" w:cs="Times New Roman" w:eastAsia="Times New Roman" w:hAnsi="Times New Roman"/>
                <w:sz w:val="20"/>
                <w:szCs w:val="20"/>
                <w:color w:val="231F20"/>
              </w:rPr>
              <w:t>(1.1)</w:t>
            </w:r>
          </w:p>
        </w:tc>
        <w:tc>
          <w:tcPr>
            <w:tcW w:w="1520" w:type="dxa"/>
            <w:vAlign w:val="bottom"/>
            <w:gridSpan w:val="2"/>
            <w:shd w:val="clear" w:color="auto" w:fill="EBECEC"/>
          </w:tcPr>
          <w:p>
            <w:pPr>
              <w:jc w:val="right"/>
              <w:ind w:right="240"/>
              <w:spacing w:after="0"/>
              <w:rPr>
                <w:sz w:val="20"/>
                <w:szCs w:val="20"/>
                <w:color w:val="auto"/>
              </w:rPr>
            </w:pPr>
            <w:r>
              <w:rPr>
                <w:rFonts w:ascii="Times New Roman" w:cs="Times New Roman" w:eastAsia="Times New Roman" w:hAnsi="Times New Roman"/>
                <w:sz w:val="20"/>
                <w:szCs w:val="20"/>
                <w:color w:val="231F20"/>
              </w:rPr>
              <w:t>(1.4)</w:t>
            </w: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Other permanent differences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(0.6)</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44"/>
        </w:trPr>
        <w:tc>
          <w:tcPr>
            <w:tcW w:w="65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Tax credit</w:t>
            </w:r>
          </w:p>
        </w:tc>
        <w:tc>
          <w:tcPr>
            <w:tcW w:w="128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380" w:type="dxa"/>
            <w:vAlign w:val="bottom"/>
            <w:shd w:val="clear" w:color="auto" w:fill="EBECEC"/>
          </w:tcPr>
          <w:p>
            <w:pPr>
              <w:spacing w:after="0"/>
              <w:rPr>
                <w:sz w:val="21"/>
                <w:szCs w:val="21"/>
                <w:color w:val="auto"/>
              </w:rPr>
            </w:pPr>
          </w:p>
        </w:tc>
        <w:tc>
          <w:tcPr>
            <w:tcW w:w="12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300" w:type="dxa"/>
            <w:vAlign w:val="bottom"/>
            <w:shd w:val="clear" w:color="auto" w:fill="EBEC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Deferred tax adjustment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0.5</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5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GILTI</w:t>
            </w:r>
          </w:p>
        </w:tc>
        <w:tc>
          <w:tcPr>
            <w:tcW w:w="1660" w:type="dxa"/>
            <w:vAlign w:val="bottom"/>
            <w:gridSpan w:val="2"/>
            <w:shd w:val="clear" w:color="auto" w:fill="EBECEC"/>
          </w:tcPr>
          <w:p>
            <w:pPr>
              <w:jc w:val="right"/>
              <w:ind w:right="380"/>
              <w:spacing w:after="0"/>
              <w:rPr>
                <w:sz w:val="20"/>
                <w:szCs w:val="20"/>
                <w:color w:val="auto"/>
              </w:rPr>
            </w:pPr>
            <w:r>
              <w:rPr>
                <w:rFonts w:ascii="Times New Roman" w:cs="Times New Roman" w:eastAsia="Times New Roman" w:hAnsi="Times New Roman"/>
                <w:sz w:val="20"/>
                <w:szCs w:val="20"/>
                <w:color w:val="231F20"/>
              </w:rPr>
              <w:t>—</w:t>
            </w:r>
          </w:p>
        </w:tc>
        <w:tc>
          <w:tcPr>
            <w:tcW w:w="1520" w:type="dxa"/>
            <w:vAlign w:val="bottom"/>
            <w:gridSpan w:val="2"/>
            <w:shd w:val="clear" w:color="auto" w:fill="EBECEC"/>
          </w:tcPr>
          <w:p>
            <w:pPr>
              <w:jc w:val="right"/>
              <w:ind w:right="240"/>
              <w:spacing w:after="0"/>
              <w:rPr>
                <w:sz w:val="20"/>
                <w:szCs w:val="20"/>
                <w:color w:val="auto"/>
              </w:rPr>
            </w:pPr>
            <w:r>
              <w:rPr>
                <w:rFonts w:ascii="Times New Roman" w:cs="Times New Roman" w:eastAsia="Times New Roman" w:hAnsi="Times New Roman"/>
                <w:sz w:val="20"/>
                <w:szCs w:val="20"/>
                <w:color w:val="231F20"/>
              </w:rPr>
              <w:t>(2.0)</w:t>
            </w:r>
          </w:p>
        </w:tc>
        <w:tc>
          <w:tcPr>
            <w:tcW w:w="0" w:type="dxa"/>
            <w:vAlign w:val="bottom"/>
          </w:tcPr>
          <w:p>
            <w:pPr>
              <w:spacing w:after="0"/>
              <w:rPr>
                <w:sz w:val="1"/>
                <w:szCs w:val="1"/>
                <w:color w:val="auto"/>
              </w:rPr>
            </w:pPr>
          </w:p>
        </w:tc>
      </w:tr>
      <w:tr>
        <w:trPr>
          <w:trHeight w:val="244"/>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231F20"/>
              </w:rPr>
              <w:t>Change in valuation allowance</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231F20"/>
              </w:rPr>
              <w:t>(19.8)</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(21.0)</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EBECEC"/>
          </w:tcPr>
          <w:p>
            <w:pPr>
              <w:spacing w:after="0"/>
              <w:rPr>
                <w:sz w:val="20"/>
                <w:szCs w:val="20"/>
                <w:color w:val="auto"/>
              </w:rPr>
            </w:pPr>
            <w:r>
              <w:rPr>
                <w:rFonts w:ascii="Times New Roman" w:cs="Times New Roman" w:eastAsia="Times New Roman" w:hAnsi="Times New Roman"/>
                <w:sz w:val="20"/>
                <w:szCs w:val="20"/>
                <w:color w:val="231F20"/>
              </w:rPr>
              <w:t>Effective tax rate</w:t>
            </w:r>
          </w:p>
        </w:tc>
        <w:tc>
          <w:tcPr>
            <w:tcW w:w="1280" w:type="dxa"/>
            <w:vAlign w:val="bottom"/>
            <w:shd w:val="clear" w:color="auto" w:fill="231F2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540" w:type="dxa"/>
            <w:vAlign w:val="bottom"/>
            <w:vMerge w:val="continue"/>
            <w:shd w:val="clear" w:color="auto" w:fill="EBECEC"/>
          </w:tcPr>
          <w:p>
            <w:pPr>
              <w:spacing w:after="0"/>
              <w:rPr>
                <w:sz w:val="22"/>
                <w:szCs w:val="22"/>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(0.4)%</w:t>
            </w:r>
          </w:p>
        </w:tc>
        <w:tc>
          <w:tcPr>
            <w:tcW w:w="0" w:type="dxa"/>
            <w:vAlign w:val="bottom"/>
          </w:tcPr>
          <w:p>
            <w:pPr>
              <w:spacing w:after="0"/>
              <w:rPr>
                <w:sz w:val="1"/>
                <w:szCs w:val="1"/>
                <w:color w:val="auto"/>
              </w:rPr>
            </w:pPr>
          </w:p>
        </w:tc>
      </w:tr>
      <w:tr>
        <w:trPr>
          <w:trHeight w:val="20"/>
        </w:trPr>
        <w:tc>
          <w:tcPr>
            <w:tcW w:w="6540" w:type="dxa"/>
            <w:vAlign w:val="bottom"/>
            <w:tcBorders>
              <w:top w:val="single" w:sz="8" w:color="EBECEC"/>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4148455</wp:posOffset>
                </wp:positionH>
                <wp:positionV relativeFrom="paragraph">
                  <wp:posOffset>-1741805</wp:posOffset>
                </wp:positionV>
                <wp:extent cx="820420" cy="15494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0420" cy="154940"/>
                        </a:xfrm>
                        <a:prstGeom prst="rect">
                          <a:avLst/>
                        </a:prstGeom>
                        <a:solidFill>
                          <a:srgbClr val="EBECEC"/>
                        </a:solidFill>
                      </wps:spPr>
                      <wps:bodyPr/>
                    </wps:wsp>
                  </a:graphicData>
                </a:graphic>
              </wp:anchor>
            </w:drawing>
          </mc:Choice>
          <mc:Fallback>
            <w:pict>
              <v:rect id="Shape 19" o:spid="_x0000_s1044" style="position:absolute;margin-left:326.65pt;margin-top:-137.1499pt;width:64.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mc:AlternateContent>
          <mc:Choice Requires="wps">
            <w:drawing>
              <wp:anchor simplePos="0" relativeHeight="251657728" behindDoc="1" locked="0" layoutInCell="0" allowOverlap="1">
                <wp:simplePos x="0" y="0"/>
                <wp:positionH relativeFrom="column">
                  <wp:posOffset>4968875</wp:posOffset>
                </wp:positionH>
                <wp:positionV relativeFrom="paragraph">
                  <wp:posOffset>-1751330</wp:posOffset>
                </wp:positionV>
                <wp:extent cx="233045" cy="16446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045" cy="164465"/>
                        </a:xfrm>
                        <a:prstGeom prst="rect">
                          <a:avLst/>
                        </a:prstGeom>
                        <a:solidFill>
                          <a:srgbClr val="EBECEC"/>
                        </a:solidFill>
                      </wps:spPr>
                      <wps:bodyPr/>
                    </wps:wsp>
                  </a:graphicData>
                </a:graphic>
              </wp:anchor>
            </w:drawing>
          </mc:Choice>
          <mc:Fallback>
            <w:pict>
              <v:rect id="Shape 20" o:spid="_x0000_s1045" style="position:absolute;margin-left:391.25pt;margin-top:-137.8999pt;width:18.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mc:AlternateContent>
          <mc:Choice Requires="wps">
            <w:drawing>
              <wp:anchor simplePos="0" relativeHeight="251657728" behindDoc="1" locked="0" layoutInCell="0" allowOverlap="1">
                <wp:simplePos x="0" y="0"/>
                <wp:positionH relativeFrom="column">
                  <wp:posOffset>5201920</wp:posOffset>
                </wp:positionH>
                <wp:positionV relativeFrom="paragraph">
                  <wp:posOffset>-1741805</wp:posOffset>
                </wp:positionV>
                <wp:extent cx="777240" cy="15494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 cy="154940"/>
                        </a:xfrm>
                        <a:prstGeom prst="rect">
                          <a:avLst/>
                        </a:prstGeom>
                        <a:solidFill>
                          <a:srgbClr val="EBECEC"/>
                        </a:solidFill>
                      </wps:spPr>
                      <wps:bodyPr/>
                    </wps:wsp>
                  </a:graphicData>
                </a:graphic>
              </wp:anchor>
            </w:drawing>
          </mc:Choice>
          <mc:Fallback>
            <w:pict>
              <v:rect id="Shape 21" o:spid="_x0000_s1046" style="position:absolute;margin-left:409.6pt;margin-top:-137.1499pt;width:61.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mc:AlternateContent>
          <mc:Choice Requires="wps">
            <w:drawing>
              <wp:anchor simplePos="0" relativeHeight="251657728" behindDoc="1" locked="0" layoutInCell="0" allowOverlap="1">
                <wp:simplePos x="0" y="0"/>
                <wp:positionH relativeFrom="column">
                  <wp:posOffset>5979160</wp:posOffset>
                </wp:positionH>
                <wp:positionV relativeFrom="paragraph">
                  <wp:posOffset>-1751330</wp:posOffset>
                </wp:positionV>
                <wp:extent cx="188595" cy="16446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595" cy="164465"/>
                        </a:xfrm>
                        <a:prstGeom prst="rect">
                          <a:avLst/>
                        </a:prstGeom>
                        <a:solidFill>
                          <a:srgbClr val="EBECEC"/>
                        </a:solidFill>
                      </wps:spPr>
                      <wps:bodyPr/>
                    </wps:wsp>
                  </a:graphicData>
                </a:graphic>
              </wp:anchor>
            </w:drawing>
          </mc:Choice>
          <mc:Fallback>
            <w:pict>
              <v:rect id="Shape 22" o:spid="_x0000_s1047" style="position:absolute;margin-left:470.8pt;margin-top:-137.8999pt;width:14.8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mc:AlternateContent>
          <mc:Choice Requires="wps">
            <w:drawing>
              <wp:anchor simplePos="0" relativeHeight="251657728" behindDoc="1" locked="0" layoutInCell="0" allowOverlap="1">
                <wp:simplePos x="0" y="0"/>
                <wp:positionH relativeFrom="column">
                  <wp:posOffset>4148455</wp:posOffset>
                </wp:positionH>
                <wp:positionV relativeFrom="paragraph">
                  <wp:posOffset>-182880</wp:posOffset>
                </wp:positionV>
                <wp:extent cx="820420" cy="15494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0420" cy="154940"/>
                        </a:xfrm>
                        <a:prstGeom prst="rect">
                          <a:avLst/>
                        </a:prstGeom>
                        <a:solidFill>
                          <a:srgbClr val="EBECEC"/>
                        </a:solidFill>
                      </wps:spPr>
                      <wps:bodyPr/>
                    </wps:wsp>
                  </a:graphicData>
                </a:graphic>
              </wp:anchor>
            </w:drawing>
          </mc:Choice>
          <mc:Fallback>
            <w:pict>
              <v:rect id="Shape 23" o:spid="_x0000_s1048" style="position:absolute;margin-left:326.65pt;margin-top:-14.3999pt;width:64.6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mc:AlternateContent>
          <mc:Choice Requires="wps">
            <w:drawing>
              <wp:anchor simplePos="0" relativeHeight="251657728" behindDoc="1" locked="0" layoutInCell="0" allowOverlap="1">
                <wp:simplePos x="0" y="0"/>
                <wp:positionH relativeFrom="column">
                  <wp:posOffset>4968875</wp:posOffset>
                </wp:positionH>
                <wp:positionV relativeFrom="paragraph">
                  <wp:posOffset>-192405</wp:posOffset>
                </wp:positionV>
                <wp:extent cx="233045" cy="16446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045" cy="164465"/>
                        </a:xfrm>
                        <a:prstGeom prst="rect">
                          <a:avLst/>
                        </a:prstGeom>
                        <a:solidFill>
                          <a:srgbClr val="EBECEC"/>
                        </a:solidFill>
                      </wps:spPr>
                      <wps:bodyPr/>
                    </wps:wsp>
                  </a:graphicData>
                </a:graphic>
              </wp:anchor>
            </w:drawing>
          </mc:Choice>
          <mc:Fallback>
            <w:pict>
              <v:rect id="Shape 24" o:spid="_x0000_s1049" style="position:absolute;margin-left:391.25pt;margin-top:-15.1499pt;width:18.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mc:AlternateContent>
          <mc:Choice Requires="wps">
            <w:drawing>
              <wp:anchor simplePos="0" relativeHeight="251657728" behindDoc="1" locked="0" layoutInCell="0" allowOverlap="1">
                <wp:simplePos x="0" y="0"/>
                <wp:positionH relativeFrom="column">
                  <wp:posOffset>5201920</wp:posOffset>
                </wp:positionH>
                <wp:positionV relativeFrom="paragraph">
                  <wp:posOffset>-182880</wp:posOffset>
                </wp:positionV>
                <wp:extent cx="777240" cy="15494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 cy="154940"/>
                        </a:xfrm>
                        <a:prstGeom prst="rect">
                          <a:avLst/>
                        </a:prstGeom>
                        <a:solidFill>
                          <a:srgbClr val="EBECEC"/>
                        </a:solidFill>
                      </wps:spPr>
                      <wps:bodyPr/>
                    </wps:wsp>
                  </a:graphicData>
                </a:graphic>
              </wp:anchor>
            </w:drawing>
          </mc:Choice>
          <mc:Fallback>
            <w:pict>
              <v:rect id="Shape 25" o:spid="_x0000_s1050" style="position:absolute;margin-left:409.6pt;margin-top:-14.3999pt;width:61.2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ECEC" stroked="f"/>
            </w:pict>
          </mc:Fallback>
        </mc:AlternateContent>
      </w:r>
    </w:p>
    <w:p>
      <w:pPr>
        <w:spacing w:after="0" w:line="201"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231F20"/>
        </w:rPr>
        <w:t>Income taxes paid (net of refunds received) for the year ended December 31, 2025 in accordance with the guidance in ASU 2023-09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Year ended</w:t>
            </w:r>
          </w:p>
        </w:tc>
      </w:tr>
      <w:tr>
        <w:trPr>
          <w:trHeight w:val="203"/>
        </w:trPr>
        <w:tc>
          <w:tcPr>
            <w:tcW w:w="7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December 31, 2025</w:t>
            </w:r>
          </w:p>
        </w:tc>
      </w:tr>
      <w:tr>
        <w:trPr>
          <w:trHeight w:val="239"/>
        </w:trPr>
        <w:tc>
          <w:tcPr>
            <w:tcW w:w="7940" w:type="dxa"/>
            <w:vAlign w:val="bottom"/>
            <w:tcBorders>
              <w:top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Federal</w:t>
            </w:r>
          </w:p>
        </w:tc>
        <w:tc>
          <w:tcPr>
            <w:tcW w:w="20" w:type="dxa"/>
            <w:vAlign w:val="bottom"/>
            <w:tcBorders>
              <w:top w:val="single" w:sz="8" w:color="EBECEC"/>
            </w:tcBorders>
            <w:shd w:val="clear" w:color="auto" w:fill="EBECEC"/>
          </w:tcPr>
          <w:p>
            <w:pPr>
              <w:spacing w:after="0"/>
              <w:rPr>
                <w:sz w:val="20"/>
                <w:szCs w:val="20"/>
                <w:color w:val="auto"/>
              </w:rPr>
            </w:pPr>
          </w:p>
        </w:tc>
        <w:tc>
          <w:tcPr>
            <w:tcW w:w="14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520" w:type="dxa"/>
            <w:vAlign w:val="bottom"/>
            <w:tcBorders>
              <w:top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Borders>
              <w:top w:val="single" w:sz="8" w:color="EBECEC"/>
            </w:tcBorders>
            <w:shd w:val="clear" w:color="auto" w:fill="EBECEC"/>
          </w:tcPr>
          <w:p>
            <w:pPr>
              <w:spacing w:after="0"/>
              <w:rPr>
                <w:sz w:val="20"/>
                <w:szCs w:val="20"/>
                <w:color w:val="auto"/>
              </w:rPr>
            </w:pPr>
          </w:p>
        </w:tc>
      </w:tr>
      <w:tr>
        <w:trPr>
          <w:trHeight w:val="244"/>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231F20"/>
              </w:rPr>
              <w:t>State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w:t>
            </w:r>
          </w:p>
        </w:tc>
        <w:tc>
          <w:tcPr>
            <w:tcW w:w="100" w:type="dxa"/>
            <w:vAlign w:val="bottom"/>
          </w:tcPr>
          <w:p>
            <w:pPr>
              <w:spacing w:after="0"/>
              <w:rPr>
                <w:sz w:val="21"/>
                <w:szCs w:val="21"/>
                <w:color w:val="auto"/>
              </w:rPr>
            </w:pPr>
          </w:p>
        </w:tc>
      </w:tr>
      <w:tr>
        <w:trPr>
          <w:trHeight w:val="264"/>
        </w:trPr>
        <w:tc>
          <w:tcPr>
            <w:tcW w:w="79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Foreign</w:t>
            </w:r>
          </w:p>
        </w:tc>
        <w:tc>
          <w:tcPr>
            <w:tcW w:w="20" w:type="dxa"/>
            <w:vAlign w:val="bottom"/>
            <w:shd w:val="clear" w:color="auto" w:fill="EBECEC"/>
          </w:tcPr>
          <w:p>
            <w:pPr>
              <w:spacing w:after="0"/>
              <w:rPr>
                <w:sz w:val="22"/>
                <w:szCs w:val="22"/>
                <w:color w:val="auto"/>
              </w:rPr>
            </w:pPr>
          </w:p>
        </w:tc>
        <w:tc>
          <w:tcPr>
            <w:tcW w:w="140" w:type="dxa"/>
            <w:vAlign w:val="bottom"/>
            <w:shd w:val="clear" w:color="auto" w:fill="EBECEC"/>
          </w:tcPr>
          <w:p>
            <w:pPr>
              <w:spacing w:after="0"/>
              <w:rPr>
                <w:sz w:val="22"/>
                <w:szCs w:val="22"/>
                <w:color w:val="auto"/>
              </w:rPr>
            </w:pPr>
          </w:p>
        </w:tc>
        <w:tc>
          <w:tcPr>
            <w:tcW w:w="1620" w:type="dxa"/>
            <w:vAlign w:val="bottom"/>
            <w:gridSpan w:val="2"/>
            <w:shd w:val="clear" w:color="auto" w:fill="EBEC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19"/>
        </w:trPr>
        <w:tc>
          <w:tcPr>
            <w:tcW w:w="7940" w:type="dxa"/>
            <w:vAlign w:val="bottom"/>
            <w:tcBorders>
              <w:top w:val="single" w:sz="8" w:color="EBECEC"/>
            </w:tcBorders>
          </w:tcPr>
          <w:p>
            <w:pPr>
              <w:spacing w:after="0" w:line="219" w:lineRule="exact"/>
              <w:rPr>
                <w:sz w:val="20"/>
                <w:szCs w:val="20"/>
                <w:color w:val="auto"/>
              </w:rPr>
            </w:pPr>
            <w:r>
              <w:rPr>
                <w:rFonts w:ascii="Times New Roman" w:cs="Times New Roman" w:eastAsia="Times New Roman" w:hAnsi="Times New Roman"/>
                <w:sz w:val="20"/>
                <w:szCs w:val="20"/>
                <w:color w:val="231F20"/>
              </w:rPr>
              <w:t>Total</w:t>
            </w:r>
          </w:p>
        </w:tc>
        <w:tc>
          <w:tcPr>
            <w:tcW w:w="20" w:type="dxa"/>
            <w:vAlign w:val="bottom"/>
            <w:tcBorders>
              <w:top w:val="single" w:sz="8" w:color="EBECEC"/>
            </w:tcBorders>
          </w:tcPr>
          <w:p>
            <w:pPr>
              <w:spacing w:after="0"/>
              <w:rPr>
                <w:sz w:val="19"/>
                <w:szCs w:val="19"/>
                <w:color w:val="auto"/>
              </w:rPr>
            </w:pPr>
          </w:p>
        </w:tc>
        <w:tc>
          <w:tcPr>
            <w:tcW w:w="1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5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(180)</w:t>
            </w:r>
          </w:p>
        </w:tc>
        <w:tc>
          <w:tcPr>
            <w:tcW w:w="100" w:type="dxa"/>
            <w:vAlign w:val="bottom"/>
            <w:tcBorders>
              <w:top w:val="single" w:sz="8" w:color="EBECEC"/>
            </w:tcBorders>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5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The components of the Company’s deferred tax assets and deferred tax liabilities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Borders>
              <w:bottom w:val="single" w:sz="8" w:color="EBECEC"/>
            </w:tcBorders>
          </w:tcPr>
          <w:p>
            <w:pPr>
              <w:spacing w:after="0"/>
              <w:rPr>
                <w:sz w:val="17"/>
                <w:szCs w:val="17"/>
                <w:color w:val="auto"/>
              </w:rPr>
            </w:pPr>
          </w:p>
        </w:tc>
        <w:tc>
          <w:tcPr>
            <w:tcW w:w="148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December 31, 2025</w:t>
            </w:r>
          </w:p>
        </w:tc>
        <w:tc>
          <w:tcPr>
            <w:tcW w:w="160" w:type="dxa"/>
            <w:vAlign w:val="bottom"/>
            <w:tcBorders>
              <w:bottom w:val="single" w:sz="8" w:color="EBECEC"/>
            </w:tcBorders>
          </w:tcPr>
          <w:p>
            <w:pPr>
              <w:spacing w:after="0"/>
              <w:rPr>
                <w:sz w:val="17"/>
                <w:szCs w:val="17"/>
                <w:color w:val="auto"/>
              </w:rPr>
            </w:pPr>
          </w:p>
        </w:tc>
        <w:tc>
          <w:tcPr>
            <w:tcW w:w="148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December 31, 2024</w:t>
            </w:r>
          </w:p>
        </w:tc>
      </w:tr>
      <w:tr>
        <w:trPr>
          <w:trHeight w:val="239"/>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b w:val="1"/>
                <w:bCs w:val="1"/>
                <w:color w:val="231F20"/>
              </w:rPr>
              <w:t>Deferred tax assets:</w:t>
            </w:r>
          </w:p>
        </w:tc>
        <w:tc>
          <w:tcPr>
            <w:tcW w:w="380" w:type="dxa"/>
            <w:vAlign w:val="bottom"/>
            <w:shd w:val="clear" w:color="auto" w:fill="EBECEC"/>
          </w:tcPr>
          <w:p>
            <w:pPr>
              <w:spacing w:after="0"/>
              <w:rPr>
                <w:sz w:val="20"/>
                <w:szCs w:val="20"/>
                <w:color w:val="auto"/>
              </w:rPr>
            </w:pPr>
          </w:p>
        </w:tc>
        <w:tc>
          <w:tcPr>
            <w:tcW w:w="1100" w:type="dxa"/>
            <w:vAlign w:val="bottom"/>
            <w:shd w:val="clear" w:color="auto" w:fill="EBECEC"/>
          </w:tcPr>
          <w:p>
            <w:pPr>
              <w:spacing w:after="0"/>
              <w:rPr>
                <w:sz w:val="20"/>
                <w:szCs w:val="20"/>
                <w:color w:val="auto"/>
              </w:rPr>
            </w:pPr>
          </w:p>
        </w:tc>
        <w:tc>
          <w:tcPr>
            <w:tcW w:w="160" w:type="dxa"/>
            <w:vAlign w:val="bottom"/>
            <w:shd w:val="clear" w:color="auto" w:fill="EBECEC"/>
          </w:tcPr>
          <w:p>
            <w:pPr>
              <w:spacing w:after="0"/>
              <w:rPr>
                <w:sz w:val="20"/>
                <w:szCs w:val="20"/>
                <w:color w:val="auto"/>
              </w:rPr>
            </w:pPr>
          </w:p>
        </w:tc>
        <w:tc>
          <w:tcPr>
            <w:tcW w:w="380" w:type="dxa"/>
            <w:vAlign w:val="bottom"/>
            <w:shd w:val="clear" w:color="auto" w:fill="EBECEC"/>
          </w:tcPr>
          <w:p>
            <w:pPr>
              <w:spacing w:after="0"/>
              <w:rPr>
                <w:sz w:val="20"/>
                <w:szCs w:val="20"/>
                <w:color w:val="auto"/>
              </w:rPr>
            </w:pPr>
          </w:p>
        </w:tc>
        <w:tc>
          <w:tcPr>
            <w:tcW w:w="1100" w:type="dxa"/>
            <w:vAlign w:val="bottom"/>
            <w:shd w:val="clear" w:color="auto" w:fill="EBECEC"/>
          </w:tcPr>
          <w:p>
            <w:pPr>
              <w:spacing w:after="0"/>
              <w:rPr>
                <w:sz w:val="20"/>
                <w:szCs w:val="20"/>
                <w:color w:val="auto"/>
              </w:rPr>
            </w:pP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Net federal operating loss carryforward</w:t>
            </w:r>
          </w:p>
        </w:tc>
        <w:tc>
          <w:tcPr>
            <w:tcW w:w="380" w:type="dxa"/>
            <w:vAlign w:val="bottom"/>
          </w:tcPr>
          <w:p>
            <w:pPr>
              <w:jc w:val="right"/>
              <w:ind w:right="187"/>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121,365</w:t>
            </w:r>
          </w:p>
        </w:tc>
        <w:tc>
          <w:tcPr>
            <w:tcW w:w="160" w:type="dxa"/>
            <w:vAlign w:val="bottom"/>
          </w:tcPr>
          <w:p>
            <w:pPr>
              <w:spacing w:after="0"/>
              <w:rPr>
                <w:sz w:val="21"/>
                <w:szCs w:val="21"/>
                <w:color w:val="auto"/>
              </w:rPr>
            </w:pPr>
          </w:p>
        </w:tc>
        <w:tc>
          <w:tcPr>
            <w:tcW w:w="380" w:type="dxa"/>
            <w:vAlign w:val="bottom"/>
          </w:tcPr>
          <w:p>
            <w:pPr>
              <w:jc w:val="right"/>
              <w:ind w:right="187"/>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120,149</w:t>
            </w: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Net foreign operating loss carryforward</w:t>
            </w: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14,064</w:t>
            </w:r>
          </w:p>
        </w:tc>
        <w:tc>
          <w:tcPr>
            <w:tcW w:w="16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4,830</w:t>
            </w: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Net state operating loss carryforward</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38,770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37,828</w:t>
            </w: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Non-cash compensation</w:t>
            </w: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35,682</w:t>
            </w:r>
          </w:p>
        </w:tc>
        <w:tc>
          <w:tcPr>
            <w:tcW w:w="16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30,734</w:t>
            </w: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Research and development credits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24,717</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27,409</w:t>
            </w: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Interest expense</w:t>
            </w: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5,692</w:t>
            </w:r>
          </w:p>
        </w:tc>
        <w:tc>
          <w:tcPr>
            <w:tcW w:w="16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3,458</w:t>
            </w: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Charitable contribution</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COGS: Additional Section 263A costs</w:t>
            </w: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899</w:t>
            </w:r>
          </w:p>
        </w:tc>
        <w:tc>
          <w:tcPr>
            <w:tcW w:w="16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471 adjustment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317</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Intangible asset</w:t>
            </w: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5,349</w:t>
            </w:r>
          </w:p>
        </w:tc>
        <w:tc>
          <w:tcPr>
            <w:tcW w:w="16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5,547</w:t>
            </w: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Accrued expenses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8,676</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9,180</w:t>
            </w: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Section 174 capitalization</w:t>
            </w: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60,203</w:t>
            </w:r>
          </w:p>
        </w:tc>
        <w:tc>
          <w:tcPr>
            <w:tcW w:w="16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42,343</w:t>
            </w: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Fixed assets</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r>
      <w:tr>
        <w:trPr>
          <w:trHeight w:val="264"/>
        </w:trPr>
        <w:tc>
          <w:tcPr>
            <w:tcW w:w="660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Lease liability</w:t>
            </w:r>
          </w:p>
        </w:tc>
        <w:tc>
          <w:tcPr>
            <w:tcW w:w="380" w:type="dxa"/>
            <w:vAlign w:val="bottom"/>
            <w:tcBorders>
              <w:bottom w:val="single" w:sz="8" w:color="231F20"/>
            </w:tcBorders>
            <w:shd w:val="clear" w:color="auto" w:fill="EBECEC"/>
          </w:tcPr>
          <w:p>
            <w:pPr>
              <w:spacing w:after="0"/>
              <w:rPr>
                <w:sz w:val="22"/>
                <w:szCs w:val="22"/>
                <w:color w:val="auto"/>
              </w:rPr>
            </w:pPr>
          </w:p>
        </w:tc>
        <w:tc>
          <w:tcPr>
            <w:tcW w:w="11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7,443</w:t>
            </w:r>
          </w:p>
        </w:tc>
        <w:tc>
          <w:tcPr>
            <w:tcW w:w="160" w:type="dxa"/>
            <w:vAlign w:val="bottom"/>
            <w:tcBorders>
              <w:bottom w:val="single" w:sz="8" w:color="EBECEC"/>
            </w:tcBorders>
            <w:shd w:val="clear" w:color="auto" w:fill="EBECEC"/>
          </w:tcPr>
          <w:p>
            <w:pPr>
              <w:spacing w:after="0"/>
              <w:rPr>
                <w:sz w:val="22"/>
                <w:szCs w:val="22"/>
                <w:color w:val="auto"/>
              </w:rPr>
            </w:pPr>
          </w:p>
        </w:tc>
        <w:tc>
          <w:tcPr>
            <w:tcW w:w="380" w:type="dxa"/>
            <w:vAlign w:val="bottom"/>
            <w:tcBorders>
              <w:bottom w:val="single" w:sz="8" w:color="231F20"/>
            </w:tcBorders>
            <w:shd w:val="clear" w:color="auto" w:fill="EBECEC"/>
          </w:tcPr>
          <w:p>
            <w:pPr>
              <w:spacing w:after="0"/>
              <w:rPr>
                <w:sz w:val="22"/>
                <w:szCs w:val="22"/>
                <w:color w:val="auto"/>
              </w:rPr>
            </w:pPr>
          </w:p>
        </w:tc>
        <w:tc>
          <w:tcPr>
            <w:tcW w:w="11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3,045</w:t>
            </w:r>
          </w:p>
        </w:tc>
      </w:tr>
      <w:tr>
        <w:trPr>
          <w:trHeight w:val="219"/>
        </w:trPr>
        <w:tc>
          <w:tcPr>
            <w:tcW w:w="66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Deferred tax asset, excluding valuation allowance</w:t>
            </w:r>
          </w:p>
        </w:tc>
        <w:tc>
          <w:tcPr>
            <w:tcW w:w="380" w:type="dxa"/>
            <w:vAlign w:val="bottom"/>
          </w:tcPr>
          <w:p>
            <w:pPr>
              <w:spacing w:after="0"/>
              <w:rPr>
                <w:sz w:val="19"/>
                <w:szCs w:val="19"/>
                <w:color w:val="auto"/>
              </w:rPr>
            </w:pP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323,246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284,570</w:t>
            </w:r>
          </w:p>
        </w:tc>
      </w:tr>
      <w:tr>
        <w:trPr>
          <w:trHeight w:val="244"/>
        </w:trPr>
        <w:tc>
          <w:tcPr>
            <w:tcW w:w="660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b w:val="1"/>
                <w:bCs w:val="1"/>
                <w:color w:val="231F20"/>
              </w:rPr>
              <w:t>Deferred tax liabilities:</w:t>
            </w: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spacing w:after="0"/>
              <w:rPr>
                <w:sz w:val="21"/>
                <w:szCs w:val="21"/>
                <w:color w:val="auto"/>
              </w:rPr>
            </w:pPr>
          </w:p>
        </w:tc>
      </w:tr>
      <w:tr>
        <w:trPr>
          <w:trHeight w:val="244"/>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481(a) adjustment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(361)</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4"/>
        </w:trPr>
        <w:tc>
          <w:tcPr>
            <w:tcW w:w="660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Lease asset</w:t>
            </w:r>
          </w:p>
        </w:tc>
        <w:tc>
          <w:tcPr>
            <w:tcW w:w="380" w:type="dxa"/>
            <w:vAlign w:val="bottom"/>
            <w:tcBorders>
              <w:bottom w:val="single" w:sz="8" w:color="231F20"/>
            </w:tcBorders>
            <w:shd w:val="clear" w:color="auto" w:fill="EBECEC"/>
          </w:tcPr>
          <w:p>
            <w:pPr>
              <w:spacing w:after="0"/>
              <w:rPr>
                <w:sz w:val="22"/>
                <w:szCs w:val="22"/>
                <w:color w:val="auto"/>
              </w:rPr>
            </w:pPr>
          </w:p>
        </w:tc>
        <w:tc>
          <w:tcPr>
            <w:tcW w:w="11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(6,741)</w:t>
            </w:r>
          </w:p>
        </w:tc>
        <w:tc>
          <w:tcPr>
            <w:tcW w:w="160" w:type="dxa"/>
            <w:vAlign w:val="bottom"/>
            <w:tcBorders>
              <w:bottom w:val="single" w:sz="8" w:color="EBECEC"/>
            </w:tcBorders>
            <w:shd w:val="clear" w:color="auto" w:fill="EBECEC"/>
          </w:tcPr>
          <w:p>
            <w:pPr>
              <w:spacing w:after="0"/>
              <w:rPr>
                <w:sz w:val="22"/>
                <w:szCs w:val="22"/>
                <w:color w:val="auto"/>
              </w:rPr>
            </w:pPr>
          </w:p>
        </w:tc>
        <w:tc>
          <w:tcPr>
            <w:tcW w:w="380" w:type="dxa"/>
            <w:vAlign w:val="bottom"/>
            <w:tcBorders>
              <w:bottom w:val="single" w:sz="8" w:color="231F20"/>
            </w:tcBorders>
            <w:shd w:val="clear" w:color="auto" w:fill="EBECEC"/>
          </w:tcPr>
          <w:p>
            <w:pPr>
              <w:spacing w:after="0"/>
              <w:rPr>
                <w:sz w:val="22"/>
                <w:szCs w:val="22"/>
                <w:color w:val="auto"/>
              </w:rPr>
            </w:pPr>
          </w:p>
        </w:tc>
        <w:tc>
          <w:tcPr>
            <w:tcW w:w="11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(2,413)</w:t>
            </w:r>
          </w:p>
        </w:tc>
      </w:tr>
      <w:tr>
        <w:trPr>
          <w:trHeight w:val="219"/>
        </w:trPr>
        <w:tc>
          <w:tcPr>
            <w:tcW w:w="66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Deferred tax liability, excluding valuation allowance</w:t>
            </w:r>
          </w:p>
        </w:tc>
        <w:tc>
          <w:tcPr>
            <w:tcW w:w="380" w:type="dxa"/>
            <w:vAlign w:val="bottom"/>
          </w:tcPr>
          <w:p>
            <w:pPr>
              <w:spacing w:after="0"/>
              <w:rPr>
                <w:sz w:val="19"/>
                <w:szCs w:val="19"/>
                <w:color w:val="auto"/>
              </w:rPr>
            </w:pP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(7,102)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(2,413)</w:t>
            </w:r>
          </w:p>
        </w:tc>
      </w:tr>
      <w:tr>
        <w:trPr>
          <w:trHeight w:val="244"/>
        </w:trPr>
        <w:tc>
          <w:tcPr>
            <w:tcW w:w="660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spacing w:after="0"/>
              <w:rPr>
                <w:sz w:val="21"/>
                <w:szCs w:val="21"/>
                <w:color w:val="auto"/>
              </w:rPr>
            </w:pPr>
          </w:p>
        </w:tc>
        <w:tc>
          <w:tcPr>
            <w:tcW w:w="160" w:type="dxa"/>
            <w:vAlign w:val="bottom"/>
            <w:shd w:val="clear" w:color="auto" w:fill="EBECEC"/>
          </w:tcPr>
          <w:p>
            <w:pPr>
              <w:spacing w:after="0"/>
              <w:rPr>
                <w:sz w:val="21"/>
                <w:szCs w:val="21"/>
                <w:color w:val="auto"/>
              </w:rPr>
            </w:pPr>
          </w:p>
        </w:tc>
        <w:tc>
          <w:tcPr>
            <w:tcW w:w="380" w:type="dxa"/>
            <w:vAlign w:val="bottom"/>
            <w:shd w:val="clear" w:color="auto" w:fill="EBECEC"/>
          </w:tcPr>
          <w:p>
            <w:pPr>
              <w:spacing w:after="0"/>
              <w:rPr>
                <w:sz w:val="21"/>
                <w:szCs w:val="21"/>
                <w:color w:val="auto"/>
              </w:rPr>
            </w:pPr>
          </w:p>
        </w:tc>
        <w:tc>
          <w:tcPr>
            <w:tcW w:w="1100" w:type="dxa"/>
            <w:vAlign w:val="bottom"/>
            <w:shd w:val="clear" w:color="auto" w:fill="EBECEC"/>
          </w:tcPr>
          <w:p>
            <w:pPr>
              <w:spacing w:after="0"/>
              <w:rPr>
                <w:sz w:val="21"/>
                <w:szCs w:val="21"/>
                <w:color w:val="auto"/>
              </w:rPr>
            </w:pPr>
          </w:p>
        </w:tc>
      </w:tr>
      <w:tr>
        <w:trPr>
          <w:trHeight w:val="244"/>
        </w:trPr>
        <w:tc>
          <w:tcPr>
            <w:tcW w:w="6600" w:type="dxa"/>
            <w:vAlign w:val="bottom"/>
            <w:tcBorders>
              <w:bottom w:val="single" w:sz="8" w:color="EBECEC"/>
            </w:tcBorders>
          </w:tcPr>
          <w:p>
            <w:pPr>
              <w:spacing w:after="0"/>
              <w:rPr>
                <w:sz w:val="20"/>
                <w:szCs w:val="20"/>
                <w:color w:val="auto"/>
              </w:rPr>
            </w:pPr>
            <w:r>
              <w:rPr>
                <w:rFonts w:ascii="Times New Roman" w:cs="Times New Roman" w:eastAsia="Times New Roman" w:hAnsi="Times New Roman"/>
                <w:sz w:val="20"/>
                <w:szCs w:val="20"/>
                <w:color w:val="231F20"/>
              </w:rPr>
              <w:t>Less valuation allowance</w:t>
            </w:r>
          </w:p>
        </w:tc>
        <w:tc>
          <w:tcPr>
            <w:tcW w:w="38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(316,110)</w:t>
            </w:r>
          </w:p>
        </w:tc>
        <w:tc>
          <w:tcPr>
            <w:tcW w:w="160" w:type="dxa"/>
            <w:vAlign w:val="bottom"/>
            <w:tcBorders>
              <w:bottom w:val="single" w:sz="8" w:color="EBECEC"/>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(282,157)</w:t>
            </w:r>
          </w:p>
        </w:tc>
      </w:tr>
      <w:tr>
        <w:trPr>
          <w:trHeight w:val="259"/>
        </w:trPr>
        <w:tc>
          <w:tcPr>
            <w:tcW w:w="660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b w:val="1"/>
                <w:bCs w:val="1"/>
                <w:color w:val="231F20"/>
              </w:rPr>
              <w:t>Net deferred tax assets</w:t>
            </w:r>
          </w:p>
        </w:tc>
        <w:tc>
          <w:tcPr>
            <w:tcW w:w="380" w:type="dxa"/>
            <w:vAlign w:val="bottom"/>
            <w:tcBorders>
              <w:bottom w:val="single" w:sz="8" w:color="231F20"/>
            </w:tcBorders>
            <w:shd w:val="clear" w:color="auto" w:fill="EBECEC"/>
          </w:tcPr>
          <w:p>
            <w:pPr>
              <w:jc w:val="right"/>
              <w:ind w:right="187"/>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160" w:type="dxa"/>
            <w:vAlign w:val="bottom"/>
            <w:tcBorders>
              <w:bottom w:val="single" w:sz="8" w:color="EBECEC"/>
            </w:tcBorders>
            <w:shd w:val="clear" w:color="auto" w:fill="EBECEC"/>
          </w:tcPr>
          <w:p>
            <w:pPr>
              <w:spacing w:after="0"/>
              <w:rPr>
                <w:sz w:val="22"/>
                <w:szCs w:val="22"/>
                <w:color w:val="auto"/>
              </w:rPr>
            </w:pPr>
          </w:p>
        </w:tc>
        <w:tc>
          <w:tcPr>
            <w:tcW w:w="380" w:type="dxa"/>
            <w:vAlign w:val="bottom"/>
            <w:tcBorders>
              <w:bottom w:val="single" w:sz="8" w:color="231F20"/>
            </w:tcBorders>
            <w:shd w:val="clear" w:color="auto" w:fill="EBECEC"/>
          </w:tcPr>
          <w:p>
            <w:pPr>
              <w:jc w:val="right"/>
              <w:ind w:right="187"/>
              <w:spacing w:after="0"/>
              <w:rPr>
                <w:sz w:val="20"/>
                <w:szCs w:val="20"/>
                <w:color w:val="auto"/>
              </w:rPr>
            </w:pPr>
            <w:r>
              <w:rPr>
                <w:rFonts w:ascii="Times New Roman" w:cs="Times New Roman" w:eastAsia="Times New Roman" w:hAnsi="Times New Roman"/>
                <w:sz w:val="20"/>
                <w:szCs w:val="20"/>
                <w:color w:val="231F20"/>
                <w:w w:val="79"/>
              </w:rPr>
              <w:t>$</w:t>
            </w:r>
          </w:p>
        </w:tc>
        <w:tc>
          <w:tcPr>
            <w:tcW w:w="11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0"/>
        </w:trPr>
        <w:tc>
          <w:tcPr>
            <w:tcW w:w="660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720"/>
          </w:cols>
          <w:pgMar w:left="1260" w:top="1247" w:right="1260" w:bottom="186"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F-37</w:t>
      </w:r>
    </w:p>
    <w:p>
      <w:pPr>
        <w:sectPr>
          <w:pgSz w:w="12240" w:h="15840" w:orient="portrait"/>
          <w:cols w:equalWidth="0" w:num="1">
            <w:col w:w="9720"/>
          </w:cols>
          <w:pgMar w:left="1260" w:top="1247" w:right="1260" w:bottom="186" w:gutter="0" w:footer="0" w:header="0"/>
          <w:type w:val="continuous"/>
        </w:sectPr>
      </w:pPr>
    </w:p>
    <w:bookmarkStart w:id="168" w:name="page169"/>
    <w:bookmarkEnd w:id="168"/>
    <w:p>
      <w:pPr>
        <w:ind w:right="20" w:firstLine="720"/>
        <w:spacing w:after="0" w:line="246" w:lineRule="auto"/>
        <w:rPr>
          <w:sz w:val="20"/>
          <w:szCs w:val="20"/>
          <w:color w:val="auto"/>
        </w:rPr>
      </w:pPr>
      <w:r>
        <w:rPr>
          <w:rFonts w:ascii="Times New Roman" w:cs="Times New Roman" w:eastAsia="Times New Roman" w:hAnsi="Times New Roman"/>
          <w:sz w:val="20"/>
          <w:szCs w:val="20"/>
          <w:color w:val="231F20"/>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and forecast of future losses, the Company provided a valuation allowance against substantially all of the deferred tax assets in the U.S. and Malta. The valuation allowance increased by $34.0 million, $58.7 million and $39.0 million, in 2025, 2024 and 2023, respectively, as a result of the increase of the deferred tax assets.</w:t>
      </w:r>
    </w:p>
    <w:p>
      <w:pPr>
        <w:spacing w:after="0" w:line="20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As of December 31, 2025, the Company has U.S. federal net operating loss (“NOL”) carryforwards of approximately $577.9 million and foreign NOL carryforwards of $281.3 million. U.S. federal NOLs amounting to $59.8 million generated before the 2018 tax year will start expiring beginning 2032, and the NOLs of approximately $518.1 million generated in 2018 and later have an indefinite carryforward period. The NOL carryforwards are subject to review and possible adjustment by the Internal Revenue Service (“IRS”)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that the Company can utilize annually to offset future taxable income or tax liabilities.</w:t>
      </w:r>
    </w:p>
    <w:p>
      <w:pPr>
        <w:spacing w:after="0" w:line="206"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231F20"/>
        </w:rPr>
        <w:t>For the year ended December 31, 2025, the Company recorded $0.5 million of income tax benefit due to favorable return-to-provision adjustments attributable to certain foreign tax returns filed during the year. For the year ended December 31, 2024, the Company recorded $0.1 million of income tax expense due to state taxes. There was no income tax expense or benefit recorded by the Company in any other jurisdiction due to its net loss tax position and the valuation allowance recorded against its deferred tax assets during the years ended December 31, 2025, 2024, and 2023.</w:t>
      </w:r>
    </w:p>
    <w:p>
      <w:pPr>
        <w:spacing w:after="0" w:line="19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231F20"/>
        </w:rPr>
        <w:t>The Company files U.S. federal income tax returns as well as various state, local, and foreign jurisdictions. The Company is currently under examination by the IRS for the Company’s 2021 U.S. income tax return. The audit is nearing completion, and the Company expects a resolution in the near term. As a result of the audit, the Company recorded gross uncertain tax positions totaling $3.3 million, which have been recognized as a reduction of deferred tax assets.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202"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231F20"/>
        </w:rPr>
        <w:t>ASC 740 clarifies the accounting and reporting for uncertainties in income tax law and prescribes a comprehensive model for financial statement recognition, measurement, presentation and disclosure of uncertain tax positions taken or expected to be taken in income tax returns. ASC 740 requires that tax effects of an uncertain tax position be recognized only if it is “more likely than not” to be sustained by the taxing authority as of the reporting date.</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 reconciliation of the beginning and ending amount of unrecognized tax benefits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62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ind w:left="160"/>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ind w:left="160"/>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80" w:type="dxa"/>
            <w:vAlign w:val="bottom"/>
            <w:tcBorders>
              <w:bottom w:val="single" w:sz="8" w:color="EBECEC"/>
            </w:tcBorders>
          </w:tcPr>
          <w:p>
            <w:pPr>
              <w:spacing w:after="0"/>
              <w:rPr>
                <w:sz w:val="17"/>
                <w:szCs w:val="17"/>
                <w:color w:val="auto"/>
              </w:rPr>
            </w:pPr>
          </w:p>
        </w:tc>
      </w:tr>
      <w:tr>
        <w:trPr>
          <w:trHeight w:val="239"/>
        </w:trPr>
        <w:tc>
          <w:tcPr>
            <w:tcW w:w="562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Balance of unrecognized tax benefits at beginning of year</w:t>
            </w: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240" w:type="dxa"/>
            <w:vAlign w:val="bottom"/>
            <w:shd w:val="clear" w:color="auto" w:fill="EBECEC"/>
          </w:tcPr>
          <w:p>
            <w:pPr>
              <w:spacing w:after="0"/>
              <w:rPr>
                <w:sz w:val="20"/>
                <w:szCs w:val="20"/>
                <w:color w:val="auto"/>
              </w:rPr>
            </w:pP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80" w:type="dxa"/>
            <w:vAlign w:val="bottom"/>
            <w:shd w:val="clear" w:color="auto" w:fill="EBECEC"/>
          </w:tcPr>
          <w:p>
            <w:pPr>
              <w:spacing w:after="0"/>
              <w:rPr>
                <w:sz w:val="20"/>
                <w:szCs w:val="20"/>
                <w:color w:val="auto"/>
              </w:rPr>
            </w:pPr>
          </w:p>
        </w:tc>
      </w:tr>
      <w:tr>
        <w:trPr>
          <w:trHeight w:val="244"/>
        </w:trPr>
        <w:tc>
          <w:tcPr>
            <w:tcW w:w="56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Additions based on tax positions related to the current period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80" w:type="dxa"/>
            <w:vAlign w:val="bottom"/>
          </w:tcPr>
          <w:p>
            <w:pPr>
              <w:spacing w:after="0"/>
              <w:rPr>
                <w:sz w:val="21"/>
                <w:szCs w:val="21"/>
                <w:color w:val="auto"/>
              </w:rPr>
            </w:pPr>
          </w:p>
        </w:tc>
      </w:tr>
      <w:tr>
        <w:trPr>
          <w:trHeight w:val="244"/>
        </w:trPr>
        <w:tc>
          <w:tcPr>
            <w:tcW w:w="56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Additions for tax positions of prior periods</w:t>
            </w: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3,267</w:t>
            </w:r>
          </w:p>
        </w:tc>
        <w:tc>
          <w:tcPr>
            <w:tcW w:w="24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24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80" w:type="dxa"/>
            <w:vAlign w:val="bottom"/>
            <w:shd w:val="clear" w:color="auto" w:fill="EBECEC"/>
          </w:tcPr>
          <w:p>
            <w:pPr>
              <w:spacing w:after="0"/>
              <w:rPr>
                <w:sz w:val="21"/>
                <w:szCs w:val="21"/>
                <w:color w:val="auto"/>
              </w:rPr>
            </w:pPr>
          </w:p>
        </w:tc>
      </w:tr>
      <w:tr>
        <w:trPr>
          <w:trHeight w:val="244"/>
        </w:trPr>
        <w:tc>
          <w:tcPr>
            <w:tcW w:w="56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Reductions for tax positions of prior periods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80" w:type="dxa"/>
            <w:vAlign w:val="bottom"/>
          </w:tcPr>
          <w:p>
            <w:pPr>
              <w:spacing w:after="0"/>
              <w:rPr>
                <w:sz w:val="21"/>
                <w:szCs w:val="21"/>
                <w:color w:val="auto"/>
              </w:rPr>
            </w:pPr>
          </w:p>
        </w:tc>
      </w:tr>
      <w:tr>
        <w:trPr>
          <w:trHeight w:val="244"/>
        </w:trPr>
        <w:tc>
          <w:tcPr>
            <w:tcW w:w="562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Release due to expiration of statute of limitations</w:t>
            </w:r>
          </w:p>
        </w:tc>
        <w:tc>
          <w:tcPr>
            <w:tcW w:w="260" w:type="dxa"/>
            <w:vAlign w:val="bottom"/>
            <w:tcBorders>
              <w:bottom w:val="single" w:sz="8" w:color="231F20"/>
            </w:tcBorders>
            <w:shd w:val="clear" w:color="auto" w:fill="EBECEC"/>
          </w:tcPr>
          <w:p>
            <w:pPr>
              <w:spacing w:after="0"/>
              <w:rPr>
                <w:sz w:val="21"/>
                <w:szCs w:val="21"/>
                <w:color w:val="auto"/>
              </w:rPr>
            </w:pP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BECEC"/>
          </w:tcPr>
          <w:p>
            <w:pPr>
              <w:spacing w:after="0"/>
              <w:rPr>
                <w:sz w:val="21"/>
                <w:szCs w:val="21"/>
                <w:color w:val="auto"/>
              </w:rPr>
            </w:pPr>
          </w:p>
        </w:tc>
        <w:tc>
          <w:tcPr>
            <w:tcW w:w="260" w:type="dxa"/>
            <w:vAlign w:val="bottom"/>
            <w:tcBorders>
              <w:bottom w:val="single" w:sz="8" w:color="231F20"/>
            </w:tcBorders>
            <w:shd w:val="clear" w:color="auto" w:fill="EBECEC"/>
          </w:tcPr>
          <w:p>
            <w:pPr>
              <w:spacing w:after="0"/>
              <w:rPr>
                <w:sz w:val="21"/>
                <w:szCs w:val="21"/>
                <w:color w:val="auto"/>
              </w:rPr>
            </w:pPr>
          </w:p>
        </w:tc>
        <w:tc>
          <w:tcPr>
            <w:tcW w:w="920" w:type="dxa"/>
            <w:vAlign w:val="bottom"/>
            <w:tcBorders>
              <w:bottom w:val="single" w:sz="8" w:color="231F20"/>
            </w:tcBorders>
            <w:shd w:val="clear" w:color="auto" w:fill="EBECEC"/>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240" w:type="dxa"/>
            <w:vAlign w:val="bottom"/>
            <w:shd w:val="clear" w:color="auto" w:fill="EBECEC"/>
          </w:tcPr>
          <w:p>
            <w:pPr>
              <w:spacing w:after="0"/>
              <w:rPr>
                <w:sz w:val="21"/>
                <w:szCs w:val="21"/>
                <w:color w:val="auto"/>
              </w:rPr>
            </w:pPr>
          </w:p>
        </w:tc>
        <w:tc>
          <w:tcPr>
            <w:tcW w:w="260" w:type="dxa"/>
            <w:vAlign w:val="bottom"/>
            <w:tcBorders>
              <w:bottom w:val="single" w:sz="8" w:color="231F20"/>
            </w:tcBorders>
            <w:shd w:val="clear" w:color="auto" w:fill="EBECEC"/>
          </w:tcPr>
          <w:p>
            <w:pPr>
              <w:spacing w:after="0"/>
              <w:rPr>
                <w:sz w:val="21"/>
                <w:szCs w:val="21"/>
                <w:color w:val="auto"/>
              </w:rPr>
            </w:pPr>
          </w:p>
        </w:tc>
        <w:tc>
          <w:tcPr>
            <w:tcW w:w="920" w:type="dxa"/>
            <w:vAlign w:val="bottom"/>
            <w:tcBorders>
              <w:bottom w:val="single" w:sz="8" w:color="231F20"/>
            </w:tcBorders>
            <w:shd w:val="clear" w:color="auto" w:fill="EBECEC"/>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80" w:type="dxa"/>
            <w:vAlign w:val="bottom"/>
            <w:shd w:val="clear" w:color="auto" w:fill="EBECEC"/>
          </w:tcPr>
          <w:p>
            <w:pPr>
              <w:spacing w:after="0"/>
              <w:rPr>
                <w:sz w:val="21"/>
                <w:szCs w:val="21"/>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Balance of unrecognized tax benefits at end of year</w:t>
            </w:r>
          </w:p>
        </w:tc>
        <w:tc>
          <w:tcPr>
            <w:tcW w:w="26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3,267</w:t>
            </w:r>
          </w:p>
        </w:tc>
        <w:tc>
          <w:tcPr>
            <w:tcW w:w="240" w:type="dxa"/>
            <w:vAlign w:val="bottom"/>
          </w:tcPr>
          <w:p>
            <w:pPr>
              <w:spacing w:after="0"/>
              <w:rPr>
                <w:sz w:val="20"/>
                <w:szCs w:val="20"/>
                <w:color w:val="auto"/>
              </w:rPr>
            </w:pPr>
          </w:p>
        </w:tc>
        <w:tc>
          <w:tcPr>
            <w:tcW w:w="26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240" w:type="dxa"/>
            <w:vAlign w:val="bottom"/>
          </w:tcPr>
          <w:p>
            <w:pPr>
              <w:spacing w:after="0"/>
              <w:rPr>
                <w:sz w:val="20"/>
                <w:szCs w:val="20"/>
                <w:color w:val="auto"/>
              </w:rPr>
            </w:pPr>
          </w:p>
        </w:tc>
        <w:tc>
          <w:tcPr>
            <w:tcW w:w="26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tcPr>
          <w:p>
            <w:pPr>
              <w:ind w:left="720"/>
              <w:spacing w:after="0"/>
              <w:rPr>
                <w:sz w:val="20"/>
                <w:szCs w:val="20"/>
                <w:color w:val="auto"/>
              </w:rPr>
            </w:pPr>
            <w:r>
              <w:rPr>
                <w:rFonts w:ascii="Times New Roman" w:cs="Times New Roman" w:eastAsia="Times New Roman" w:hAnsi="Times New Roman"/>
                <w:sz w:val="20"/>
                <w:szCs w:val="20"/>
                <w:color w:val="231F20"/>
                <w:w w:val="89"/>
              </w:rPr>
              <w:t>—</w:t>
            </w:r>
          </w:p>
        </w:tc>
        <w:tc>
          <w:tcPr>
            <w:tcW w:w="8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-1126490</wp:posOffset>
            </wp:positionV>
            <wp:extent cx="259905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2599055" cy="38100"/>
                    </a:xfrm>
                    <a:prstGeom prst="rect">
                      <a:avLst/>
                    </a:prstGeom>
                    <a:noFill/>
                  </pic:spPr>
                </pic:pic>
              </a:graphicData>
            </a:graphic>
          </wp:anchor>
        </w:drawing>
      </w:r>
    </w:p>
    <w:p>
      <w:pPr>
        <w:spacing w:after="0" w:line="201"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color w:val="231F20"/>
        </w:rPr>
        <w:t>Amounts included in the balance of unrecognized tax benefits as of December 31, 2025, if recognized, would not affect the effective tax rate upon recognition.</w:t>
      </w:r>
    </w:p>
    <w:p>
      <w:pPr>
        <w:spacing w:after="0" w:line="169"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color w:val="231F20"/>
        </w:rPr>
        <w:t>The Company has elected to account for Global Intangible Low-Taxed Income (GILTI) in the period in which it is incurred, and therefore has not provided deferred tax impacts of GILTI in its consolidated financial statements.</w:t>
      </w:r>
    </w:p>
    <w:p>
      <w:pPr>
        <w:sectPr>
          <w:pgSz w:w="12240" w:h="15840" w:orient="portrait"/>
          <w:cols w:equalWidth="0" w:num="1">
            <w:col w:w="9720"/>
          </w:cols>
          <w:pgMar w:left="1260" w:top="1247"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F-38</w:t>
      </w:r>
    </w:p>
    <w:p>
      <w:pPr>
        <w:sectPr>
          <w:pgSz w:w="12240" w:h="15840" w:orient="portrait"/>
          <w:cols w:equalWidth="0" w:num="1">
            <w:col w:w="9720"/>
          </w:cols>
          <w:pgMar w:left="1260" w:top="1247" w:right="1260" w:bottom="186" w:gutter="0" w:footer="0" w:header="0"/>
          <w:type w:val="continuous"/>
        </w:sectPr>
      </w:pPr>
    </w:p>
    <w:bookmarkStart w:id="169" w:name="page170"/>
    <w:bookmarkEnd w:id="169"/>
    <w:p>
      <w:pPr>
        <w:ind w:right="120" w:firstLine="720"/>
        <w:spacing w:after="0" w:line="249" w:lineRule="auto"/>
        <w:rPr>
          <w:sz w:val="20"/>
          <w:szCs w:val="20"/>
          <w:color w:val="auto"/>
        </w:rPr>
      </w:pPr>
      <w:r>
        <w:rPr>
          <w:rFonts w:ascii="Times New Roman" w:cs="Times New Roman" w:eastAsia="Times New Roman" w:hAnsi="Times New Roman"/>
          <w:sz w:val="20"/>
          <w:szCs w:val="20"/>
          <w:color w:val="231F20"/>
        </w:rPr>
        <w:t>On July 4, 2025,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did not record material tax impacts from the legislation on its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19. Related Party Transactions</w:t>
      </w:r>
    </w:p>
    <w:p>
      <w:pPr>
        <w:spacing w:after="0" w:line="244"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231F20"/>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The Company recorded royalty expense of $15.2 million and $8.7 million for the years ended December 31, 2025 and 2024, respectively, which equal 3.0% of net sales for those respective years.</w:t>
      </w:r>
    </w:p>
    <w:p>
      <w:pPr>
        <w:spacing w:after="0" w:line="200" w:lineRule="exact"/>
        <w:rPr>
          <w:sz w:val="20"/>
          <w:szCs w:val="20"/>
          <w:color w:val="auto"/>
        </w:rPr>
      </w:pPr>
    </w:p>
    <w:p>
      <w:pPr>
        <w:ind w:right="380" w:firstLine="720"/>
        <w:spacing w:after="0" w:line="277" w:lineRule="auto"/>
        <w:rPr>
          <w:sz w:val="20"/>
          <w:szCs w:val="20"/>
          <w:color w:val="auto"/>
        </w:rPr>
      </w:pPr>
      <w:r>
        <w:rPr>
          <w:rFonts w:ascii="Times New Roman" w:cs="Times New Roman" w:eastAsia="Times New Roman" w:hAnsi="Times New Roman"/>
          <w:sz w:val="20"/>
          <w:szCs w:val="20"/>
          <w:color w:val="231F20"/>
        </w:rPr>
        <w:t>The Company is a party to three exclusive license agreements with Antecip Bioventures II LLC, an entity owned by Dr. Tabuteau. See Note 15. License Agreements for further information regarding the license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20. Segment Information</w:t>
      </w:r>
    </w:p>
    <w:p>
      <w:pPr>
        <w:spacing w:after="0" w:line="24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The Company views its operations and manages its business as one operating and reportable segment, which is the business of developing and delivering novel therapies for the management of CNS disorders. The Company’s focus centers around the CNS disorders market as its primary operating environment. Consistent with the operational structure, the Chief Executive Officer, as the chief operating decision maker (“CODM”), manages and allocates resources on a consolidated basis. This decision-making process reflects the way in which the financial information is regularly reviewed and used by the CODM to evaluate performance, set operational targets, forecast future financial results, and allocate resources.</w:t>
      </w:r>
    </w:p>
    <w:p>
      <w:pPr>
        <w:spacing w:after="0" w:line="20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231F20"/>
        </w:rPr>
        <w:t>The Company’s CODM assesses financial performance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ectPr>
          <w:pgSz w:w="12240" w:h="15840" w:orient="portrait"/>
          <w:cols w:equalWidth="0" w:num="1">
            <w:col w:w="9700"/>
          </w:cols>
          <w:pgMar w:left="1260" w:top="1247" w:right="12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F-39</w:t>
      </w:r>
    </w:p>
    <w:p>
      <w:pPr>
        <w:sectPr>
          <w:pgSz w:w="12240" w:h="15840" w:orient="portrait"/>
          <w:cols w:equalWidth="0" w:num="1">
            <w:col w:w="9700"/>
          </w:cols>
          <w:pgMar w:left="1260" w:top="1247" w:right="1280" w:bottom="186" w:gutter="0" w:footer="0" w:header="0"/>
          <w:type w:val="continuous"/>
        </w:sectPr>
      </w:pPr>
    </w:p>
    <w:bookmarkStart w:id="170" w:name="page171"/>
    <w:bookmarkEnd w:id="170"/>
    <w:p>
      <w:pPr>
        <w:ind w:right="660" w:firstLine="720"/>
        <w:spacing w:after="0" w:line="277" w:lineRule="auto"/>
        <w:rPr>
          <w:sz w:val="20"/>
          <w:szCs w:val="20"/>
          <w:color w:val="auto"/>
        </w:rPr>
      </w:pPr>
      <w:r>
        <w:rPr>
          <w:rFonts w:ascii="Times New Roman" w:cs="Times New Roman" w:eastAsia="Times New Roman" w:hAnsi="Times New Roman"/>
          <w:sz w:val="20"/>
          <w:szCs w:val="20"/>
          <w:color w:val="231F20"/>
        </w:rPr>
        <w:t>The following table provides information about the Company’s one reportable segment and includes the reconciliation to consolidated net loss.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231F20"/>
              </w:rPr>
              <w:t>Year ended December 31,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64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20" w:type="dxa"/>
            <w:vAlign w:val="bottom"/>
            <w:tcBorders>
              <w:bottom w:val="single" w:sz="8" w:color="EBECEC"/>
            </w:tcBorders>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220" w:type="dxa"/>
            <w:vAlign w:val="bottom"/>
            <w:tcBorders>
              <w:bottom w:val="single" w:sz="8" w:color="EBECEC"/>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231F20"/>
              </w:rPr>
              <w:t>2023</w:t>
            </w:r>
          </w:p>
        </w:tc>
        <w:tc>
          <w:tcPr>
            <w:tcW w:w="100" w:type="dxa"/>
            <w:vAlign w:val="bottom"/>
            <w:tcBorders>
              <w:bottom w:val="single" w:sz="8" w:color="EBECEC"/>
            </w:tcBorders>
          </w:tcPr>
          <w:p>
            <w:pPr>
              <w:spacing w:after="0"/>
              <w:rPr>
                <w:sz w:val="17"/>
                <w:szCs w:val="17"/>
                <w:color w:val="auto"/>
              </w:rPr>
            </w:pPr>
          </w:p>
        </w:tc>
      </w:tr>
      <w:tr>
        <w:trPr>
          <w:trHeight w:val="239"/>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Total revenues</w:t>
            </w: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638,496</w:t>
            </w:r>
          </w:p>
        </w:tc>
        <w:tc>
          <w:tcPr>
            <w:tcW w:w="220" w:type="dxa"/>
            <w:vAlign w:val="bottom"/>
            <w:shd w:val="clear" w:color="auto" w:fill="EBECEC"/>
          </w:tcPr>
          <w:p>
            <w:pPr>
              <w:spacing w:after="0"/>
              <w:rPr>
                <w:sz w:val="20"/>
                <w:szCs w:val="20"/>
                <w:color w:val="auto"/>
              </w:rPr>
            </w:pPr>
          </w:p>
        </w:tc>
        <w:tc>
          <w:tcPr>
            <w:tcW w:w="260" w:type="dxa"/>
            <w:vAlign w:val="bottom"/>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385,693</w:t>
            </w:r>
          </w:p>
        </w:tc>
        <w:tc>
          <w:tcPr>
            <w:tcW w:w="220" w:type="dxa"/>
            <w:vAlign w:val="bottom"/>
            <w:shd w:val="clear" w:color="auto" w:fill="EBECEC"/>
          </w:tcPr>
          <w:p>
            <w:pPr>
              <w:spacing w:after="0"/>
              <w:rPr>
                <w:sz w:val="20"/>
                <w:szCs w:val="20"/>
                <w:color w:val="auto"/>
              </w:rPr>
            </w:pPr>
          </w:p>
        </w:tc>
        <w:tc>
          <w:tcPr>
            <w:tcW w:w="280" w:type="dxa"/>
            <w:vAlign w:val="bottom"/>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270,600</w:t>
            </w:r>
          </w:p>
        </w:tc>
        <w:tc>
          <w:tcPr>
            <w:tcW w:w="100" w:type="dxa"/>
            <w:vAlign w:val="bottom"/>
            <w:shd w:val="clear" w:color="auto" w:fill="EBECEC"/>
          </w:tcPr>
          <w:p>
            <w:pPr>
              <w:spacing w:after="0"/>
              <w:rPr>
                <w:sz w:val="20"/>
                <w:szCs w:val="20"/>
                <w:color w:val="auto"/>
              </w:rPr>
            </w:pPr>
          </w:p>
        </w:tc>
      </w:tr>
      <w:tr>
        <w:trPr>
          <w:trHeight w:val="244"/>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231F20"/>
              </w:rPr>
              <w:t>Less: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56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Cost of revenue (excluding amortization and depreciation)</w:t>
            </w: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47,478</w:t>
            </w:r>
          </w:p>
        </w:tc>
        <w:tc>
          <w:tcPr>
            <w:tcW w:w="22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33,303</w:t>
            </w:r>
          </w:p>
        </w:tc>
        <w:tc>
          <w:tcPr>
            <w:tcW w:w="220" w:type="dxa"/>
            <w:vAlign w:val="bottom"/>
            <w:shd w:val="clear" w:color="auto" w:fill="EBECEC"/>
          </w:tcPr>
          <w:p>
            <w:pPr>
              <w:spacing w:after="0"/>
              <w:rPr>
                <w:sz w:val="21"/>
                <w:szCs w:val="21"/>
                <w:color w:val="auto"/>
              </w:rPr>
            </w:pPr>
          </w:p>
        </w:tc>
        <w:tc>
          <w:tcPr>
            <w:tcW w:w="280" w:type="dxa"/>
            <w:vAlign w:val="bottom"/>
            <w:shd w:val="clear" w:color="auto" w:fill="EBECEC"/>
          </w:tcPr>
          <w:p>
            <w:pPr>
              <w:spacing w:after="0"/>
              <w:rPr>
                <w:sz w:val="21"/>
                <w:szCs w:val="21"/>
                <w:color w:val="auto"/>
              </w:rPr>
            </w:pPr>
          </w:p>
        </w:tc>
        <w:tc>
          <w:tcPr>
            <w:tcW w:w="9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26,065</w:t>
            </w:r>
          </w:p>
        </w:tc>
        <w:tc>
          <w:tcPr>
            <w:tcW w:w="100" w:type="dxa"/>
            <w:vAlign w:val="bottom"/>
            <w:shd w:val="clear" w:color="auto" w:fill="EBECEC"/>
          </w:tcPr>
          <w:p>
            <w:pPr>
              <w:spacing w:after="0"/>
              <w:rPr>
                <w:sz w:val="21"/>
                <w:szCs w:val="21"/>
                <w:color w:val="auto"/>
              </w:rPr>
            </w:pPr>
          </w:p>
        </w:tc>
      </w:tr>
      <w:tr>
        <w:trPr>
          <w:trHeight w:val="225"/>
        </w:trPr>
        <w:tc>
          <w:tcPr>
            <w:tcW w:w="56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Research and development expense (excluding stock-based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compensation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5640" w:type="dxa"/>
            <w:vAlign w:val="bottom"/>
            <w:shd w:val="clear" w:color="auto" w:fill="EBECEC"/>
          </w:tcPr>
          <w:p>
            <w:pPr>
              <w:ind w:left="400"/>
              <w:spacing w:after="0"/>
              <w:rPr>
                <w:sz w:val="20"/>
                <w:szCs w:val="20"/>
                <w:color w:val="auto"/>
              </w:rPr>
            </w:pPr>
            <w:r>
              <w:rPr>
                <w:rFonts w:ascii="Times New Roman" w:cs="Times New Roman" w:eastAsia="Times New Roman" w:hAnsi="Times New Roman"/>
                <w:sz w:val="20"/>
                <w:szCs w:val="20"/>
                <w:color w:val="231F20"/>
              </w:rPr>
              <w:t>Solriamfetol</w:t>
            </w: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42,106</w:t>
            </w:r>
          </w:p>
        </w:tc>
        <w:tc>
          <w:tcPr>
            <w:tcW w:w="22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53,678</w:t>
            </w:r>
          </w:p>
        </w:tc>
        <w:tc>
          <w:tcPr>
            <w:tcW w:w="220" w:type="dxa"/>
            <w:vAlign w:val="bottom"/>
            <w:shd w:val="clear" w:color="auto" w:fill="EBECEC"/>
          </w:tcPr>
          <w:p>
            <w:pPr>
              <w:spacing w:after="0"/>
              <w:rPr>
                <w:sz w:val="21"/>
                <w:szCs w:val="21"/>
                <w:color w:val="auto"/>
              </w:rPr>
            </w:pPr>
          </w:p>
        </w:tc>
        <w:tc>
          <w:tcPr>
            <w:tcW w:w="280" w:type="dxa"/>
            <w:vAlign w:val="bottom"/>
            <w:shd w:val="clear" w:color="auto" w:fill="EBECEC"/>
          </w:tcPr>
          <w:p>
            <w:pPr>
              <w:spacing w:after="0"/>
              <w:rPr>
                <w:sz w:val="21"/>
                <w:szCs w:val="21"/>
                <w:color w:val="auto"/>
              </w:rPr>
            </w:pPr>
          </w:p>
        </w:tc>
        <w:tc>
          <w:tcPr>
            <w:tcW w:w="9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18,232</w:t>
            </w:r>
          </w:p>
        </w:tc>
        <w:tc>
          <w:tcPr>
            <w:tcW w:w="100" w:type="dxa"/>
            <w:vAlign w:val="bottom"/>
            <w:shd w:val="clear" w:color="auto" w:fill="EBECEC"/>
          </w:tcPr>
          <w:p>
            <w:pPr>
              <w:spacing w:after="0"/>
              <w:rPr>
                <w:sz w:val="21"/>
                <w:szCs w:val="21"/>
                <w:color w:val="auto"/>
              </w:rPr>
            </w:pPr>
          </w:p>
        </w:tc>
      </w:tr>
      <w:tr>
        <w:trPr>
          <w:trHeight w:val="244"/>
        </w:trPr>
        <w:tc>
          <w:tcPr>
            <w:tcW w:w="56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AXS-05</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55,312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62,877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34,011</w:t>
            </w:r>
          </w:p>
        </w:tc>
        <w:tc>
          <w:tcPr>
            <w:tcW w:w="100" w:type="dxa"/>
            <w:vAlign w:val="bottom"/>
          </w:tcPr>
          <w:p>
            <w:pPr>
              <w:spacing w:after="0"/>
              <w:rPr>
                <w:sz w:val="21"/>
                <w:szCs w:val="21"/>
                <w:color w:val="auto"/>
              </w:rPr>
            </w:pPr>
          </w:p>
        </w:tc>
      </w:tr>
      <w:tr>
        <w:trPr>
          <w:trHeight w:val="244"/>
        </w:trPr>
        <w:tc>
          <w:tcPr>
            <w:tcW w:w="5640" w:type="dxa"/>
            <w:vAlign w:val="bottom"/>
            <w:shd w:val="clear" w:color="auto" w:fill="EBECEC"/>
          </w:tcPr>
          <w:p>
            <w:pPr>
              <w:ind w:left="400"/>
              <w:spacing w:after="0"/>
              <w:rPr>
                <w:sz w:val="20"/>
                <w:szCs w:val="20"/>
                <w:color w:val="auto"/>
              </w:rPr>
            </w:pPr>
            <w:r>
              <w:rPr>
                <w:rFonts w:ascii="Times New Roman" w:cs="Times New Roman" w:eastAsia="Times New Roman" w:hAnsi="Times New Roman"/>
                <w:sz w:val="20"/>
                <w:szCs w:val="20"/>
                <w:color w:val="231F20"/>
              </w:rPr>
              <w:t>AXS-07</w:t>
            </w: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21,421</w:t>
            </w:r>
          </w:p>
        </w:tc>
        <w:tc>
          <w:tcPr>
            <w:tcW w:w="22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15,587</w:t>
            </w:r>
          </w:p>
        </w:tc>
        <w:tc>
          <w:tcPr>
            <w:tcW w:w="220" w:type="dxa"/>
            <w:vAlign w:val="bottom"/>
            <w:shd w:val="clear" w:color="auto" w:fill="EBECEC"/>
          </w:tcPr>
          <w:p>
            <w:pPr>
              <w:spacing w:after="0"/>
              <w:rPr>
                <w:sz w:val="21"/>
                <w:szCs w:val="21"/>
                <w:color w:val="auto"/>
              </w:rPr>
            </w:pPr>
          </w:p>
        </w:tc>
        <w:tc>
          <w:tcPr>
            <w:tcW w:w="280" w:type="dxa"/>
            <w:vAlign w:val="bottom"/>
            <w:shd w:val="clear" w:color="auto" w:fill="EBECEC"/>
          </w:tcPr>
          <w:p>
            <w:pPr>
              <w:spacing w:after="0"/>
              <w:rPr>
                <w:sz w:val="21"/>
                <w:szCs w:val="21"/>
                <w:color w:val="auto"/>
              </w:rPr>
            </w:pPr>
          </w:p>
        </w:tc>
        <w:tc>
          <w:tcPr>
            <w:tcW w:w="9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8,101</w:t>
            </w:r>
          </w:p>
        </w:tc>
        <w:tc>
          <w:tcPr>
            <w:tcW w:w="100" w:type="dxa"/>
            <w:vAlign w:val="bottom"/>
            <w:shd w:val="clear" w:color="auto" w:fill="EBECEC"/>
          </w:tcPr>
          <w:p>
            <w:pPr>
              <w:spacing w:after="0"/>
              <w:rPr>
                <w:sz w:val="21"/>
                <w:szCs w:val="21"/>
                <w:color w:val="auto"/>
              </w:rPr>
            </w:pPr>
          </w:p>
        </w:tc>
      </w:tr>
      <w:tr>
        <w:trPr>
          <w:trHeight w:val="244"/>
        </w:trPr>
        <w:tc>
          <w:tcPr>
            <w:tcW w:w="56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AXS-12</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8,482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9,362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10,431</w:t>
            </w:r>
          </w:p>
        </w:tc>
        <w:tc>
          <w:tcPr>
            <w:tcW w:w="100" w:type="dxa"/>
            <w:vAlign w:val="bottom"/>
          </w:tcPr>
          <w:p>
            <w:pPr>
              <w:spacing w:after="0"/>
              <w:rPr>
                <w:sz w:val="21"/>
                <w:szCs w:val="21"/>
                <w:color w:val="auto"/>
              </w:rPr>
            </w:pPr>
          </w:p>
        </w:tc>
      </w:tr>
      <w:tr>
        <w:trPr>
          <w:trHeight w:val="244"/>
        </w:trPr>
        <w:tc>
          <w:tcPr>
            <w:tcW w:w="5640" w:type="dxa"/>
            <w:vAlign w:val="bottom"/>
            <w:shd w:val="clear" w:color="auto" w:fill="EBECEC"/>
          </w:tcPr>
          <w:p>
            <w:pPr>
              <w:ind w:left="400"/>
              <w:spacing w:after="0"/>
              <w:rPr>
                <w:sz w:val="20"/>
                <w:szCs w:val="20"/>
                <w:color w:val="auto"/>
              </w:rPr>
            </w:pPr>
            <w:r>
              <w:rPr>
                <w:rFonts w:ascii="Times New Roman" w:cs="Times New Roman" w:eastAsia="Times New Roman" w:hAnsi="Times New Roman"/>
                <w:sz w:val="20"/>
                <w:szCs w:val="20"/>
                <w:color w:val="231F20"/>
              </w:rPr>
              <w:t>AXS-14</w:t>
            </w: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8,485</w:t>
            </w:r>
          </w:p>
        </w:tc>
        <w:tc>
          <w:tcPr>
            <w:tcW w:w="22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11,881</w:t>
            </w:r>
          </w:p>
        </w:tc>
        <w:tc>
          <w:tcPr>
            <w:tcW w:w="220" w:type="dxa"/>
            <w:vAlign w:val="bottom"/>
            <w:shd w:val="clear" w:color="auto" w:fill="EBECEC"/>
          </w:tcPr>
          <w:p>
            <w:pPr>
              <w:spacing w:after="0"/>
              <w:rPr>
                <w:sz w:val="21"/>
                <w:szCs w:val="21"/>
                <w:color w:val="auto"/>
              </w:rPr>
            </w:pPr>
          </w:p>
        </w:tc>
        <w:tc>
          <w:tcPr>
            <w:tcW w:w="280" w:type="dxa"/>
            <w:vAlign w:val="bottom"/>
            <w:shd w:val="clear" w:color="auto" w:fill="EBECEC"/>
          </w:tcPr>
          <w:p>
            <w:pPr>
              <w:spacing w:after="0"/>
              <w:rPr>
                <w:sz w:val="21"/>
                <w:szCs w:val="21"/>
                <w:color w:val="auto"/>
              </w:rPr>
            </w:pPr>
          </w:p>
        </w:tc>
        <w:tc>
          <w:tcPr>
            <w:tcW w:w="9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7,091</w:t>
            </w:r>
          </w:p>
        </w:tc>
        <w:tc>
          <w:tcPr>
            <w:tcW w:w="100" w:type="dxa"/>
            <w:vAlign w:val="bottom"/>
            <w:shd w:val="clear" w:color="auto" w:fill="EBECEC"/>
          </w:tcPr>
          <w:p>
            <w:pPr>
              <w:spacing w:after="0"/>
              <w:rPr>
                <w:sz w:val="21"/>
                <w:szCs w:val="21"/>
                <w:color w:val="auto"/>
              </w:rPr>
            </w:pPr>
          </w:p>
        </w:tc>
      </w:tr>
      <w:tr>
        <w:trPr>
          <w:trHeight w:val="244"/>
        </w:trPr>
        <w:tc>
          <w:tcPr>
            <w:tcW w:w="5640" w:type="dxa"/>
            <w:vAlign w:val="bottom"/>
          </w:tcPr>
          <w:p>
            <w:pPr>
              <w:ind w:left="400"/>
              <w:spacing w:after="0" w:line="243" w:lineRule="exact"/>
              <w:rPr>
                <w:sz w:val="20"/>
                <w:szCs w:val="20"/>
                <w:color w:val="auto"/>
              </w:rPr>
            </w:pPr>
            <w:r>
              <w:rPr>
                <w:rFonts w:ascii="Times New Roman" w:cs="Times New Roman" w:eastAsia="Times New Roman" w:hAnsi="Times New Roman"/>
                <w:sz w:val="20"/>
                <w:szCs w:val="20"/>
                <w:color w:val="231F20"/>
              </w:rPr>
              <w:t>Other research and development</w:t>
            </w:r>
            <w:r>
              <w:rPr>
                <w:rFonts w:ascii="Times New Roman" w:cs="Times New Roman" w:eastAsia="Times New Roman" w:hAnsi="Times New Roman"/>
                <w:sz w:val="26"/>
                <w:szCs w:val="26"/>
                <w:color w:val="231F20"/>
                <w:vertAlign w:val="superscript"/>
              </w:rPr>
              <w:t>(a)</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12,274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5,998</w:t>
            </w:r>
          </w:p>
        </w:tc>
        <w:tc>
          <w:tcPr>
            <w:tcW w:w="100" w:type="dxa"/>
            <w:vAlign w:val="bottom"/>
          </w:tcPr>
          <w:p>
            <w:pPr>
              <w:spacing w:after="0"/>
              <w:rPr>
                <w:sz w:val="21"/>
                <w:szCs w:val="21"/>
                <w:color w:val="auto"/>
              </w:rPr>
            </w:pPr>
          </w:p>
        </w:tc>
      </w:tr>
      <w:tr>
        <w:trPr>
          <w:trHeight w:val="224"/>
        </w:trPr>
        <w:tc>
          <w:tcPr>
            <w:tcW w:w="5640" w:type="dxa"/>
            <w:vAlign w:val="bottom"/>
            <w:shd w:val="clear" w:color="auto" w:fill="EBEC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General and administrative expense (excluding stock-based</w:t>
            </w: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spacing w:after="0"/>
              <w:rPr>
                <w:sz w:val="19"/>
                <w:szCs w:val="19"/>
                <w:color w:val="auto"/>
              </w:rPr>
            </w:pPr>
          </w:p>
        </w:tc>
        <w:tc>
          <w:tcPr>
            <w:tcW w:w="220" w:type="dxa"/>
            <w:vAlign w:val="bottom"/>
            <w:shd w:val="clear" w:color="auto" w:fill="EBECEC"/>
          </w:tcPr>
          <w:p>
            <w:pPr>
              <w:spacing w:after="0"/>
              <w:rPr>
                <w:sz w:val="19"/>
                <w:szCs w:val="19"/>
                <w:color w:val="auto"/>
              </w:rPr>
            </w:pPr>
          </w:p>
        </w:tc>
        <w:tc>
          <w:tcPr>
            <w:tcW w:w="260" w:type="dxa"/>
            <w:vAlign w:val="bottom"/>
            <w:shd w:val="clear" w:color="auto" w:fill="EBECEC"/>
          </w:tcPr>
          <w:p>
            <w:pPr>
              <w:spacing w:after="0"/>
              <w:rPr>
                <w:sz w:val="19"/>
                <w:szCs w:val="19"/>
                <w:color w:val="auto"/>
              </w:rPr>
            </w:pPr>
          </w:p>
        </w:tc>
        <w:tc>
          <w:tcPr>
            <w:tcW w:w="920" w:type="dxa"/>
            <w:vAlign w:val="bottom"/>
            <w:shd w:val="clear" w:color="auto" w:fill="EBECEC"/>
          </w:tcPr>
          <w:p>
            <w:pPr>
              <w:spacing w:after="0"/>
              <w:rPr>
                <w:sz w:val="19"/>
                <w:szCs w:val="19"/>
                <w:color w:val="auto"/>
              </w:rPr>
            </w:pPr>
          </w:p>
        </w:tc>
        <w:tc>
          <w:tcPr>
            <w:tcW w:w="220" w:type="dxa"/>
            <w:vAlign w:val="bottom"/>
            <w:shd w:val="clear" w:color="auto" w:fill="EBECEC"/>
          </w:tcPr>
          <w:p>
            <w:pPr>
              <w:spacing w:after="0"/>
              <w:rPr>
                <w:sz w:val="19"/>
                <w:szCs w:val="19"/>
                <w:color w:val="auto"/>
              </w:rPr>
            </w:pPr>
          </w:p>
        </w:tc>
        <w:tc>
          <w:tcPr>
            <w:tcW w:w="280" w:type="dxa"/>
            <w:vAlign w:val="bottom"/>
            <w:shd w:val="clear" w:color="auto" w:fill="EBECEC"/>
          </w:tcPr>
          <w:p>
            <w:pPr>
              <w:spacing w:after="0"/>
              <w:rPr>
                <w:sz w:val="19"/>
                <w:szCs w:val="19"/>
                <w:color w:val="auto"/>
              </w:rPr>
            </w:pPr>
          </w:p>
        </w:tc>
        <w:tc>
          <w:tcPr>
            <w:tcW w:w="900" w:type="dxa"/>
            <w:vAlign w:val="bottom"/>
            <w:shd w:val="clear" w:color="auto" w:fill="EBECEC"/>
          </w:tcPr>
          <w:p>
            <w:pPr>
              <w:spacing w:after="0"/>
              <w:rPr>
                <w:sz w:val="19"/>
                <w:szCs w:val="19"/>
                <w:color w:val="auto"/>
              </w:rPr>
            </w:pPr>
          </w:p>
        </w:tc>
        <w:tc>
          <w:tcPr>
            <w:tcW w:w="100" w:type="dxa"/>
            <w:vAlign w:val="bottom"/>
            <w:shd w:val="clear" w:color="auto" w:fill="EBECEC"/>
          </w:tcPr>
          <w:p>
            <w:pPr>
              <w:spacing w:after="0"/>
              <w:rPr>
                <w:sz w:val="19"/>
                <w:szCs w:val="19"/>
                <w:color w:val="auto"/>
              </w:rPr>
            </w:pPr>
          </w:p>
        </w:tc>
      </w:tr>
      <w:tr>
        <w:trPr>
          <w:trHeight w:val="250"/>
        </w:trPr>
        <w:tc>
          <w:tcPr>
            <w:tcW w:w="56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compensation expense)</w:t>
            </w: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63,273</w:t>
            </w:r>
          </w:p>
        </w:tc>
        <w:tc>
          <w:tcPr>
            <w:tcW w:w="22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54,204</w:t>
            </w:r>
          </w:p>
        </w:tc>
        <w:tc>
          <w:tcPr>
            <w:tcW w:w="220" w:type="dxa"/>
            <w:vAlign w:val="bottom"/>
            <w:shd w:val="clear" w:color="auto" w:fill="EBECEC"/>
          </w:tcPr>
          <w:p>
            <w:pPr>
              <w:spacing w:after="0"/>
              <w:rPr>
                <w:sz w:val="21"/>
                <w:szCs w:val="21"/>
                <w:color w:val="auto"/>
              </w:rPr>
            </w:pPr>
          </w:p>
        </w:tc>
        <w:tc>
          <w:tcPr>
            <w:tcW w:w="280" w:type="dxa"/>
            <w:vAlign w:val="bottom"/>
            <w:shd w:val="clear" w:color="auto" w:fill="EBECEC"/>
          </w:tcPr>
          <w:p>
            <w:pPr>
              <w:spacing w:after="0"/>
              <w:rPr>
                <w:sz w:val="21"/>
                <w:szCs w:val="21"/>
                <w:color w:val="auto"/>
              </w:rPr>
            </w:pPr>
          </w:p>
        </w:tc>
        <w:tc>
          <w:tcPr>
            <w:tcW w:w="9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37,355</w:t>
            </w:r>
          </w:p>
        </w:tc>
        <w:tc>
          <w:tcPr>
            <w:tcW w:w="100" w:type="dxa"/>
            <w:vAlign w:val="bottom"/>
            <w:shd w:val="clear" w:color="auto" w:fill="EBECEC"/>
          </w:tcPr>
          <w:p>
            <w:pPr>
              <w:spacing w:after="0"/>
              <w:rPr>
                <w:sz w:val="21"/>
                <w:szCs w:val="21"/>
                <w:color w:val="auto"/>
              </w:rPr>
            </w:pPr>
          </w:p>
        </w:tc>
      </w:tr>
      <w:tr>
        <w:trPr>
          <w:trHeight w:val="224"/>
        </w:trPr>
        <w:tc>
          <w:tcPr>
            <w:tcW w:w="56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Selling and marketing expense (excluding stock-based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compensation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440,402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293,355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237,228</w:t>
            </w:r>
          </w:p>
        </w:tc>
        <w:tc>
          <w:tcPr>
            <w:tcW w:w="100" w:type="dxa"/>
            <w:vAlign w:val="bottom"/>
          </w:tcPr>
          <w:p>
            <w:pPr>
              <w:spacing w:after="0"/>
              <w:rPr>
                <w:sz w:val="21"/>
                <w:szCs w:val="21"/>
                <w:color w:val="auto"/>
              </w:rPr>
            </w:pPr>
          </w:p>
        </w:tc>
      </w:tr>
      <w:tr>
        <w:trPr>
          <w:trHeight w:val="244"/>
        </w:trPr>
        <w:tc>
          <w:tcPr>
            <w:tcW w:w="5640" w:type="dxa"/>
            <w:vAlign w:val="bottom"/>
            <w:shd w:val="clear" w:color="auto" w:fill="EBECEC"/>
          </w:tcPr>
          <w:p>
            <w:pPr>
              <w:ind w:left="200"/>
              <w:spacing w:after="0"/>
              <w:rPr>
                <w:sz w:val="20"/>
                <w:szCs w:val="20"/>
                <w:color w:val="auto"/>
              </w:rPr>
            </w:pPr>
            <w:r>
              <w:rPr>
                <w:rFonts w:ascii="Times New Roman" w:cs="Times New Roman" w:eastAsia="Times New Roman" w:hAnsi="Times New Roman"/>
                <w:sz w:val="20"/>
                <w:szCs w:val="20"/>
                <w:color w:val="231F20"/>
              </w:rPr>
              <w:t>Stock based compensation expense</w:t>
            </w: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93,752</w:t>
            </w:r>
          </w:p>
        </w:tc>
        <w:tc>
          <w:tcPr>
            <w:tcW w:w="22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85,218</w:t>
            </w:r>
          </w:p>
        </w:tc>
        <w:tc>
          <w:tcPr>
            <w:tcW w:w="220" w:type="dxa"/>
            <w:vAlign w:val="bottom"/>
            <w:shd w:val="clear" w:color="auto" w:fill="EBECEC"/>
          </w:tcPr>
          <w:p>
            <w:pPr>
              <w:spacing w:after="0"/>
              <w:rPr>
                <w:sz w:val="21"/>
                <w:szCs w:val="21"/>
                <w:color w:val="auto"/>
              </w:rPr>
            </w:pPr>
          </w:p>
        </w:tc>
        <w:tc>
          <w:tcPr>
            <w:tcW w:w="280" w:type="dxa"/>
            <w:vAlign w:val="bottom"/>
            <w:shd w:val="clear" w:color="auto" w:fill="EBECEC"/>
          </w:tcPr>
          <w:p>
            <w:pPr>
              <w:spacing w:after="0"/>
              <w:rPr>
                <w:sz w:val="21"/>
                <w:szCs w:val="21"/>
                <w:color w:val="auto"/>
              </w:rPr>
            </w:pPr>
          </w:p>
        </w:tc>
        <w:tc>
          <w:tcPr>
            <w:tcW w:w="9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62,620</w:t>
            </w:r>
          </w:p>
        </w:tc>
        <w:tc>
          <w:tcPr>
            <w:tcW w:w="100" w:type="dxa"/>
            <w:vAlign w:val="bottom"/>
            <w:shd w:val="clear" w:color="auto" w:fill="EBECEC"/>
          </w:tcPr>
          <w:p>
            <w:pPr>
              <w:spacing w:after="0"/>
              <w:rPr>
                <w:sz w:val="21"/>
                <w:szCs w:val="21"/>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Loss (Gain) in fair value of contingent consideration</w:t>
            </w:r>
          </w:p>
        </w:tc>
        <w:tc>
          <w:tcPr>
            <w:tcW w:w="2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(2,473)</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28,124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48,918</w:t>
            </w:r>
          </w:p>
        </w:tc>
        <w:tc>
          <w:tcPr>
            <w:tcW w:w="100" w:type="dxa"/>
            <w:vAlign w:val="bottom"/>
          </w:tcPr>
          <w:p>
            <w:pPr>
              <w:spacing w:after="0"/>
              <w:rPr>
                <w:sz w:val="21"/>
                <w:szCs w:val="21"/>
                <w:color w:val="auto"/>
              </w:rPr>
            </w:pPr>
          </w:p>
        </w:tc>
      </w:tr>
      <w:tr>
        <w:trPr>
          <w:trHeight w:val="258"/>
        </w:trPr>
        <w:tc>
          <w:tcPr>
            <w:tcW w:w="5640" w:type="dxa"/>
            <w:vAlign w:val="bottom"/>
            <w:shd w:val="clear" w:color="auto" w:fill="EBECEC"/>
          </w:tcPr>
          <w:p>
            <w:pPr>
              <w:ind w:left="200"/>
              <w:spacing w:after="0" w:line="258" w:lineRule="exact"/>
              <w:rPr>
                <w:sz w:val="20"/>
                <w:szCs w:val="20"/>
                <w:color w:val="auto"/>
              </w:rPr>
            </w:pPr>
            <w:r>
              <w:rPr>
                <w:rFonts w:ascii="Times New Roman" w:cs="Times New Roman" w:eastAsia="Times New Roman" w:hAnsi="Times New Roman"/>
                <w:sz w:val="20"/>
                <w:szCs w:val="20"/>
                <w:color w:val="231F20"/>
              </w:rPr>
              <w:t>Interest expense, net</w:t>
            </w:r>
            <w:r>
              <w:rPr>
                <w:rFonts w:ascii="Times New Roman" w:cs="Times New Roman" w:eastAsia="Times New Roman" w:hAnsi="Times New Roman"/>
                <w:sz w:val="26"/>
                <w:szCs w:val="26"/>
                <w:color w:val="231F20"/>
                <w:vertAlign w:val="superscript"/>
              </w:rPr>
              <w:t>(b)</w:t>
            </w:r>
          </w:p>
        </w:tc>
        <w:tc>
          <w:tcPr>
            <w:tcW w:w="260" w:type="dxa"/>
            <w:vAlign w:val="bottom"/>
            <w:shd w:val="clear" w:color="auto" w:fill="EBECEC"/>
          </w:tcPr>
          <w:p>
            <w:pPr>
              <w:spacing w:after="0"/>
              <w:rPr>
                <w:sz w:val="22"/>
                <w:szCs w:val="22"/>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6,557</w:t>
            </w:r>
          </w:p>
        </w:tc>
        <w:tc>
          <w:tcPr>
            <w:tcW w:w="220" w:type="dxa"/>
            <w:vAlign w:val="bottom"/>
            <w:shd w:val="clear" w:color="auto" w:fill="EBECEC"/>
          </w:tcPr>
          <w:p>
            <w:pPr>
              <w:spacing w:after="0"/>
              <w:rPr>
                <w:sz w:val="22"/>
                <w:szCs w:val="22"/>
                <w:color w:val="auto"/>
              </w:rPr>
            </w:pPr>
          </w:p>
        </w:tc>
        <w:tc>
          <w:tcPr>
            <w:tcW w:w="260" w:type="dxa"/>
            <w:vAlign w:val="bottom"/>
            <w:shd w:val="clear" w:color="auto" w:fill="EBECEC"/>
          </w:tcPr>
          <w:p>
            <w:pPr>
              <w:spacing w:after="0"/>
              <w:rPr>
                <w:sz w:val="22"/>
                <w:szCs w:val="22"/>
                <w:color w:val="auto"/>
              </w:rPr>
            </w:pPr>
          </w:p>
        </w:tc>
        <w:tc>
          <w:tcPr>
            <w:tcW w:w="92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6,569</w:t>
            </w:r>
          </w:p>
        </w:tc>
        <w:tc>
          <w:tcPr>
            <w:tcW w:w="220" w:type="dxa"/>
            <w:vAlign w:val="bottom"/>
            <w:shd w:val="clear" w:color="auto" w:fill="EBECEC"/>
          </w:tcPr>
          <w:p>
            <w:pPr>
              <w:spacing w:after="0"/>
              <w:rPr>
                <w:sz w:val="22"/>
                <w:szCs w:val="22"/>
                <w:color w:val="auto"/>
              </w:rPr>
            </w:pPr>
          </w:p>
        </w:tc>
        <w:tc>
          <w:tcPr>
            <w:tcW w:w="280" w:type="dxa"/>
            <w:vAlign w:val="bottom"/>
            <w:shd w:val="clear" w:color="auto" w:fill="EBECEC"/>
          </w:tcPr>
          <w:p>
            <w:pPr>
              <w:spacing w:after="0"/>
              <w:rPr>
                <w:sz w:val="22"/>
                <w:szCs w:val="22"/>
                <w:color w:val="auto"/>
              </w:rPr>
            </w:pPr>
          </w:p>
        </w:tc>
        <w:tc>
          <w:tcPr>
            <w:tcW w:w="90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6,453</w:t>
            </w:r>
          </w:p>
        </w:tc>
        <w:tc>
          <w:tcPr>
            <w:tcW w:w="100" w:type="dxa"/>
            <w:vAlign w:val="bottom"/>
            <w:shd w:val="clear" w:color="auto" w:fill="EBECEC"/>
          </w:tcPr>
          <w:p>
            <w:pPr>
              <w:spacing w:after="0"/>
              <w:rPr>
                <w:sz w:val="22"/>
                <w:szCs w:val="22"/>
                <w:color w:val="auto"/>
              </w:rPr>
            </w:pPr>
          </w:p>
        </w:tc>
      </w:tr>
      <w:tr>
        <w:trPr>
          <w:trHeight w:val="244"/>
        </w:trPr>
        <w:tc>
          <w:tcPr>
            <w:tcW w:w="5640" w:type="dxa"/>
            <w:vAlign w:val="bottom"/>
            <w:tcBorders>
              <w:bottom w:val="single" w:sz="8" w:color="EBECEC"/>
            </w:tcBorders>
          </w:tcPr>
          <w:p>
            <w:pPr>
              <w:ind w:left="200"/>
              <w:spacing w:after="0" w:line="243" w:lineRule="exact"/>
              <w:rPr>
                <w:sz w:val="20"/>
                <w:szCs w:val="20"/>
                <w:color w:val="auto"/>
              </w:rPr>
            </w:pPr>
            <w:r>
              <w:rPr>
                <w:rFonts w:ascii="Times New Roman" w:cs="Times New Roman" w:eastAsia="Times New Roman" w:hAnsi="Times New Roman"/>
                <w:sz w:val="20"/>
                <w:szCs w:val="20"/>
                <w:color w:val="231F20"/>
              </w:rPr>
              <w:t>Other segment items</w:t>
            </w:r>
            <w:r>
              <w:rPr>
                <w:rFonts w:ascii="Times New Roman" w:cs="Times New Roman" w:eastAsia="Times New Roman" w:hAnsi="Times New Roman"/>
                <w:sz w:val="26"/>
                <w:szCs w:val="26"/>
                <w:color w:val="231F20"/>
                <w:vertAlign w:val="superscript"/>
              </w:rPr>
              <w:t>(c)</w:t>
            </w: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16,230</w:t>
            </w:r>
          </w:p>
        </w:tc>
        <w:tc>
          <w:tcPr>
            <w:tcW w:w="220" w:type="dxa"/>
            <w:vAlign w:val="bottom"/>
            <w:tcBorders>
              <w:bottom w:val="single" w:sz="8" w:color="EBECEC"/>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6,477</w:t>
            </w:r>
          </w:p>
        </w:tc>
        <w:tc>
          <w:tcPr>
            <w:tcW w:w="220" w:type="dxa"/>
            <w:vAlign w:val="bottom"/>
            <w:tcBorders>
              <w:bottom w:val="single" w:sz="8" w:color="EBECEC"/>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7,335</w:t>
            </w:r>
          </w:p>
        </w:tc>
        <w:tc>
          <w:tcPr>
            <w:tcW w:w="100" w:type="dxa"/>
            <w:vAlign w:val="bottom"/>
            <w:tcBorders>
              <w:bottom w:val="single" w:sz="8" w:color="EBECEC"/>
            </w:tcBorders>
          </w:tcPr>
          <w:p>
            <w:pPr>
              <w:spacing w:after="0"/>
              <w:rPr>
                <w:sz w:val="21"/>
                <w:szCs w:val="21"/>
                <w:color w:val="auto"/>
              </w:rPr>
            </w:pPr>
          </w:p>
        </w:tc>
      </w:tr>
      <w:tr>
        <w:trPr>
          <w:trHeight w:val="253"/>
        </w:trPr>
        <w:tc>
          <w:tcPr>
            <w:tcW w:w="5640" w:type="dxa"/>
            <w:vAlign w:val="bottom"/>
            <w:tcBorders>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Segment net loss</w:t>
            </w:r>
          </w:p>
        </w:tc>
        <w:tc>
          <w:tcPr>
            <w:tcW w:w="260" w:type="dxa"/>
            <w:vAlign w:val="bottom"/>
            <w:tcBorders>
              <w:bottom w:val="single" w:sz="8" w:color="231F20"/>
            </w:tcBorders>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(183,174</w:t>
            </w:r>
          </w:p>
        </w:tc>
        <w:tc>
          <w:tcPr>
            <w:tcW w:w="220" w:type="dxa"/>
            <w:vAlign w:val="bottom"/>
            <w:tcBorders>
              <w:bottom w:val="single" w:sz="8" w:color="EBECEC"/>
            </w:tcBorders>
            <w:shd w:val="clear" w:color="auto" w:fill="EBECEC"/>
          </w:tcPr>
          <w:p>
            <w:pPr>
              <w:jc w:val="right"/>
              <w:ind w:right="80"/>
              <w:spacing w:after="0"/>
              <w:rPr>
                <w:sz w:val="20"/>
                <w:szCs w:val="20"/>
                <w:color w:val="auto"/>
              </w:rPr>
            </w:pPr>
            <w:r>
              <w:rPr>
                <w:rFonts w:ascii="Times New Roman" w:cs="Times New Roman" w:eastAsia="Times New Roman" w:hAnsi="Times New Roman"/>
                <w:sz w:val="16"/>
                <w:szCs w:val="16"/>
                <w:color w:val="231F20"/>
                <w:w w:val="74"/>
              </w:rPr>
              <w:t>)</w:t>
            </w:r>
          </w:p>
        </w:tc>
        <w:tc>
          <w:tcPr>
            <w:tcW w:w="260" w:type="dxa"/>
            <w:vAlign w:val="bottom"/>
            <w:tcBorders>
              <w:bottom w:val="single" w:sz="8" w:color="231F20"/>
            </w:tcBorders>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(287,216</w:t>
            </w:r>
          </w:p>
        </w:tc>
        <w:tc>
          <w:tcPr>
            <w:tcW w:w="220" w:type="dxa"/>
            <w:vAlign w:val="bottom"/>
            <w:tcBorders>
              <w:bottom w:val="single" w:sz="8" w:color="EBECEC"/>
            </w:tcBorders>
            <w:shd w:val="clear" w:color="auto" w:fill="EBECEC"/>
          </w:tcPr>
          <w:p>
            <w:pPr>
              <w:jc w:val="right"/>
              <w:ind w:right="80"/>
              <w:spacing w:after="0"/>
              <w:rPr>
                <w:sz w:val="20"/>
                <w:szCs w:val="20"/>
                <w:color w:val="auto"/>
              </w:rPr>
            </w:pPr>
            <w:r>
              <w:rPr>
                <w:rFonts w:ascii="Times New Roman" w:cs="Times New Roman" w:eastAsia="Times New Roman" w:hAnsi="Times New Roman"/>
                <w:sz w:val="16"/>
                <w:szCs w:val="16"/>
                <w:color w:val="231F20"/>
                <w:w w:val="74"/>
              </w:rPr>
              <w:t>)</w:t>
            </w:r>
          </w:p>
        </w:tc>
        <w:tc>
          <w:tcPr>
            <w:tcW w:w="280" w:type="dxa"/>
            <w:vAlign w:val="bottom"/>
            <w:tcBorders>
              <w:bottom w:val="single" w:sz="8" w:color="231F20"/>
            </w:tcBorders>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(239,238</w:t>
            </w:r>
          </w:p>
        </w:tc>
        <w:tc>
          <w:tcPr>
            <w:tcW w:w="100" w:type="dxa"/>
            <w:vAlign w:val="bottom"/>
            <w:tcBorders>
              <w:bottom w:val="single" w:sz="8" w:color="EBECEC"/>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89"/>
                <w:shd w:val="clear" w:color="auto" w:fill="EBECEC"/>
              </w:rPr>
              <w:t>)</w:t>
            </w:r>
          </w:p>
        </w:tc>
      </w:tr>
      <w:tr>
        <w:trPr>
          <w:trHeight w:val="239"/>
        </w:trPr>
        <w:tc>
          <w:tcPr>
            <w:tcW w:w="5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5640" w:type="dxa"/>
            <w:vAlign w:val="bottom"/>
            <w:shd w:val="clear" w:color="auto" w:fill="EBECEC"/>
          </w:tcPr>
          <w:p>
            <w:pPr>
              <w:spacing w:after="0"/>
              <w:rPr>
                <w:sz w:val="20"/>
                <w:szCs w:val="20"/>
                <w:color w:val="auto"/>
              </w:rPr>
            </w:pPr>
            <w:r>
              <w:rPr>
                <w:rFonts w:ascii="Times New Roman" w:cs="Times New Roman" w:eastAsia="Times New Roman" w:hAnsi="Times New Roman"/>
                <w:sz w:val="20"/>
                <w:szCs w:val="20"/>
                <w:color w:val="231F20"/>
              </w:rPr>
              <w:t>Reconciliation of net loss</w:t>
            </w: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260" w:type="dxa"/>
            <w:vAlign w:val="bottom"/>
            <w:shd w:val="clear" w:color="auto" w:fill="EBECEC"/>
          </w:tcPr>
          <w:p>
            <w:pPr>
              <w:spacing w:after="0"/>
              <w:rPr>
                <w:sz w:val="21"/>
                <w:szCs w:val="21"/>
                <w:color w:val="auto"/>
              </w:rPr>
            </w:pPr>
          </w:p>
        </w:tc>
        <w:tc>
          <w:tcPr>
            <w:tcW w:w="920" w:type="dxa"/>
            <w:vAlign w:val="bottom"/>
            <w:shd w:val="clear" w:color="auto" w:fill="EBECEC"/>
          </w:tcPr>
          <w:p>
            <w:pPr>
              <w:spacing w:after="0"/>
              <w:rPr>
                <w:sz w:val="21"/>
                <w:szCs w:val="21"/>
                <w:color w:val="auto"/>
              </w:rPr>
            </w:pPr>
          </w:p>
        </w:tc>
        <w:tc>
          <w:tcPr>
            <w:tcW w:w="220" w:type="dxa"/>
            <w:vAlign w:val="bottom"/>
            <w:shd w:val="clear" w:color="auto" w:fill="EBECEC"/>
          </w:tcPr>
          <w:p>
            <w:pPr>
              <w:spacing w:after="0"/>
              <w:rPr>
                <w:sz w:val="21"/>
                <w:szCs w:val="21"/>
                <w:color w:val="auto"/>
              </w:rPr>
            </w:pPr>
          </w:p>
        </w:tc>
        <w:tc>
          <w:tcPr>
            <w:tcW w:w="280" w:type="dxa"/>
            <w:vAlign w:val="bottom"/>
            <w:shd w:val="clear" w:color="auto" w:fill="EBECEC"/>
          </w:tcPr>
          <w:p>
            <w:pPr>
              <w:spacing w:after="0"/>
              <w:rPr>
                <w:sz w:val="21"/>
                <w:szCs w:val="21"/>
                <w:color w:val="auto"/>
              </w:rPr>
            </w:pPr>
          </w:p>
        </w:tc>
        <w:tc>
          <w:tcPr>
            <w:tcW w:w="900" w:type="dxa"/>
            <w:vAlign w:val="bottom"/>
            <w:shd w:val="clear" w:color="auto" w:fill="EBECEC"/>
          </w:tcPr>
          <w:p>
            <w:pPr>
              <w:spacing w:after="0"/>
              <w:rPr>
                <w:sz w:val="21"/>
                <w:szCs w:val="21"/>
                <w:color w:val="auto"/>
              </w:rPr>
            </w:pPr>
          </w:p>
        </w:tc>
        <w:tc>
          <w:tcPr>
            <w:tcW w:w="100" w:type="dxa"/>
            <w:vAlign w:val="bottom"/>
            <w:shd w:val="clear" w:color="auto" w:fill="EBECEC"/>
          </w:tcPr>
          <w:p>
            <w:pPr>
              <w:spacing w:after="0"/>
              <w:rPr>
                <w:sz w:val="21"/>
                <w:szCs w:val="21"/>
                <w:color w:val="auto"/>
              </w:rPr>
            </w:pPr>
          </w:p>
        </w:tc>
      </w:tr>
      <w:tr>
        <w:trPr>
          <w:trHeight w:val="244"/>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231F20"/>
              </w:rPr>
              <w:t>Adjustments and reconciling items</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9"/>
        </w:trPr>
        <w:tc>
          <w:tcPr>
            <w:tcW w:w="5640" w:type="dxa"/>
            <w:vAlign w:val="bottom"/>
            <w:tcBorders>
              <w:top w:val="single" w:sz="8" w:color="EBECEC"/>
              <w:bottom w:val="single" w:sz="8" w:color="EBECEC"/>
            </w:tcBorders>
            <w:shd w:val="clear" w:color="auto" w:fill="EBECEC"/>
          </w:tcPr>
          <w:p>
            <w:pPr>
              <w:spacing w:after="0"/>
              <w:rPr>
                <w:sz w:val="20"/>
                <w:szCs w:val="20"/>
                <w:color w:val="auto"/>
              </w:rPr>
            </w:pPr>
            <w:r>
              <w:rPr>
                <w:rFonts w:ascii="Times New Roman" w:cs="Times New Roman" w:eastAsia="Times New Roman" w:hAnsi="Times New Roman"/>
                <w:sz w:val="20"/>
                <w:szCs w:val="20"/>
                <w:color w:val="231F20"/>
              </w:rPr>
              <w:t>Consolidated net loss</w:t>
            </w:r>
          </w:p>
        </w:tc>
        <w:tc>
          <w:tcPr>
            <w:tcW w:w="260" w:type="dxa"/>
            <w:vAlign w:val="bottom"/>
            <w:tcBorders>
              <w:top w:val="single" w:sz="8" w:color="231F20"/>
              <w:bottom w:val="single" w:sz="8" w:color="231F20"/>
            </w:tcBorders>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shd w:val="clear" w:color="auto" w:fill="EBECEC"/>
              </w:rPr>
              <w:t>$</w:t>
            </w:r>
          </w:p>
        </w:tc>
        <w:tc>
          <w:tcPr>
            <w:tcW w:w="92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BECEC"/>
              </w:rPr>
              <w:t>(183,174</w:t>
            </w:r>
          </w:p>
        </w:tc>
        <w:tc>
          <w:tcPr>
            <w:tcW w:w="220" w:type="dxa"/>
            <w:vAlign w:val="bottom"/>
            <w:tcBorders>
              <w:top w:val="single" w:sz="8" w:color="EBECEC"/>
              <w:bottom w:val="single" w:sz="8" w:color="EBECEC"/>
            </w:tcBorders>
            <w:shd w:val="clear" w:color="auto" w:fill="EBECEC"/>
          </w:tcPr>
          <w:p>
            <w:pPr>
              <w:jc w:val="right"/>
              <w:ind w:right="80"/>
              <w:spacing w:after="0"/>
              <w:rPr>
                <w:sz w:val="20"/>
                <w:szCs w:val="20"/>
                <w:color w:val="auto"/>
              </w:rPr>
            </w:pPr>
            <w:r>
              <w:rPr>
                <w:rFonts w:ascii="Times New Roman" w:cs="Times New Roman" w:eastAsia="Times New Roman" w:hAnsi="Times New Roman"/>
                <w:sz w:val="16"/>
                <w:szCs w:val="16"/>
                <w:color w:val="231F20"/>
                <w:w w:val="74"/>
              </w:rPr>
              <w:t>)</w:t>
            </w:r>
          </w:p>
        </w:tc>
        <w:tc>
          <w:tcPr>
            <w:tcW w:w="260" w:type="dxa"/>
            <w:vAlign w:val="bottom"/>
            <w:tcBorders>
              <w:top w:val="single" w:sz="8" w:color="231F20"/>
              <w:bottom w:val="single" w:sz="8" w:color="231F20"/>
            </w:tcBorders>
            <w:shd w:val="clear" w:color="auto" w:fill="EBEC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(287,216</w:t>
            </w:r>
          </w:p>
        </w:tc>
        <w:tc>
          <w:tcPr>
            <w:tcW w:w="220" w:type="dxa"/>
            <w:vAlign w:val="bottom"/>
            <w:tcBorders>
              <w:top w:val="single" w:sz="8" w:color="EBECEC"/>
              <w:bottom w:val="single" w:sz="8" w:color="EBECEC"/>
            </w:tcBorders>
            <w:shd w:val="clear" w:color="auto" w:fill="EBECEC"/>
          </w:tcPr>
          <w:p>
            <w:pPr>
              <w:jc w:val="right"/>
              <w:ind w:right="80"/>
              <w:spacing w:after="0"/>
              <w:rPr>
                <w:sz w:val="20"/>
                <w:szCs w:val="20"/>
                <w:color w:val="auto"/>
              </w:rPr>
            </w:pPr>
            <w:r>
              <w:rPr>
                <w:rFonts w:ascii="Times New Roman" w:cs="Times New Roman" w:eastAsia="Times New Roman" w:hAnsi="Times New Roman"/>
                <w:sz w:val="16"/>
                <w:szCs w:val="16"/>
                <w:color w:val="231F20"/>
                <w:w w:val="74"/>
              </w:rPr>
              <w:t>)</w:t>
            </w:r>
          </w:p>
        </w:tc>
        <w:tc>
          <w:tcPr>
            <w:tcW w:w="280" w:type="dxa"/>
            <w:vAlign w:val="bottom"/>
            <w:tcBorders>
              <w:top w:val="single" w:sz="8" w:color="231F20"/>
              <w:bottom w:val="single" w:sz="8" w:color="231F20"/>
            </w:tcBorders>
            <w:shd w:val="clear" w:color="auto" w:fill="EBECEC"/>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bottom w:val="single" w:sz="8" w:color="231F20"/>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rPr>
              <w:t>(239,238</w:t>
            </w:r>
          </w:p>
        </w:tc>
        <w:tc>
          <w:tcPr>
            <w:tcW w:w="100" w:type="dxa"/>
            <w:vAlign w:val="bottom"/>
            <w:tcBorders>
              <w:top w:val="single" w:sz="8" w:color="EBECEC"/>
              <w:bottom w:val="single" w:sz="8" w:color="EBECEC"/>
            </w:tcBorders>
            <w:shd w:val="clear" w:color="auto" w:fill="EBECEC"/>
          </w:tcPr>
          <w:p>
            <w:pPr>
              <w:jc w:val="right"/>
              <w:spacing w:after="0"/>
              <w:rPr>
                <w:sz w:val="20"/>
                <w:szCs w:val="20"/>
                <w:color w:val="auto"/>
              </w:rPr>
            </w:pPr>
            <w:r>
              <w:rPr>
                <w:rFonts w:ascii="Times New Roman" w:cs="Times New Roman" w:eastAsia="Times New Roman" w:hAnsi="Times New Roman"/>
                <w:sz w:val="20"/>
                <w:szCs w:val="20"/>
                <w:color w:val="231F20"/>
                <w:w w:val="89"/>
                <w:shd w:val="clear" w:color="auto" w:fill="EBECEC"/>
              </w:rPr>
              <w:t>)</w:t>
            </w: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-3925570</wp:posOffset>
            </wp:positionV>
            <wp:extent cx="257429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2574290" cy="38100"/>
                    </a:xfrm>
                    <a:prstGeom prst="rect">
                      <a:avLst/>
                    </a:prstGeom>
                    <a:noFill/>
                  </pic:spPr>
                </pic:pic>
              </a:graphicData>
            </a:graphic>
          </wp:anchor>
        </w:drawing>
      </w:r>
    </w:p>
    <w:p>
      <w:pPr>
        <w:spacing w:after="0" w:line="86" w:lineRule="exact"/>
        <w:rPr>
          <w:sz w:val="20"/>
          <w:szCs w:val="20"/>
          <w:color w:val="auto"/>
        </w:rPr>
      </w:pPr>
    </w:p>
    <w:p>
      <w:pPr>
        <w:ind w:left="300" w:right="460" w:hanging="293"/>
        <w:spacing w:after="0" w:line="254" w:lineRule="auto"/>
        <w:tabs>
          <w:tab w:leader="none" w:pos="300" w:val="left"/>
        </w:tabs>
        <w:numPr>
          <w:ilvl w:val="0"/>
          <w:numId w:val="5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Other research and development expenses primarily consist of facilities charges, third party consultant costs, costs related to other product candidates, and other unallocated costs.</w:t>
      </w:r>
    </w:p>
    <w:p>
      <w:pPr>
        <w:spacing w:after="0" w:line="1" w:lineRule="exact"/>
        <w:rPr>
          <w:rFonts w:ascii="Times New Roman" w:cs="Times New Roman" w:eastAsia="Times New Roman" w:hAnsi="Times New Roman"/>
          <w:sz w:val="14"/>
          <w:szCs w:val="14"/>
          <w:color w:val="231F20"/>
        </w:rPr>
      </w:pPr>
    </w:p>
    <w:p>
      <w:pPr>
        <w:ind w:left="300" w:right="120" w:hanging="293"/>
        <w:spacing w:after="0"/>
        <w:tabs>
          <w:tab w:leader="none" w:pos="300" w:val="left"/>
        </w:tabs>
        <w:numPr>
          <w:ilvl w:val="0"/>
          <w:numId w:val="5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Interest expense, net of $6,557 for the year ended December 31, 2025 comprises (i) consolidated interest expense of $15,928 and (ii) consolidated interest income of $9,371. Interest expense, net of $6,569 for the year ended December 31, 2024 comprises (i) consolidated interest expense of $21,581 and (ii) consolidated interest income of $15,012. Interest expense, net of $6,453 for the year ended December 31, 2023 comprises (i) consolidated interest expense of $20,034 and (ii) consolidated interest income of $13,581.</w:t>
      </w:r>
    </w:p>
    <w:p>
      <w:pPr>
        <w:ind w:left="300" w:right="380" w:hanging="293"/>
        <w:spacing w:after="0" w:line="248" w:lineRule="auto"/>
        <w:tabs>
          <w:tab w:leader="none" w:pos="300" w:val="left"/>
        </w:tabs>
        <w:numPr>
          <w:ilvl w:val="0"/>
          <w:numId w:val="5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Other segment items included in Segment net loss include intangible asset amortization, loss on debt extinguishment, costs related to asset acquisitions, and other miscellaneous items.</w:t>
      </w:r>
    </w:p>
    <w:p>
      <w:pPr>
        <w:spacing w:after="0" w:line="204" w:lineRule="exact"/>
        <w:rPr>
          <w:sz w:val="20"/>
          <w:szCs w:val="20"/>
          <w:color w:val="auto"/>
        </w:rPr>
      </w:pPr>
    </w:p>
    <w:p>
      <w:pPr>
        <w:ind w:right="420" w:firstLine="720"/>
        <w:spacing w:after="0" w:line="277" w:lineRule="auto"/>
        <w:rPr>
          <w:sz w:val="20"/>
          <w:szCs w:val="20"/>
          <w:color w:val="auto"/>
        </w:rPr>
      </w:pPr>
      <w:r>
        <w:rPr>
          <w:rFonts w:ascii="Times New Roman" w:cs="Times New Roman" w:eastAsia="Times New Roman" w:hAnsi="Times New Roman"/>
          <w:sz w:val="20"/>
          <w:szCs w:val="20"/>
          <w:color w:val="231F20"/>
        </w:rPr>
        <w:t>See Note 2. Summary of Significant Accounting Policies for further details on the products from which the Company derives its revenues.</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See Note 14. Revenues for details of revenue from external customers by geography.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21. Subsequent Events</w:t>
      </w:r>
    </w:p>
    <w:p>
      <w:pPr>
        <w:spacing w:after="0" w:line="244"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On February 17, 2026, the Company announced that it had entered into a settlement agreement with Alkem Laboratories Ltd. (Alkem) to resolve the outstanding litigation between the parties relating to SUNOSI. Under the terms of the settlement agreement, the Company will grant Alkem a license to sell its generic version of SUNOSI beginning on or after September 1, 2040, if pediatric exclusivity is granted for SUNOSI, or on or after March 1, 2040, if no pediatric exclusivity is granted, subject to FDA approval and conditions and exceptions customary for agreements of this type.</w:t>
      </w:r>
    </w:p>
    <w:p>
      <w:pPr>
        <w:sectPr>
          <w:pgSz w:w="12240" w:h="15840" w:orient="portrait"/>
          <w:cols w:equalWidth="0" w:num="1">
            <w:col w:w="9720"/>
          </w:cols>
          <w:pgMar w:left="1260" w:top="1247" w:right="12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F-40</w:t>
      </w:r>
    </w:p>
    <w:p>
      <w:pPr>
        <w:sectPr>
          <w:pgSz w:w="12240" w:h="15840" w:orient="portrait"/>
          <w:cols w:equalWidth="0" w:num="1">
            <w:col w:w="9720"/>
          </w:cols>
          <w:pgMar w:left="1260" w:top="1247" w:right="1260" w:bottom="186" w:gutter="0" w:footer="0" w:header="0"/>
          <w:type w:val="continuous"/>
        </w:sectPr>
      </w:pPr>
    </w:p>
    <w:bookmarkStart w:id="171" w:name="page172"/>
    <w:bookmarkEnd w:id="171"/>
    <w:tbl>
      <w:tblPr>
        <w:tblLayout w:type="fixed"/>
        <w:tblInd w:w="0" w:type="dxa"/>
        <w:tblCellMar>
          <w:top w:w="0" w:type="dxa"/>
          <w:left w:w="0" w:type="dxa"/>
          <w:bottom w:w="0" w:type="dxa"/>
          <w:right w:w="0" w:type="dxa"/>
        </w:tblCellMar>
      </w:tblPr>
      <w:tr>
        <w:trPr>
          <w:trHeight w:val="274"/>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ind w:left="2800"/>
              <w:spacing w:after="0"/>
              <w:rPr>
                <w:sz w:val="20"/>
                <w:szCs w:val="20"/>
                <w:color w:val="auto"/>
              </w:rPr>
            </w:pPr>
            <w:r>
              <w:rPr>
                <w:rFonts w:ascii="Times New Roman" w:cs="Times New Roman" w:eastAsia="Times New Roman" w:hAnsi="Times New Roman"/>
                <w:sz w:val="20"/>
                <w:szCs w:val="20"/>
                <w:b w:val="1"/>
                <w:bCs w:val="1"/>
                <w:color w:val="231F20"/>
              </w:rPr>
              <w:t>INDEX OF EXHIBITS</w:t>
            </w:r>
          </w:p>
        </w:tc>
      </w:tr>
      <w:tr>
        <w:trPr>
          <w:trHeight w:val="374"/>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Exhibit</w:t>
            </w:r>
          </w:p>
        </w:tc>
        <w:tc>
          <w:tcPr>
            <w:tcW w:w="8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203"/>
        </w:trPr>
        <w:tc>
          <w:tcPr>
            <w:tcW w:w="9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80" w:type="dxa"/>
            <w:vAlign w:val="bottom"/>
          </w:tcPr>
          <w:p>
            <w:pPr>
              <w:spacing w:after="0"/>
              <w:rPr>
                <w:sz w:val="17"/>
                <w:szCs w:val="17"/>
                <w:color w:val="auto"/>
              </w:rPr>
            </w:pPr>
          </w:p>
        </w:tc>
        <w:tc>
          <w:tcPr>
            <w:tcW w:w="8660" w:type="dxa"/>
            <w:vAlign w:val="bottom"/>
            <w:tcBorders>
              <w:bottom w:val="single" w:sz="8" w:color="231F20"/>
            </w:tcBorders>
          </w:tcPr>
          <w:p>
            <w:pPr>
              <w:ind w:left="3940"/>
              <w:spacing w:after="0"/>
              <w:rPr>
                <w:sz w:val="20"/>
                <w:szCs w:val="20"/>
                <w:color w:val="auto"/>
              </w:rPr>
            </w:pPr>
            <w:r>
              <w:rPr>
                <w:rFonts w:ascii="Times New Roman" w:cs="Times New Roman" w:eastAsia="Times New Roman" w:hAnsi="Times New Roman"/>
                <w:sz w:val="16"/>
                <w:szCs w:val="16"/>
                <w:b w:val="1"/>
                <w:bCs w:val="1"/>
                <w:color w:val="231F20"/>
              </w:rPr>
              <w:t>Description</w:t>
            </w:r>
          </w:p>
        </w:tc>
      </w:tr>
      <w:tr>
        <w:trPr>
          <w:trHeight w:val="316"/>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231F20"/>
              </w:rPr>
              <w:t>3.1</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Certificate of Incorporation of the Company (Incorporated by reference, Exhibit 3.1</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to the Company’s Current Report on Form 8-K (No. 001-37635), filed November 24, 2015).</w:t>
            </w:r>
          </w:p>
        </w:tc>
      </w:tr>
      <w:tr>
        <w:trPr>
          <w:trHeight w:val="309"/>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231F20"/>
              </w:rPr>
              <w:t>3.2</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Bylaws of the Company (Incorporated by reference, Exhibit 3.2 to the Company’s</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Current Report on Form 8-K (No. 001-37635), filed November 24, 2015).</w:t>
            </w:r>
          </w:p>
        </w:tc>
      </w:tr>
      <w:tr>
        <w:trPr>
          <w:trHeight w:val="324"/>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231F20"/>
              </w:rPr>
              <w:t>4.1</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Specimen Certificate evidencing shares of Company’s common stock (Incorporated by reference, Exhibit</w:t>
            </w:r>
          </w:p>
        </w:tc>
      </w:tr>
      <w:tr>
        <w:trPr>
          <w:trHeight w:val="245"/>
        </w:trPr>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6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4.1 to Amendment No. 1 to the Company’s Registration Statement on Form S-1 (No. 333</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207393), filed</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October 30, 2015).</w:t>
            </w:r>
          </w:p>
        </w:tc>
      </w:tr>
      <w:tr>
        <w:trPr>
          <w:trHeight w:val="309"/>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231F20"/>
              </w:rPr>
              <w:t>4.2</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Warrant Agreement, dated September 25, 2020, by and between Axsome Therapeutics, Inc. and Hercules</w:t>
            </w:r>
          </w:p>
        </w:tc>
      </w:tr>
      <w:tr>
        <w:trPr>
          <w:trHeight w:val="230"/>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Capital, Inc. (Incorporated by reference, Exhibit 10.4 to the Company’s Quarterly Report on Form 10-Q,</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filed November 5, 2020).</w:t>
            </w:r>
          </w:p>
        </w:tc>
      </w:tr>
      <w:tr>
        <w:trPr>
          <w:trHeight w:val="309"/>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231F20"/>
              </w:rPr>
              <w:t>4.3</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Description of Securities (Incorporated by reference, Exhibit 4.13 to the Company’s Annual Report on</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Form 10-K, filed March 12, 2020).</w:t>
            </w:r>
          </w:p>
        </w:tc>
      </w:tr>
      <w:tr>
        <w:trPr>
          <w:trHeight w:val="309"/>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231F20"/>
              </w:rPr>
              <w:t>4.4</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w w:val="99"/>
              </w:rPr>
              <w:t>Form of Warrant Agreement, dated May 9, 2022, between Axsome Therapeutics, Inc. and Hercules Capital,</w:t>
            </w:r>
          </w:p>
        </w:tc>
      </w:tr>
      <w:tr>
        <w:trPr>
          <w:trHeight w:val="230"/>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Inc. (Incorporated by reference, Exhibit 10.1 to the Company’s Quarterly Report on Form 10-Q, filed</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August 9, 2022).</w:t>
            </w:r>
          </w:p>
        </w:tc>
      </w:tr>
      <w:tr>
        <w:trPr>
          <w:trHeight w:val="309"/>
        </w:trPr>
        <w:tc>
          <w:tcPr>
            <w:tcW w:w="980" w:type="dxa"/>
            <w:vAlign w:val="bottom"/>
          </w:tcPr>
          <w:p>
            <w:pPr>
              <w:jc w:val="center"/>
              <w:ind w:right="222"/>
              <w:spacing w:after="0"/>
              <w:rPr>
                <w:sz w:val="20"/>
                <w:szCs w:val="20"/>
                <w:color w:val="auto"/>
              </w:rPr>
            </w:pPr>
            <w:r>
              <w:rPr>
                <w:rFonts w:ascii="Times New Roman" w:cs="Times New Roman" w:eastAsia="Times New Roman" w:hAnsi="Times New Roman"/>
                <w:sz w:val="20"/>
                <w:szCs w:val="20"/>
                <w:color w:val="231F20"/>
              </w:rPr>
              <w:t>4.5</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Form of Indenture (Incorporated by reference, Exhibit 4.7 to the Company's Registration Statement on</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Form S-3 (No. 333-291228), filed November 3, 2025).</w:t>
            </w:r>
          </w:p>
        </w:tc>
      </w:tr>
      <w:tr>
        <w:trPr>
          <w:trHeight w:val="309"/>
        </w:trPr>
        <w:tc>
          <w:tcPr>
            <w:tcW w:w="98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231F20"/>
              </w:rPr>
              <w:t>10.1+</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Axsome Therapeutics, Inc. Amended and Restated 2015 Omnibus Incentive Compensation Plan</w:t>
            </w:r>
          </w:p>
        </w:tc>
      </w:tr>
      <w:tr>
        <w:trPr>
          <w:trHeight w:val="230"/>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(Incorporated by reference, Exhibit 10.2 to the Company’s Annual Report on Form 10-K, filed February</w:t>
            </w:r>
          </w:p>
        </w:tc>
      </w:tr>
      <w:tr>
        <w:trPr>
          <w:trHeight w:val="266"/>
        </w:trPr>
        <w:tc>
          <w:tcPr>
            <w:tcW w:w="980" w:type="dxa"/>
            <w:vAlign w:val="bottom"/>
          </w:tcPr>
          <w:p>
            <w:pPr>
              <w:spacing w:after="0"/>
              <w:rPr>
                <w:sz w:val="23"/>
                <w:szCs w:val="23"/>
                <w:color w:val="auto"/>
              </w:rPr>
            </w:pPr>
          </w:p>
        </w:tc>
        <w:tc>
          <w:tcPr>
            <w:tcW w:w="87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231F20"/>
              </w:rPr>
              <w:t>23, 2024).</w:t>
            </w:r>
          </w:p>
        </w:tc>
      </w:tr>
      <w:tr>
        <w:trPr>
          <w:trHeight w:val="309"/>
        </w:trPr>
        <w:tc>
          <w:tcPr>
            <w:tcW w:w="98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231F20"/>
              </w:rPr>
              <w:t>10.2+</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Axsome Therapeutics, Inc. Form of Stock Option Agreement pursuant to the Amended and Restated 2015</w:t>
            </w:r>
          </w:p>
        </w:tc>
      </w:tr>
      <w:tr>
        <w:trPr>
          <w:trHeight w:val="230"/>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Omnibus Incentive Compensation Plan (Incorporated by reference, Exhibit 99.2 to the Company’s</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Registration Statement on Form S-8 (No. 333-208579) filed December 16, 2015).</w:t>
            </w:r>
          </w:p>
        </w:tc>
      </w:tr>
      <w:tr>
        <w:trPr>
          <w:trHeight w:val="309"/>
        </w:trPr>
        <w:tc>
          <w:tcPr>
            <w:tcW w:w="98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231F20"/>
              </w:rPr>
              <w:t>10.3+</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Axsome Therapeutics, Inc. Form of Restricted Stock Unit Agreement (Non-Executives) pursuant to the</w:t>
            </w:r>
          </w:p>
        </w:tc>
      </w:tr>
      <w:tr>
        <w:trPr>
          <w:trHeight w:val="230"/>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Amended and Restated 2015 Omnibus Incentive Compensation Plan (Incorporated by reference, Exhibit</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99.3 to the Company’s Registration Statement on Form S-8 (File No. 333-238174), filed May 11, 2020).</w:t>
            </w:r>
          </w:p>
        </w:tc>
      </w:tr>
      <w:tr>
        <w:trPr>
          <w:trHeight w:val="309"/>
        </w:trPr>
        <w:tc>
          <w:tcPr>
            <w:tcW w:w="98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231F20"/>
              </w:rPr>
              <w:t>10.4+</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Axsome Therapeutics, Inc. Form of Restricted Stock Unit Agreement (Executives and Non-Employee</w:t>
            </w:r>
          </w:p>
        </w:tc>
      </w:tr>
      <w:tr>
        <w:trPr>
          <w:trHeight w:val="230"/>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Directors) pursuant to the Amended and Restated 2015 Omnibus Incentive Compensation Plan</w:t>
            </w:r>
          </w:p>
        </w:tc>
      </w:tr>
      <w:tr>
        <w:trPr>
          <w:trHeight w:val="230"/>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(Incorporated by reference, Exhibit 99.4 to the Company’s Registration Statement on Form S-8 (File No.</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333-238174), filed May 11, 2020).</w:t>
            </w:r>
          </w:p>
        </w:tc>
      </w:tr>
      <w:tr>
        <w:trPr>
          <w:trHeight w:val="309"/>
        </w:trPr>
        <w:tc>
          <w:tcPr>
            <w:tcW w:w="98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231F20"/>
              </w:rPr>
              <w:t>10.5+</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Axsome Therapeutics, Inc. 2025 Long-Term Incentive Plan (Incorporated by reference, Exhibit 10.4 to the</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Company's Quarterly Report on Form 10-Q, filed August 4, 2025).</w:t>
            </w:r>
          </w:p>
        </w:tc>
      </w:tr>
      <w:tr>
        <w:trPr>
          <w:trHeight w:val="309"/>
        </w:trPr>
        <w:tc>
          <w:tcPr>
            <w:tcW w:w="98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231F20"/>
              </w:rPr>
              <w:t>10.6+</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Axsome Therapeutics, Inc. Form of Standard Restricted Stock Units Agreement pursuant to the 2025 Long-</w:t>
            </w:r>
          </w:p>
        </w:tc>
      </w:tr>
      <w:tr>
        <w:trPr>
          <w:trHeight w:val="230"/>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Term Incentive Plan (Incorporated by reference, Exhibit 10.5 to the Company's Quarterly Report on Form</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10-Q, filed August 4, 2025).</w:t>
            </w:r>
          </w:p>
        </w:tc>
      </w:tr>
      <w:tr>
        <w:trPr>
          <w:trHeight w:val="309"/>
        </w:trPr>
        <w:tc>
          <w:tcPr>
            <w:tcW w:w="98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231F20"/>
              </w:rPr>
              <w:t>10.7+</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Axsome Therapeutics, Inc. Form of Director Restricted Stock Units Agreement pursuant to the 2025 Long-</w:t>
            </w:r>
          </w:p>
        </w:tc>
      </w:tr>
      <w:tr>
        <w:trPr>
          <w:trHeight w:val="230"/>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Term Incentive Plan (Incorporated by reference, Exhibit 10.6 to the Company's Quarterly Report on Form</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10-Q, filed August 4, 2025).</w:t>
            </w:r>
          </w:p>
        </w:tc>
      </w:tr>
      <w:tr>
        <w:trPr>
          <w:trHeight w:val="309"/>
        </w:trPr>
        <w:tc>
          <w:tcPr>
            <w:tcW w:w="98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231F20"/>
              </w:rPr>
              <w:t>10.8+</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Axsome Therapeutics, Inc. Form of Executive Deferral Restricted Stock Units Agreement pursuant to the</w:t>
            </w:r>
          </w:p>
        </w:tc>
      </w:tr>
      <w:tr>
        <w:trPr>
          <w:trHeight w:val="230"/>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2025 Long-Term Incentive Plan (Incorporated by reference, Exhibit 10.7 to the Company's Quarterly</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Report on Form 10-Q, filed August 4, 2025).</w:t>
            </w:r>
          </w:p>
        </w:tc>
      </w:tr>
      <w:tr>
        <w:trPr>
          <w:trHeight w:val="309"/>
        </w:trPr>
        <w:tc>
          <w:tcPr>
            <w:tcW w:w="980" w:type="dxa"/>
            <w:vAlign w:val="bottom"/>
          </w:tcPr>
          <w:p>
            <w:pPr>
              <w:jc w:val="center"/>
              <w:ind w:right="202"/>
              <w:spacing w:after="0"/>
              <w:rPr>
                <w:sz w:val="20"/>
                <w:szCs w:val="20"/>
                <w:color w:val="auto"/>
              </w:rPr>
            </w:pPr>
            <w:r>
              <w:rPr>
                <w:rFonts w:ascii="Times New Roman" w:cs="Times New Roman" w:eastAsia="Times New Roman" w:hAnsi="Times New Roman"/>
                <w:sz w:val="20"/>
                <w:szCs w:val="20"/>
                <w:color w:val="231F20"/>
              </w:rPr>
              <w:t>10.9+</w:t>
            </w:r>
          </w:p>
        </w:tc>
        <w:tc>
          <w:tcPr>
            <w:tcW w:w="80" w:type="dxa"/>
            <w:vAlign w:val="bottom"/>
          </w:tcPr>
          <w:p>
            <w:pPr>
              <w:spacing w:after="0"/>
              <w:rPr>
                <w:sz w:val="24"/>
                <w:szCs w:val="24"/>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Axsome Therapeutics, Inc. Form of Standard Nonstatutory Stock Option Agreement pursuant to the 2025</w:t>
            </w:r>
          </w:p>
        </w:tc>
      </w:tr>
      <w:tr>
        <w:trPr>
          <w:trHeight w:val="230"/>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Long-Term Incentive Plan (Incorporated by reference, Exhibit 10.8 to the Company's Quarterly Report on</w:t>
            </w:r>
          </w:p>
        </w:tc>
      </w:tr>
      <w:tr>
        <w:trPr>
          <w:trHeight w:val="266"/>
        </w:trPr>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20"/>
                <w:szCs w:val="20"/>
                <w:color w:val="231F20"/>
              </w:rPr>
              <w:t>Form 10-Q, filed August 4, 2025).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616585</wp:posOffset>
                </wp:positionH>
                <wp:positionV relativeFrom="paragraph">
                  <wp:posOffset>-7626985</wp:posOffset>
                </wp:positionV>
                <wp:extent cx="6159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595"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5pt,-600.5499pt" to="53.4pt,-600.5499pt" o:allowincell="f" strokecolor="#FFFFFF" strokeweight="0.5pt"/>
            </w:pict>
          </mc:Fallback>
        </mc:AlternateContent>
      </w:r>
    </w:p>
    <w:p>
      <w:pPr>
        <w:sectPr>
          <w:pgSz w:w="12240" w:h="15840" w:orient="portrait"/>
          <w:cols w:equalWidth="0" w:num="1">
            <w:col w:w="9720"/>
          </w:cols>
          <w:pgMar w:left="1260" w:top="1243"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130</w:t>
      </w:r>
    </w:p>
    <w:p>
      <w:pPr>
        <w:sectPr>
          <w:pgSz w:w="12240" w:h="15840" w:orient="portrait"/>
          <w:cols w:equalWidth="0" w:num="1">
            <w:col w:w="9720"/>
          </w:cols>
          <w:pgMar w:left="1260" w:top="1243" w:right="1260" w:bottom="175" w:gutter="0" w:footer="0" w:header="0"/>
          <w:type w:val="continuous"/>
        </w:sectPr>
      </w:pPr>
    </w:p>
    <w:bookmarkStart w:id="172" w:name="page173"/>
    <w:bookmarkEnd w:id="172"/>
    <w:p>
      <w:pPr>
        <w:jc w:val="both"/>
        <w:ind w:left="960" w:right="160" w:hanging="960"/>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231F20"/>
        </w:rPr>
        <w:t>10.10+</w:t>
      </w:r>
      <w:r>
        <w:rPr>
          <w:sz w:val="20"/>
          <w:szCs w:val="20"/>
          <w:color w:val="auto"/>
        </w:rPr>
        <w:tab/>
      </w:r>
      <w:r>
        <w:rPr>
          <w:rFonts w:ascii="Times New Roman" w:cs="Times New Roman" w:eastAsia="Times New Roman" w:hAnsi="Times New Roman"/>
          <w:sz w:val="20"/>
          <w:szCs w:val="20"/>
          <w:color w:val="231F20"/>
        </w:rPr>
        <w:t>Axsome Therapeutics, Inc. Form of Director Nonstatutory Stock Option Agreement pursuant to the 2025 Long-Term Incentive Plan (Incorporated by reference, Exhibit 10.9 to the Company's Quarterly Report on Form 10-Q, filed August 4, 2025).</w:t>
      </w:r>
    </w:p>
    <w:p>
      <w:pPr>
        <w:spacing w:after="0" w:line="63" w:lineRule="exact"/>
        <w:rPr>
          <w:sz w:val="20"/>
          <w:szCs w:val="20"/>
          <w:color w:val="auto"/>
        </w:rPr>
      </w:pPr>
    </w:p>
    <w:p>
      <w:pPr>
        <w:ind w:left="960" w:right="220" w:hanging="960"/>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231F20"/>
        </w:rPr>
        <w:t>10.11+</w:t>
      </w:r>
      <w:r>
        <w:rPr>
          <w:sz w:val="20"/>
          <w:szCs w:val="20"/>
          <w:color w:val="auto"/>
        </w:rPr>
        <w:tab/>
      </w:r>
      <w:r>
        <w:rPr>
          <w:rFonts w:ascii="Times New Roman" w:cs="Times New Roman" w:eastAsia="Times New Roman" w:hAnsi="Times New Roman"/>
          <w:sz w:val="20"/>
          <w:szCs w:val="20"/>
          <w:color w:val="231F20"/>
        </w:rPr>
        <w:t>Axsome Therapeutics, Inc. Form of Performance-Based Restricted Stock Unit Agreement pursuant to the 2025 Long-Term Incentive Plan (Incorporated by reference, Exhibit 10.10 to the Company's Quarterly Report on Form 10-Q, filed August 4, 2025).</w:t>
      </w:r>
    </w:p>
    <w:p>
      <w:pPr>
        <w:spacing w:after="0" w:line="63" w:lineRule="exact"/>
        <w:rPr>
          <w:sz w:val="20"/>
          <w:szCs w:val="20"/>
          <w:color w:val="auto"/>
        </w:rPr>
      </w:pPr>
    </w:p>
    <w:p>
      <w:pPr>
        <w:ind w:left="960" w:right="20" w:hanging="960"/>
        <w:spacing w:after="0" w:line="277" w:lineRule="auto"/>
        <w:tabs>
          <w:tab w:leader="none" w:pos="940" w:val="left"/>
        </w:tabs>
        <w:rPr>
          <w:sz w:val="20"/>
          <w:szCs w:val="20"/>
          <w:color w:val="auto"/>
        </w:rPr>
      </w:pPr>
      <w:r>
        <w:rPr>
          <w:rFonts w:ascii="Times New Roman" w:cs="Times New Roman" w:eastAsia="Times New Roman" w:hAnsi="Times New Roman"/>
          <w:sz w:val="20"/>
          <w:szCs w:val="20"/>
          <w:color w:val="231F20"/>
        </w:rPr>
        <w:t>10.12+</w:t>
      </w:r>
      <w:r>
        <w:rPr>
          <w:sz w:val="20"/>
          <w:szCs w:val="20"/>
          <w:color w:val="auto"/>
        </w:rPr>
        <w:tab/>
      </w:r>
      <w:r>
        <w:rPr>
          <w:rFonts w:ascii="Times New Roman" w:cs="Times New Roman" w:eastAsia="Times New Roman" w:hAnsi="Times New Roman"/>
          <w:sz w:val="20"/>
          <w:szCs w:val="20"/>
          <w:color w:val="231F20"/>
        </w:rPr>
        <w:t>Axsome Therapeutics, Inc. 2023 Employee Stock Purchase Plan (Incorporated by reference, Exhibit 10.1 to the Company’s Current Report on Form 8-K, filed on June 8, 2023).</w:t>
      </w:r>
    </w:p>
    <w:p>
      <w:pPr>
        <w:spacing w:after="0" w:line="44" w:lineRule="exact"/>
        <w:rPr>
          <w:sz w:val="20"/>
          <w:szCs w:val="20"/>
          <w:color w:val="auto"/>
        </w:rPr>
      </w:pPr>
    </w:p>
    <w:p>
      <w:pPr>
        <w:ind w:left="960" w:right="160" w:hanging="960"/>
        <w:spacing w:after="0" w:line="252" w:lineRule="auto"/>
        <w:tabs>
          <w:tab w:leader="none" w:pos="940" w:val="left"/>
        </w:tabs>
        <w:rPr>
          <w:sz w:val="20"/>
          <w:szCs w:val="20"/>
          <w:color w:val="auto"/>
        </w:rPr>
      </w:pPr>
      <w:r>
        <w:rPr>
          <w:rFonts w:ascii="Times New Roman" w:cs="Times New Roman" w:eastAsia="Times New Roman" w:hAnsi="Times New Roman"/>
          <w:sz w:val="20"/>
          <w:szCs w:val="20"/>
          <w:color w:val="231F20"/>
        </w:rPr>
        <w:t>10.13++</w:t>
        <w:tab/>
        <w:t>License Agreement, dated January 12, 2012, by and between the Company and Antecip Bioventures II LLC, as modified by the First Amendment to License Agreement, dated August 21, 2015, by and between the Company and Antecip Bioventures II LLC (Incorporated by reference, Exhibit 10.2 to the Company’s Registration Statement on Form S-1 (No. 333-207393), filed October 13, 2015).</w:t>
      </w:r>
    </w:p>
    <w:p>
      <w:pPr>
        <w:spacing w:after="0" w:line="69" w:lineRule="exact"/>
        <w:rPr>
          <w:sz w:val="20"/>
          <w:szCs w:val="20"/>
          <w:color w:val="auto"/>
        </w:rPr>
      </w:pPr>
    </w:p>
    <w:p>
      <w:pPr>
        <w:ind w:left="960" w:right="160" w:hanging="960"/>
        <w:spacing w:after="0" w:line="252" w:lineRule="auto"/>
        <w:tabs>
          <w:tab w:leader="none" w:pos="940" w:val="left"/>
        </w:tabs>
        <w:rPr>
          <w:sz w:val="20"/>
          <w:szCs w:val="20"/>
          <w:color w:val="auto"/>
        </w:rPr>
      </w:pPr>
      <w:r>
        <w:rPr>
          <w:rFonts w:ascii="Times New Roman" w:cs="Times New Roman" w:eastAsia="Times New Roman" w:hAnsi="Times New Roman"/>
          <w:sz w:val="20"/>
          <w:szCs w:val="20"/>
          <w:color w:val="231F20"/>
        </w:rPr>
        <w:t>10.14++</w:t>
        <w:tab/>
        <w:t>License Agreement, dated April 17, 2012, by and between the Company and Antecip Bioventures II LLC, as modified by the First Amendment to License Agreement, dated August 21, 2015, by and between the Company and Antecip Bioventures II LLC (Incorporated by reference, Exhibit 10.3 to the Company’s Registration Statement on Form S-1 (No. 333-207393), filed October 13, 2015).</w:t>
      </w:r>
    </w:p>
    <w:p>
      <w:pPr>
        <w:spacing w:after="0" w:line="69" w:lineRule="exact"/>
        <w:rPr>
          <w:sz w:val="20"/>
          <w:szCs w:val="20"/>
          <w:color w:val="auto"/>
        </w:rPr>
      </w:pPr>
    </w:p>
    <w:p>
      <w:pPr>
        <w:ind w:left="960" w:right="100" w:hanging="960"/>
        <w:spacing w:after="0" w:line="252" w:lineRule="auto"/>
        <w:tabs>
          <w:tab w:leader="none" w:pos="940" w:val="left"/>
        </w:tabs>
        <w:rPr>
          <w:sz w:val="20"/>
          <w:szCs w:val="20"/>
          <w:color w:val="auto"/>
        </w:rPr>
      </w:pPr>
      <w:r>
        <w:rPr>
          <w:rFonts w:ascii="Times New Roman" w:cs="Times New Roman" w:eastAsia="Times New Roman" w:hAnsi="Times New Roman"/>
          <w:sz w:val="20"/>
          <w:szCs w:val="20"/>
          <w:color w:val="231F20"/>
        </w:rPr>
        <w:t>10.15++</w:t>
        <w:tab/>
        <w:t>License Agreement, dated June 6, 2012, by and between the Company and Antecip Bioventures II LLC, as modified by the First Amendment to License Agreement, dated August 21, 2015, by and between the Company and Antecip Bioventures II LLC (Incorporated by reference, Exhibit 10.4 to the Company’s Registration Statement on Form S-1 (No. 333-207393), filed October 13, 2015).</w:t>
      </w:r>
    </w:p>
    <w:p>
      <w:pPr>
        <w:spacing w:after="0" w:line="69" w:lineRule="exact"/>
        <w:rPr>
          <w:sz w:val="20"/>
          <w:szCs w:val="20"/>
          <w:color w:val="auto"/>
        </w:rPr>
      </w:pPr>
    </w:p>
    <w:p>
      <w:pPr>
        <w:ind w:left="960" w:right="40" w:hanging="960"/>
        <w:spacing w:after="0" w:line="252" w:lineRule="auto"/>
        <w:tabs>
          <w:tab w:leader="none" w:pos="940" w:val="left"/>
        </w:tabs>
        <w:rPr>
          <w:sz w:val="20"/>
          <w:szCs w:val="20"/>
          <w:color w:val="auto"/>
        </w:rPr>
      </w:pPr>
      <w:r>
        <w:rPr>
          <w:rFonts w:ascii="Times New Roman" w:cs="Times New Roman" w:eastAsia="Times New Roman" w:hAnsi="Times New Roman"/>
          <w:sz w:val="20"/>
          <w:szCs w:val="20"/>
          <w:color w:val="231F20"/>
        </w:rPr>
        <w:t>10.16+</w:t>
      </w:r>
      <w:r>
        <w:rPr>
          <w:sz w:val="20"/>
          <w:szCs w:val="20"/>
          <w:color w:val="auto"/>
        </w:rPr>
        <w:tab/>
      </w:r>
      <w:r>
        <w:rPr>
          <w:rFonts w:ascii="Times New Roman" w:cs="Times New Roman" w:eastAsia="Times New Roman" w:hAnsi="Times New Roman"/>
          <w:sz w:val="20"/>
          <w:szCs w:val="20"/>
          <w:color w:val="231F20"/>
        </w:rPr>
        <w:t>Consulting Agreement, dated April 13, 2012, by and between the Company and Mark Coleman, M.D., as modified by the First Amendment to Consulting Agreement, dated June 2, 2014, by and between the Company and Mark Coleman, M.D (Incorporated by reference, Exhibit 10.5 to the Company’s Registration Statement on Form S-1 (No. 333-207393), filed October 13, 2015).</w:t>
      </w:r>
    </w:p>
    <w:p>
      <w:pPr>
        <w:spacing w:after="0" w:line="69" w:lineRule="exact"/>
        <w:rPr>
          <w:sz w:val="20"/>
          <w:szCs w:val="20"/>
          <w:color w:val="auto"/>
        </w:rPr>
      </w:pPr>
    </w:p>
    <w:p>
      <w:pPr>
        <w:ind w:left="960" w:right="160" w:hanging="960"/>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231F20"/>
        </w:rPr>
        <w:t>10.17</w:t>
      </w:r>
      <w:r>
        <w:rPr>
          <w:sz w:val="20"/>
          <w:szCs w:val="20"/>
          <w:color w:val="auto"/>
        </w:rPr>
        <w:tab/>
      </w:r>
      <w:r>
        <w:rPr>
          <w:rFonts w:ascii="Times New Roman" w:cs="Times New Roman" w:eastAsia="Times New Roman" w:hAnsi="Times New Roman"/>
          <w:sz w:val="20"/>
          <w:szCs w:val="20"/>
          <w:color w:val="231F20"/>
        </w:rPr>
        <w:t>Form of Purchase Agreement, dated November 30, 2017, among Axsome Therapeutics, Inc. and the purchasers thereunder (Incorporated by reference, Exhibit 10.1 to the Company’s Current Report on Form 8-K, filed December 4, 2017).</w:t>
      </w:r>
    </w:p>
    <w:p>
      <w:pPr>
        <w:spacing w:after="0" w:line="63" w:lineRule="exact"/>
        <w:rPr>
          <w:sz w:val="20"/>
          <w:szCs w:val="20"/>
          <w:color w:val="auto"/>
        </w:rPr>
      </w:pPr>
    </w:p>
    <w:p>
      <w:pPr>
        <w:ind w:left="960" w:right="220" w:hanging="960"/>
        <w:spacing w:after="0" w:line="277" w:lineRule="auto"/>
        <w:tabs>
          <w:tab w:leader="none" w:pos="940" w:val="left"/>
        </w:tabs>
        <w:rPr>
          <w:sz w:val="20"/>
          <w:szCs w:val="20"/>
          <w:color w:val="auto"/>
        </w:rPr>
      </w:pPr>
      <w:r>
        <w:rPr>
          <w:rFonts w:ascii="Times New Roman" w:cs="Times New Roman" w:eastAsia="Times New Roman" w:hAnsi="Times New Roman"/>
          <w:sz w:val="20"/>
          <w:szCs w:val="20"/>
          <w:color w:val="231F20"/>
        </w:rPr>
        <w:t>10.18+</w:t>
      </w:r>
      <w:r>
        <w:rPr>
          <w:sz w:val="20"/>
          <w:szCs w:val="20"/>
          <w:color w:val="auto"/>
        </w:rPr>
        <w:tab/>
      </w:r>
      <w:r>
        <w:rPr>
          <w:rFonts w:ascii="Times New Roman" w:cs="Times New Roman" w:eastAsia="Times New Roman" w:hAnsi="Times New Roman"/>
          <w:sz w:val="20"/>
          <w:szCs w:val="20"/>
          <w:color w:val="231F20"/>
        </w:rPr>
        <w:t>Nick Pizzie Offer Letter, dated April 16, 2018 (Incorporated by reference, Exhibit 10.1 to the Company’s Quarterly Report on Form 10-Q, filed May 8, 2018).</w:t>
      </w:r>
    </w:p>
    <w:p>
      <w:pPr>
        <w:spacing w:after="0" w:line="44" w:lineRule="exact"/>
        <w:rPr>
          <w:sz w:val="20"/>
          <w:szCs w:val="20"/>
          <w:color w:val="auto"/>
        </w:rPr>
      </w:pPr>
    </w:p>
    <w:p>
      <w:pPr>
        <w:ind w:left="960" w:right="80" w:hanging="960"/>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231F20"/>
        </w:rPr>
        <w:t>10.19</w:t>
      </w:r>
      <w:r>
        <w:rPr>
          <w:sz w:val="20"/>
          <w:szCs w:val="20"/>
          <w:color w:val="auto"/>
        </w:rPr>
        <w:tab/>
      </w:r>
      <w:r>
        <w:rPr>
          <w:rFonts w:ascii="Times New Roman" w:cs="Times New Roman" w:eastAsia="Times New Roman" w:hAnsi="Times New Roman"/>
          <w:sz w:val="20"/>
          <w:szCs w:val="20"/>
          <w:color w:val="231F20"/>
        </w:rPr>
        <w:t>Form of Purchase Agreement, dated September 27, 2018, by and among the Company and the investors party thereto (Incorporated by reference, Exhibit 10.1 to the Company’s Current Report on Form 8-K, filed September 28, 2018).</w:t>
      </w:r>
    </w:p>
    <w:p>
      <w:pPr>
        <w:spacing w:after="0" w:line="63" w:lineRule="exact"/>
        <w:rPr>
          <w:sz w:val="20"/>
          <w:szCs w:val="20"/>
          <w:color w:val="auto"/>
        </w:rPr>
      </w:pPr>
    </w:p>
    <w:p>
      <w:pPr>
        <w:jc w:val="center"/>
        <w:ind w:right="40"/>
        <w:spacing w:after="0" w:line="277" w:lineRule="auto"/>
        <w:rPr>
          <w:sz w:val="20"/>
          <w:szCs w:val="20"/>
          <w:color w:val="auto"/>
        </w:rPr>
      </w:pPr>
      <w:r>
        <w:rPr>
          <w:rFonts w:ascii="Times New Roman" w:cs="Times New Roman" w:eastAsia="Times New Roman" w:hAnsi="Times New Roman"/>
          <w:sz w:val="20"/>
          <w:szCs w:val="20"/>
          <w:color w:val="231F20"/>
        </w:rPr>
        <w:t>10.20+++  License Agreement, dated January 10, 2020, by and between the Company and Pfizer Inc. (Incorporated by reference, Exhibit 10.15 to the Company’s Annual Report on Form 10-K, filed March 12 2020).</w:t>
      </w:r>
    </w:p>
    <w:p>
      <w:pPr>
        <w:spacing w:after="0" w:line="4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231F20"/>
        </w:rPr>
        <w:t>10.21</w:t>
      </w:r>
      <w:r>
        <w:rPr>
          <w:sz w:val="20"/>
          <w:szCs w:val="20"/>
          <w:color w:val="auto"/>
        </w:rPr>
        <w:tab/>
      </w:r>
      <w:r>
        <w:rPr>
          <w:rFonts w:ascii="Times New Roman" w:cs="Times New Roman" w:eastAsia="Times New Roman" w:hAnsi="Times New Roman"/>
          <w:sz w:val="20"/>
          <w:szCs w:val="20"/>
          <w:color w:val="231F20"/>
        </w:rPr>
        <w:t>Share Transfer Agreement by and between the Company and Pfizer Inc. (Incorporated by reference, Exhibit</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231F20"/>
        </w:rPr>
        <w:t>10.1 to the Company’s Current Report on Form 8-K, filed January 13, 2020).</w:t>
      </w:r>
    </w:p>
    <w:p>
      <w:pPr>
        <w:spacing w:after="0" w:line="87" w:lineRule="exact"/>
        <w:rPr>
          <w:sz w:val="20"/>
          <w:szCs w:val="20"/>
          <w:color w:val="auto"/>
        </w:rPr>
      </w:pPr>
    </w:p>
    <w:p>
      <w:pPr>
        <w:ind w:left="960" w:right="380" w:hanging="960"/>
        <w:spacing w:after="0" w:line="249" w:lineRule="auto"/>
        <w:tabs>
          <w:tab w:leader="none" w:pos="940" w:val="left"/>
        </w:tabs>
        <w:rPr>
          <w:sz w:val="20"/>
          <w:szCs w:val="20"/>
          <w:color w:val="auto"/>
        </w:rPr>
      </w:pPr>
      <w:r>
        <w:rPr>
          <w:rFonts w:ascii="Times New Roman" w:cs="Times New Roman" w:eastAsia="Times New Roman" w:hAnsi="Times New Roman"/>
          <w:sz w:val="20"/>
          <w:szCs w:val="20"/>
          <w:color w:val="231F20"/>
        </w:rPr>
        <w:t>10.22+++</w:t>
        <w:tab/>
        <w:t>Loan Agreement, dated May 8, 2025, by and among Axsome Therapeutics, Inc., certain subsidiaries of Axsome Therapeutics, Inc. from time to time party thereto, Wilmington Trust, National Association, as agent, Blackstone Alternative Credit Advisors LP and Blackstone Life Sciences Advisors L.L.C., as Blackstone Representative, and the lenders from time to time party thereto (Incorporated by reference, Exhibit 10.2 to the Company's Quarterly Report on Form 10-Q, filed August 4, 2025).</w:t>
      </w:r>
    </w:p>
    <w:p>
      <w:pPr>
        <w:spacing w:after="0" w:line="72" w:lineRule="exact"/>
        <w:rPr>
          <w:sz w:val="20"/>
          <w:szCs w:val="20"/>
          <w:color w:val="auto"/>
        </w:rPr>
      </w:pPr>
    </w:p>
    <w:p>
      <w:pPr>
        <w:ind w:left="960" w:right="160" w:hanging="960"/>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231F20"/>
        </w:rPr>
        <w:t>10.23+++</w:t>
        <w:tab/>
        <w:t>Securities Purchase Agreement, dated May 8, 2025, by and among Axsome Therapeutics, Inc., Axis Aggregator, L.P., Blackstone Private Credit Fund and Blackstone Secured Lending Fund (Incorporated by reference, Exhibit 10.3 to the Company's Quarterly Report on Form 10-Q, filed August 4, 2025).</w:t>
      </w:r>
    </w:p>
    <w:p>
      <w:pPr>
        <w:spacing w:after="0" w:line="63" w:lineRule="exact"/>
        <w:rPr>
          <w:sz w:val="20"/>
          <w:szCs w:val="20"/>
          <w:color w:val="auto"/>
        </w:rPr>
      </w:pPr>
    </w:p>
    <w:p>
      <w:pPr>
        <w:ind w:left="960" w:right="240" w:hanging="960"/>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231F20"/>
        </w:rPr>
        <w:t>10.24+++</w:t>
        <w:tab/>
        <w:t>Direct Agreement, dated May 8, 2025, by and among Axsome Therapeutics, Inc., Antecip Bioventures II LLC, and Wilmington Trust, National Association (Incorporated by reference, Exhibit 10.2 to the Company’s Quarterly Report on Form 10-Q, filed August 4, 2025).</w:t>
      </w:r>
    </w:p>
    <w:p>
      <w:pPr>
        <w:spacing w:after="0" w:line="63" w:lineRule="exact"/>
        <w:rPr>
          <w:sz w:val="20"/>
          <w:szCs w:val="20"/>
          <w:color w:val="auto"/>
        </w:rPr>
      </w:pPr>
    </w:p>
    <w:p>
      <w:pPr>
        <w:ind w:left="960" w:right="60" w:hanging="960"/>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231F20"/>
        </w:rPr>
        <w:t>10.25+++</w:t>
        <w:tab/>
        <w:t>Asset Purchase Agreement, dated March 25, 2022, between Jazz Pharmaceuticals plc and Axsome Therapeutics, Inc. (Incorporated by reference, Exhibit 10.1 to the Company’s Current Report on Form 8-K, filed on March 31, 2022).</w:t>
      </w:r>
    </w:p>
    <w:p>
      <w:pPr>
        <w:sectPr>
          <w:pgSz w:w="12240" w:h="15840" w:orient="portrait"/>
          <w:cols w:equalWidth="0" w:num="1">
            <w:col w:w="9620"/>
          </w:cols>
          <w:pgMar w:left="1360" w:top="1247" w:right="1260" w:bottom="175" w:gutter="0" w:footer="0" w:header="0"/>
        </w:sectPr>
      </w:pPr>
    </w:p>
    <w:p>
      <w:pPr>
        <w:spacing w:after="0" w:line="3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231F20"/>
        </w:rPr>
        <w:t>131</w:t>
      </w:r>
    </w:p>
    <w:p>
      <w:pPr>
        <w:sectPr>
          <w:pgSz w:w="12240" w:h="15840" w:orient="portrait"/>
          <w:cols w:equalWidth="0" w:num="1">
            <w:col w:w="9620"/>
          </w:cols>
          <w:pgMar w:left="1360" w:top="1247" w:right="1260" w:bottom="175"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230"/>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10.26+++</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License Agreement, dated February 21, 2023, by and between Axsome Malta Ltd. and Atnahs Pharma UK</w:t>
            </w:r>
          </w:p>
        </w:tc>
      </w:tr>
      <w:tr>
        <w:trPr>
          <w:trHeight w:val="230"/>
        </w:trPr>
        <w:tc>
          <w:tcPr>
            <w:tcW w:w="980" w:type="dxa"/>
            <w:vAlign w:val="bottom"/>
          </w:tcPr>
          <w:p>
            <w:pPr>
              <w:spacing w:after="0"/>
              <w:rPr>
                <w:sz w:val="20"/>
                <w:szCs w:val="20"/>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Limited (Incorporated by reference, Exhibit 10.1 to the Company’s Quarterly Report on Form 10-Q, filed</w:t>
            </w:r>
          </w:p>
        </w:tc>
      </w:tr>
      <w:tr>
        <w:trPr>
          <w:trHeight w:val="266"/>
        </w:trPr>
        <w:tc>
          <w:tcPr>
            <w:tcW w:w="980" w:type="dxa"/>
            <w:vAlign w:val="bottom"/>
          </w:tcPr>
          <w:p>
            <w:pPr>
              <w:spacing w:after="0"/>
              <w:rPr>
                <w:sz w:val="23"/>
                <w:szCs w:val="23"/>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May 9, 2023).</w:t>
            </w:r>
          </w:p>
        </w:tc>
      </w:tr>
      <w:tr>
        <w:trPr>
          <w:trHeight w:val="30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10.27+++</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Sublease, dated February 21, 2023, between Advance Magazine Publishers d/b/a Condé Nast and Axsome</w:t>
            </w:r>
          </w:p>
        </w:tc>
      </w:tr>
      <w:tr>
        <w:trPr>
          <w:trHeight w:val="230"/>
        </w:trPr>
        <w:tc>
          <w:tcPr>
            <w:tcW w:w="980" w:type="dxa"/>
            <w:vAlign w:val="bottom"/>
          </w:tcPr>
          <w:p>
            <w:pPr>
              <w:spacing w:after="0"/>
              <w:rPr>
                <w:sz w:val="20"/>
                <w:szCs w:val="20"/>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w w:val="99"/>
              </w:rPr>
              <w:t>Therapeutics, Inc. (Incorporated by reference, Exhibit 10.3 to the Company’s Quarterly Report on Form 10-</w:t>
            </w:r>
          </w:p>
        </w:tc>
      </w:tr>
      <w:tr>
        <w:trPr>
          <w:trHeight w:val="266"/>
        </w:trPr>
        <w:tc>
          <w:tcPr>
            <w:tcW w:w="980" w:type="dxa"/>
            <w:vAlign w:val="bottom"/>
          </w:tcPr>
          <w:p>
            <w:pPr>
              <w:spacing w:after="0"/>
              <w:rPr>
                <w:sz w:val="23"/>
                <w:szCs w:val="23"/>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Q, filed May 9, 2023).</w:t>
            </w:r>
          </w:p>
        </w:tc>
      </w:tr>
      <w:tr>
        <w:trPr>
          <w:trHeight w:val="30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10.28+++</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Amendment to Sublease, dated January 17, 2025, between Advance Magazine Publishers Inc. d/b/a Condé</w:t>
            </w:r>
          </w:p>
        </w:tc>
      </w:tr>
      <w:tr>
        <w:trPr>
          <w:trHeight w:val="230"/>
        </w:trPr>
        <w:tc>
          <w:tcPr>
            <w:tcW w:w="980" w:type="dxa"/>
            <w:vAlign w:val="bottom"/>
          </w:tcPr>
          <w:p>
            <w:pPr>
              <w:spacing w:after="0"/>
              <w:rPr>
                <w:sz w:val="20"/>
                <w:szCs w:val="20"/>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Nast and Axsome Therapeutics, Inc. (Incorporated by reference, Exhibit 10.1 to the Company's Quarterly</w:t>
            </w:r>
          </w:p>
        </w:tc>
      </w:tr>
      <w:tr>
        <w:trPr>
          <w:trHeight w:val="266"/>
        </w:trPr>
        <w:tc>
          <w:tcPr>
            <w:tcW w:w="980" w:type="dxa"/>
            <w:vAlign w:val="bottom"/>
          </w:tcPr>
          <w:p>
            <w:pPr>
              <w:spacing w:after="0"/>
              <w:rPr>
                <w:sz w:val="23"/>
                <w:szCs w:val="23"/>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Report on Form 10-Q, filed May 5, 2025).</w:t>
            </w:r>
          </w:p>
        </w:tc>
      </w:tr>
      <w:tr>
        <w:trPr>
          <w:trHeight w:val="30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19.1</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Axsome Therapeutics, Inc. Insider Trading Policy (Incorporated by reference, Exhibit 19.1 to the</w:t>
            </w:r>
          </w:p>
        </w:tc>
      </w:tr>
      <w:tr>
        <w:trPr>
          <w:trHeight w:val="266"/>
        </w:trPr>
        <w:tc>
          <w:tcPr>
            <w:tcW w:w="980" w:type="dxa"/>
            <w:vAlign w:val="bottom"/>
          </w:tcPr>
          <w:p>
            <w:pPr>
              <w:spacing w:after="0"/>
              <w:rPr>
                <w:sz w:val="23"/>
                <w:szCs w:val="23"/>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Company’s Annual Report on Form 10-K, filed February 18, 2025).</w:t>
            </w:r>
          </w:p>
        </w:tc>
      </w:tr>
      <w:tr>
        <w:trPr>
          <w:trHeight w:val="345"/>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21.1**</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Subsidiaries of the Company.</w:t>
            </w:r>
          </w:p>
        </w:tc>
      </w:tr>
      <w:tr>
        <w:trPr>
          <w:trHeight w:val="345"/>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23.1**</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Consent of Deloitte &amp; Touche LLP.</w:t>
            </w:r>
          </w:p>
        </w:tc>
      </w:tr>
      <w:tr>
        <w:trPr>
          <w:trHeight w:val="30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31.1**</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Certification of Principal Executive Officer pursuant to Rule 13a-14(a)/15d-14(a), as adopted pursuant to</w:t>
            </w:r>
          </w:p>
        </w:tc>
      </w:tr>
      <w:tr>
        <w:trPr>
          <w:trHeight w:val="266"/>
        </w:trPr>
        <w:tc>
          <w:tcPr>
            <w:tcW w:w="980" w:type="dxa"/>
            <w:vAlign w:val="bottom"/>
          </w:tcPr>
          <w:p>
            <w:pPr>
              <w:spacing w:after="0"/>
              <w:rPr>
                <w:sz w:val="23"/>
                <w:szCs w:val="23"/>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Section 302 of the Sarbanes-Oxley Act of 2002.</w:t>
            </w:r>
          </w:p>
        </w:tc>
      </w:tr>
      <w:tr>
        <w:trPr>
          <w:trHeight w:val="30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31.2**</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Certification of Principal Financial Officer pursuant to Rule 13a-14(a)/15d-14(a), as adopted pursuant to</w:t>
            </w:r>
          </w:p>
        </w:tc>
      </w:tr>
      <w:tr>
        <w:trPr>
          <w:trHeight w:val="266"/>
        </w:trPr>
        <w:tc>
          <w:tcPr>
            <w:tcW w:w="980" w:type="dxa"/>
            <w:vAlign w:val="bottom"/>
          </w:tcPr>
          <w:p>
            <w:pPr>
              <w:spacing w:after="0"/>
              <w:rPr>
                <w:sz w:val="23"/>
                <w:szCs w:val="23"/>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Section 302 of the Sarbanes-Oxley Act of 2002.</w:t>
            </w:r>
          </w:p>
        </w:tc>
      </w:tr>
      <w:tr>
        <w:trPr>
          <w:trHeight w:val="30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32.1**</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Certification of Principal Executive Officer pursuant to 18 U.S.C. §1350, as adopted pursuant to Section</w:t>
            </w:r>
          </w:p>
        </w:tc>
      </w:tr>
      <w:tr>
        <w:trPr>
          <w:trHeight w:val="266"/>
        </w:trPr>
        <w:tc>
          <w:tcPr>
            <w:tcW w:w="980" w:type="dxa"/>
            <w:vAlign w:val="bottom"/>
          </w:tcPr>
          <w:p>
            <w:pPr>
              <w:spacing w:after="0"/>
              <w:rPr>
                <w:sz w:val="23"/>
                <w:szCs w:val="23"/>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906 of the Sarbanes-Oxley Act of 2002 (furnished herewith).</w:t>
            </w:r>
          </w:p>
        </w:tc>
      </w:tr>
      <w:tr>
        <w:trPr>
          <w:trHeight w:val="30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32.2**</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Certification of Principal Financial Officer pursuant to 18 U.S.C. §1350, as adopted pursuant to Section</w:t>
            </w:r>
          </w:p>
        </w:tc>
      </w:tr>
      <w:tr>
        <w:trPr>
          <w:trHeight w:val="266"/>
        </w:trPr>
        <w:tc>
          <w:tcPr>
            <w:tcW w:w="980" w:type="dxa"/>
            <w:vAlign w:val="bottom"/>
          </w:tcPr>
          <w:p>
            <w:pPr>
              <w:spacing w:after="0"/>
              <w:rPr>
                <w:sz w:val="23"/>
                <w:szCs w:val="23"/>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906 of the Sarbanes-Oxley Act of 2002 (furnished herewith).</w:t>
            </w:r>
          </w:p>
        </w:tc>
      </w:tr>
      <w:tr>
        <w:trPr>
          <w:trHeight w:val="309"/>
        </w:trPr>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97.1</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Axsome Therapeutics, Inc. Dodd-Frank Clawback Policy (Incorporated by reference, Exhibit 97.1 to the</w:t>
            </w:r>
          </w:p>
        </w:tc>
      </w:tr>
      <w:tr>
        <w:trPr>
          <w:trHeight w:val="266"/>
        </w:trPr>
        <w:tc>
          <w:tcPr>
            <w:tcW w:w="980" w:type="dxa"/>
            <w:vAlign w:val="bottom"/>
          </w:tcPr>
          <w:p>
            <w:pPr>
              <w:spacing w:after="0"/>
              <w:rPr>
                <w:sz w:val="23"/>
                <w:szCs w:val="23"/>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Company’s Annual Report on Form 10-K, filed February 23, 2024).</w:t>
            </w:r>
          </w:p>
        </w:tc>
      </w:tr>
      <w:tr>
        <w:trPr>
          <w:trHeight w:val="30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101.INS</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Inline XBRL Instance Document (the instance document does not appear in the Interactive Data File</w:t>
            </w:r>
          </w:p>
        </w:tc>
      </w:tr>
      <w:tr>
        <w:trPr>
          <w:trHeight w:val="266"/>
        </w:trPr>
        <w:tc>
          <w:tcPr>
            <w:tcW w:w="980" w:type="dxa"/>
            <w:vAlign w:val="bottom"/>
          </w:tcPr>
          <w:p>
            <w:pPr>
              <w:spacing w:after="0"/>
              <w:rPr>
                <w:sz w:val="23"/>
                <w:szCs w:val="23"/>
                <w:color w:val="auto"/>
              </w:rPr>
            </w:pP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because its XBRL tags are embedded within the Inline XBRL document).</w:t>
            </w:r>
          </w:p>
        </w:tc>
      </w:tr>
      <w:tr>
        <w:trPr>
          <w:trHeight w:val="34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231F20"/>
              </w:rPr>
              <w:t>101.SCH</w:t>
            </w:r>
          </w:p>
        </w:tc>
        <w:tc>
          <w:tcPr>
            <w:tcW w:w="874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Inline XBRL Taxonomy Extension Schema With Embedded Linkbase Documents.</w:t>
            </w:r>
          </w:p>
        </w:tc>
      </w:tr>
    </w:tbl>
    <w:p>
      <w:pPr>
        <w:spacing w:after="0" w:line="79" w:lineRule="exact"/>
        <w:rPr>
          <w:sz w:val="20"/>
          <w:szCs w:val="20"/>
          <w:color w:val="auto"/>
        </w:rPr>
      </w:pPr>
    </w:p>
    <w:p>
      <w:pPr>
        <w:ind w:left="1060" w:right="880" w:hanging="1053"/>
        <w:spacing w:after="0" w:line="277" w:lineRule="auto"/>
        <w:tabs>
          <w:tab w:leader="none" w:pos="106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Cover Page Interactive Data File (formatted as inline XBRL with applicable taxonomy extension information contained in Exhibits 101.).</w:t>
      </w:r>
    </w:p>
    <w:p>
      <w:pPr>
        <w:spacing w:after="0" w:line="107" w:lineRule="exact"/>
        <w:rPr>
          <w:sz w:val="20"/>
          <w:szCs w:val="20"/>
          <w:color w:val="auto"/>
        </w:rPr>
      </w:pPr>
    </w:p>
    <w:p>
      <w:pPr>
        <w:ind w:left="360" w:hanging="353"/>
        <w:spacing w:after="0"/>
        <w:tabs>
          <w:tab w:leader="none" w:pos="360"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Indicates management contract or compensatory plan.</w:t>
      </w:r>
    </w:p>
    <w:p>
      <w:pPr>
        <w:spacing w:after="0" w:line="120" w:lineRule="exact"/>
        <w:rPr>
          <w:sz w:val="20"/>
          <w:szCs w:val="20"/>
          <w:color w:val="auto"/>
        </w:rPr>
      </w:pPr>
    </w:p>
    <w:p>
      <w:pPr>
        <w:ind w:left="720" w:right="220" w:hanging="713"/>
        <w:spacing w:after="0" w:line="277" w:lineRule="auto"/>
        <w:tabs>
          <w:tab w:leader="none" w:pos="720" w:val="left"/>
        </w:tabs>
        <w:numPr>
          <w:ilvl w:val="0"/>
          <w:numId w:val="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Confidential treatment has been granted with respect to certain portions of this exhibit. Omitted portions have been filed separately with the U.S. Securities and Exchange Commission.</w:t>
      </w:r>
    </w:p>
    <w:p>
      <w:pPr>
        <w:spacing w:after="0" w:line="49" w:lineRule="exact"/>
        <w:rPr>
          <w:sz w:val="20"/>
          <w:szCs w:val="20"/>
          <w:color w:val="auto"/>
        </w:rPr>
      </w:pPr>
    </w:p>
    <w:p>
      <w:pPr>
        <w:ind w:right="1180" w:firstLine="7"/>
        <w:spacing w:after="0" w:line="403" w:lineRule="auto"/>
        <w:tabs>
          <w:tab w:leader="none" w:pos="360" w:val="left"/>
        </w:tabs>
        <w:numPr>
          <w:ilvl w:val="0"/>
          <w:numId w:val="5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Certain portions of this exhibit have been redacted pursuant to Item 601(b)(10)(iv) of Regulation S-K. ** Filed herewith.</w:t>
      </w:r>
    </w:p>
    <w:p>
      <w:pPr>
        <w:sectPr>
          <w:pgSz w:w="12240" w:h="15840" w:orient="portrait"/>
          <w:cols w:equalWidth="0" w:num="1">
            <w:col w:w="9720"/>
          </w:cols>
          <w:pgMar w:left="1260" w:top="1362" w:right="12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132</w:t>
      </w:r>
    </w:p>
    <w:p>
      <w:pPr>
        <w:sectPr>
          <w:pgSz w:w="12240" w:h="15840" w:orient="portrait"/>
          <w:cols w:equalWidth="0" w:num="1">
            <w:col w:w="9720"/>
          </w:cols>
          <w:pgMar w:left="1260" w:top="1362" w:right="1260" w:bottom="175"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244" w:lineRule="exact"/>
        <w:rPr>
          <w:sz w:val="20"/>
          <w:szCs w:val="20"/>
          <w:color w:val="auto"/>
        </w:rPr>
      </w:pPr>
    </w:p>
    <w:p>
      <w:pPr>
        <w:ind w:right="200" w:firstLine="720"/>
        <w:spacing w:after="0" w:line="277" w:lineRule="auto"/>
        <w:rPr>
          <w:sz w:val="20"/>
          <w:szCs w:val="20"/>
          <w:color w:val="auto"/>
        </w:rPr>
      </w:pPr>
      <w:r>
        <w:rPr>
          <w:rFonts w:ascii="Times New Roman" w:cs="Times New Roman" w:eastAsia="Times New Roman" w:hAnsi="Times New Roman"/>
          <w:sz w:val="20"/>
          <w:szCs w:val="20"/>
          <w:color w:val="231F20"/>
        </w:rPr>
        <w:t>We may voluntarily include a summary of information required by Form 10-K under this Item 16. We have elected not to include such summary information.</w:t>
      </w:r>
    </w:p>
    <w:p>
      <w:pPr>
        <w:sectPr>
          <w:pgSz w:w="12240" w:h="15840" w:orient="portrait"/>
          <w:cols w:equalWidth="0" w:num="1">
            <w:col w:w="9540"/>
          </w:cols>
          <w:pgMar w:left="1260" w:top="1243"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231F20"/>
        </w:rPr>
        <w:t>133</w:t>
      </w:r>
    </w:p>
    <w:p>
      <w:pPr>
        <w:sectPr>
          <w:pgSz w:w="12240" w:h="15840" w:orient="portrait"/>
          <w:cols w:equalWidth="0" w:num="1">
            <w:col w:w="9540"/>
          </w:cols>
          <w:pgMar w:left="1260" w:top="1243" w:right="1440" w:bottom="175" w:gutter="0" w:footer="0" w:header="0"/>
          <w:type w:val="continuous"/>
        </w:sectPr>
      </w:pPr>
    </w:p>
    <w:bookmarkStart w:id="175" w:name="page176"/>
    <w:bookmarkEnd w:id="175"/>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44" w:lineRule="exact"/>
        <w:rPr>
          <w:sz w:val="20"/>
          <w:szCs w:val="20"/>
          <w:color w:val="auto"/>
        </w:rPr>
      </w:pPr>
    </w:p>
    <w:p>
      <w:pPr>
        <w:jc w:val="both"/>
        <w:ind w:right="220" w:firstLine="720"/>
        <w:spacing w:after="0" w:line="258"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as amended, the registrant has duly caused this report to be signed on its behalf by the undersigned, thereunto duly authorized, on this 23rd day of February 2026.</w:t>
      </w:r>
    </w:p>
    <w:p>
      <w:pPr>
        <w:spacing w:after="0" w:line="200" w:lineRule="exact"/>
        <w:rPr>
          <w:sz w:val="20"/>
          <w:szCs w:val="20"/>
          <w:color w:val="auto"/>
        </w:rPr>
      </w:pPr>
    </w:p>
    <w:p>
      <w:pPr>
        <w:spacing w:after="0" w:line="25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231F20"/>
        </w:rPr>
        <w:t>AXSOME THERAPEUTICS, INC.</w:t>
      </w:r>
    </w:p>
    <w:p>
      <w:pPr>
        <w:spacing w:after="0" w:line="261" w:lineRule="exact"/>
        <w:rPr>
          <w:sz w:val="20"/>
          <w:szCs w:val="20"/>
          <w:color w:val="auto"/>
        </w:rPr>
      </w:pPr>
    </w:p>
    <w:tbl>
      <w:tblPr>
        <w:tblLayout w:type="fixed"/>
        <w:tblInd w:w="4920" w:type="dxa"/>
        <w:tblCellMar>
          <w:top w:w="0" w:type="dxa"/>
          <w:left w:w="0" w:type="dxa"/>
          <w:bottom w:w="0" w:type="dxa"/>
          <w:right w:w="0" w:type="dxa"/>
        </w:tblCellMar>
      </w:tblPr>
      <w:tr>
        <w:trPr>
          <w:trHeight w:val="265"/>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231F20"/>
              </w:rPr>
              <w:t>By</w:t>
            </w:r>
          </w:p>
        </w:tc>
        <w:tc>
          <w:tcPr>
            <w:tcW w:w="42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Herriot Tabuteau, M.D.</w:t>
            </w:r>
          </w:p>
        </w:tc>
      </w:tr>
      <w:tr>
        <w:trPr>
          <w:trHeight w:val="238"/>
        </w:trPr>
        <w:tc>
          <w:tcPr>
            <w:tcW w:w="5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Herriot Tabuteau, M.D.</w:t>
            </w:r>
          </w:p>
        </w:tc>
      </w:tr>
      <w:tr>
        <w:trPr>
          <w:trHeight w:val="264"/>
        </w:trPr>
        <w:tc>
          <w:tcPr>
            <w:tcW w:w="500" w:type="dxa"/>
            <w:vAlign w:val="bottom"/>
          </w:tcPr>
          <w:p>
            <w:pPr>
              <w:spacing w:after="0"/>
              <w:rPr>
                <w:sz w:val="22"/>
                <w:szCs w:val="22"/>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231F20"/>
              </w:rPr>
              <w:t>Chief Executive Officer</w:t>
            </w:r>
          </w:p>
        </w:tc>
      </w:tr>
    </w:tbl>
    <w:p>
      <w:pPr>
        <w:spacing w:after="0" w:line="255"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as amended, this report has been signed by the following persons on behalf of the registrant and in the capacities and on the dates indicated:</w:t>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73"/>
        </w:trPr>
        <w:tc>
          <w:tcPr>
            <w:tcW w:w="3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Signature</w:t>
            </w:r>
          </w:p>
        </w:tc>
        <w:tc>
          <w:tcPr>
            <w:tcW w:w="300" w:type="dxa"/>
            <w:vAlign w:val="bottom"/>
          </w:tcPr>
          <w:p>
            <w:pPr>
              <w:spacing w:after="0"/>
              <w:rPr>
                <w:sz w:val="23"/>
                <w:szCs w:val="23"/>
                <w:color w:val="auto"/>
              </w:rPr>
            </w:pPr>
          </w:p>
        </w:tc>
        <w:tc>
          <w:tcPr>
            <w:tcW w:w="4020" w:type="dxa"/>
            <w:vAlign w:val="bottom"/>
            <w:tcBorders>
              <w:bottom w:val="single" w:sz="8" w:color="231F20"/>
            </w:tcBorders>
          </w:tcPr>
          <w:p>
            <w:pPr>
              <w:ind w:left="1800"/>
              <w:spacing w:after="0"/>
              <w:rPr>
                <w:sz w:val="20"/>
                <w:szCs w:val="20"/>
                <w:color w:val="auto"/>
              </w:rPr>
            </w:pPr>
            <w:r>
              <w:rPr>
                <w:rFonts w:ascii="Times New Roman" w:cs="Times New Roman" w:eastAsia="Times New Roman" w:hAnsi="Times New Roman"/>
                <w:sz w:val="20"/>
                <w:szCs w:val="20"/>
                <w:b w:val="1"/>
                <w:bCs w:val="1"/>
                <w:color w:val="231F20"/>
              </w:rPr>
              <w:t>Title</w:t>
            </w:r>
          </w:p>
        </w:tc>
        <w:tc>
          <w:tcPr>
            <w:tcW w:w="420" w:type="dxa"/>
            <w:vAlign w:val="bottom"/>
          </w:tcPr>
          <w:p>
            <w:pPr>
              <w:spacing w:after="0"/>
              <w:rPr>
                <w:sz w:val="23"/>
                <w:szCs w:val="23"/>
                <w:color w:val="auto"/>
              </w:rPr>
            </w:pPr>
          </w:p>
        </w:tc>
        <w:tc>
          <w:tcPr>
            <w:tcW w:w="15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b w:val="1"/>
                <w:bCs w:val="1"/>
                <w:color w:val="231F20"/>
              </w:rPr>
              <w:t>Date</w:t>
            </w:r>
          </w:p>
        </w:tc>
        <w:tc>
          <w:tcPr>
            <w:tcW w:w="0" w:type="dxa"/>
            <w:vAlign w:val="bottom"/>
          </w:tcPr>
          <w:p>
            <w:pPr>
              <w:spacing w:after="0"/>
              <w:rPr>
                <w:sz w:val="1"/>
                <w:szCs w:val="1"/>
                <w:color w:val="auto"/>
              </w:rPr>
            </w:pPr>
          </w:p>
        </w:tc>
      </w:tr>
      <w:tr>
        <w:trPr>
          <w:trHeight w:val="532"/>
        </w:trPr>
        <w:tc>
          <w:tcPr>
            <w:tcW w:w="3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Herriot Tabuteau, M.D.</w:t>
            </w:r>
          </w:p>
        </w:tc>
        <w:tc>
          <w:tcPr>
            <w:tcW w:w="3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231F20"/>
              </w:rPr>
              <w:t>Chief Executive Officer and Chairman of the</w:t>
            </w:r>
          </w:p>
        </w:tc>
        <w:tc>
          <w:tcPr>
            <w:tcW w:w="420" w:type="dxa"/>
            <w:vAlign w:val="bottom"/>
          </w:tcPr>
          <w:p>
            <w:pPr>
              <w:spacing w:after="0"/>
              <w:rPr>
                <w:sz w:val="24"/>
                <w:szCs w:val="24"/>
                <w:color w:val="auto"/>
              </w:rPr>
            </w:pPr>
          </w:p>
        </w:tc>
        <w:tc>
          <w:tcPr>
            <w:tcW w:w="15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February 23, 2026</w:t>
            </w:r>
          </w:p>
        </w:tc>
        <w:tc>
          <w:tcPr>
            <w:tcW w:w="0" w:type="dxa"/>
            <w:vAlign w:val="bottom"/>
          </w:tcPr>
          <w:p>
            <w:pPr>
              <w:spacing w:after="0"/>
              <w:rPr>
                <w:sz w:val="1"/>
                <w:szCs w:val="1"/>
                <w:color w:val="auto"/>
              </w:rPr>
            </w:pPr>
          </w:p>
        </w:tc>
      </w:tr>
      <w:tr>
        <w:trPr>
          <w:trHeight w:val="127"/>
        </w:trPr>
        <w:tc>
          <w:tcPr>
            <w:tcW w:w="3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Herriot Tabuteau, M.D.</w:t>
            </w:r>
          </w:p>
        </w:tc>
        <w:tc>
          <w:tcPr>
            <w:tcW w:w="300" w:type="dxa"/>
            <w:vAlign w:val="bottom"/>
          </w:tcPr>
          <w:p>
            <w:pPr>
              <w:spacing w:after="0"/>
              <w:rPr>
                <w:sz w:val="11"/>
                <w:szCs w:val="11"/>
                <w:color w:val="auto"/>
              </w:rPr>
            </w:pPr>
          </w:p>
        </w:tc>
        <w:tc>
          <w:tcPr>
            <w:tcW w:w="4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Board (Principal Executive Officer)</w:t>
            </w:r>
          </w:p>
        </w:tc>
        <w:tc>
          <w:tcPr>
            <w:tcW w:w="4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8"/>
        </w:trPr>
        <w:tc>
          <w:tcPr>
            <w:tcW w:w="3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Nick Pizzie</w:t>
            </w:r>
          </w:p>
        </w:tc>
        <w:tc>
          <w:tcPr>
            <w:tcW w:w="3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20"/>
                <w:szCs w:val="20"/>
                <w:color w:val="231F20"/>
              </w:rPr>
              <w:t>Chief Financial Officer</w:t>
            </w:r>
          </w:p>
        </w:tc>
        <w:tc>
          <w:tcPr>
            <w:tcW w:w="420" w:type="dxa"/>
            <w:vAlign w:val="bottom"/>
          </w:tcPr>
          <w:p>
            <w:pPr>
              <w:spacing w:after="0"/>
              <w:rPr>
                <w:sz w:val="24"/>
                <w:szCs w:val="24"/>
                <w:color w:val="auto"/>
              </w:rPr>
            </w:pPr>
          </w:p>
        </w:tc>
        <w:tc>
          <w:tcPr>
            <w:tcW w:w="15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February 23, 2026</w:t>
            </w:r>
          </w:p>
        </w:tc>
        <w:tc>
          <w:tcPr>
            <w:tcW w:w="0" w:type="dxa"/>
            <w:vAlign w:val="bottom"/>
          </w:tcPr>
          <w:p>
            <w:pPr>
              <w:spacing w:after="0"/>
              <w:rPr>
                <w:sz w:val="1"/>
                <w:szCs w:val="1"/>
                <w:color w:val="auto"/>
              </w:rPr>
            </w:pPr>
          </w:p>
        </w:tc>
      </w:tr>
      <w:tr>
        <w:trPr>
          <w:trHeight w:val="127"/>
        </w:trPr>
        <w:tc>
          <w:tcPr>
            <w:tcW w:w="3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Nick Pizzie</w:t>
            </w:r>
          </w:p>
        </w:tc>
        <w:tc>
          <w:tcPr>
            <w:tcW w:w="300" w:type="dxa"/>
            <w:vAlign w:val="bottom"/>
          </w:tcPr>
          <w:p>
            <w:pPr>
              <w:spacing w:after="0"/>
              <w:rPr>
                <w:sz w:val="11"/>
                <w:szCs w:val="11"/>
                <w:color w:val="auto"/>
              </w:rPr>
            </w:pPr>
          </w:p>
        </w:tc>
        <w:tc>
          <w:tcPr>
            <w:tcW w:w="4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(Principal Financial and Accounting Officer)</w:t>
            </w:r>
          </w:p>
        </w:tc>
        <w:tc>
          <w:tcPr>
            <w:tcW w:w="4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2"/>
        </w:trPr>
        <w:tc>
          <w:tcPr>
            <w:tcW w:w="3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Roger Jeffs, Ph.D.</w:t>
            </w:r>
          </w:p>
        </w:tc>
        <w:tc>
          <w:tcPr>
            <w:tcW w:w="300" w:type="dxa"/>
            <w:vAlign w:val="bottom"/>
          </w:tcPr>
          <w:p>
            <w:pPr>
              <w:spacing w:after="0"/>
              <w:rPr>
                <w:sz w:val="24"/>
                <w:szCs w:val="24"/>
                <w:color w:val="auto"/>
              </w:rPr>
            </w:pPr>
          </w:p>
        </w:tc>
        <w:tc>
          <w:tcPr>
            <w:tcW w:w="4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Director</w:t>
            </w:r>
          </w:p>
        </w:tc>
        <w:tc>
          <w:tcPr>
            <w:tcW w:w="420" w:type="dxa"/>
            <w:vAlign w:val="bottom"/>
          </w:tcPr>
          <w:p>
            <w:pPr>
              <w:spacing w:after="0"/>
              <w:rPr>
                <w:sz w:val="24"/>
                <w:szCs w:val="24"/>
                <w:color w:val="auto"/>
              </w:rPr>
            </w:pPr>
          </w:p>
        </w:tc>
        <w:tc>
          <w:tcPr>
            <w:tcW w:w="15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February 23, 2026</w:t>
            </w:r>
          </w:p>
        </w:tc>
        <w:tc>
          <w:tcPr>
            <w:tcW w:w="0" w:type="dxa"/>
            <w:vAlign w:val="bottom"/>
          </w:tcPr>
          <w:p>
            <w:pPr>
              <w:spacing w:after="0"/>
              <w:rPr>
                <w:sz w:val="1"/>
                <w:szCs w:val="1"/>
                <w:color w:val="auto"/>
              </w:rPr>
            </w:pPr>
          </w:p>
        </w:tc>
      </w:tr>
      <w:tr>
        <w:trPr>
          <w:trHeight w:val="127"/>
        </w:trPr>
        <w:tc>
          <w:tcPr>
            <w:tcW w:w="3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Roger Jeffs, Ph.D.</w:t>
            </w:r>
          </w:p>
        </w:tc>
        <w:tc>
          <w:tcPr>
            <w:tcW w:w="30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0"/>
        </w:trPr>
        <w:tc>
          <w:tcPr>
            <w:tcW w:w="3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Mark Coleman, M.D.</w:t>
            </w:r>
          </w:p>
        </w:tc>
        <w:tc>
          <w:tcPr>
            <w:tcW w:w="300" w:type="dxa"/>
            <w:vAlign w:val="bottom"/>
          </w:tcPr>
          <w:p>
            <w:pPr>
              <w:spacing w:after="0"/>
              <w:rPr>
                <w:sz w:val="24"/>
                <w:szCs w:val="24"/>
                <w:color w:val="auto"/>
              </w:rPr>
            </w:pPr>
          </w:p>
        </w:tc>
        <w:tc>
          <w:tcPr>
            <w:tcW w:w="4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Director</w:t>
            </w:r>
          </w:p>
        </w:tc>
        <w:tc>
          <w:tcPr>
            <w:tcW w:w="420" w:type="dxa"/>
            <w:vAlign w:val="bottom"/>
          </w:tcPr>
          <w:p>
            <w:pPr>
              <w:spacing w:after="0"/>
              <w:rPr>
                <w:sz w:val="24"/>
                <w:szCs w:val="24"/>
                <w:color w:val="auto"/>
              </w:rPr>
            </w:pPr>
          </w:p>
        </w:tc>
        <w:tc>
          <w:tcPr>
            <w:tcW w:w="15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February 23, 2026</w:t>
            </w:r>
          </w:p>
        </w:tc>
        <w:tc>
          <w:tcPr>
            <w:tcW w:w="0" w:type="dxa"/>
            <w:vAlign w:val="bottom"/>
          </w:tcPr>
          <w:p>
            <w:pPr>
              <w:spacing w:after="0"/>
              <w:rPr>
                <w:sz w:val="1"/>
                <w:szCs w:val="1"/>
                <w:color w:val="auto"/>
              </w:rPr>
            </w:pPr>
          </w:p>
        </w:tc>
      </w:tr>
      <w:tr>
        <w:trPr>
          <w:trHeight w:val="127"/>
        </w:trPr>
        <w:tc>
          <w:tcPr>
            <w:tcW w:w="3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Mark Coleman, M.D.</w:t>
            </w:r>
          </w:p>
        </w:tc>
        <w:tc>
          <w:tcPr>
            <w:tcW w:w="30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5"/>
        </w:trPr>
        <w:tc>
          <w:tcPr>
            <w:tcW w:w="3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Mark Saad</w:t>
            </w:r>
          </w:p>
        </w:tc>
        <w:tc>
          <w:tcPr>
            <w:tcW w:w="300" w:type="dxa"/>
            <w:vAlign w:val="bottom"/>
          </w:tcPr>
          <w:p>
            <w:pPr>
              <w:spacing w:after="0"/>
              <w:rPr>
                <w:sz w:val="24"/>
                <w:szCs w:val="24"/>
                <w:color w:val="auto"/>
              </w:rPr>
            </w:pPr>
          </w:p>
        </w:tc>
        <w:tc>
          <w:tcPr>
            <w:tcW w:w="4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Director</w:t>
            </w:r>
          </w:p>
        </w:tc>
        <w:tc>
          <w:tcPr>
            <w:tcW w:w="420" w:type="dxa"/>
            <w:vAlign w:val="bottom"/>
          </w:tcPr>
          <w:p>
            <w:pPr>
              <w:spacing w:after="0"/>
              <w:rPr>
                <w:sz w:val="24"/>
                <w:szCs w:val="24"/>
                <w:color w:val="auto"/>
              </w:rPr>
            </w:pPr>
          </w:p>
        </w:tc>
        <w:tc>
          <w:tcPr>
            <w:tcW w:w="15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February 23, 2026</w:t>
            </w:r>
          </w:p>
        </w:tc>
        <w:tc>
          <w:tcPr>
            <w:tcW w:w="0" w:type="dxa"/>
            <w:vAlign w:val="bottom"/>
          </w:tcPr>
          <w:p>
            <w:pPr>
              <w:spacing w:after="0"/>
              <w:rPr>
                <w:sz w:val="1"/>
                <w:szCs w:val="1"/>
                <w:color w:val="auto"/>
              </w:rPr>
            </w:pPr>
          </w:p>
        </w:tc>
      </w:tr>
      <w:tr>
        <w:trPr>
          <w:trHeight w:val="127"/>
        </w:trPr>
        <w:tc>
          <w:tcPr>
            <w:tcW w:w="3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Mark Saad</w:t>
            </w:r>
          </w:p>
        </w:tc>
        <w:tc>
          <w:tcPr>
            <w:tcW w:w="30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2"/>
        </w:trPr>
        <w:tc>
          <w:tcPr>
            <w:tcW w:w="3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Susan Mahony, Ph.D., M.B.A.</w:t>
            </w:r>
          </w:p>
        </w:tc>
        <w:tc>
          <w:tcPr>
            <w:tcW w:w="300" w:type="dxa"/>
            <w:vAlign w:val="bottom"/>
          </w:tcPr>
          <w:p>
            <w:pPr>
              <w:spacing w:after="0"/>
              <w:rPr>
                <w:sz w:val="24"/>
                <w:szCs w:val="24"/>
                <w:color w:val="auto"/>
              </w:rPr>
            </w:pPr>
          </w:p>
        </w:tc>
        <w:tc>
          <w:tcPr>
            <w:tcW w:w="40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Director</w:t>
            </w:r>
          </w:p>
        </w:tc>
        <w:tc>
          <w:tcPr>
            <w:tcW w:w="420" w:type="dxa"/>
            <w:vAlign w:val="bottom"/>
          </w:tcPr>
          <w:p>
            <w:pPr>
              <w:spacing w:after="0"/>
              <w:rPr>
                <w:sz w:val="24"/>
                <w:szCs w:val="24"/>
                <w:color w:val="auto"/>
              </w:rPr>
            </w:pPr>
          </w:p>
        </w:tc>
        <w:tc>
          <w:tcPr>
            <w:tcW w:w="15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February 23, 2026</w:t>
            </w:r>
          </w:p>
        </w:tc>
        <w:tc>
          <w:tcPr>
            <w:tcW w:w="0" w:type="dxa"/>
            <w:vAlign w:val="bottom"/>
          </w:tcPr>
          <w:p>
            <w:pPr>
              <w:spacing w:after="0"/>
              <w:rPr>
                <w:sz w:val="1"/>
                <w:szCs w:val="1"/>
                <w:color w:val="auto"/>
              </w:rPr>
            </w:pPr>
          </w:p>
        </w:tc>
      </w:tr>
      <w:tr>
        <w:trPr>
          <w:trHeight w:val="127"/>
        </w:trPr>
        <w:tc>
          <w:tcPr>
            <w:tcW w:w="3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Susan Mahony, Ph.D., M.B.A.</w:t>
            </w:r>
          </w:p>
        </w:tc>
        <w:tc>
          <w:tcPr>
            <w:tcW w:w="30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640"/>
          </w:cols>
          <w:pgMar w:left="1260" w:top="1243" w:right="13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134</w:t>
      </w:r>
    </w:p>
    <w:p>
      <w:pPr>
        <w:sectPr>
          <w:pgSz w:w="12240" w:h="15840" w:orient="portrait"/>
          <w:cols w:equalWidth="0" w:num="1">
            <w:col w:w="9640"/>
          </w:cols>
          <w:pgMar w:left="1260" w:top="1243" w:right="1340" w:bottom="175" w:gutter="0" w:footer="0" w:header="0"/>
          <w:type w:val="continuous"/>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231F20"/>
        </w:rPr>
        <w:t>[THIS PAGE INTENTIONALLY LEFT BLANK]</w:t>
      </w:r>
    </w:p>
    <w:p>
      <w:pPr>
        <w:sectPr>
          <w:pgSz w:w="12240" w:h="15840" w:orient="portrait"/>
          <w:cols w:equalWidth="0" w:num="1">
            <w:col w:w="9360"/>
          </w:cols>
          <w:pgMar w:left="1440" w:top="1440" w:right="1440"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360"/>
        <w:spacing w:after="0"/>
        <w:rPr>
          <w:sz w:val="20"/>
          <w:szCs w:val="20"/>
          <w:color w:val="auto"/>
        </w:rPr>
      </w:pPr>
      <w:r>
        <w:rPr>
          <w:rFonts w:ascii="Arial" w:cs="Arial" w:eastAsia="Arial" w:hAnsi="Arial"/>
          <w:sz w:val="21"/>
          <w:szCs w:val="21"/>
          <w:color w:val="231F20"/>
        </w:rPr>
        <w:t>[THIS PAGE INTENTIONALLY LEFT BLANK]</w:t>
      </w:r>
    </w:p>
    <w:p>
      <w:pPr>
        <w:sectPr>
          <w:pgSz w:w="12240" w:h="15840" w:orient="portrait"/>
          <w:cols w:equalWidth="0" w:num="1">
            <w:col w:w="9360"/>
          </w:cols>
          <w:pgMar w:left="1440" w:top="1440" w:right="1440" w:bottom="1440" w:gutter="0" w:footer="0" w:header="0"/>
        </w:sectPr>
      </w:pPr>
    </w:p>
    <w:bookmarkStart w:id="178" w:name="page179"/>
    <w:bookmarkEnd w:id="178"/>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179" w:name="page180"/>
    <w:bookmarkEnd w:id="179"/>
    <w:p>
      <w:pPr>
        <w:spacing w:after="0" w:line="244" w:lineRule="exact"/>
        <w:rPr>
          <w:sz w:val="20"/>
          <w:szCs w:val="20"/>
          <w:color w:val="auto"/>
        </w:rPr>
      </w:pPr>
      <w:r>
        <w:rPr>
          <w:rFonts w:ascii="Times New Roman" w:cs="Times New Roman" w:eastAsia="Times New Roman" w:hAnsi="Times New Roman"/>
          <w:sz w:val="20"/>
          <w:szCs w:val="20"/>
          <w:b w:val="1"/>
          <w:bCs w:val="1"/>
          <w:color w:val="231F20"/>
        </w:rPr>
        <w:t>Board</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of</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Directors</w:t>
      </w:r>
    </w:p>
    <w:p>
      <w:pPr>
        <w:spacing w:after="0" w:line="95"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231F20"/>
        </w:rPr>
        <w:t>Herriot</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Tabuteau,</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M.D.</w:t>
      </w:r>
    </w:p>
    <w:p>
      <w:pPr>
        <w:spacing w:after="0" w:line="1"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color w:val="231F20"/>
        </w:rPr>
        <w:t>Chief</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Executive</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Officer</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and</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Chairman</w:t>
      </w:r>
    </w:p>
    <w:p>
      <w:pPr>
        <w:spacing w:after="0" w:line="240" w:lineRule="exact"/>
        <w:rPr>
          <w:sz w:val="20"/>
          <w:szCs w:val="20"/>
          <w:color w:val="auto"/>
        </w:rPr>
      </w:pPr>
      <w:r>
        <w:rPr>
          <w:rFonts w:ascii="Times New Roman" w:cs="Times New Roman" w:eastAsia="Times New Roman" w:hAnsi="Times New Roman"/>
          <w:sz w:val="20"/>
          <w:szCs w:val="20"/>
          <w:i w:val="1"/>
          <w:iCs w:val="1"/>
          <w:color w:val="231F20"/>
        </w:rPr>
        <w:t>of</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the</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Board</w:t>
      </w:r>
    </w:p>
    <w:p>
      <w:pPr>
        <w:spacing w:after="0" w:line="241" w:lineRule="exact"/>
        <w:rPr>
          <w:sz w:val="20"/>
          <w:szCs w:val="20"/>
          <w:color w:val="auto"/>
        </w:rPr>
      </w:pPr>
      <w:r>
        <w:rPr>
          <w:rFonts w:ascii="Times New Roman" w:cs="Times New Roman" w:eastAsia="Times New Roman" w:hAnsi="Times New Roman"/>
          <w:sz w:val="20"/>
          <w:szCs w:val="20"/>
          <w:i w:val="1"/>
          <w:iCs w:val="1"/>
          <w:color w:val="231F20"/>
        </w:rPr>
        <w:t>Axsome</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Therapeutics,</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Inc.</w:t>
      </w:r>
    </w:p>
    <w:p>
      <w:pPr>
        <w:spacing w:after="0" w:line="105" w:lineRule="exact"/>
        <w:rPr>
          <w:sz w:val="20"/>
          <w:szCs w:val="20"/>
          <w:color w:val="auto"/>
        </w:rPr>
      </w:pPr>
    </w:p>
    <w:p>
      <w:pPr>
        <w:spacing w:after="0" w:line="317" w:lineRule="exact"/>
        <w:rPr>
          <w:sz w:val="20"/>
          <w:szCs w:val="20"/>
          <w:color w:val="auto"/>
        </w:rPr>
      </w:pPr>
      <w:r>
        <w:rPr>
          <w:rFonts w:ascii="Times New Roman" w:cs="Times New Roman" w:eastAsia="Times New Roman" w:hAnsi="Times New Roman"/>
          <w:sz w:val="20"/>
          <w:szCs w:val="20"/>
          <w:color w:val="231F20"/>
        </w:rPr>
        <w:t>Mark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Coleman,</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M.D.</w:t>
      </w:r>
      <w:r>
        <w:rPr>
          <w:rFonts w:ascii="Times New Roman" w:cs="Times New Roman" w:eastAsia="Times New Roman" w:hAnsi="Times New Roman"/>
          <w:sz w:val="26"/>
          <w:szCs w:val="26"/>
          <w:color w:val="231F20"/>
          <w:vertAlign w:val="superscript"/>
        </w:rPr>
        <w:t>(1)</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6"/>
          <w:szCs w:val="26"/>
          <w:color w:val="231F20"/>
          <w:vertAlign w:val="superscript"/>
        </w:rPr>
        <w:t>(2)</w:t>
      </w:r>
      <w:r>
        <w:rPr>
          <w:rFonts w:ascii="PMingLiU" w:cs="PMingLiU" w:eastAsia="PMingLiU" w:hAnsi="PMingLiU"/>
          <w:sz w:val="26"/>
          <w:szCs w:val="26"/>
          <w:color w:val="231F20"/>
          <w:vertAlign w:val="superscript"/>
        </w:rPr>
        <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6"/>
          <w:szCs w:val="26"/>
          <w:color w:val="231F20"/>
          <w:vertAlign w:val="superscript"/>
        </w:rPr>
        <w:t>(3)</w:t>
      </w:r>
      <w:r>
        <w:rPr>
          <w:rFonts w:ascii="PMingLiU" w:cs="PMingLiU" w:eastAsia="PMingLiU" w:hAnsi="PMingLiU"/>
          <w:sz w:val="26"/>
          <w:szCs w:val="26"/>
          <w:color w:val="231F20"/>
          <w:vertAlign w:val="superscript"/>
        </w:rPr>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Medical Director, Pikesville Office</w:t>
      </w:r>
    </w:p>
    <w:p>
      <w:pPr>
        <w:spacing w:after="0" w:line="8"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color w:val="231F20"/>
        </w:rPr>
        <w:t>National</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Spine</w:t>
      </w:r>
      <w:r>
        <w:rPr>
          <w:rFonts w:ascii="PMingLiU" w:cs="PMingLiU" w:eastAsia="PMingLiU" w:hAnsi="PMingLiU"/>
          <w:sz w:val="20"/>
          <w:szCs w:val="20"/>
          <w:b w:val="1"/>
          <w:bCs w:val="1"/>
          <w:i w:val="1"/>
          <w:iCs w:val="1"/>
          <w:color w:val="231F20"/>
        </w:rPr>
        <w:t/>
      </w:r>
      <w:r>
        <w:rPr>
          <w:rFonts w:ascii="Times New Roman" w:cs="Times New Roman" w:eastAsia="Times New Roman" w:hAnsi="Times New Roman"/>
          <w:sz w:val="20"/>
          <w:szCs w:val="20"/>
          <w:i w:val="1"/>
          <w:iCs w:val="1"/>
          <w:color w:val="231F20"/>
        </w:rPr>
        <w:t xml:space="preserve"> and</w:t>
      </w:r>
      <w:r>
        <w:rPr>
          <w:rFonts w:ascii="PMingLiU" w:cs="PMingLiU" w:eastAsia="PMingLiU" w:hAnsi="PMingLiU"/>
          <w:sz w:val="20"/>
          <w:szCs w:val="20"/>
          <w:b w:val="1"/>
          <w:bCs w:val="1"/>
          <w:i w:val="1"/>
          <w:iCs w:val="1"/>
          <w:color w:val="231F20"/>
        </w:rPr>
        <w:t/>
      </w:r>
      <w:r>
        <w:rPr>
          <w:rFonts w:ascii="Times New Roman" w:cs="Times New Roman" w:eastAsia="Times New Roman" w:hAnsi="Times New Roman"/>
          <w:sz w:val="20"/>
          <w:szCs w:val="20"/>
          <w:i w:val="1"/>
          <w:iCs w:val="1"/>
          <w:color w:val="231F20"/>
        </w:rPr>
        <w:t>Pain</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Centers,</w:t>
      </w:r>
      <w:r>
        <w:rPr>
          <w:rFonts w:ascii="PMingLiU" w:cs="PMingLiU" w:eastAsia="PMingLiU" w:hAnsi="PMingLiU"/>
          <w:sz w:val="20"/>
          <w:szCs w:val="20"/>
          <w:b w:val="1"/>
          <w:bCs w:val="1"/>
          <w:i w:val="1"/>
          <w:iCs w:val="1"/>
          <w:color w:val="231F20"/>
        </w:rPr>
        <w:t/>
      </w:r>
      <w:r>
        <w:rPr>
          <w:rFonts w:ascii="Times New Roman" w:cs="Times New Roman" w:eastAsia="Times New Roman" w:hAnsi="Times New Roman"/>
          <w:sz w:val="20"/>
          <w:szCs w:val="20"/>
          <w:i w:val="1"/>
          <w:iCs w:val="1"/>
          <w:color w:val="231F20"/>
        </w:rPr>
        <w:t>LLC</w:t>
      </w:r>
    </w:p>
    <w:p>
      <w:pPr>
        <w:spacing w:after="0" w:line="117" w:lineRule="exact"/>
        <w:rPr>
          <w:sz w:val="20"/>
          <w:szCs w:val="20"/>
          <w:color w:val="auto"/>
        </w:rPr>
      </w:pPr>
    </w:p>
    <w:p>
      <w:pPr>
        <w:spacing w:after="0" w:line="317" w:lineRule="exact"/>
        <w:rPr>
          <w:sz w:val="20"/>
          <w:szCs w:val="20"/>
          <w:color w:val="auto"/>
        </w:rPr>
      </w:pPr>
      <w:r>
        <w:rPr>
          <w:rFonts w:ascii="Times New Roman" w:cs="Times New Roman" w:eastAsia="Times New Roman" w:hAnsi="Times New Roman"/>
          <w:sz w:val="20"/>
          <w:szCs w:val="20"/>
          <w:color w:val="231F20"/>
        </w:rPr>
        <w:t>Roger</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Jeffs,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Ph.D.</w:t>
      </w:r>
      <w:r>
        <w:rPr>
          <w:rFonts w:ascii="Times New Roman" w:cs="Times New Roman" w:eastAsia="Times New Roman" w:hAnsi="Times New Roman"/>
          <w:sz w:val="26"/>
          <w:szCs w:val="26"/>
          <w:color w:val="231F20"/>
          <w:vertAlign w:val="superscript"/>
        </w:rPr>
        <w:t>(1)</w:t>
      </w:r>
      <w:r>
        <w:rPr>
          <w:rFonts w:ascii="PMingLiU" w:cs="PMingLiU" w:eastAsia="PMingLiU" w:hAnsi="PMingLiU"/>
          <w:sz w:val="26"/>
          <w:szCs w:val="26"/>
          <w:color w:val="231F20"/>
          <w:vertAlign w:val="superscript"/>
        </w:rPr>
        <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6"/>
          <w:szCs w:val="26"/>
          <w:color w:val="231F20"/>
          <w:vertAlign w:val="superscript"/>
        </w:rPr>
        <w:t>(2)</w:t>
      </w:r>
      <w:r>
        <w:rPr>
          <w:rFonts w:ascii="PMingLiU" w:cs="PMingLiU" w:eastAsia="PMingLiU" w:hAnsi="PMingLiU"/>
          <w:sz w:val="26"/>
          <w:szCs w:val="26"/>
          <w:color w:val="231F20"/>
          <w:vertAlign w:val="superscript"/>
        </w:rPr>
        <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6"/>
          <w:szCs w:val="26"/>
          <w:color w:val="231F20"/>
          <w:vertAlign w:val="superscript"/>
        </w:rPr>
        <w:t>(3)</w:t>
      </w:r>
    </w:p>
    <w:p>
      <w:pPr>
        <w:spacing w:after="0" w:line="9"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color w:val="231F20"/>
        </w:rPr>
        <w:t>Chief Executive</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 xml:space="preserve"> Officer</w:t>
      </w:r>
      <w:r>
        <w:rPr>
          <w:rFonts w:ascii="PMingLiU" w:cs="PMingLiU" w:eastAsia="PMingLiU" w:hAnsi="PMingLiU"/>
          <w:sz w:val="20"/>
          <w:szCs w:val="20"/>
          <w:i w:val="1"/>
          <w:iCs w:val="1"/>
          <w:color w:val="231F20"/>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Liquidia Corporation</w:t>
      </w:r>
    </w:p>
    <w:p>
      <w:pPr>
        <w:spacing w:after="0" w:line="457" w:lineRule="exact"/>
        <w:rPr>
          <w:sz w:val="20"/>
          <w:szCs w:val="20"/>
          <w:color w:val="auto"/>
        </w:rPr>
      </w:pPr>
      <w:r>
        <w:rPr>
          <w:rFonts w:ascii="Times New Roman" w:cs="Times New Roman" w:eastAsia="Times New Roman" w:hAnsi="Times New Roman"/>
          <w:sz w:val="40"/>
          <w:szCs w:val="40"/>
          <w:color w:val="231F20"/>
          <w:vertAlign w:val="subscript"/>
        </w:rPr>
        <w:t>Mark</w:t>
      </w:r>
      <w:r>
        <w:rPr>
          <w:rFonts w:ascii="PMingLiU" w:cs="PMingLiU" w:eastAsia="PMingLiU" w:hAnsi="PMingLiU"/>
          <w:sz w:val="20"/>
          <w:szCs w:val="20"/>
          <w:color w:val="231F20"/>
        </w:rPr>
        <w:t/>
      </w:r>
      <w:r>
        <w:rPr>
          <w:rFonts w:ascii="Times New Roman" w:cs="Times New Roman" w:eastAsia="Times New Roman" w:hAnsi="Times New Roman"/>
          <w:sz w:val="40"/>
          <w:szCs w:val="40"/>
          <w:color w:val="231F20"/>
          <w:vertAlign w:val="subscript"/>
        </w:rPr>
        <w:t>Saad</w:t>
      </w:r>
      <w:r>
        <w:rPr>
          <w:rFonts w:ascii="Times New Roman" w:cs="Times New Roman" w:eastAsia="Times New Roman" w:hAnsi="Times New Roman"/>
          <w:sz w:val="13"/>
          <w:szCs w:val="13"/>
          <w:color w:val="231F20"/>
        </w:rPr>
        <w:t>(1)</w:t>
      </w:r>
      <w:r>
        <w:rPr>
          <w:rFonts w:ascii="PMingLiU" w:cs="PMingLiU" w:eastAsia="PMingLiU" w:hAnsi="PMingLiU"/>
          <w:sz w:val="13"/>
          <w:szCs w:val="13"/>
          <w:color w:val="231F20"/>
        </w:rPr>
        <w:t/>
      </w:r>
      <w:r>
        <w:rPr>
          <w:rFonts w:ascii="Times New Roman" w:cs="Times New Roman" w:eastAsia="Times New Roman" w:hAnsi="Times New Roman"/>
          <w:sz w:val="13"/>
          <w:szCs w:val="13"/>
          <w:color w:val="231F20"/>
        </w:rPr>
        <w:t xml:space="preserve"> (2)</w:t>
      </w:r>
      <w:r>
        <w:rPr>
          <w:rFonts w:ascii="PMingLiU" w:cs="PMingLiU" w:eastAsia="PMingLiU" w:hAnsi="PMingLiU"/>
          <w:sz w:val="13"/>
          <w:szCs w:val="13"/>
          <w:color w:val="231F20"/>
        </w:rPr>
        <w:t/>
      </w:r>
      <w:r>
        <w:rPr>
          <w:rFonts w:ascii="Times New Roman" w:cs="Times New Roman" w:eastAsia="Times New Roman" w:hAnsi="Times New Roman"/>
          <w:sz w:val="13"/>
          <w:szCs w:val="13"/>
          <w:color w:val="231F20"/>
        </w:rPr>
        <w:t xml:space="preserve"> (3)</w:t>
      </w:r>
    </w:p>
    <w:p>
      <w:pPr>
        <w:spacing w:after="0" w:line="239" w:lineRule="exact"/>
        <w:rPr>
          <w:sz w:val="20"/>
          <w:szCs w:val="20"/>
          <w:color w:val="auto"/>
        </w:rPr>
      </w:pPr>
      <w:r>
        <w:rPr>
          <w:rFonts w:ascii="Times New Roman" w:cs="Times New Roman" w:eastAsia="Times New Roman" w:hAnsi="Times New Roman"/>
          <w:sz w:val="20"/>
          <w:szCs w:val="20"/>
          <w:i w:val="1"/>
          <w:iCs w:val="1"/>
          <w:color w:val="231F20"/>
        </w:rPr>
        <w:t>Chief</w:t>
      </w:r>
      <w:r>
        <w:rPr>
          <w:rFonts w:ascii="PMingLiU" w:cs="PMingLiU" w:eastAsia="PMingLiU" w:hAnsi="PMingLiU"/>
          <w:sz w:val="20"/>
          <w:szCs w:val="20"/>
          <w:i w:val="1"/>
          <w:iCs w:val="1"/>
          <w:color w:val="231F20"/>
        </w:rPr>
        <w:t>([HFXWLYH</w:t>
      </w:r>
      <w:r>
        <w:rPr>
          <w:rFonts w:ascii="Times New Roman" w:cs="Times New Roman" w:eastAsia="Times New Roman" w:hAnsi="Times New Roman"/>
          <w:sz w:val="20"/>
          <w:szCs w:val="20"/>
          <w:i w:val="1"/>
          <w:iCs w:val="1"/>
          <w:color w:val="231F20"/>
        </w:rPr>
        <w:t>Officer</w:t>
      </w:r>
    </w:p>
    <w:p>
      <w:pPr>
        <w:spacing w:after="0" w:line="241" w:lineRule="exact"/>
        <w:rPr>
          <w:sz w:val="20"/>
          <w:szCs w:val="20"/>
          <w:color w:val="auto"/>
        </w:rPr>
      </w:pPr>
      <w:r>
        <w:rPr>
          <w:rFonts w:ascii="PMingLiU" w:cs="PMingLiU" w:eastAsia="PMingLiU" w:hAnsi="PMingLiU"/>
          <w:sz w:val="20"/>
          <w:szCs w:val="20"/>
          <w:i w:val="1"/>
          <w:iCs w:val="1"/>
          <w:color w:val="231F20"/>
        </w:rPr>
        <w:t>1X/LGV</w:t>
      </w:r>
      <w:r>
        <w:rPr>
          <w:rFonts w:ascii="Times New Roman" w:cs="Times New Roman" w:eastAsia="Times New Roman" w:hAnsi="Times New Roman"/>
          <w:sz w:val="20"/>
          <w:szCs w:val="20"/>
          <w:i w:val="1"/>
          <w:iCs w:val="1"/>
          <w:color w:val="231F20"/>
        </w:rPr>
        <w:t>,</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LLC</w:t>
      </w:r>
    </w:p>
    <w:p>
      <w:pPr>
        <w:spacing w:after="0" w:line="148" w:lineRule="exact"/>
        <w:rPr>
          <w:sz w:val="20"/>
          <w:szCs w:val="20"/>
          <w:color w:val="auto"/>
        </w:rPr>
      </w:pPr>
    </w:p>
    <w:p>
      <w:pPr>
        <w:spacing w:after="0"/>
        <w:rPr>
          <w:sz w:val="20"/>
          <w:szCs w:val="20"/>
          <w:color w:val="auto"/>
        </w:rPr>
      </w:pPr>
      <w:r>
        <w:rPr>
          <w:rFonts w:ascii="PMingLiU" w:cs="PMingLiU" w:eastAsia="PMingLiU" w:hAnsi="PMingLiU"/>
          <w:sz w:val="20"/>
          <w:szCs w:val="20"/>
          <w:color w:val="231F20"/>
        </w:rPr>
        <w:t>6XVDQ0DKRQ\3K'0%$</w:t>
      </w:r>
      <w:r>
        <w:rPr>
          <w:rFonts w:ascii="Times New Roman" w:cs="Times New Roman" w:eastAsia="Times New Roman" w:hAnsi="Times New Roman"/>
          <w:sz w:val="13"/>
          <w:szCs w:val="13"/>
          <w:color w:val="231F20"/>
        </w:rPr>
        <w:t>(1) (2) (3)</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231F20"/>
        </w:rPr>
        <w:t>Former President</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231F20"/>
        </w:rPr>
        <w:t>Lilly Oncology</w:t>
      </w:r>
    </w:p>
    <w:p>
      <w:pPr>
        <w:spacing w:after="0" w:line="139"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color w:val="231F20"/>
        </w:rPr>
        <w:t>Standing</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Committees</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of</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the</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Board</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of</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Directors</w:t>
      </w:r>
    </w:p>
    <w:p>
      <w:pPr>
        <w:spacing w:after="0" w:line="66" w:lineRule="exact"/>
        <w:rPr>
          <w:sz w:val="20"/>
          <w:szCs w:val="20"/>
          <w:color w:val="auto"/>
        </w:rPr>
      </w:pPr>
    </w:p>
    <w:p>
      <w:pPr>
        <w:ind w:left="280" w:hanging="280"/>
        <w:spacing w:after="0"/>
        <w:tabs>
          <w:tab w:leader="none" w:pos="280"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Compensation Committee</w:t>
      </w:r>
    </w:p>
    <w:p>
      <w:pPr>
        <w:spacing w:after="0" w:line="10" w:lineRule="exact"/>
        <w:rPr>
          <w:rFonts w:ascii="Times New Roman" w:cs="Times New Roman" w:eastAsia="Times New Roman" w:hAnsi="Times New Roman"/>
          <w:sz w:val="20"/>
          <w:szCs w:val="20"/>
          <w:color w:val="231F20"/>
        </w:rPr>
      </w:pPr>
    </w:p>
    <w:p>
      <w:pPr>
        <w:ind w:left="280" w:hanging="280"/>
        <w:spacing w:after="0"/>
        <w:tabs>
          <w:tab w:leader="none" w:pos="280"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Audit Committee</w:t>
      </w:r>
    </w:p>
    <w:p>
      <w:pPr>
        <w:spacing w:after="0" w:line="10" w:lineRule="exact"/>
        <w:rPr>
          <w:rFonts w:ascii="Times New Roman" w:cs="Times New Roman" w:eastAsia="Times New Roman" w:hAnsi="Times New Roman"/>
          <w:sz w:val="20"/>
          <w:szCs w:val="20"/>
          <w:color w:val="231F20"/>
        </w:rPr>
      </w:pPr>
    </w:p>
    <w:p>
      <w:pPr>
        <w:ind w:left="280" w:hanging="280"/>
        <w:spacing w:after="0"/>
        <w:tabs>
          <w:tab w:leader="none" w:pos="280"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Nominating and Corporate Governance Committee</w:t>
      </w:r>
    </w:p>
    <w:p>
      <w:pPr>
        <w:spacing w:after="0" w:line="140"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b w:val="1"/>
          <w:bCs w:val="1"/>
          <w:color w:val="231F20"/>
        </w:rPr>
        <w:t>Executive</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Officers</w:t>
      </w:r>
    </w:p>
    <w:p>
      <w:pPr>
        <w:spacing w:after="0" w:line="95"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231F20"/>
        </w:rPr>
        <w:t>Herriot</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Tabuteau,</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M.D.</w:t>
      </w:r>
    </w:p>
    <w:p>
      <w:pPr>
        <w:spacing w:after="0" w:line="242" w:lineRule="exact"/>
        <w:rPr>
          <w:sz w:val="20"/>
          <w:szCs w:val="20"/>
          <w:color w:val="auto"/>
        </w:rPr>
      </w:pPr>
      <w:r>
        <w:rPr>
          <w:rFonts w:ascii="Times New Roman" w:cs="Times New Roman" w:eastAsia="Times New Roman" w:hAnsi="Times New Roman"/>
          <w:sz w:val="20"/>
          <w:szCs w:val="20"/>
          <w:i w:val="1"/>
          <w:iCs w:val="1"/>
          <w:color w:val="231F20"/>
        </w:rPr>
        <w:t>Chief</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Executive</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Officer</w:t>
      </w:r>
    </w:p>
    <w:p>
      <w:pPr>
        <w:spacing w:after="0" w:line="105"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231F20"/>
        </w:rPr>
        <w:t>Nick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Pizzie,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C.P.A.,</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M.B.A.</w:t>
      </w:r>
    </w:p>
    <w:p>
      <w:pPr>
        <w:spacing w:after="0" w:line="90"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color w:val="231F20"/>
        </w:rPr>
        <w:t>Chief</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Financial</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Officer</w:t>
      </w:r>
    </w:p>
    <w:p>
      <w:pPr>
        <w:spacing w:after="0" w:line="104"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color w:val="231F20"/>
        </w:rPr>
        <w:t>Mark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Jacobson,</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M.A.</w:t>
      </w:r>
    </w:p>
    <w:p>
      <w:pPr>
        <w:spacing w:after="0" w:line="89" w:lineRule="exact"/>
        <w:rPr>
          <w:sz w:val="20"/>
          <w:szCs w:val="20"/>
          <w:color w:val="auto"/>
        </w:rPr>
      </w:pPr>
    </w:p>
    <w:p>
      <w:pPr>
        <w:spacing w:after="0" w:line="244" w:lineRule="exact"/>
        <w:rPr>
          <w:sz w:val="20"/>
          <w:szCs w:val="20"/>
          <w:color w:val="auto"/>
        </w:rPr>
      </w:pPr>
      <w:r>
        <w:rPr>
          <w:rFonts w:ascii="Times New Roman" w:cs="Times New Roman" w:eastAsia="Times New Roman" w:hAnsi="Times New Roman"/>
          <w:sz w:val="20"/>
          <w:szCs w:val="20"/>
          <w:i w:val="1"/>
          <w:iCs w:val="1"/>
          <w:color w:val="231F20"/>
        </w:rPr>
        <w:t>Chief</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Operating</w:t>
      </w:r>
      <w:r>
        <w:rPr>
          <w:rFonts w:ascii="PMingLiU" w:cs="PMingLiU" w:eastAsia="PMingLiU" w:hAnsi="PMingLiU"/>
          <w:sz w:val="20"/>
          <w:szCs w:val="20"/>
          <w:i w:val="1"/>
          <w:iCs w:val="1"/>
          <w:color w:val="231F20"/>
        </w:rPr>
        <w:t/>
      </w:r>
      <w:r>
        <w:rPr>
          <w:rFonts w:ascii="Times New Roman" w:cs="Times New Roman" w:eastAsia="Times New Roman" w:hAnsi="Times New Roman"/>
          <w:sz w:val="20"/>
          <w:szCs w:val="20"/>
          <w:i w:val="1"/>
          <w:iCs w:val="1"/>
          <w:color w:val="231F20"/>
        </w:rPr>
        <w:t>Officer</w:t>
      </w:r>
    </w:p>
    <w:p>
      <w:pPr>
        <w:spacing w:after="0" w:line="14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231F20"/>
        </w:rPr>
        <w:t>+XQWHU0XUGRFN(VT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General Counsel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Ari Maizel, M.B.A.</w:t>
      </w:r>
    </w:p>
    <w:p>
      <w:pPr>
        <w:spacing w:after="0" w:line="331" w:lineRule="exact"/>
        <w:rPr>
          <w:sz w:val="20"/>
          <w:szCs w:val="20"/>
          <w:color w:val="auto"/>
        </w:rPr>
      </w:pPr>
      <w:r>
        <w:rPr>
          <w:rFonts w:ascii="Times New Roman" w:cs="Times New Roman" w:eastAsia="Times New Roman" w:hAnsi="Times New Roman"/>
          <w:sz w:val="19"/>
          <w:szCs w:val="19"/>
          <w:i w:val="1"/>
          <w:iCs w:val="1"/>
          <w:color w:val="231F20"/>
        </w:rPr>
        <w:t>Chief</w:t>
      </w:r>
      <w:r>
        <w:rPr>
          <w:rFonts w:ascii="PMingLiU" w:cs="PMingLiU" w:eastAsia="PMingLiU" w:hAnsi="PMingLiU"/>
          <w:sz w:val="36"/>
          <w:szCs w:val="36"/>
          <w:i w:val="1"/>
          <w:iCs w:val="1"/>
          <w:color w:val="231F20"/>
          <w:vertAlign w:val="subscript"/>
        </w:rPr>
        <w:t/>
      </w:r>
      <w:r>
        <w:rPr>
          <w:rFonts w:ascii="Times New Roman" w:cs="Times New Roman" w:eastAsia="Times New Roman" w:hAnsi="Times New Roman"/>
          <w:sz w:val="19"/>
          <w:szCs w:val="19"/>
          <w:i w:val="1"/>
          <w:iCs w:val="1"/>
          <w:color w:val="231F20"/>
        </w:rPr>
        <w:t>Commercial Officer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31F20"/>
        </w:rPr>
        <w:t>Corporate Headquarters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231F20"/>
        </w:rPr>
        <w:t>Axsome Therapeutics,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 ne World Trade Center, 29th Floor</w:t>
      </w:r>
    </w:p>
    <w:p>
      <w:pPr>
        <w:ind w:left="20"/>
        <w:spacing w:after="0" w:line="244" w:lineRule="exact"/>
        <w:rPr>
          <w:sz w:val="20"/>
          <w:szCs w:val="20"/>
          <w:color w:val="auto"/>
        </w:rPr>
      </w:pPr>
      <w:r>
        <w:rPr>
          <w:rFonts w:ascii="Times New Roman" w:cs="Times New Roman" w:eastAsia="Times New Roman" w:hAnsi="Times New Roman"/>
          <w:sz w:val="20"/>
          <w:szCs w:val="20"/>
          <w:color w:val="231F20"/>
        </w:rPr>
        <w:t>New</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York,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New</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York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10007</w:t>
      </w:r>
    </w:p>
    <w:p>
      <w:pPr>
        <w:spacing w:after="0" w:line="32"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color w:val="231F20"/>
        </w:rPr>
        <w:t>Phone: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(212)</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332-3241</w:t>
      </w:r>
    </w:p>
    <w:p>
      <w:pPr>
        <w:ind w:left="20"/>
        <w:spacing w:after="0" w:line="240" w:lineRule="exact"/>
        <w:rPr>
          <w:sz w:val="20"/>
          <w:szCs w:val="20"/>
          <w:color w:val="auto"/>
        </w:rPr>
      </w:pPr>
      <w:r>
        <w:rPr>
          <w:rFonts w:ascii="Times New Roman" w:cs="Times New Roman" w:eastAsia="Times New Roman" w:hAnsi="Times New Roman"/>
          <w:sz w:val="20"/>
          <w:szCs w:val="20"/>
          <w:color w:val="231F20"/>
        </w:rPr>
        <w:t>Fax:</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(212)</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320-0245</w:t>
      </w:r>
    </w:p>
    <w:p>
      <w:pPr>
        <w:ind w:left="20"/>
        <w:spacing w:after="0" w:line="241" w:lineRule="exact"/>
        <w:rPr>
          <w:sz w:val="20"/>
          <w:szCs w:val="20"/>
          <w:color w:val="auto"/>
        </w:rPr>
      </w:pPr>
      <w:r>
        <w:rPr>
          <w:rFonts w:ascii="Times New Roman" w:cs="Times New Roman" w:eastAsia="Times New Roman" w:hAnsi="Times New Roman"/>
          <w:sz w:val="20"/>
          <w:szCs w:val="20"/>
          <w:color w:val="231F20"/>
        </w:rPr>
        <w:t>Website: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http://www.axsome.com</w:t>
      </w:r>
    </w:p>
    <w:p>
      <w:pPr>
        <w:spacing w:after="0" w:line="99"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b w:val="1"/>
          <w:bCs w:val="1"/>
          <w:color w:val="231F20"/>
        </w:rPr>
        <w:t>Transfer</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Agent</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and</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Registrar</w:t>
      </w:r>
    </w:p>
    <w:p>
      <w:pPr>
        <w:spacing w:after="0" w:line="75" w:lineRule="exact"/>
        <w:rPr>
          <w:sz w:val="20"/>
          <w:szCs w:val="20"/>
          <w:color w:val="auto"/>
        </w:rPr>
      </w:pPr>
    </w:p>
    <w:p>
      <w:pPr>
        <w:ind w:left="20"/>
        <w:spacing w:after="0"/>
        <w:rPr>
          <w:sz w:val="20"/>
          <w:szCs w:val="20"/>
          <w:color w:val="auto"/>
        </w:rPr>
      </w:pPr>
      <w:r>
        <w:rPr>
          <w:rFonts w:ascii="PMingLiU" w:cs="PMingLiU" w:eastAsia="PMingLiU" w:hAnsi="PMingLiU"/>
          <w:sz w:val="20"/>
          <w:szCs w:val="20"/>
          <w:color w:val="231F20"/>
        </w:rPr>
        <w:t>(TXLQLWL7UXVW&amp;RPSDQ\//&amp;</w:t>
      </w:r>
    </w:p>
    <w:p>
      <w:pPr>
        <w:ind w:left="20"/>
        <w:spacing w:after="0" w:line="244" w:lineRule="exact"/>
        <w:rPr>
          <w:sz w:val="20"/>
          <w:szCs w:val="20"/>
          <w:color w:val="auto"/>
        </w:rPr>
      </w:pPr>
      <w:r>
        <w:rPr>
          <w:rFonts w:ascii="Times New Roman" w:cs="Times New Roman" w:eastAsia="Times New Roman" w:hAnsi="Times New Roman"/>
          <w:sz w:val="20"/>
          <w:szCs w:val="20"/>
          <w:color w:val="231F20"/>
        </w:rPr>
        <w:t>6201</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15th</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Avenue</w:t>
      </w:r>
    </w:p>
    <w:p>
      <w:pPr>
        <w:spacing w:after="0" w:line="17"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color w:val="231F20"/>
        </w:rPr>
        <w:t>Brooklyn,</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New</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York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11219</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31F20"/>
        </w:rPr>
        <w:t>Counsel</w:t>
      </w:r>
    </w:p>
    <w:p>
      <w:pPr>
        <w:ind w:left="20"/>
        <w:spacing w:after="0" w:line="244" w:lineRule="exact"/>
        <w:rPr>
          <w:sz w:val="20"/>
          <w:szCs w:val="20"/>
          <w:color w:val="auto"/>
        </w:rPr>
      </w:pPr>
      <w:r>
        <w:rPr>
          <w:rFonts w:ascii="Times New Roman" w:cs="Times New Roman" w:eastAsia="Times New Roman" w:hAnsi="Times New Roman"/>
          <w:sz w:val="20"/>
          <w:szCs w:val="20"/>
          <w:color w:val="231F20"/>
        </w:rPr>
        <w:t>DLA</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Piper</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LLP</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1251 Avenue of the Americas, 27th Floor</w:t>
      </w:r>
    </w:p>
    <w:p>
      <w:pPr>
        <w:ind w:left="20"/>
        <w:spacing w:after="0" w:line="244" w:lineRule="exact"/>
        <w:rPr>
          <w:sz w:val="20"/>
          <w:szCs w:val="20"/>
          <w:color w:val="auto"/>
        </w:rPr>
      </w:pPr>
      <w:r>
        <w:rPr>
          <w:rFonts w:ascii="Times New Roman" w:cs="Times New Roman" w:eastAsia="Times New Roman" w:hAnsi="Times New Roman"/>
          <w:sz w:val="20"/>
          <w:szCs w:val="20"/>
          <w:color w:val="231F20"/>
        </w:rPr>
        <w:t>New</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York,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New</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York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10020-1104</w:t>
      </w:r>
    </w:p>
    <w:p>
      <w:pPr>
        <w:spacing w:after="0" w:line="139" w:lineRule="exact"/>
        <w:rPr>
          <w:sz w:val="20"/>
          <w:szCs w:val="20"/>
          <w:color w:val="auto"/>
        </w:rPr>
      </w:pPr>
    </w:p>
    <w:p>
      <w:pPr>
        <w:ind w:left="20" w:right="580"/>
        <w:spacing w:after="0" w:line="291" w:lineRule="exact"/>
        <w:rPr>
          <w:sz w:val="20"/>
          <w:szCs w:val="20"/>
          <w:color w:val="auto"/>
        </w:rPr>
      </w:pPr>
      <w:r>
        <w:rPr>
          <w:rFonts w:ascii="Times New Roman" w:cs="Times New Roman" w:eastAsia="Times New Roman" w:hAnsi="Times New Roman"/>
          <w:sz w:val="20"/>
          <w:szCs w:val="20"/>
          <w:b w:val="1"/>
          <w:bCs w:val="1"/>
          <w:color w:val="231F20"/>
        </w:rPr>
        <w:t>Independent</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Registered</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Public</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Accounting</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Firm</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 xml:space="preserve"> </w:t>
      </w:r>
      <w:r>
        <w:rPr>
          <w:rFonts w:ascii="PMingLiU" w:cs="PMingLiU" w:eastAsia="PMingLiU" w:hAnsi="PMingLiU"/>
          <w:sz w:val="20"/>
          <w:szCs w:val="20"/>
          <w:color w:val="231F20"/>
        </w:rPr>
        <w:t>'HORLWWH 7RXFKH//3 </w:t>
      </w:r>
    </w:p>
    <w:p>
      <w:pPr>
        <w:ind w:left="20" w:right="2120" w:hanging="5"/>
        <w:spacing w:after="0" w:line="243" w:lineRule="exact"/>
        <w:rPr>
          <w:sz w:val="20"/>
          <w:szCs w:val="20"/>
          <w:color w:val="auto"/>
        </w:rPr>
      </w:pPr>
      <w:r>
        <w:rPr>
          <w:rFonts w:ascii="Times New Roman" w:cs="Times New Roman" w:eastAsia="Times New Roman" w:hAnsi="Times New Roman"/>
          <w:sz w:val="20"/>
          <w:szCs w:val="20"/>
          <w:color w:val="231F20"/>
        </w:rPr>
        <w:t>30 Rockefeller Plaza, 41st Floor New</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York,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New</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York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10112</w:t>
      </w:r>
    </w:p>
    <w:p>
      <w:pPr>
        <w:spacing w:after="0" w:line="101"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b w:val="1"/>
          <w:bCs w:val="1"/>
          <w:color w:val="231F20"/>
        </w:rPr>
        <w:t>Number</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of</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Holders</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of</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Common</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Stock</w:t>
      </w:r>
      <w:r>
        <w:rPr>
          <w:rFonts w:ascii="PMingLiU" w:cs="PMingLiU" w:eastAsia="PMingLiU" w:hAnsi="PMingLiU"/>
          <w:sz w:val="20"/>
          <w:szCs w:val="20"/>
          <w:b w:val="1"/>
          <w:bCs w:val="1"/>
          <w:color w:val="231F20"/>
        </w:rPr>
        <w:t/>
      </w:r>
    </w:p>
    <w:p>
      <w:pPr>
        <w:spacing w:after="0" w:line="77" w:lineRule="exact"/>
        <w:rPr>
          <w:sz w:val="20"/>
          <w:szCs w:val="20"/>
          <w:color w:val="auto"/>
        </w:rPr>
      </w:pPr>
    </w:p>
    <w:p>
      <w:pPr>
        <w:ind w:left="20"/>
        <w:spacing w:after="0" w:line="251" w:lineRule="exact"/>
        <w:rPr>
          <w:sz w:val="20"/>
          <w:szCs w:val="20"/>
          <w:color w:val="auto"/>
        </w:rPr>
      </w:pPr>
      <w:r>
        <w:rPr>
          <w:rFonts w:ascii="Times New Roman" w:cs="Times New Roman" w:eastAsia="Times New Roman" w:hAnsi="Times New Roman"/>
          <w:sz w:val="20"/>
          <w:szCs w:val="20"/>
          <w:color w:val="231F20"/>
        </w:rPr>
        <w:t>As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of</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April</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14,</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202</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there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are 5</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 xml:space="preserve"> stockholders</w:t>
      </w:r>
      <w:r>
        <w:rPr>
          <w:rFonts w:ascii="PMingLiU" w:cs="PMingLiU" w:eastAsia="PMingLiU" w:hAnsi="PMingLiU"/>
          <w:sz w:val="20"/>
          <w:szCs w:val="20"/>
          <w:color w:val="231F20"/>
        </w:rPr>
        <w:t>RIUHFRUG RI </w:t>
      </w:r>
      <w:r>
        <w:rPr>
          <w:rFonts w:ascii="Times New Roman" w:cs="Times New Roman" w:eastAsia="Times New Roman" w:hAnsi="Times New Roman"/>
          <w:sz w:val="20"/>
          <w:szCs w:val="20"/>
          <w:color w:val="231F20"/>
        </w:rPr>
        <w:t xml:space="preserve"> Common</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Stock.</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231F20"/>
        </w:rPr>
        <w:t>Dividends</w:t>
      </w:r>
    </w:p>
    <w:p>
      <w:pPr>
        <w:ind w:left="20" w:right="100"/>
        <w:spacing w:after="0" w:line="246" w:lineRule="exact"/>
        <w:rPr>
          <w:sz w:val="20"/>
          <w:szCs w:val="20"/>
          <w:color w:val="auto"/>
        </w:rPr>
      </w:pPr>
      <w:r>
        <w:rPr>
          <w:rFonts w:ascii="Times New Roman" w:cs="Times New Roman" w:eastAsia="Times New Roman" w:hAnsi="Times New Roman"/>
          <w:sz w:val="20"/>
          <w:szCs w:val="20"/>
          <w:color w:val="231F20"/>
        </w:rPr>
        <w:t>The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Company</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has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not</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paid</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any</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cash</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dividends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on</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its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 xml:space="preserve"> Common</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Stock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since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its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inception</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and</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does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not</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anticipate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 xml:space="preserve"> paying</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any</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such</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cash</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dividends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in</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the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foreseeable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future.</w:t>
      </w:r>
    </w:p>
    <w:p>
      <w:pPr>
        <w:spacing w:after="0" w:line="172"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b w:val="1"/>
          <w:bCs w:val="1"/>
          <w:color w:val="231F20"/>
        </w:rPr>
        <w:t>Market</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for</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Common</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Stock</w:t>
      </w:r>
    </w:p>
    <w:p>
      <w:pPr>
        <w:spacing w:after="0" w:line="24"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color w:val="231F20"/>
        </w:rPr>
        <w:t>Nasdaq</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Global</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Market</w:t>
      </w:r>
    </w:p>
    <w:p>
      <w:pPr>
        <w:ind w:left="20"/>
        <w:spacing w:after="0" w:line="240" w:lineRule="exact"/>
        <w:rPr>
          <w:sz w:val="20"/>
          <w:szCs w:val="20"/>
          <w:color w:val="auto"/>
        </w:rPr>
      </w:pPr>
      <w:r>
        <w:rPr>
          <w:rFonts w:ascii="Times New Roman" w:cs="Times New Roman" w:eastAsia="Times New Roman" w:hAnsi="Times New Roman"/>
          <w:sz w:val="20"/>
          <w:szCs w:val="20"/>
          <w:color w:val="231F20"/>
        </w:rPr>
        <w:t>Symbol:</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AXSM</w:t>
      </w:r>
    </w:p>
    <w:p>
      <w:pPr>
        <w:spacing w:after="0" w:line="171"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b w:val="1"/>
          <w:bCs w:val="1"/>
          <w:color w:val="231F20"/>
        </w:rPr>
        <w:t>SEC</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Form</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10-K</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and</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Stockholders’</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Inquiries</w:t>
      </w:r>
    </w:p>
    <w:p>
      <w:pPr>
        <w:spacing w:after="0" w:line="29" w:lineRule="exact"/>
        <w:rPr>
          <w:sz w:val="20"/>
          <w:szCs w:val="20"/>
          <w:color w:val="auto"/>
        </w:rPr>
      </w:pPr>
    </w:p>
    <w:p>
      <w:pPr>
        <w:ind w:left="20" w:right="80"/>
        <w:spacing w:after="0" w:line="240" w:lineRule="exact"/>
        <w:rPr>
          <w:sz w:val="20"/>
          <w:szCs w:val="20"/>
          <w:color w:val="auto"/>
        </w:rPr>
      </w:pPr>
      <w:r>
        <w:rPr>
          <w:rFonts w:ascii="Times New Roman" w:cs="Times New Roman" w:eastAsia="Times New Roman" w:hAnsi="Times New Roman"/>
          <w:sz w:val="20"/>
          <w:szCs w:val="20"/>
          <w:color w:val="231F20"/>
        </w:rPr>
        <w:t>A</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copy</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of</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the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Company’s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Annual</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Report</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to</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the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Securities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 xml:space="preserve"> and</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Exchange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Commission</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on</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Form</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10-K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is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available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 xml:space="preserve"> without</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charge.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Requests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for</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Form</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10-K</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or</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other</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 xml:space="preserve"> stockholder</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inquiries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should</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be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directed</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in</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writing</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to:</w:t>
      </w:r>
    </w:p>
    <w:p>
      <w:pPr>
        <w:spacing w:after="0" w:line="175"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color w:val="231F20"/>
        </w:rPr>
        <w:t>Investor</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Relations</w:t>
      </w:r>
    </w:p>
    <w:p>
      <w:pPr>
        <w:spacing w:after="0" w:line="20"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color w:val="231F20"/>
        </w:rPr>
        <w:t>Axsome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Therapeutics,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Inc.</w:t>
      </w:r>
    </w:p>
    <w:p>
      <w:pPr>
        <w:spacing w:after="0" w:line="227" w:lineRule="auto"/>
        <w:rPr>
          <w:sz w:val="20"/>
          <w:szCs w:val="20"/>
          <w:color w:val="auto"/>
        </w:rPr>
      </w:pPr>
      <w:r>
        <w:rPr>
          <w:rFonts w:ascii="Times New Roman" w:cs="Times New Roman" w:eastAsia="Times New Roman" w:hAnsi="Times New Roman"/>
          <w:sz w:val="20"/>
          <w:szCs w:val="20"/>
          <w:color w:val="231F20"/>
        </w:rPr>
        <w:t>One World Trade Center, 29th Floor</w:t>
      </w:r>
    </w:p>
    <w:p>
      <w:pPr>
        <w:ind w:left="20"/>
        <w:spacing w:after="0" w:line="244" w:lineRule="exact"/>
        <w:rPr>
          <w:sz w:val="20"/>
          <w:szCs w:val="20"/>
          <w:color w:val="auto"/>
        </w:rPr>
      </w:pPr>
      <w:r>
        <w:rPr>
          <w:rFonts w:ascii="Times New Roman" w:cs="Times New Roman" w:eastAsia="Times New Roman" w:hAnsi="Times New Roman"/>
          <w:sz w:val="20"/>
          <w:szCs w:val="20"/>
          <w:color w:val="231F20"/>
        </w:rPr>
        <w:t>New</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York,</w:t>
      </w:r>
      <w:r>
        <w:rPr>
          <w:rFonts w:ascii="PMingLiU" w:cs="PMingLiU" w:eastAsia="PMingLiU" w:hAnsi="PMingLiU"/>
          <w:sz w:val="20"/>
          <w:szCs w:val="20"/>
          <w:color w:val="231F20"/>
        </w:rPr>
        <w:t>1HZ&lt;RUN</w:t>
      </w:r>
      <w:r>
        <w:rPr>
          <w:rFonts w:ascii="Times New Roman" w:cs="Times New Roman" w:eastAsia="Times New Roman" w:hAnsi="Times New Roman"/>
          <w:sz w:val="20"/>
          <w:szCs w:val="20"/>
          <w:color w:val="231F20"/>
        </w:rPr>
        <w:t xml:space="preserve"> 10007</w:t>
      </w:r>
    </w:p>
    <w:p>
      <w:pPr>
        <w:spacing w:after="0" w:line="136" w:lineRule="exact"/>
        <w:rPr>
          <w:sz w:val="20"/>
          <w:szCs w:val="20"/>
          <w:color w:val="auto"/>
        </w:rPr>
      </w:pPr>
    </w:p>
    <w:p>
      <w:pPr>
        <w:ind w:left="20"/>
        <w:spacing w:after="0" w:line="244" w:lineRule="exact"/>
        <w:rPr>
          <w:sz w:val="20"/>
          <w:szCs w:val="20"/>
          <w:color w:val="auto"/>
        </w:rPr>
      </w:pPr>
      <w:r>
        <w:rPr>
          <w:rFonts w:ascii="Times New Roman" w:cs="Times New Roman" w:eastAsia="Times New Roman" w:hAnsi="Times New Roman"/>
          <w:sz w:val="20"/>
          <w:szCs w:val="20"/>
          <w:b w:val="1"/>
          <w:bCs w:val="1"/>
          <w:color w:val="231F20"/>
        </w:rPr>
        <w:t>Annual</w:t>
      </w:r>
      <w:r>
        <w:rPr>
          <w:rFonts w:ascii="PMingLiU" w:cs="PMingLiU" w:eastAsia="PMingLiU" w:hAnsi="PMingLiU"/>
          <w:sz w:val="20"/>
          <w:szCs w:val="20"/>
          <w:b w:val="1"/>
          <w:bCs w:val="1"/>
          <w:color w:val="231F20"/>
        </w:rPr>
        <w:t/>
      </w:r>
      <w:r>
        <w:rPr>
          <w:rFonts w:ascii="Times New Roman" w:cs="Times New Roman" w:eastAsia="Times New Roman" w:hAnsi="Times New Roman"/>
          <w:sz w:val="20"/>
          <w:szCs w:val="20"/>
          <w:b w:val="1"/>
          <w:bCs w:val="1"/>
          <w:color w:val="231F20"/>
        </w:rPr>
        <w:t>Meeting</w:t>
      </w:r>
    </w:p>
    <w:p>
      <w:pPr>
        <w:spacing w:after="0" w:line="95" w:lineRule="exact"/>
        <w:rPr>
          <w:sz w:val="20"/>
          <w:szCs w:val="20"/>
          <w:color w:val="auto"/>
        </w:rPr>
      </w:pPr>
    </w:p>
    <w:p>
      <w:pPr>
        <w:ind w:left="20" w:right="40"/>
        <w:spacing w:after="0" w:line="232" w:lineRule="exact"/>
        <w:rPr>
          <w:sz w:val="20"/>
          <w:szCs w:val="20"/>
          <w:color w:val="auto"/>
        </w:rPr>
      </w:pPr>
      <w:r>
        <w:rPr>
          <w:rFonts w:ascii="Times New Roman" w:cs="Times New Roman" w:eastAsia="Times New Roman" w:hAnsi="Times New Roman"/>
          <w:sz w:val="20"/>
          <w:szCs w:val="20"/>
          <w:color w:val="231F20"/>
        </w:rPr>
        <w:t>The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Annual</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Meeting</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of</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Stockholders</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will</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take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place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on Friday,</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June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202</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at</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9:00</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a.m.</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(EDT) via</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live</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webcast</w:t>
      </w:r>
      <w:r>
        <w:rPr>
          <w:rFonts w:ascii="PMingLiU" w:cs="PMingLiU" w:eastAsia="PMingLiU" w:hAnsi="PMingLiU"/>
          <w:sz w:val="20"/>
          <w:szCs w:val="20"/>
          <w:color w:val="231F20"/>
        </w:rPr>
        <w:t/>
      </w:r>
      <w:r>
        <w:rPr>
          <w:rFonts w:ascii="Times New Roman" w:cs="Times New Roman" w:eastAsia="Times New Roman" w:hAnsi="Times New Roman"/>
          <w:sz w:val="20"/>
          <w:szCs w:val="20"/>
          <w:color w:val="231F20"/>
        </w:rPr>
        <w:t>at www.virtualshareholdermeeting.com/AXSM202</w:t>
      </w:r>
      <w:r>
        <w:rPr>
          <w:rFonts w:ascii="PMingLiU" w:cs="PMingLiU" w:eastAsia="PMingLiU" w:hAnsi="PMingLiU"/>
          <w:sz w:val="20"/>
          <w:szCs w:val="20"/>
          <w:color w:val="231F20"/>
        </w:rPr>
        <w:t/>
      </w:r>
    </w:p>
    <w:sectPr>
      <w:pgSz w:w="12240" w:h="15840" w:orient="portrait"/>
      <w:cols w:equalWidth="0" w:num="2">
        <w:col w:w="4380" w:space="420"/>
        <w:col w:w="4800"/>
      </w:cols>
      <w:pgMar w:left="1380" w:top="1241" w:right="12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8"/>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decimal"/>
      <w:start w:val="3"/>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Roman"/>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decimal"/>
      <w:start w:val="104"/>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2026-04-24T17:26:32Z</dcterms:created>
  <dcterms:modified xsi:type="dcterms:W3CDTF">2026-04-24T17:26:32Z</dcterms:modified>
</cp:coreProperties>
</file>