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axsm-20250807.htm"/>
      <w:bookmarkStart w:id="1" w:name="ksaxsm20250807"/>
      <w:bookmarkEnd w:id="0"/>
      <w:bookmarkEnd w:id="1"/>
      <w:r>
        <w:rPr>
          <w:rFonts w:ascii="Times New Roman" w:hAnsi="Times New Roman"/>
          <w:b/>
          <w:color w:val="000000"/>
          <w:sz w:val="18"/>
        </w:rPr>
        <w:t>As filed with the Securities and Exchange Commission on August 7, 2025</w:t>
      </w:r>
    </w:p>
    <w:p>
      <w:pPr>
        <w:pStyle w:val="TextBody"/>
        <w:bidi w:val="0"/>
        <w:jc w:val="right"/>
        <w:rPr>
          <w:rFonts w:ascii="Times New Roman" w:hAnsi="Times New Roman"/>
          <w:sz w:val="20"/>
        </w:rPr>
      </w:pPr>
      <w:r>
        <w:rPr>
          <w:rFonts w:ascii="Times New Roman" w:hAnsi="Times New Roman"/>
          <w:b/>
          <w:color w:val="000000"/>
          <w:sz w:val="18"/>
        </w:rPr>
        <w:t>Registration No. 333-</w:t>
      </w:r>
      <w:r>
        <w:rPr>
          <w:rFonts w:ascii="Times New Roman" w:hAnsi="Times New Roman"/>
          <w:color w:val="000000"/>
          <w:sz w:val="20"/>
        </w:rPr>
        <w:t xml:space="preserve"> </w:t>
      </w:r>
    </w:p>
    <w:p>
      <w:pPr>
        <w:pStyle w:val="TextBody"/>
        <w:bidi w:val="0"/>
        <w:jc w:val="righ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b/>
          <w:color w:val="000000"/>
          <w:sz w:val="34"/>
        </w:rPr>
      </w:pPr>
      <w:r>
        <w:rPr>
          <w:rFonts w:ascii="Times New Roman" w:hAnsi="Times New Roman"/>
          <w:b/>
          <w:color w:val="000000"/>
          <w:sz w:val="34"/>
        </w:rPr>
        <w:t>FORM S-8</w:t>
      </w:r>
    </w:p>
    <w:p>
      <w:pPr>
        <w:pStyle w:val="TextBody"/>
        <w:bidi w:val="0"/>
        <w:jc w:val="center"/>
        <w:rPr>
          <w:rFonts w:ascii="Times New Roman" w:hAnsi="Times New Roman"/>
          <w:b/>
          <w:color w:val="000000"/>
          <w:sz w:val="22"/>
        </w:rPr>
      </w:pPr>
      <w:r>
        <w:rPr>
          <w:rFonts w:ascii="Times New Roman" w:hAnsi="Times New Roman"/>
          <w:b/>
          <w:color w:val="000000"/>
          <w:sz w:val="22"/>
        </w:rPr>
        <w:t>REGISTRATION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w:t>
      </w:r>
    </w:p>
    <w:p>
      <w:pPr>
        <w:pStyle w:val="TextBody"/>
        <w:bidi w:val="0"/>
        <w:jc w:val="center"/>
        <w:rPr>
          <w:rFonts w:ascii="Times New Roman" w:hAnsi="Times New Roman"/>
          <w:b/>
          <w:color w:val="000000"/>
          <w:sz w:val="22"/>
        </w:rPr>
      </w:pPr>
      <w:r>
        <w:rPr>
          <w:rFonts w:ascii="Times New Roman" w:hAnsi="Times New Roman"/>
          <w:b/>
          <w:color w:val="000000"/>
          <w:sz w:val="22"/>
        </w:rPr>
        <w:t>The Securities Act of 1933</w:t>
      </w:r>
    </w:p>
    <w:p>
      <w:pPr>
        <w:pStyle w:val="TextBody"/>
        <w:bidi w:val="0"/>
        <w:jc w:val="center"/>
        <w:rPr>
          <w:rFonts w:ascii="Times New Roman" w:hAnsi="Times New Roman"/>
          <w:b/>
          <w:color w:val="000000"/>
          <w:sz w:val="34"/>
        </w:rPr>
      </w:pPr>
      <w:r>
        <w:rPr>
          <w:rFonts w:ascii="Times New Roman" w:hAnsi="Times New Roman"/>
          <w:b/>
          <w:color w:val="000000"/>
          <w:sz w:val="34"/>
        </w:rPr>
        <w:t>AXSOME THERAPEUTICS,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tbl>
      <w:tblPr>
        <w:tblW w:w="5158" w:type="dxa"/>
        <w:jc w:val="left"/>
        <w:tblInd w:w="0" w:type="dxa"/>
        <w:tblLayout w:type="fixed"/>
        <w:tblCellMar>
          <w:top w:w="28" w:type="dxa"/>
          <w:left w:w="28" w:type="dxa"/>
          <w:bottom w:w="28" w:type="dxa"/>
          <w:right w:w="28" w:type="dxa"/>
        </w:tblCellMar>
      </w:tblPr>
      <w:tblGrid>
        <w:gridCol w:w="2431"/>
        <w:gridCol w:w="146"/>
        <w:gridCol w:w="258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45-4241907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One World Trade Center</w:t>
      </w:r>
    </w:p>
    <w:p>
      <w:pPr>
        <w:pStyle w:val="TextBody"/>
        <w:bidi w:val="0"/>
        <w:jc w:val="center"/>
        <w:rPr>
          <w:rFonts w:ascii="Times New Roman" w:hAnsi="Times New Roman"/>
          <w:b/>
          <w:color w:val="000000"/>
          <w:sz w:val="18"/>
        </w:rPr>
      </w:pPr>
      <w:r>
        <w:rPr>
          <w:rFonts w:ascii="Times New Roman" w:hAnsi="Times New Roman"/>
          <w:b/>
          <w:color w:val="000000"/>
          <w:sz w:val="18"/>
        </w:rPr>
        <w:t>29th Floor</w:t>
      </w:r>
    </w:p>
    <w:p>
      <w:pPr>
        <w:pStyle w:val="TextBody"/>
        <w:bidi w:val="0"/>
        <w:jc w:val="center"/>
        <w:rPr>
          <w:rFonts w:ascii="Times New Roman" w:hAnsi="Times New Roman"/>
          <w:b/>
          <w:color w:val="000000"/>
          <w:sz w:val="18"/>
        </w:rPr>
      </w:pPr>
      <w:r>
        <w:rPr>
          <w:rFonts w:ascii="Times New Roman" w:hAnsi="Times New Roman"/>
          <w:b/>
          <w:color w:val="000000"/>
          <w:sz w:val="18"/>
        </w:rPr>
        <w:t>New York, New York 10007</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 2025 Long-Term Incentive Plan</w:t>
      </w:r>
    </w:p>
    <w:p>
      <w:pPr>
        <w:pStyle w:val="TextBody"/>
        <w:bidi w:val="0"/>
        <w:jc w:val="center"/>
        <w:rPr>
          <w:rFonts w:ascii="Times New Roman" w:hAnsi="Times New Roman"/>
          <w:color w:val="000000"/>
          <w:sz w:val="18"/>
        </w:rPr>
      </w:pPr>
      <w:r>
        <w:rPr>
          <w:rFonts w:ascii="Times New Roman" w:hAnsi="Times New Roman"/>
          <w:color w:val="000000"/>
          <w:sz w:val="18"/>
        </w:rPr>
        <w:t>(Full title of the Plans)</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 xml:space="preserve">Herriot Tabuteau, M.D. </w:t>
        <w:br/>
        <w:t xml:space="preserve">President and Chief Executive Officer </w:t>
        <w:br/>
        <w:t xml:space="preserve">Axsome Therapeutics, Inc. </w:t>
        <w:br/>
        <w:t>One World Trade Center</w:t>
        <w:br/>
        <w:t>29th Floor</w:t>
      </w:r>
    </w:p>
    <w:p>
      <w:pPr>
        <w:pStyle w:val="TextBody"/>
        <w:bidi w:val="0"/>
        <w:jc w:val="center"/>
        <w:rPr>
          <w:rFonts w:ascii="Times New Roman" w:hAnsi="Times New Roman"/>
          <w:b/>
          <w:color w:val="000000"/>
          <w:sz w:val="18"/>
        </w:rPr>
      </w:pPr>
      <w:r>
        <w:rPr>
          <w:rFonts w:ascii="Times New Roman" w:hAnsi="Times New Roman"/>
          <w:b/>
          <w:color w:val="000000"/>
          <w:sz w:val="18"/>
        </w:rPr>
        <w:t>New York, New York 10007</w:t>
      </w:r>
    </w:p>
    <w:p>
      <w:pPr>
        <w:pStyle w:val="TextBody"/>
        <w:bidi w:val="0"/>
        <w:jc w:val="center"/>
        <w:rPr>
          <w:rFonts w:ascii="Times New Roman" w:hAnsi="Times New Roman"/>
          <w:color w:val="000000"/>
          <w:sz w:val="18"/>
        </w:rPr>
      </w:pPr>
      <w:r>
        <w:rPr>
          <w:rFonts w:ascii="Times New Roman" w:hAnsi="Times New Roman"/>
          <w:color w:val="000000"/>
          <w:sz w:val="18"/>
        </w:rPr>
        <w:t>(Name and address of agent for service)</w:t>
      </w:r>
    </w:p>
    <w:p>
      <w:pPr>
        <w:pStyle w:val="TextBody"/>
        <w:bidi w:val="0"/>
        <w:jc w:val="center"/>
        <w:rPr>
          <w:rFonts w:ascii="Times New Roman" w:hAnsi="Times New Roman"/>
          <w:b/>
          <w:color w:val="000000"/>
          <w:sz w:val="18"/>
        </w:rPr>
      </w:pPr>
      <w:r>
        <w:rPr>
          <w:rFonts w:ascii="Times New Roman" w:hAnsi="Times New Roman"/>
          <w:b/>
          <w:color w:val="000000"/>
          <w:sz w:val="18"/>
        </w:rPr>
        <w:t>(212) 332-3241</w:t>
      </w:r>
    </w:p>
    <w:p>
      <w:pPr>
        <w:pStyle w:val="TextBody"/>
        <w:bidi w:val="0"/>
        <w:jc w:val="center"/>
        <w:rPr>
          <w:rFonts w:ascii="Times New Roman" w:hAnsi="Times New Roman"/>
          <w:color w:val="000000"/>
          <w:sz w:val="18"/>
        </w:rPr>
      </w:pPr>
      <w:r>
        <w:rPr>
          <w:rFonts w:ascii="Times New Roman" w:hAnsi="Times New Roman"/>
          <w:color w:val="000000"/>
          <w:sz w:val="18"/>
        </w:rPr>
        <w:t>(Telephone number, including area code, of agent for service)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Copies to:</w:t>
      </w:r>
    </w:p>
    <w:p>
      <w:pPr>
        <w:pStyle w:val="TextBody"/>
        <w:bidi w:val="0"/>
        <w:jc w:val="center"/>
        <w:rPr/>
      </w:pPr>
      <w:r>
        <w:rPr/>
        <w:t> </w:t>
      </w:r>
    </w:p>
    <w:tbl>
      <w:tblPr>
        <w:tblW w:w="5117" w:type="dxa"/>
        <w:jc w:val="left"/>
        <w:tblInd w:w="0" w:type="dxa"/>
        <w:tblLayout w:type="fixed"/>
        <w:tblCellMar>
          <w:top w:w="28" w:type="dxa"/>
          <w:left w:w="28" w:type="dxa"/>
          <w:bottom w:w="28" w:type="dxa"/>
          <w:right w:w="28" w:type="dxa"/>
        </w:tblCellMar>
      </w:tblPr>
      <w:tblGrid>
        <w:gridCol w:w="3016"/>
        <w:gridCol w:w="2101"/>
      </w:tblGrid>
      <w:tr>
        <w:trPr/>
        <w:tc>
          <w:tcPr>
            <w:tcW w:w="301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Emilio Ragosa</w:t>
              <w:br/>
            </w:r>
            <w:r>
              <w:rPr>
                <w:rFonts w:ascii="Times New Roman" w:hAnsi="Times New Roman"/>
                <w:color w:val="000000"/>
                <w:sz w:val="18"/>
              </w:rPr>
              <w:t>DLA Piper LLP (US)</w:t>
              <w:br/>
              <w:t>51 John F. Kennedy Parkway, Suite 120</w:t>
            </w:r>
          </w:p>
          <w:p>
            <w:pPr>
              <w:pStyle w:val="TableContents"/>
              <w:bidi w:val="0"/>
              <w:jc w:val="center"/>
              <w:rPr>
                <w:rFonts w:ascii="Times New Roman" w:hAnsi="Times New Roman"/>
                <w:color w:val="000000"/>
                <w:sz w:val="18"/>
              </w:rPr>
            </w:pPr>
            <w:r>
              <w:rPr>
                <w:rFonts w:ascii="Times New Roman" w:hAnsi="Times New Roman"/>
                <w:color w:val="000000"/>
                <w:sz w:val="18"/>
              </w:rPr>
              <w:t>Short Hills, New Jersey 07078</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Telephone: (973) 520-2550</w:t>
            </w:r>
          </w:p>
        </w:tc>
        <w:tc>
          <w:tcPr>
            <w:tcW w:w="21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Hunter Murdock</w:t>
            </w:r>
          </w:p>
          <w:p>
            <w:pPr>
              <w:pStyle w:val="TableContents"/>
              <w:bidi w:val="0"/>
              <w:jc w:val="center"/>
              <w:rPr>
                <w:rFonts w:ascii="Times New Roman" w:hAnsi="Times New Roman"/>
                <w:color w:val="000000"/>
                <w:sz w:val="18"/>
              </w:rPr>
            </w:pPr>
            <w:r>
              <w:rPr>
                <w:rFonts w:ascii="Times New Roman" w:hAnsi="Times New Roman"/>
                <w:color w:val="000000"/>
                <w:sz w:val="18"/>
              </w:rPr>
              <w:t>General Counsel</w:t>
              <w:br/>
              <w:t>Axsome Therapeutics, Inc.</w:t>
            </w:r>
          </w:p>
          <w:p>
            <w:pPr>
              <w:pStyle w:val="TableContents"/>
              <w:bidi w:val="0"/>
              <w:jc w:val="center"/>
              <w:rPr>
                <w:rFonts w:ascii="Times New Roman" w:hAnsi="Times New Roman"/>
                <w:color w:val="000000"/>
                <w:sz w:val="18"/>
              </w:rPr>
            </w:pPr>
            <w:r>
              <w:rPr>
                <w:rFonts w:ascii="Times New Roman" w:hAnsi="Times New Roman"/>
                <w:color w:val="000000"/>
                <w:sz w:val="18"/>
              </w:rPr>
              <w:t>One World Trade Center</w:t>
            </w:r>
          </w:p>
          <w:p>
            <w:pPr>
              <w:pStyle w:val="TableContents"/>
              <w:bidi w:val="0"/>
              <w:jc w:val="center"/>
              <w:rPr>
                <w:rFonts w:ascii="Times New Roman" w:hAnsi="Times New Roman"/>
                <w:color w:val="000000"/>
                <w:sz w:val="18"/>
              </w:rPr>
            </w:pPr>
            <w:r>
              <w:rPr>
                <w:rFonts w:ascii="Times New Roman" w:hAnsi="Times New Roman"/>
                <w:color w:val="000000"/>
                <w:sz w:val="18"/>
              </w:rPr>
              <w:t>29th Floor</w:t>
            </w:r>
          </w:p>
          <w:p>
            <w:pPr>
              <w:pStyle w:val="TableContents"/>
              <w:bidi w:val="0"/>
              <w:jc w:val="center"/>
              <w:rPr>
                <w:rFonts w:ascii="Times New Roman" w:hAnsi="Times New Roman"/>
                <w:color w:val="000000"/>
                <w:sz w:val="18"/>
              </w:rPr>
            </w:pPr>
            <w:r>
              <w:rPr>
                <w:rFonts w:ascii="Times New Roman" w:hAnsi="Times New Roman"/>
                <w:color w:val="000000"/>
                <w:sz w:val="18"/>
              </w:rPr>
              <w:t>New York, NY 10007</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Telephone: (212) 332-3241</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18" w:type="dxa"/>
        <w:jc w:val="left"/>
        <w:tblInd w:w="0" w:type="dxa"/>
        <w:tblLayout w:type="fixed"/>
        <w:tblCellMar>
          <w:top w:w="28" w:type="dxa"/>
          <w:left w:w="28" w:type="dxa"/>
          <w:bottom w:w="28" w:type="dxa"/>
          <w:right w:w="28" w:type="dxa"/>
        </w:tblCellMar>
      </w:tblPr>
      <w:tblGrid>
        <w:gridCol w:w="1876"/>
        <w:gridCol w:w="146"/>
        <w:gridCol w:w="229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Accelerated filer ☐</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Smaller reporting company ☐</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Emerging growth company ☐</w:t>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 Plan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required by Item 1 is included in documents sent or given to participants in the plans covered by this Registration Statement pursuant to Rule 428(b)(1) of the Securities Act of 1933, as amended (the “1933 Act”).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 Registrant Information and Employee Plan Annual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written statement required by Item 2 is included in documents sent or given to participants in the plans covered by this Registration Statement pursuant to Rule 428(b)(1) of the 1933 Act.</w:t>
      </w:r>
    </w:p>
    <w:p>
      <w:pPr>
        <w:pStyle w:val="TextBody"/>
        <w:bidi w:val="0"/>
        <w:spacing w:before="32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filed by the Registrant with the Commission pursuant to the Securities Exchange Act of 1934, as amended (the “Exchange Act”), are hereby incorporated by reference herein and shall be deemed to be a part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Annual Report on Form 10-K for the fiscal year ended December 31, 2024, filed with the Commission on February 18,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other reports filed pursuant to Section 13(a) or 15(d) of the 1934 Act since the end of the fiscal year covered by the Registrant’s Annual Report on Form 10-K for the year ended December 31, 2024 referred to in (a) above;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Registration Statement on Form 8-A filed with the Commission on November 16, 2015 pursuant to Section 12(b) of the 1934 Act, in which there is described the terms, rights, and provisions applicable to the Registrant’s outstanding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Unless expressly incorporated into this Registration Statement, a report furnished but not filed on Form 8-K under the 1934 Act shall not be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permitted by the Delaware General Corporation Law, the Registrant has adopted provisions in its amended and restated certificate of incorporation and amended and restated by-laws that limit or eliminate the personal liability of its directors. Consequently, a director will not be personally liable to the Registrant or the Registrant’s stockholders for monetary damages for breach of fiduciary duty as a director, except for liability for: (i) any breach of the director’s duty of loyalty to the Registrant or the Registrant’s stockholders; (ii) any act or omission not in good faith or that involves intentional misconduct or a knowing violation of law; (iii) any unlawful payments related to dividends or unlawful stock repurchases, redemptions or other distributions; or (iv) any transaction from which the director derived an improper personal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limitations of liability do not alter director liability under the federal securities laws and do not affect the availability of equitable remedies such as an injunction or rescission.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Registrant’s amended and restated by-laws provide that: (i) the Registrant will indemnify its directors, officers and, in the discretion of its board of directors, certain employees to the fullest extent permitted by the Delaware General Corporation Law; and (ii) advance expenses, including attorneys’ fees, to the Registrant’s directors and, in the discretion of the Registrant’s board of directors, to its officers and certain employees, in connection with legal proceedings, subject to limited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amended and restated certificate of incorporation that became effective immediately prior to the completion of its initial public offering provides that the Registrant will indemnify each of its directors to the fullest extent permitted by the Delaware General Corporation Law and advance expenses to each indemnitee in connection with any proceeding in which indemnification is available.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also maintains general liability insurance to provide insurance coverage to its directors and officers for losses arising out of claims based on acts or omissions in their capacities as directors or officers, including liabilities under the 1933 Act. Insofar as indemnification for liabilities arising under the 1933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may discourage stockholders from bringing a lawsuit against the Registrant’s directors in the future for any breach of their fiduciary duty. These provisions may also have the effect of reducing the likelihood of derivative litigation against directors and officers, even though such an action, if successful, might otherwise benefit the Registrant and its stockholders. Furthermore, a stockholder’s investment may be adversely affected to the extent the Registrant pays the costs of settlement and damage awards against directors, officers and certain employees pursuant to these indemnification provisions. The Registrant believes that these provisions, the indemnification agreements and the insurance are necessary to attract and retain talented and experienced directors and officers.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Company (Incorporated by reference, Exhibit 3.1 to the Company’s Current Report on Form 8-K (No. 001-37635) filed November 24, 2015).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the Company (Incorporated by reference, Exhibit 3.2 to the Company’s Current Report on Form 8-K (No. 001-37635 filed November 24, 2015).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Certificate evidencing shares of Company’s common stock (Incorporated by reference, Exhibit 4.1 to Amendment No. 1 to the Company’s Registration Statement on Form S-1 (No. 333-207393) filed October 30, 2015).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Securities (Incorporated by reference, Exhibit 4.13 to the Company’s Annual Report on Form 10-K filed March 12, 2020).</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5_1.htm">
              <w:r>
                <w:rPr>
                  <w:rStyle w:val="InternetLink"/>
                  <w:rFonts w:ascii="Times New Roman" w:hAnsi="Times New Roman"/>
                  <w:color w:val="0000FF"/>
                  <w:sz w:val="20"/>
                  <w:u w:val="single"/>
                </w:rPr>
                <w:t>Opinion and Consent of DLA Piper LLP (US).</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5_1.htm">
              <w:r>
                <w:rPr>
                  <w:rStyle w:val="InternetLink"/>
                  <w:rFonts w:ascii="Times New Roman" w:hAnsi="Times New Roman"/>
                  <w:color w:val="0000FF"/>
                  <w:sz w:val="20"/>
                  <w:u w:val="single"/>
                </w:rPr>
                <w:t>Consent of DLA Piper LLP (US) is contained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23_2.htm">
              <w:r>
                <w:rPr>
                  <w:rStyle w:val="InternetLink"/>
                  <w:rFonts w:ascii="Times New Roman" w:hAnsi="Times New Roman"/>
                  <w:color w:val="0000FF"/>
                  <w:sz w:val="20"/>
                  <w:u w:val="single"/>
                </w:rPr>
                <w:t>Consent of Deloitte &amp; Touche LLP,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23_3.htm">
              <w:r>
                <w:rPr>
                  <w:rStyle w:val="InternetLink"/>
                  <w:rFonts w:ascii="Times New Roman" w:hAnsi="Times New Roman"/>
                  <w:color w:val="0000FF"/>
                  <w:sz w:val="20"/>
                  <w:u w:val="single"/>
                </w:rPr>
                <w:t>Consent of Ernst &amp; Young LLP,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Reference is made to page 6 of this Registration Statement.</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Axsome Therapeutics, Inc. 2025 Long-Term Incentive Plan (Incorporated by reference, Exhibit 10.4 to the Company’s Quarterly Report on Form 10-Q filed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Axsome Therapeutics, Inc. Form of Standard Restricted Stock Units Agreement pursuant to the 2025 Long-Term Incentive Plan (Incorporated by reference, Exhibit 10.5 to the Company’s Quarterly Report on Form 10-Q filed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Axsome Therapeutics, Inc. Form of Director Restricted Stock Units Agreement pursuant to the 2025 Long-Term Incentive Plan (Incorporated by reference, Exhibit 10.6 to the Company’s Quarterly Report on Form 10-Q filed on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Axsome Therapeutics, Inc. Form of Executive Deferral Restricted Stock Units Agreement pursuant to the 2025 Long-Term Incentive Plan (Incorporated by reference, Exhibit 10.7 to the Company’s Quarterly Report on Form 10-Q filed on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Axsome Therapeutics, Inc. Form of Standard Nonstatutory Stock Option Agreement pursuant to the 2025 Long-Term Incentive Plan (Incorporated by reference, Exhibit 10.8 to the Company’s Quarterly Report on Form 10-Q filed on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Axsome Therapeutics, Inc. Form of Director Nonstatutory Stock Option Agreement pursuant to the 2025 Long-Term Incentive Plan (Incorporated by reference, Exhibit 10.9 to the Company’s Quarterly Report on Form 10-Q filed on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Axsome Therapeutics, Inc. Form of Performance-Based Restricted Stock Unit Agreement pursuant to the 2025 Long-Term Incentive Plan (Incorporated by reference, Exhibit 10.10 to the Company’s Quarterly Report on Form 10-Q filed on August 4,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_exfilingfees.htm">
              <w:r>
                <w:rPr>
                  <w:rStyle w:val="InternetLink"/>
                  <w:rFonts w:ascii="Times New Roman" w:hAnsi="Times New Roman"/>
                  <w:color w:val="0000FF"/>
                  <w:sz w:val="20"/>
                  <w:u w:val="single"/>
                </w:rPr>
                <w:t>Filing Fee Table.</w:t>
              </w:r>
            </w:hyperlink>
            <w:hyperlink w:anchor="axsm_exfilingfees.htm">
              <w:r>
                <w:rPr>
                  <w:rStyle w:val="InternetLink"/>
                  <w:rFonts w:ascii="Times New Roman" w:hAnsi="Times New Roman"/>
                  <w:color w:val="0000FF"/>
                  <w:sz w:val="24"/>
                </w:rPr>
                <w:t xml:space="preserve"> </w:t>
              </w:r>
            </w:hyperlink>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undersigned Registrant hereby undertakes: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file, during any period in which offers or sales are being made, a post-effective amendment to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include any prospectus required by Section 10(a)(3) of the Securities Act of 1933;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include any material information with respect to the plan of distribution not previously disclosed in this Registration Statement or any material change to such information in this Registration Statement; provided, however, that paragraphs (a)(1)(i) and (a)(1)(ii) do not apply if the information required to be included in a post-effective amendment by those paragraphs is contained in periodic reports filed with or furnished to the Commission by Registrant pursuant to Section 13 or Section 15(d) of the Securities Exchange Act of 1934 that are incorporated by reference in this Registration Statement;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remove from registration by means of a post-effective amendment any of the securities being registered which remain unsold at the termination of the offering.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7th day of August, 2025.</w:t>
      </w:r>
    </w:p>
    <w:tbl>
      <w:tblPr>
        <w:tblW w:w="3206" w:type="dxa"/>
        <w:jc w:val="left"/>
        <w:tblInd w:w="0" w:type="dxa"/>
        <w:tblLayout w:type="fixed"/>
        <w:tblCellMar>
          <w:top w:w="28" w:type="dxa"/>
          <w:left w:w="28" w:type="dxa"/>
          <w:bottom w:w="28" w:type="dxa"/>
          <w:right w:w="28" w:type="dxa"/>
        </w:tblCellMar>
      </w:tblPr>
      <w:tblGrid>
        <w:gridCol w:w="161"/>
        <w:gridCol w:w="403"/>
        <w:gridCol w:w="2642"/>
      </w:tblGrid>
      <w:tr>
        <w:trPr/>
        <w:tc>
          <w:tcPr>
            <w:tcW w:w="1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AXSOME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Herriot Tabuteau,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0"/>
          <w:u w:val="single"/>
        </w:rPr>
      </w:pPr>
      <w:bookmarkStart w:id="2" w:name="power_attorney"/>
      <w:bookmarkEnd w:id="2"/>
      <w:r>
        <w:rPr>
          <w:rFonts w:ascii="Times New Roman" w:hAnsi="Times New Roman"/>
          <w:b/>
          <w:color w:val="000000"/>
          <w:sz w:val="20"/>
          <w:u w:val="single"/>
        </w:rPr>
        <w:t>POWER OF ATTORNEY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 ALL PERSONS BY THESE PRESENTS: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pStyle w:val="TextBody"/>
        <w:bidi w:val="0"/>
        <w:spacing w:before="120" w:after="4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2572"/>
        <w:gridCol w:w="146"/>
        <w:gridCol w:w="6017"/>
        <w:gridCol w:w="146"/>
        <w:gridCol w:w="1324"/>
      </w:tblGrid>
      <w:tr>
        <w:trPr/>
        <w:tc>
          <w:tcPr>
            <w:tcW w:w="2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6017"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Herriot Tabuteau, M.D.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 (Principal Executive Officer)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Herriot Tabuteau, M.D.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Nick Pizzie, CPA, M.B.A.</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Nick Pizzie, CPA, M.B.A.</w:t>
            </w:r>
          </w:p>
          <w:p>
            <w:pPr>
              <w:pStyle w:val="TableContents"/>
              <w:bidi w:val="0"/>
              <w:spacing w:before="0" w:after="283"/>
              <w:jc w:val="center"/>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601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324" w:type="dxa"/>
            <w:vMerge w:val="continue"/>
            <w:tcBorders/>
            <w:tcMar>
              <w:top w:w="0" w:type="dxa"/>
              <w:left w:w="0" w:type="dxa"/>
              <w:bottom w:w="0" w:type="dxa"/>
              <w:right w:w="0" w:type="dxa"/>
            </w:tcMar>
            <w:vAlign w:val="center"/>
          </w:tcPr>
          <w:p>
            <w:pPr>
              <w:pStyle w:val="Normal"/>
              <w:bidi w:val="0"/>
              <w:jc w:val="left"/>
              <w:rPr/>
            </w:pPr>
            <w:r>
              <w:rPr/>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Coleman, M.D.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Mark Coleman, M.D.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Jeffs, Ph.D.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Roger Jeffs, Ph.D.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Mahony, Ph.D., M.B.A.</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Susan Mahony, Ph.D., M.B.A.</w:t>
            </w:r>
          </w:p>
          <w:p>
            <w:pPr>
              <w:pStyle w:val="TableContents"/>
              <w:bidi w:val="0"/>
              <w:spacing w:before="0" w:after="283"/>
              <w:jc w:val="center"/>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601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324" w:type="dxa"/>
            <w:vMerge w:val="continue"/>
            <w:tcBorders/>
            <w:tcMar>
              <w:top w:w="0" w:type="dxa"/>
              <w:left w:w="0" w:type="dxa"/>
              <w:bottom w:w="0" w:type="dxa"/>
              <w:right w:w="0" w:type="dxa"/>
            </w:tcMar>
            <w:vAlign w:val="center"/>
          </w:tcPr>
          <w:p>
            <w:pPr>
              <w:pStyle w:val="Normal"/>
              <w:bidi w:val="0"/>
              <w:jc w:val="left"/>
              <w:rPr/>
            </w:pPr>
            <w:r>
              <w:rPr/>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Saad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Saad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bookmarkStart w:id="3" w:name="axsm-ex5_1.htm"/>
      <w:bookmarkStart w:id="4" w:name="ksaxsmex5_1"/>
      <w:bookmarkEnd w:id="3"/>
      <w:bookmarkEnd w:id="4"/>
      <w:r>
        <w:rPr/>
        <w:t> </w:t>
      </w:r>
      <w:r>
        <w:br w:type="page"/>
      </w:r>
    </w:p>
    <w:p>
      <w:pPr>
        <w:pStyle w:val="TextBody"/>
        <w:bidi w:val="0"/>
        <w:jc w:val="right"/>
        <w:rPr>
          <w:rFonts w:ascii="Times New Roman" w:hAnsi="Times New Roman"/>
          <w:b/>
          <w:color w:val="000000"/>
          <w:sz w:val="20"/>
        </w:rPr>
      </w:pPr>
      <w:bookmarkStart w:id="5" w:name="pb_5_002534_3476"/>
      <w:bookmarkStart w:id="6" w:name="pb_5_093821_5796"/>
      <w:bookmarkEnd w:id="5"/>
      <w:bookmarkEnd w:id="6"/>
      <w:r>
        <w:rPr>
          <w:rFonts w:ascii="Times New Roman" w:hAnsi="Times New Roman"/>
          <w:b/>
          <w:color w:val="000000"/>
          <w:sz w:val="20"/>
        </w:rPr>
        <w:t>Exhibit 5.1</w:t>
      </w:r>
    </w:p>
    <w:p>
      <w:pPr>
        <w:pStyle w:val="TextBody"/>
        <w:bidi w:val="0"/>
        <w:jc w:val="right"/>
        <w:rPr>
          <w:rFonts w:ascii="Times New Roman" w:hAnsi="Times New Roman"/>
          <w:color w:val="000000"/>
          <w:sz w:val="20"/>
        </w:rPr>
      </w:pPr>
      <w:r>
        <w:rPr>
          <w:rFonts w:ascii="Times New Roman" w:hAnsi="Times New Roman"/>
          <w:color w:val="000000"/>
          <w:sz w:val="20"/>
        </w:rPr>
        <w:t>DLA Piper LLP (US)</w:t>
      </w:r>
    </w:p>
    <w:p>
      <w:pPr>
        <w:pStyle w:val="TextBody"/>
        <w:bidi w:val="0"/>
        <w:jc w:val="right"/>
        <w:rPr>
          <w:rFonts w:ascii="Times New Roman" w:hAnsi="Times New Roman"/>
          <w:color w:val="000000"/>
          <w:sz w:val="20"/>
        </w:rPr>
      </w:pPr>
      <w:r>
        <w:rPr>
          <w:rFonts w:ascii="Times New Roman" w:hAnsi="Times New Roman"/>
          <w:color w:val="000000"/>
          <w:sz w:val="20"/>
        </w:rPr>
        <w:t>51 John F. Kennedy Parkway, Suite 120</w:t>
      </w:r>
    </w:p>
    <w:p>
      <w:pPr>
        <w:pStyle w:val="TextBody"/>
        <w:bidi w:val="0"/>
        <w:jc w:val="right"/>
        <w:rPr>
          <w:rFonts w:ascii="Times New Roman" w:hAnsi="Times New Roman"/>
          <w:color w:val="000000"/>
          <w:sz w:val="20"/>
        </w:rPr>
      </w:pPr>
      <w:r>
        <w:rPr>
          <w:rFonts w:ascii="Times New Roman" w:hAnsi="Times New Roman"/>
          <w:color w:val="000000"/>
          <w:sz w:val="20"/>
        </w:rPr>
        <w:t>Short Hills, New Jersey 07078</w:t>
      </w:r>
    </w:p>
    <w:p>
      <w:pPr>
        <w:pStyle w:val="TextBody"/>
        <w:bidi w:val="0"/>
        <w:jc w:val="right"/>
        <w:rPr>
          <w:rFonts w:ascii="Times New Roman" w:hAnsi="Times New Roman"/>
          <w:color w:val="000000"/>
          <w:sz w:val="20"/>
        </w:rPr>
      </w:pPr>
      <w:r>
        <w:rPr>
          <w:rFonts w:ascii="Times New Roman" w:hAnsi="Times New Roman"/>
          <w:color w:val="000000"/>
          <w:sz w:val="20"/>
        </w:rPr>
        <w:t>www.dlapiper.com</w:t>
      </w:r>
    </w:p>
    <w:p>
      <w:pPr>
        <w:pStyle w:val="TextBody"/>
        <w:bidi w:val="0"/>
        <w:jc w:val="right"/>
        <w:rPr>
          <w:rFonts w:ascii="Times New Roman" w:hAnsi="Times New Roman"/>
          <w:color w:val="000000"/>
          <w:sz w:val="20"/>
        </w:rPr>
      </w:pPr>
      <w:r>
        <w:rPr>
          <w:rFonts w:ascii="Times New Roman" w:hAnsi="Times New Roman"/>
          <w:color w:val="000000"/>
          <w:sz w:val="20"/>
        </w:rPr>
        <w:t>T: 973-520-2550</w:t>
      </w:r>
    </w:p>
    <w:p>
      <w:pPr>
        <w:pStyle w:val="TextBody"/>
        <w:bidi w:val="0"/>
        <w:jc w:val="right"/>
        <w:rPr>
          <w:rFonts w:ascii="Times New Roman" w:hAnsi="Times New Roman"/>
          <w:color w:val="000000"/>
          <w:sz w:val="20"/>
        </w:rPr>
      </w:pPr>
      <w:r>
        <w:rPr>
          <w:rFonts w:ascii="Times New Roman" w:hAnsi="Times New Roman"/>
          <w:color w:val="000000"/>
          <w:sz w:val="20"/>
        </w:rPr>
        <w:t>F: 973-520-2551</w:t>
      </w:r>
    </w:p>
    <w:p>
      <w:pPr>
        <w:pStyle w:val="TextBody"/>
        <w:bidi w:val="0"/>
        <w:jc w:val="right"/>
        <w:rPr>
          <w:rFonts w:ascii="Times New Roman" w:hAnsi="Times New Roman"/>
          <w:color w:val="000000"/>
          <w:sz w:val="20"/>
        </w:rPr>
      </w:pPr>
      <w:r>
        <w:rPr>
          <w:rFonts w:ascii="Times New Roman" w:hAnsi="Times New Roman"/>
          <w:color w:val="000000"/>
          <w:sz w:val="20"/>
        </w:rPr>
        <w:t>Attorney Responsible for Short Hills Office:</w:t>
      </w:r>
    </w:p>
    <w:p>
      <w:pPr>
        <w:pStyle w:val="TextBody"/>
        <w:bidi w:val="0"/>
        <w:jc w:val="right"/>
        <w:rPr>
          <w:rFonts w:ascii="Times New Roman" w:hAnsi="Times New Roman"/>
          <w:color w:val="000000"/>
          <w:sz w:val="20"/>
        </w:rPr>
      </w:pPr>
      <w:r>
        <w:rPr>
          <w:rFonts w:ascii="Times New Roman" w:hAnsi="Times New Roman"/>
          <w:color w:val="000000"/>
          <w:sz w:val="20"/>
        </w:rPr>
        <w:t>Emilio Ragosa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August 7,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Axsome Therapeutics, Inc.</w:t>
      </w:r>
    </w:p>
    <w:p>
      <w:pPr>
        <w:pStyle w:val="TextBody"/>
        <w:bidi w:val="0"/>
        <w:jc w:val="both"/>
        <w:rPr>
          <w:rFonts w:ascii="Times New Roman" w:hAnsi="Times New Roman"/>
          <w:color w:val="000000"/>
          <w:sz w:val="20"/>
        </w:rPr>
      </w:pPr>
      <w:r>
        <w:rPr>
          <w:rFonts w:ascii="Times New Roman" w:hAnsi="Times New Roman"/>
          <w:color w:val="000000"/>
          <w:sz w:val="20"/>
        </w:rPr>
        <w:t>One World Trade Center, 29th Floor</w:t>
      </w:r>
    </w:p>
    <w:p>
      <w:pPr>
        <w:pStyle w:val="TextBody"/>
        <w:bidi w:val="0"/>
        <w:jc w:val="both"/>
        <w:rPr>
          <w:rFonts w:ascii="Times New Roman" w:hAnsi="Times New Roman"/>
          <w:color w:val="000000"/>
          <w:sz w:val="20"/>
        </w:rPr>
      </w:pPr>
      <w:r>
        <w:rPr>
          <w:rFonts w:ascii="Times New Roman" w:hAnsi="Times New Roman"/>
          <w:color w:val="000000"/>
          <w:sz w:val="20"/>
        </w:rPr>
        <w:t>New York, New York 10007</w:t>
      </w:r>
    </w:p>
    <w:tbl>
      <w:tblPr>
        <w:tblW w:w="5792" w:type="dxa"/>
        <w:jc w:val="left"/>
        <w:tblInd w:w="0" w:type="dxa"/>
        <w:tblLayout w:type="fixed"/>
        <w:tblCellMar>
          <w:top w:w="28" w:type="dxa"/>
          <w:left w:w="28" w:type="dxa"/>
          <w:bottom w:w="28" w:type="dxa"/>
          <w:right w:w="28" w:type="dxa"/>
        </w:tblCellMar>
      </w:tblPr>
      <w:tblGrid>
        <w:gridCol w:w="406"/>
        <w:gridCol w:w="5386"/>
      </w:tblGrid>
      <w:tr>
        <w:trPr/>
        <w:tc>
          <w:tcPr>
            <w:tcW w:w="40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w:t>
            </w:r>
          </w:p>
        </w:tc>
        <w:tc>
          <w:tcPr>
            <w:tcW w:w="5386" w:type="dxa"/>
            <w:tcBorders/>
            <w:tcMar>
              <w:top w:w="0" w:type="dxa"/>
              <w:left w:w="0" w:type="dxa"/>
              <w:bottom w:w="0" w:type="dxa"/>
              <w:right w:w="0" w:type="dxa"/>
            </w:tcMar>
            <w:vAlign w:val="center"/>
          </w:tcPr>
          <w:p>
            <w:pPr>
              <w:pStyle w:val="TableContents"/>
              <w:pBdr>
                <w:bottom w:val="single" w:sz="8" w:space="6" w:color="000000"/>
              </w:pBdr>
              <w:bidi w:val="0"/>
              <w:spacing w:before="0" w:after="283"/>
              <w:jc w:val="both"/>
              <w:rPr>
                <w:rFonts w:ascii="Times New Roman" w:hAnsi="Times New Roman"/>
                <w:color w:val="000000"/>
                <w:sz w:val="20"/>
              </w:rPr>
            </w:pPr>
            <w:r>
              <w:rPr>
                <w:rFonts w:ascii="Times New Roman" w:hAnsi="Times New Roman"/>
                <w:color w:val="000000"/>
                <w:sz w:val="20"/>
              </w:rPr>
              <w:t xml:space="preserve">Axsome Therapeutics, Inc. - Registration Statement on Form S-8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Dear Ladies and Gentlemen: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3,000,000 shares of common stock (the “Plan Shares”) of the Company’s common stock, par value $0.0001 per share, issuable under the Axsome Therapeutics, Inc. 2025 Long-Term Incentive Plan (the “Plan”), as referenced in the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the foregoing, we are of the opinion that the Plan Shares have been duly authorized and, when and to the extent issued in accordance with the terms of the Plan and any award agreement entered into under the Plan, the Plan Shares will be validly issued, fully paid and nonassessable.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opinion expressed herein is limited to the Delaware General Corporation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Very truly yours,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DLA Piper LLP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DLA Piper LLP (US)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axsm-ex23_2.htm"/>
      <w:bookmarkStart w:id="8" w:name="ksaxsmex23_2"/>
      <w:bookmarkEnd w:id="7"/>
      <w:bookmarkEnd w:id="8"/>
      <w:r>
        <w:rPr/>
        <w:t> </w:t>
      </w:r>
      <w:r>
        <w:br w:type="page"/>
      </w:r>
    </w:p>
    <w:p>
      <w:pPr>
        <w:pStyle w:val="TextBody"/>
        <w:bidi w:val="0"/>
        <w:spacing w:before="0" w:after="160"/>
        <w:jc w:val="right"/>
        <w:rPr>
          <w:rFonts w:ascii="sans-serif" w:hAnsi="sans-serif"/>
          <w:b/>
          <w:color w:val="000000"/>
          <w:sz w:val="22"/>
        </w:rPr>
      </w:pPr>
      <w:r>
        <w:rPr>
          <w:rFonts w:ascii="sans-serif" w:hAnsi="sans-serif"/>
          <w:b/>
          <w:color w:val="000000"/>
          <w:sz w:val="22"/>
        </w:rPr>
        <w:t>Exhibit 23.2</w:t>
      </w:r>
    </w:p>
    <w:p>
      <w:pPr>
        <w:pStyle w:val="TextBody"/>
        <w:bidi w:val="0"/>
        <w:jc w:val="left"/>
        <w:rPr>
          <w:rFonts w:ascii="sans-serif" w:hAnsi="sans-serif"/>
          <w:color w:val="000000"/>
          <w:sz w:val="22"/>
        </w:rPr>
      </w:pPr>
      <w:r>
        <w:rPr>
          <w:rFonts w:ascii="sans-serif" w:hAnsi="sans-serif"/>
          <w:color w:val="000000"/>
          <w:sz w:val="22"/>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We consent to the incorporation by reference in this Registration Statement on Form S-8 of our reports dated February 18, 2025 relating to the financial statements of Axsome Therapeutics, Inc. and the effectiveness of Axsome Therapeutics, Inc.'s internal control over financial reporting, appearing in the Annual Report on Form 10-K of Axsome Therapeutics, Inc. for the year ended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/s/ Deloitte &amp; Touche LLP</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Morristown, New Jersey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August 7,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 w:name="axsm-ex23_3.htm"/>
      <w:bookmarkStart w:id="10" w:name="ksaxsmex23_3"/>
      <w:bookmarkEnd w:id="9"/>
      <w:bookmarkEnd w:id="10"/>
      <w:r>
        <w:rPr/>
        <w:t> </w:t>
      </w:r>
      <w:r>
        <w:br w:type="page"/>
      </w:r>
    </w:p>
    <w:p>
      <w:pPr>
        <w:pStyle w:val="TextBody"/>
        <w:bidi w:val="0"/>
        <w:spacing w:before="0" w:after="160"/>
        <w:jc w:val="right"/>
        <w:rPr>
          <w:rFonts w:ascii="Times New Roman" w:hAnsi="Times New Roman"/>
          <w:b/>
          <w:color w:val="000000"/>
          <w:sz w:val="24"/>
        </w:rPr>
      </w:pPr>
      <w:r>
        <w:rPr>
          <w:rFonts w:ascii="Times New Roman" w:hAnsi="Times New Roman"/>
          <w:b/>
          <w:color w:val="000000"/>
          <w:sz w:val="24"/>
        </w:rPr>
        <w:t>Exhibit 23.3</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0" w:after="160"/>
        <w:jc w:val="both"/>
        <w:rPr>
          <w:rFonts w:ascii="Times New Roman" w:hAnsi="Times New Roman"/>
          <w:sz w:val="20"/>
        </w:rPr>
      </w:pPr>
      <w:r>
        <w:rPr>
          <w:rFonts w:ascii="Times New Roman" w:hAnsi="Times New Roman"/>
          <w:color w:val="000000"/>
          <w:sz w:val="24"/>
        </w:rPr>
        <w:t>We consent to the incorporation by reference in the Registration Statement (Form S-8) pertaining to the Axsome Therapeutics, Inc. 2025 Long-Term Incentive Plan of our report dated February 27, 2023, with respect to the consolidated financial statements of Axsome Therapeutics, Inc. included in its Annual Report (Form 10-K) for the year ended December 31, 2024, filed with the Securities and Exchange Commission.</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/s/ Ernst &amp; Young LLP</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br/>
        <w:t>New York, NY</w:t>
        <w:br/>
        <w:t>August 7, 2025</w:t>
      </w:r>
    </w:p>
    <w:p>
      <w:pPr>
        <w:pStyle w:val="TextBody"/>
        <w:bidi w:val="0"/>
        <w:spacing w:before="0" w:after="160"/>
        <w:jc w:val="left"/>
        <w:rPr/>
      </w:pPr>
      <w:r>
        <w:rPr/>
        <w:t> </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aps/>
          <w:color w:val="000000"/>
          <w:sz w:val="20"/>
        </w:rPr>
      </w:pPr>
      <w:bookmarkStart w:id="11" w:name="axsm_exfilingfees.htm"/>
      <w:bookmarkStart w:id="12" w:name="ksaxsm_exfilingfees"/>
      <w:bookmarkEnd w:id="11"/>
      <w:bookmarkEnd w:id="12"/>
      <w:r>
        <w:rPr>
          <w:rFonts w:ascii="Times New Roman" w:hAnsi="Times New Roman"/>
          <w:b/>
          <w:caps/>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b/>
          <w:color w:val="000000"/>
          <w:sz w:val="20"/>
        </w:rPr>
      </w:pPr>
      <w:r>
        <w:rPr>
          <w:rFonts w:ascii="Times New Roman" w:hAnsi="Times New Roman"/>
          <w:b/>
          <w:color w:val="000000"/>
          <w:sz w:val="20"/>
        </w:rPr>
        <w:t>(Form Type)</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Table 1: Newly Registered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4"/>
        <w:gridCol w:w="146"/>
        <w:gridCol w:w="1501"/>
        <w:gridCol w:w="146"/>
        <w:gridCol w:w="1207"/>
        <w:gridCol w:w="146"/>
        <w:gridCol w:w="146"/>
        <w:gridCol w:w="826"/>
        <w:gridCol w:w="146"/>
        <w:gridCol w:w="146"/>
        <w:gridCol w:w="196"/>
        <w:gridCol w:w="601"/>
        <w:gridCol w:w="146"/>
        <w:gridCol w:w="146"/>
        <w:gridCol w:w="196"/>
        <w:gridCol w:w="1006"/>
        <w:gridCol w:w="146"/>
        <w:gridCol w:w="146"/>
        <w:gridCol w:w="196"/>
        <w:gridCol w:w="961"/>
        <w:gridCol w:w="146"/>
        <w:gridCol w:w="146"/>
        <w:gridCol w:w="210"/>
        <w:gridCol w:w="646"/>
        <w:gridCol w:w="193"/>
      </w:tblGrid>
      <w:tr>
        <w:trPr/>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Class</w:t>
              <w:b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Calculation</w:t>
              <w:br/>
              <w:t>Rule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Amount</w:t>
              <w:br/>
              <w:t>Registered</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Proposed</w:t>
              <w:br/>
              <w:t>Maximum</w:t>
              <w:br/>
              <w:t>Offering</w:t>
              <w:br/>
              <w:t>Price Per</w:t>
              <w:br/>
              <w:t>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Aggregate</w:t>
              <w:br/>
              <w:t>Offering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of</w:t>
              <w:br/>
              <w:t>Registration</w:t>
              <w:br/>
              <w:t>Fee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457(c) and Rule 457(h)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308,190,000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Offering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308,190,000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gridSpan w:val="1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Fee Offsets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1"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Fee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8"/>
        <w:gridCol w:w="9776"/>
      </w:tblGrid>
      <w:tr>
        <w:trPr/>
        <w:tc>
          <w:tcPr>
            <w:tcW w:w="1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pPr>
            <w:r>
              <w:rPr/>
              <w:t> </w:t>
            </w:r>
          </w:p>
        </w:tc>
        <w:tc>
          <w:tcPr>
            <w:tcW w:w="9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9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Pursuant to Rule 416(a) under the Securities Act of 1933, as amended (the “Securities Act”), this registration statement (the “Registration Statement”) shall also cover any additional shares of the Registrant’s common stock, $0.0001 par value per share (“Common Stock”) that become issuable pursuant to the Registrant’s 2025 Long-Term Incentive Plan (the “2025 Plan”) by reason of any stock dividend, stock split, recapitalization or other similar transaction effected without the receipt of consideration that increases the number of the Registrant’s outstanding shares of Common Stock.</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763"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Such number includes 2,500,000 shares of the Registrant’s Common Stock under the 2025 Plan and an additional 500,000 shares of the Registrant’s Common Stock under the Amended and Restated 2015 Omnibus Incentive Compensation Plan that may be forfeited and rolled over into the 2025 Plan.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2"/>
        <w:gridCol w:w="9762"/>
      </w:tblGrid>
      <w:tr>
        <w:trPr/>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9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in accordance with Rule 457(c) and (h) under the Securities Act solely for the purpose of calculating the registration fee on the basis of $102.73, the average of the high and low prices of the Registrant’s Common Stock as reported on The Nasdaq Global Market on August 6, 2025.</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9428/000110465915081125/a15-24048_1ex3d1.htm" TargetMode="External"/><Relationship Id="rId3" Type="http://schemas.openxmlformats.org/officeDocument/2006/relationships/hyperlink" Target="https://www.sec.gov/Archives/edgar/data/1579428/000110465915081125/a15-24048_1ex3d2.htm" TargetMode="External"/><Relationship Id="rId4" Type="http://schemas.openxmlformats.org/officeDocument/2006/relationships/hyperlink" Target="https://www.sec.gov/Archives/edgar/data/1579428/000104746915008199/a2226320zex-4_1.htm" TargetMode="External"/><Relationship Id="rId5" Type="http://schemas.openxmlformats.org/officeDocument/2006/relationships/hyperlink" Target="https://www.sec.gov/Archives/edgar/data/1579428/000155837020002573/axsm-20191231ex4132a1d5e.htm" TargetMode="External"/><Relationship Id="rId6" Type="http://schemas.openxmlformats.org/officeDocument/2006/relationships/hyperlink" Target="https://www.sec.gov/Archives/edgar/data/1579428/000095017025102148/axsm-ex10_4.htm" TargetMode="External"/><Relationship Id="rId7" Type="http://schemas.openxmlformats.org/officeDocument/2006/relationships/hyperlink" Target="https://www.sec.gov/Archives/edgar/data/1579428/000095017025102148/axsm-ex10_5.htm" TargetMode="External"/><Relationship Id="rId8" Type="http://schemas.openxmlformats.org/officeDocument/2006/relationships/hyperlink" Target="https://www.sec.gov/Archives/edgar/data/1579428/000095017025102148/axsm-ex10_6.htm" TargetMode="External"/><Relationship Id="rId9" Type="http://schemas.openxmlformats.org/officeDocument/2006/relationships/hyperlink" Target="https://www.sec.gov/Archives/edgar/data/1579428/000095017025102148/axsm-ex10_7.htm" TargetMode="External"/><Relationship Id="rId10" Type="http://schemas.openxmlformats.org/officeDocument/2006/relationships/hyperlink" Target="https://www.sec.gov/Archives/edgar/data/1579428/000095017025102148/axsm-ex10_8.htm" TargetMode="External"/><Relationship Id="rId11" Type="http://schemas.openxmlformats.org/officeDocument/2006/relationships/hyperlink" Target="https://www.sec.gov/Archives/edgar/data/1579428/000095017025102148/axsm-ex10_9.htm" TargetMode="External"/><Relationship Id="rId12" Type="http://schemas.openxmlformats.org/officeDocument/2006/relationships/hyperlink" Target="https://www.sec.gov/Archives/edgar/data/1579428/000095017025102148/axsm-ex10_10.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3456</Words>
  <Characters>18989</Characters>
  <CharactersWithSpaces>22463</CharactersWithSpaces>
  <Paragraphs>494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