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05464T104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619" w:firstLine="737"/>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right="8319" w:firstLine="8"/>
        <w:spacing w:after="0" w:line="536"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234" w:lineRule="auto"/>
        <w:rPr>
          <w:sz w:val="20"/>
          <w:szCs w:val="20"/>
          <w:color w:val="auto"/>
        </w:rPr>
      </w:pPr>
      <w:r>
        <w:rPr>
          <w:rFonts w:ascii="Courier New" w:cs="Courier New" w:eastAsia="Courier New" w:hAnsi="Courier New"/>
          <w:sz w:val="18"/>
          <w:szCs w:val="18"/>
          <w:color w:val="auto"/>
        </w:rPr>
        <w:t>__________</w:t>
      </w:r>
    </w:p>
    <w:p>
      <w:pPr>
        <w:spacing w:after="0" w:line="4" w:lineRule="exact"/>
        <w:rPr>
          <w:sz w:val="24"/>
          <w:szCs w:val="24"/>
          <w:color w:val="auto"/>
        </w:rPr>
      </w:pPr>
    </w:p>
    <w:p>
      <w:pPr>
        <w:ind w:right="2199" w:firstLine="737"/>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left="740"/>
        <w:spacing w:after="0" w:line="234" w:lineRule="auto"/>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38" w:lineRule="auto"/>
        <w:rPr>
          <w:sz w:val="20"/>
          <w:szCs w:val="20"/>
          <w:color w:val="auto"/>
        </w:rPr>
      </w:pPr>
      <w:r>
        <w:rPr>
          <w:rFonts w:ascii="Courier New" w:cs="Courier New" w:eastAsia="Courier New" w:hAnsi="Courier New"/>
          <w:sz w:val="18"/>
          <w:szCs w:val="18"/>
          <w:color w:val="auto"/>
        </w:rPr>
        <w:t>not be deemed to be filed for the purpose of Section 18 of the Securities</w:t>
      </w:r>
    </w:p>
    <w:p>
      <w:pPr>
        <w:spacing w:after="0"/>
        <w:rPr>
          <w:sz w:val="20"/>
          <w:szCs w:val="20"/>
          <w:color w:val="auto"/>
        </w:rPr>
      </w:pPr>
      <w:r>
        <w:rPr>
          <w:rFonts w:ascii="Courier New" w:cs="Courier New" w:eastAsia="Courier New" w:hAnsi="Courier New"/>
          <w:sz w:val="18"/>
          <w:szCs w:val="18"/>
          <w:color w:val="auto"/>
        </w:rPr>
        <w:t>Exchange Act of 1934 (Act) or otherwise subject to the liabilities of that</w:t>
      </w:r>
    </w:p>
    <w:p>
      <w:pPr>
        <w:spacing w:after="0" w:line="237" w:lineRule="auto"/>
        <w:rPr>
          <w:sz w:val="20"/>
          <w:szCs w:val="20"/>
          <w:color w:val="auto"/>
        </w:rPr>
      </w:pPr>
      <w:r>
        <w:rPr>
          <w:rFonts w:ascii="Courier New" w:cs="Courier New" w:eastAsia="Courier New" w:hAnsi="Courier New"/>
          <w:sz w:val="18"/>
          <w:szCs w:val="18"/>
          <w:color w:val="auto"/>
        </w:rPr>
        <w:t>section of the Act but shall be subject to all other provisions of the Act</w:t>
      </w:r>
    </w:p>
    <w:p>
      <w:pPr>
        <w:spacing w:after="0"/>
        <w:rPr>
          <w:sz w:val="20"/>
          <w:szCs w:val="20"/>
          <w:color w:val="auto"/>
        </w:rPr>
      </w:pPr>
      <w:r>
        <w:rPr>
          <w:rFonts w:ascii="Courier New" w:cs="Courier New" w:eastAsia="Courier New" w:hAnsi="Courier New"/>
          <w:sz w:val="18"/>
          <w:szCs w:val="18"/>
          <w:color w:val="auto"/>
        </w:rPr>
        <w:t>(however, see the Notes).</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05464T104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704,000</w:t>
      </w:r>
    </w:p>
    <w:p>
      <w:pPr>
        <w:sectPr>
          <w:pgSz w:w="11900" w:h="16838" w:orient="portrait"/>
          <w:cols w:equalWidth="0" w:num="1">
            <w:col w:w="10219"/>
          </w:cols>
          <w:pgMar w:left="240" w:top="144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05464T104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94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1">
            <w:col w:w="10219"/>
          </w:cols>
          <w:pgMar w:left="240" w:top="946"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05464T104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6838" w:orient="portrait"/>
          <w:cols w:equalWidth="0" w:num="1">
            <w:col w:w="10219"/>
          </w:cols>
          <w:pgMar w:left="240" w:top="946" w:right="1440" w:bottom="132"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1,269,911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1,269,911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1,269,911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w:t>
      </w:r>
    </w:p>
    <w:p>
      <w:pPr>
        <w:sectPr>
          <w:pgSz w:w="11900" w:h="16838" w:orient="portrait"/>
          <w:cols w:equalWidth="0" w:num="1">
            <w:col w:w="10219"/>
          </w:cols>
          <w:pgMar w:left="240" w:top="339"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OO</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05464T104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219"/>
          </w:cols>
          <w:pgMar w:left="240" w:top="946" w:right="1440" w:bottom="537"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1,269,911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1,269,911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1,269,911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05464T104</w:t>
      </w:r>
    </w:p>
    <w:p>
      <w:pPr>
        <w:sectPr>
          <w:pgSz w:w="11900" w:h="16838" w:orient="portrait"/>
          <w:cols w:equalWidth="0" w:num="1">
            <w:col w:w="10219"/>
          </w:cols>
          <w:pgMar w:left="240" w:top="136" w:right="1440" w:bottom="133"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 Broadway 9th Floor</w:t>
      </w:r>
    </w:p>
    <w:p>
      <w:pPr>
        <w:spacing w:after="0" w:line="238" w:lineRule="auto"/>
        <w:rPr>
          <w:sz w:val="20"/>
          <w:szCs w:val="20"/>
          <w:color w:val="auto"/>
        </w:rPr>
      </w:pPr>
      <w:r>
        <w:rPr>
          <w:rFonts w:ascii="Courier New" w:cs="Courier New" w:eastAsia="Courier New" w:hAnsi="Courier New"/>
          <w:sz w:val="18"/>
          <w:szCs w:val="18"/>
          <w:color w:val="auto"/>
        </w:rPr>
        <w:t>New York, NY 10004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38" w:lineRule="auto"/>
        <w:rPr>
          <w:sz w:val="20"/>
          <w:szCs w:val="20"/>
          <w:color w:val="auto"/>
        </w:rPr>
      </w:pPr>
      <w:r>
        <w:rPr>
          <w:rFonts w:ascii="Courier New" w:cs="Courier New" w:eastAsia="Courier New" w:hAnsi="Courier New"/>
          <w:sz w:val="18"/>
          <w:szCs w:val="18"/>
          <w:color w:val="auto"/>
        </w:rPr>
        <w:t>Sabby Volatility Warrant Master Fund, Ltd.</w:t>
      </w: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37" w:lineRule="auto"/>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38" w:lineRule="auto"/>
        <w:rPr>
          <w:sz w:val="20"/>
          <w:szCs w:val="20"/>
          <w:color w:val="auto"/>
        </w:rPr>
      </w:pPr>
      <w:r>
        <w:rPr>
          <w:rFonts w:ascii="Courier New" w:cs="Courier New" w:eastAsia="Courier New" w:hAnsi="Courier New"/>
          <w:sz w:val="18"/>
          <w:szCs w:val="18"/>
          <w:color w:val="auto"/>
        </w:rPr>
        <w:t>c/o Ogier Fiduciary Services (Cayman) Limited</w:t>
      </w:r>
    </w:p>
    <w:p>
      <w:pPr>
        <w:spacing w:after="0"/>
        <w:rPr>
          <w:sz w:val="20"/>
          <w:szCs w:val="20"/>
          <w:color w:val="auto"/>
        </w:rPr>
      </w:pPr>
      <w:r>
        <w:rPr>
          <w:rFonts w:ascii="Courier New" w:cs="Courier New" w:eastAsia="Courier New" w:hAnsi="Courier New"/>
          <w:sz w:val="18"/>
          <w:szCs w:val="18"/>
          <w:color w:val="auto"/>
        </w:rPr>
        <w:t>89 Nexus Way, Camana Bay</w:t>
      </w:r>
    </w:p>
    <w:p>
      <w:pPr>
        <w:spacing w:after="0" w:line="237" w:lineRule="auto"/>
        <w:rPr>
          <w:sz w:val="20"/>
          <w:szCs w:val="20"/>
          <w:color w:val="auto"/>
        </w:rPr>
      </w:pPr>
      <w:r>
        <w:rPr>
          <w:rFonts w:ascii="Courier New" w:cs="Courier New" w:eastAsia="Courier New" w:hAnsi="Courier New"/>
          <w:sz w:val="18"/>
          <w:szCs w:val="18"/>
          <w:color w:val="auto"/>
        </w:rPr>
        <w:t>Grand Cayman KY1-9007</w:t>
      </w:r>
    </w:p>
    <w:p>
      <w:pPr>
        <w:spacing w:after="0" w:line="238" w:lineRule="auto"/>
        <w:rPr>
          <w:sz w:val="20"/>
          <w:szCs w:val="20"/>
          <w:color w:val="auto"/>
        </w:rPr>
      </w:pPr>
      <w:r>
        <w:rPr>
          <w:rFonts w:ascii="Courier New" w:cs="Courier New" w:eastAsia="Courier New" w:hAnsi="Courier New"/>
          <w:sz w:val="18"/>
          <w:szCs w:val="18"/>
          <w:color w:val="auto"/>
        </w:rPr>
        <w:t>Cayman Islands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c/o Ogier Fiduciary Services (Cayman) Limited</w:t>
      </w:r>
    </w:p>
    <w:p>
      <w:pPr>
        <w:spacing w:after="0"/>
        <w:rPr>
          <w:sz w:val="20"/>
          <w:szCs w:val="20"/>
          <w:color w:val="auto"/>
        </w:rPr>
      </w:pPr>
      <w:r>
        <w:rPr>
          <w:rFonts w:ascii="Courier New" w:cs="Courier New" w:eastAsia="Courier New" w:hAnsi="Courier New"/>
          <w:sz w:val="18"/>
          <w:szCs w:val="18"/>
          <w:color w:val="auto"/>
        </w:rPr>
        <w:t>89 Nexus Way, Camana Bay</w:t>
      </w:r>
    </w:p>
    <w:p>
      <w:pPr>
        <w:spacing w:after="0" w:line="237" w:lineRule="auto"/>
        <w:rPr>
          <w:sz w:val="20"/>
          <w:szCs w:val="20"/>
          <w:color w:val="auto"/>
        </w:rPr>
      </w:pPr>
      <w:r>
        <w:rPr>
          <w:rFonts w:ascii="Courier New" w:cs="Courier New" w:eastAsia="Courier New" w:hAnsi="Courier New"/>
          <w:sz w:val="18"/>
          <w:szCs w:val="18"/>
          <w:color w:val="auto"/>
        </w:rPr>
        <w:t>Grand Cayman KY1-9007</w:t>
      </w:r>
    </w:p>
    <w:p>
      <w:pPr>
        <w:spacing w:after="0" w:line="238" w:lineRule="auto"/>
        <w:rPr>
          <w:sz w:val="20"/>
          <w:szCs w:val="20"/>
          <w:color w:val="auto"/>
        </w:rPr>
      </w:pPr>
      <w:r>
        <w:rPr>
          <w:rFonts w:ascii="Courier New" w:cs="Courier New" w:eastAsia="Courier New" w:hAnsi="Courier New"/>
          <w:sz w:val="18"/>
          <w:szCs w:val="18"/>
          <w:color w:val="auto"/>
        </w:rPr>
        <w:t>Cayman Islands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38" w:lineRule="auto"/>
        <w:rPr>
          <w:sz w:val="20"/>
          <w:szCs w:val="20"/>
          <w:color w:val="auto"/>
        </w:rPr>
      </w:pPr>
      <w:r>
        <w:rPr>
          <w:rFonts w:ascii="Courier New" w:cs="Courier New" w:eastAsia="Courier New" w:hAnsi="Courier New"/>
          <w:sz w:val="18"/>
          <w:szCs w:val="18"/>
          <w:color w:val="auto"/>
        </w:rPr>
        <w:t>10 Mountainview Road, Suite 205</w:t>
      </w:r>
    </w:p>
    <w:p>
      <w:pPr>
        <w:spacing w:after="0"/>
        <w:rPr>
          <w:sz w:val="20"/>
          <w:szCs w:val="20"/>
          <w:color w:val="auto"/>
        </w:rPr>
      </w:pPr>
      <w:r>
        <w:rPr>
          <w:rFonts w:ascii="Courier New" w:cs="Courier New" w:eastAsia="Courier New" w:hAnsi="Courier New"/>
          <w:sz w:val="18"/>
          <w:szCs w:val="18"/>
          <w:color w:val="auto"/>
        </w:rPr>
        <w:t>Upper Saddle River, New Jersey 07458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38" w:lineRule="auto"/>
        <w:rPr>
          <w:sz w:val="20"/>
          <w:szCs w:val="20"/>
          <w:color w:val="auto"/>
        </w:rPr>
      </w:pPr>
      <w:r>
        <w:rPr>
          <w:rFonts w:ascii="Courier New" w:cs="Courier New" w:eastAsia="Courier New" w:hAnsi="Courier New"/>
          <w:sz w:val="18"/>
          <w:szCs w:val="18"/>
          <w:color w:val="auto"/>
        </w:rPr>
        <w:t>c/o Sabby Management, LLC</w:t>
      </w:r>
    </w:p>
    <w:p>
      <w:pPr>
        <w:spacing w:after="0"/>
        <w:rPr>
          <w:sz w:val="20"/>
          <w:szCs w:val="20"/>
          <w:color w:val="auto"/>
        </w:rPr>
      </w:pPr>
      <w:r>
        <w:rPr>
          <w:rFonts w:ascii="Courier New" w:cs="Courier New" w:eastAsia="Courier New" w:hAnsi="Courier New"/>
          <w:sz w:val="18"/>
          <w:szCs w:val="18"/>
          <w:color w:val="auto"/>
        </w:rPr>
        <w:t>10 Mountainview Road, Suite 205</w:t>
      </w:r>
    </w:p>
    <w:p>
      <w:pPr>
        <w:spacing w:after="0" w:line="237" w:lineRule="auto"/>
        <w:rPr>
          <w:sz w:val="20"/>
          <w:szCs w:val="20"/>
          <w:color w:val="auto"/>
        </w:rPr>
      </w:pPr>
      <w:r>
        <w:rPr>
          <w:rFonts w:ascii="Courier New" w:cs="Courier New" w:eastAsia="Courier New" w:hAnsi="Courier New"/>
          <w:sz w:val="18"/>
          <w:szCs w:val="18"/>
          <w:color w:val="auto"/>
        </w:rPr>
        <w:t>Upper Saddle River, New Jersey 07458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Citizenship:</w:t>
      </w:r>
    </w:p>
    <w:p>
      <w:pPr>
        <w:sectPr>
          <w:pgSz w:w="11900" w:h="16838" w:orient="portrait"/>
          <w:cols w:equalWidth="0" w:num="1">
            <w:col w:w="10219"/>
          </w:cols>
          <w:pgMar w:left="240" w:top="339"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Sabby Healthcare Master Fund, Ltd. - Cayman Islands</w:t>
      </w:r>
    </w:p>
    <w:p>
      <w:pPr>
        <w:spacing w:after="0" w:line="4"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Sabby Volatility Warrant Master Fund, Ltd. - Cayman Islands Sabby Management, LLC - Delaware, USA Hal Mintz -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(the Common Stock), par value $0.001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05464T104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If This Statement is filed pursuant to Section 240.13d-1(b) or 240.13d-2(b), or (c), check whether the person filing is 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company as defined in section 3(a)(19) of the Act (15 U.S.C. 78c).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An investment adviser in accordance with Section 240.13d-1(b)(1)(ii)(E);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An employee benefit plan or endowment fund in accordance with Section 240.13d-1(b)(1)(ii)(F);</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Section 240.13d-1(b)(1)(ii)(G);</w:t>
      </w:r>
    </w:p>
    <w:p>
      <w:pPr>
        <w:sectPr>
          <w:pgSz w:w="11900" w:h="16838" w:orient="portrait"/>
          <w:cols w:equalWidth="0" w:num="1">
            <w:col w:w="10219"/>
          </w:cols>
          <w:pgMar w:left="240" w:top="744"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 savings association as defined in Section 3(b) of the Federal Deposit Insurance Act (12 U.S.C.1813);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 church plan that is excluded from the definition of an investment company under section 3(c)(14) of the Investment Company Act of 1940 (15 U.S.C.</w:t>
      </w:r>
    </w:p>
    <w:p>
      <w:pPr>
        <w:spacing w:after="0" w:line="233" w:lineRule="auto"/>
        <w:rPr>
          <w:sz w:val="20"/>
          <w:szCs w:val="20"/>
          <w:color w:val="auto"/>
        </w:rPr>
      </w:pPr>
      <w:r>
        <w:rPr>
          <w:rFonts w:ascii="Courier New" w:cs="Courier New" w:eastAsia="Courier New" w:hAnsi="Courier New"/>
          <w:sz w:val="18"/>
          <w:szCs w:val="18"/>
          <w:color w:val="auto"/>
        </w:rPr>
        <w:t>80a-3);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A non-U.S. institution in accordance with Section 240.13d-1(b)(1)(ii)(J);</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Group, in accordance with Section 240.13d-1(b)(1)(ii)(K). If filing as a non-U.S. institution in accordance with Section 240.13d-1(b)(1)(ii)(J), please specify the type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pacing w:after="0" w:line="200" w:lineRule="exact"/>
        <w:rPr>
          <w:sz w:val="20"/>
          <w:szCs w:val="20"/>
          <w:color w:val="auto"/>
        </w:rPr>
      </w:pPr>
    </w:p>
    <w:p>
      <w:pPr>
        <w:spacing w:after="0" w:line="210"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Amount beneficially owned:</w:t>
      </w:r>
    </w:p>
    <w:p>
      <w:pPr>
        <w:spacing w:after="0" w:line="202"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Sabby Healthcare Master Fund, Ltd. -</w:t>
      </w:r>
      <w:r>
        <w:rPr>
          <w:sz w:val="20"/>
          <w:szCs w:val="20"/>
          <w:color w:val="auto"/>
        </w:rPr>
        <w:tab/>
      </w:r>
      <w:r>
        <w:rPr>
          <w:rFonts w:ascii="Courier New" w:cs="Courier New" w:eastAsia="Courier New" w:hAnsi="Courier New"/>
          <w:sz w:val="16"/>
          <w:szCs w:val="16"/>
          <w:color w:val="auto"/>
        </w:rPr>
        <w:t>704,000</w:t>
      </w:r>
    </w:p>
    <w:p>
      <w:pPr>
        <w:spacing w:after="0" w:line="201"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Sabby Volatility Warrant Master Fund, Ltd. -</w:t>
      </w:r>
      <w:r>
        <w:rPr>
          <w:sz w:val="20"/>
          <w:szCs w:val="20"/>
          <w:color w:val="auto"/>
        </w:rPr>
        <w:tab/>
      </w:r>
      <w:r>
        <w:rPr>
          <w:rFonts w:ascii="Courier New" w:cs="Courier New" w:eastAsia="Courier New" w:hAnsi="Courier New"/>
          <w:sz w:val="16"/>
          <w:szCs w:val="16"/>
          <w:color w:val="auto"/>
        </w:rPr>
        <w:t>704,000</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Sabby Management, LLC -</w:t>
      </w:r>
      <w:r>
        <w:rPr>
          <w:sz w:val="20"/>
          <w:szCs w:val="20"/>
          <w:color w:val="auto"/>
        </w:rPr>
        <w:tab/>
      </w:r>
      <w:r>
        <w:rPr>
          <w:rFonts w:ascii="Courier New" w:cs="Courier New" w:eastAsia="Courier New" w:hAnsi="Courier New"/>
          <w:sz w:val="16"/>
          <w:szCs w:val="16"/>
          <w:color w:val="auto"/>
        </w:rPr>
        <w:t>1,269,911</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Hal Mintz -</w:t>
      </w:r>
      <w:r>
        <w:rPr>
          <w:sz w:val="20"/>
          <w:szCs w:val="20"/>
          <w:color w:val="auto"/>
        </w:rPr>
        <w:tab/>
      </w:r>
      <w:r>
        <w:rPr>
          <w:rFonts w:ascii="Courier New" w:cs="Courier New" w:eastAsia="Courier New" w:hAnsi="Courier New"/>
          <w:sz w:val="16"/>
          <w:szCs w:val="16"/>
          <w:color w:val="auto"/>
        </w:rPr>
        <w:t>1,269,911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Percent of class: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 - 2.76%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 - 2.76%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 - 4.99%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0" w:gutter="0" w:footer="0" w:header="0"/>
        </w:sectPr>
      </w:pPr>
    </w:p>
    <w:bookmarkStart w:id="11" w:name="page12"/>
    <w:bookmarkEnd w:id="11"/>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704,000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704,000</w:t>
      </w:r>
    </w:p>
    <w:p>
      <w:pPr>
        <w:sectPr>
          <w:pgSz w:w="11900" w:h="16838" w:orient="portrait"/>
          <w:cols w:equalWidth="0" w:num="1">
            <w:col w:w="10219"/>
          </w:cols>
          <w:pgMar w:left="240" w:top="1440"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1,269,911</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1,269,911</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1,269,911</w:t>
      </w:r>
    </w:p>
    <w:p>
      <w:pPr>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36" w:right="1440" w:bottom="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1,269,911</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As calculated in accordance with Rule 13d-3 of the Securities Exchange Act of 1934, as amended, (i) Sabby Healthcare Master Fund, Ltd. and</w:t>
      </w:r>
    </w:p>
    <w:p>
      <w:pPr>
        <w:spacing w:after="0" w:line="6"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Sabby Volatility Master Fund, Ltd. beneficially own 704,000 and 704,000 shares of the Issuer's common stock (Common Stock), respectively, representing approximately 2.76% and 2.76% of the Common Stock, respectively, and (ii) Sabby Management, LLC and Hal Mintz each beneficially own 1,269,911 shares of the Common Stock, representing approximately 4.99% of the Common Stock. Sabby Management, LLC and Hal Mintz do not directly own any shares of Common Stock, but each indirectly owns 1,269,911 shares of Common Stock. Sabby Management, LLC, a Delaware limited liability company, indirectly owns 1,269,911 shares of Common Stock because it serves as the investment manager of Sabby Healthcare Master Fund, Ltd. and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 Cayman Islands companies.</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Mr. Mintz indirectly owns 1,269,911 shares of Common Stock in his capacity as manager of Sabby Management, LLC.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spacing w:after="0" w:line="200" w:lineRule="exact"/>
        <w:rPr>
          <w:sz w:val="20"/>
          <w:szCs w:val="20"/>
          <w:color w:val="auto"/>
        </w:rPr>
      </w:pPr>
    </w:p>
    <w:p>
      <w:pPr>
        <w:spacing w:after="0" w:line="210"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6.</w:t>
      </w: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38"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ectPr>
          <w:pgSz w:w="11900" w:h="16838" w:orient="portrait"/>
          <w:cols w:equalWidth="0" w:num="1">
            <w:col w:w="10219"/>
          </w:cols>
          <w:pgMar w:left="240" w:top="136" w:right="1440" w:bottom="335"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38" w:lineRule="auto"/>
        <w:rPr>
          <w:sz w:val="20"/>
          <w:szCs w:val="20"/>
          <w:color w:val="auto"/>
        </w:rPr>
      </w:pPr>
      <w:r>
        <w:rPr>
          <w:rFonts w:ascii="Courier New" w:cs="Courier New" w:eastAsia="Courier New" w:hAnsi="Courier New"/>
          <w:sz w:val="18"/>
          <w:szCs w:val="18"/>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10.</w:t>
      </w:r>
    </w:p>
    <w:p>
      <w:pPr>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19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9,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Harry Thompson</w:t>
      </w:r>
    </w:p>
    <w:p>
      <w:pPr>
        <w:spacing w:after="0" w:line="5" w:lineRule="exact"/>
        <w:rPr>
          <w:sz w:val="20"/>
          <w:szCs w:val="20"/>
          <w:color w:val="auto"/>
        </w:rPr>
      </w:pPr>
    </w:p>
    <w:p>
      <w:pPr>
        <w:ind w:right="4839" w:firstLine="105"/>
        <w:spacing w:after="0" w:line="235"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Harry Thompson</w:t>
      </w:r>
    </w:p>
    <w:p>
      <w:pPr>
        <w:spacing w:after="0" w:line="5" w:lineRule="exact"/>
        <w:rPr>
          <w:sz w:val="20"/>
          <w:szCs w:val="20"/>
          <w:color w:val="auto"/>
        </w:rPr>
      </w:pPr>
    </w:p>
    <w:p>
      <w:pPr>
        <w:ind w:right="4839" w:firstLine="105"/>
        <w:spacing w:after="0" w:line="235"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*This Reporting Person disclaims beneficial ownership over the securities reported herein except to the extent of its pecuniary interest therein.</w:t>
      </w:r>
    </w:p>
    <w:p>
      <w:pPr>
        <w:sectPr>
          <w:pgSz w:w="11900" w:h="16838" w:orient="portrait"/>
          <w:cols w:equalWidth="0" w:num="1">
            <w:col w:w="10219"/>
          </w:cols>
          <w:pgMar w:left="240" w:top="541" w:right="1440" w:bottom="0" w:gutter="0" w:footer="0" w:header="0"/>
        </w:sectPr>
      </w:pPr>
    </w:p>
    <w:bookmarkStart w:id="15" w:name="page16"/>
    <w:bookmarkEnd w:id="15"/>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s.240.13d-7 for other parties for whom copies are to be sent.</w:t>
      </w:r>
    </w:p>
    <w:p>
      <w:pPr>
        <w:spacing w:after="0" w:line="20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199" w:firstLine="737"/>
        <w:spacing w:after="0" w:line="236" w:lineRule="auto"/>
        <w:rPr>
          <w:sz w:val="20"/>
          <w:szCs w:val="20"/>
          <w:color w:val="auto"/>
        </w:rPr>
      </w:pPr>
      <w:r>
        <w:rPr>
          <w:rFonts w:ascii="Courier New" w:cs="Courier New" w:eastAsia="Courier New" w:hAnsi="Courier New"/>
          <w:sz w:val="18"/>
          <w:szCs w:val="18"/>
          <w:color w:val="auto"/>
        </w:rPr>
        <w:t>The undersigned hereby agree that this Statement on Schedule 13G with respect to the beneficial ownership of shares of Common Stock of Axsome Therapeutics, Inc. is filed jointly, on behalf of each of them.</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9, 2018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Ltd.,</w:t>
      </w:r>
    </w:p>
    <w:p>
      <w:pPr>
        <w:spacing w:after="0" w:line="20" w:lineRule="exact"/>
        <w:rPr>
          <w:sz w:val="20"/>
          <w:szCs w:val="20"/>
          <w:color w:val="auto"/>
        </w:rPr>
      </w:pPr>
      <w:r>
        <w:rPr>
          <w:sz w:val="20"/>
          <w:szCs w:val="20"/>
          <w:color w:val="auto"/>
        </w:rPr>
        <w:br w:type="column"/>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Name:</w:t>
        <w:tab/>
        <w:t>Harry Thompson</w:t>
      </w:r>
    </w:p>
    <w:p>
      <w:pPr>
        <w:spacing w:after="0" w:line="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Authorized Person of TDF Management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Director</w:t>
      </w:r>
    </w:p>
    <w:p>
      <w:pPr>
        <w:spacing w:after="0" w:line="200" w:lineRule="exact"/>
        <w:rPr>
          <w:sz w:val="20"/>
          <w:szCs w:val="20"/>
          <w:color w:val="auto"/>
        </w:rPr>
      </w:pPr>
    </w:p>
    <w:p>
      <w:pPr>
        <w:sectPr>
          <w:pgSz w:w="11900" w:h="16838" w:orient="portrait"/>
          <w:cols w:equalWidth="0" w:num="2">
            <w:col w:w="540" w:space="0"/>
            <w:col w:w="9679"/>
          </w:cols>
          <w:pgMar w:left="240" w:top="344"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540"/>
        <w:spacing w:after="0" w:line="238" w:lineRule="auto"/>
        <w:tabs>
          <w:tab w:leader="none" w:pos="1260" w:val="left"/>
        </w:tabs>
        <w:rPr>
          <w:sz w:val="20"/>
          <w:szCs w:val="20"/>
          <w:color w:val="auto"/>
        </w:rPr>
      </w:pPr>
      <w:r>
        <w:rPr>
          <w:rFonts w:ascii="Courier New" w:cs="Courier New" w:eastAsia="Courier New" w:hAnsi="Courier New"/>
          <w:sz w:val="18"/>
          <w:szCs w:val="18"/>
          <w:color w:val="auto"/>
        </w:rPr>
        <w:t>Name:</w:t>
        <w:tab/>
        <w:t>Harry Thompson</w:t>
      </w:r>
    </w:p>
    <w:p>
      <w:pPr>
        <w:spacing w:after="0" w:line="5"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Authorized Person of TDF Management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Ltd.,</w:t>
      </w:r>
      <w:r>
        <w:rPr>
          <w:sz w:val="20"/>
          <w:szCs w:val="20"/>
          <w:color w:val="auto"/>
        </w:rPr>
        <w:tab/>
      </w:r>
      <w:r>
        <w:rPr>
          <w:rFonts w:ascii="Courier New" w:cs="Courier New" w:eastAsia="Courier New" w:hAnsi="Courier New"/>
          <w:sz w:val="18"/>
          <w:szCs w:val="18"/>
          <w:color w:val="auto"/>
        </w:rPr>
        <w:t>a 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ectPr>
          <w:pgSz w:w="11900" w:h="16838" w:orient="portrait"/>
          <w:cols w:equalWidth="0" w:num="1">
            <w:col w:w="10219"/>
          </w:cols>
          <w:pgMar w:left="240" w:top="3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Hal Mintz</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Hal Mintz</w:t>
      </w:r>
    </w:p>
    <w:sectPr>
      <w:pgSz w:w="11900" w:h="16838" w:orient="portrait"/>
      <w:cols w:equalWidth="0" w:num="1">
        <w:col w:w="1021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2019-12-21T05:00:11Z</dcterms:created>
  <dcterms:modified xsi:type="dcterms:W3CDTF">2019-12-21T05:00:11Z</dcterms:modified>
</cp:coreProperties>
</file>