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5291455</wp:posOffset>
            </wp:positionH>
            <wp:positionV relativeFrom="paragraph">
              <wp:posOffset>-602615</wp:posOffset>
            </wp:positionV>
            <wp:extent cx="8255" cy="6032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-610870</wp:posOffset>
            </wp:positionV>
            <wp:extent cx="8255" cy="6115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4011930</wp:posOffset>
            </wp:positionH>
            <wp:positionV relativeFrom="paragraph">
              <wp:posOffset>-586105</wp:posOffset>
            </wp:positionV>
            <wp:extent cx="1263650" cy="562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6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27940</wp:posOffset>
            </wp:positionV>
            <wp:extent cx="6969125" cy="1736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1736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8"/>
                </w:rPr>
                <w:t>Saad Mark E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ind w:left="6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Axsome Therapeutics, Inc.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AXSOME THERAPEUTICS, INC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03/05/2021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 CORTLANDT STREET, 16TH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80" w:type="dxa"/>
            <w:vAlign w:val="bottom"/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03/05/2021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03/04/2031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2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1,241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8"/>
              </w:rPr>
              <w:t>1. Represents 1,241 options elected to be received in lieu of cash compensation earned in 2020. All of such options are immediately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03/09/2021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Attorney in 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-3903345</wp:posOffset>
            </wp:positionV>
            <wp:extent cx="7033895" cy="2795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79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95913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2021-03-09T20:48:44Z</dcterms:created>
  <dcterms:modified xsi:type="dcterms:W3CDTF">2021-03-09T20:48:44Z</dcterms:modified>
</cp:coreProperties>
</file>