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40" w:right="80" w:hanging="237"/>
        <w:spacing w:after="0" w:line="237" w:lineRule="auto"/>
        <w:tabs>
          <w:tab w:leader="none" w:pos="2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3"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For the quarterly period ended March 31, 2017</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40" w:right="80" w:hanging="237"/>
        <w:spacing w:after="0" w:line="237" w:lineRule="auto"/>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Arial" w:cs="Arial" w:eastAsia="Arial" w:hAnsi="Arial"/>
                <w:sz w:val="14"/>
                <w:szCs w:val="14"/>
                <w:color w:val="auto"/>
                <w:w w:val="94"/>
              </w:rPr>
              <w:t>(State or other jurisdiction of</w:t>
            </w:r>
          </w:p>
        </w:tc>
        <w:tc>
          <w:tcPr>
            <w:tcW w:w="3680" w:type="dxa"/>
            <w:vAlign w:val="bottom"/>
          </w:tcPr>
          <w:p>
            <w:pPr>
              <w:jc w:val="center"/>
              <w:ind w:left="863"/>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incorporation or organization)</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0"/>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25 Broadway</w:t>
            </w:r>
          </w:p>
        </w:tc>
        <w:tc>
          <w:tcPr>
            <w:tcW w:w="3680" w:type="dxa"/>
            <w:vAlign w:val="bottom"/>
            <w:vMerge w:val="restart"/>
          </w:tcPr>
          <w:p>
            <w:pPr>
              <w:jc w:val="right"/>
              <w:ind w:right="1083"/>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18"/>
              <w:spacing w:after="0"/>
              <w:rPr>
                <w:sz w:val="20"/>
                <w:szCs w:val="20"/>
                <w:color w:val="auto"/>
              </w:rPr>
            </w:pPr>
            <w:r>
              <w:rPr>
                <w:rFonts w:ascii="Arial" w:cs="Arial" w:eastAsia="Arial" w:hAnsi="Arial"/>
                <w:sz w:val="14"/>
                <w:szCs w:val="14"/>
                <w:color w:val="auto"/>
                <w:w w:val="95"/>
              </w:rPr>
              <w:t>(Address of principal executive offices)</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jc w:val="center"/>
              <w:ind w:right="3"/>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c>
          <w:tcPr>
            <w:tcW w:w="0" w:type="dxa"/>
            <w:vAlign w:val="bottom"/>
          </w:tcPr>
          <w:p>
            <w:pPr>
              <w:spacing w:after="0"/>
              <w:rPr>
                <w:sz w:val="1"/>
                <w:szCs w:val="1"/>
                <w:color w:val="auto"/>
              </w:rPr>
            </w:pPr>
          </w:p>
        </w:tc>
      </w:tr>
      <w:tr>
        <w:trPr>
          <w:trHeight w:val="292"/>
        </w:trPr>
        <w:tc>
          <w:tcPr>
            <w:tcW w:w="7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0"/>
        </w:trPr>
        <w:tc>
          <w:tcPr>
            <w:tcW w:w="3540" w:type="dxa"/>
            <w:vAlign w:val="bottom"/>
          </w:tcPr>
          <w:p>
            <w:pPr>
              <w:jc w:val="center"/>
              <w:ind w:right="838"/>
              <w:spacing w:after="0" w:line="141" w:lineRule="exact"/>
              <w:rPr>
                <w:sz w:val="20"/>
                <w:szCs w:val="20"/>
                <w:color w:val="auto"/>
              </w:rPr>
            </w:pPr>
            <w:r>
              <w:rPr>
                <w:rFonts w:ascii="Arial" w:cs="Arial" w:eastAsia="Arial" w:hAnsi="Arial"/>
                <w:sz w:val="14"/>
                <w:szCs w:val="14"/>
                <w:color w:val="auto"/>
                <w:w w:val="91"/>
              </w:rPr>
              <w:t>Common Stock, Par Value $0.0001 Per Share</w:t>
            </w:r>
          </w:p>
        </w:tc>
        <w:tc>
          <w:tcPr>
            <w:tcW w:w="3680" w:type="dxa"/>
            <w:vAlign w:val="bottom"/>
          </w:tcPr>
          <w:p>
            <w:pPr>
              <w:jc w:val="center"/>
              <w:ind w:left="843"/>
              <w:spacing w:after="0" w:line="141" w:lineRule="exact"/>
              <w:rPr>
                <w:sz w:val="20"/>
                <w:szCs w:val="20"/>
                <w:color w:val="auto"/>
              </w:rPr>
            </w:pPr>
            <w:r>
              <w:rPr>
                <w:rFonts w:ascii="Arial" w:cs="Arial" w:eastAsia="Arial" w:hAnsi="Arial"/>
                <w:sz w:val="14"/>
                <w:szCs w:val="14"/>
                <w:color w:val="auto"/>
                <w:w w:val="98"/>
              </w:rPr>
              <w:t>NASDAQ Global Market</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(Title of Class)</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1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69"/>
        </w:trPr>
        <w:tc>
          <w:tcPr>
            <w:tcW w:w="5080" w:type="dxa"/>
            <w:vAlign w:val="bottom"/>
          </w:tcPr>
          <w:p>
            <w:pPr>
              <w:spacing w:after="0" w:line="16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p>
        </w:tc>
        <w:tc>
          <w:tcPr>
            <w:tcW w:w="3320" w:type="dxa"/>
            <w:vAlign w:val="bottom"/>
          </w:tcPr>
          <w:p>
            <w:pPr>
              <w:jc w:val="right"/>
              <w:spacing w:after="0" w:line="169"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8"/>
                <w:szCs w:val="18"/>
                <w:color w:val="auto"/>
                <w:highlight w:val="black"/>
              </w:rPr>
              <w:t>☒</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(Do not check if a smaller reporting</w:t>
            </w:r>
          </w:p>
        </w:tc>
        <w:tc>
          <w:tcPr>
            <w:tcW w:w="3320" w:type="dxa"/>
            <w:vAlign w:val="bottom"/>
          </w:tcPr>
          <w:p>
            <w:pPr>
              <w:jc w:val="right"/>
              <w:spacing w:after="0" w:line="18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p>
        </w:tc>
      </w:tr>
      <w:tr>
        <w:trPr>
          <w:trHeight w:val="283"/>
        </w:trPr>
        <w:tc>
          <w:tcPr>
            <w:tcW w:w="5080" w:type="dxa"/>
            <w:vAlign w:val="bottom"/>
          </w:tcPr>
          <w:p>
            <w:pPr>
              <w:spacing w:after="0"/>
              <w:rPr>
                <w:sz w:val="20"/>
                <w:szCs w:val="20"/>
                <w:color w:val="auto"/>
              </w:rPr>
            </w:pPr>
            <w:r>
              <w:rPr>
                <w:rFonts w:ascii="Arial" w:cs="Arial" w:eastAsia="Arial" w:hAnsi="Arial"/>
                <w:sz w:val="14"/>
                <w:szCs w:val="14"/>
                <w:color w:val="auto"/>
              </w:rPr>
              <w:t>company)</w:t>
            </w:r>
          </w:p>
        </w:tc>
        <w:tc>
          <w:tcPr>
            <w:tcW w:w="3320" w:type="dxa"/>
            <w:vAlign w:val="bottom"/>
          </w:tcPr>
          <w:p>
            <w:pPr>
              <w:jc w:val="right"/>
              <w:spacing w:after="0" w:line="207"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8"/>
                <w:szCs w:val="18"/>
                <w:color w:val="auto"/>
                <w:highlight w:val="black"/>
              </w:rPr>
              <w:t>☒</w:t>
            </w:r>
          </w:p>
        </w:tc>
      </w:tr>
    </w:tbl>
    <w:p>
      <w:pPr>
        <w:spacing w:after="0" w:line="76" w:lineRule="exact"/>
        <w:rPr>
          <w:sz w:val="24"/>
          <w:szCs w:val="24"/>
          <w:color w:val="auto"/>
        </w:rPr>
      </w:pPr>
    </w:p>
    <w:p>
      <w:pPr>
        <w:ind w:right="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right="162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3"/>
          <w:szCs w:val="13"/>
          <w:color w:val="auto"/>
        </w:rPr>
        <w:t xml:space="preserve"> There were 23,605,201 shares of the registrant’s common stock, $0.0001 par value, outstanding as of 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gridSpan w:val="5"/>
          </w:tcPr>
          <w:p>
            <w:pPr>
              <w:jc w:val="center"/>
              <w:ind w:right="212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6"/>
          </w:tcPr>
          <w:p>
            <w:pPr>
              <w:jc w:val="center"/>
              <w:ind w:right="1840"/>
              <w:spacing w:after="0"/>
              <w:rPr>
                <w:sz w:val="20"/>
                <w:szCs w:val="20"/>
                <w:color w:val="auto"/>
              </w:rPr>
            </w:pPr>
            <w:r>
              <w:rPr>
                <w:rFonts w:ascii="Arial" w:cs="Arial" w:eastAsia="Arial" w:hAnsi="Arial"/>
                <w:sz w:val="18"/>
                <w:szCs w:val="18"/>
                <w:b w:val="1"/>
                <w:bCs w:val="1"/>
                <w:color w:val="auto"/>
                <w:w w:val="98"/>
              </w:rPr>
              <w:t>FOR THE QUARTER ENDED MARCH 31, 2017</w:t>
            </w:r>
          </w:p>
        </w:tc>
        <w:tc>
          <w:tcPr>
            <w:tcW w:w="500" w:type="dxa"/>
            <w:vAlign w:val="bottom"/>
          </w:tcPr>
          <w:p>
            <w:pPr>
              <w:spacing w:after="0"/>
              <w:rPr>
                <w:sz w:val="20"/>
                <w:szCs w:val="20"/>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4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31"/>
        </w:trPr>
        <w:tc>
          <w:tcPr>
            <w:tcW w:w="578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82"/>
        </w:trPr>
        <w:tc>
          <w:tcPr>
            <w:tcW w:w="580" w:type="dxa"/>
            <w:vAlign w:val="bottom"/>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ITEM 2</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ITEM 3</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ITEM 4</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82"/>
        </w:trPr>
        <w:tc>
          <w:tcPr>
            <w:tcW w:w="580" w:type="dxa"/>
            <w:vAlign w:val="bottom"/>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ITEM 1</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7800" w:type="dxa"/>
            <w:vAlign w:val="bottom"/>
            <w:gridSpan w:val="12"/>
          </w:tcPr>
          <w:p>
            <w:pPr>
              <w:ind w:left="100"/>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ITEM 6</w:t>
              </w:r>
            </w:hyperlink>
          </w:p>
        </w:tc>
        <w:tc>
          <w:tcPr>
            <w:tcW w:w="180" w:type="dxa"/>
            <w:vAlign w:val="bottom"/>
            <w:gridSpan w:val="2"/>
          </w:tcPr>
          <w:p>
            <w:pPr>
              <w:spacing w:after="0"/>
              <w:rPr>
                <w:sz w:val="24"/>
                <w:szCs w:val="24"/>
                <w:color w:val="auto"/>
              </w:rPr>
            </w:pPr>
          </w:p>
        </w:tc>
        <w:tc>
          <w:tcPr>
            <w:tcW w:w="7800" w:type="dxa"/>
            <w:vAlign w:val="bottom"/>
            <w:gridSpan w:val="12"/>
          </w:tcPr>
          <w:p>
            <w:pPr>
              <w:ind w:left="100"/>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993"/>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8"/>
          </w:tcPr>
          <w:p>
            <w:pPr>
              <w:jc w:val="center"/>
              <w:ind w:left="30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expectations for increases or decreases in expenses;</w:t>
      </w:r>
    </w:p>
    <w:p>
      <w:pPr>
        <w:ind w:left="920" w:right="679" w:firstLine="29"/>
        <w:spacing w:after="0" w:line="203" w:lineRule="auto"/>
        <w:rPr>
          <w:sz w:val="20"/>
          <w:szCs w:val="20"/>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29" w:lineRule="auto"/>
        <w:rPr>
          <w:sz w:val="20"/>
          <w:szCs w:val="20"/>
          <w:color w:val="auto"/>
        </w:rPr>
      </w:pPr>
      <w:r>
        <w:rPr>
          <w:rFonts w:ascii="Arial" w:cs="Arial" w:eastAsia="Arial" w:hAnsi="Arial"/>
          <w:sz w:val="16"/>
          <w:szCs w:val="16"/>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3" w:lineRule="auto"/>
        <w:rPr>
          <w:sz w:val="20"/>
          <w:szCs w:val="20"/>
          <w:color w:val="auto"/>
        </w:rPr>
      </w:pPr>
      <w:r>
        <w:rPr>
          <w:rFonts w:ascii="Arial" w:cs="Arial" w:eastAsia="Arial" w:hAnsi="Arial"/>
          <w:sz w:val="18"/>
          <w:szCs w:val="18"/>
          <w:color w:val="auto"/>
        </w:rPr>
        <w:t>expectations or ability to build our own commercial infrastructure to manufacture, market and sell our</w:t>
      </w:r>
    </w:p>
    <w:p>
      <w:pPr>
        <w:ind w:left="920"/>
        <w:spacing w:after="0" w:line="204" w:lineRule="auto"/>
        <w:rPr>
          <w:sz w:val="20"/>
          <w:szCs w:val="20"/>
          <w:color w:val="auto"/>
        </w:rPr>
      </w:pPr>
      <w:r>
        <w:rPr>
          <w:rFonts w:ascii="Arial" w:cs="Arial" w:eastAsia="Arial" w:hAnsi="Arial"/>
          <w:sz w:val="18"/>
          <w:szCs w:val="18"/>
          <w:color w:val="auto"/>
        </w:rPr>
        <w:t>product candidates;</w:t>
      </w:r>
    </w:p>
    <w:p>
      <w:pPr>
        <w:ind w:left="940"/>
        <w:spacing w:after="0" w:line="203" w:lineRule="auto"/>
        <w:rPr>
          <w:sz w:val="20"/>
          <w:szCs w:val="20"/>
          <w:color w:val="auto"/>
        </w:rPr>
      </w:pPr>
      <w:r>
        <w:rPr>
          <w:rFonts w:ascii="Arial" w:cs="Arial" w:eastAsia="Arial" w:hAnsi="Arial"/>
          <w:sz w:val="18"/>
          <w:szCs w:val="18"/>
          <w:color w:val="auto"/>
        </w:rPr>
        <w:t>expected losses;</w:t>
      </w:r>
    </w:p>
    <w:p>
      <w:pPr>
        <w:spacing w:after="0" w:line="1" w:lineRule="exact"/>
        <w:rPr>
          <w:sz w:val="20"/>
          <w:szCs w:val="20"/>
          <w:color w:val="auto"/>
        </w:rPr>
      </w:pPr>
    </w:p>
    <w:p>
      <w:pPr>
        <w:ind w:left="940" w:right="1719"/>
        <w:spacing w:after="0" w:line="203" w:lineRule="auto"/>
        <w:rPr>
          <w:sz w:val="20"/>
          <w:szCs w:val="20"/>
          <w:color w:val="auto"/>
        </w:rPr>
      </w:pPr>
      <w:r>
        <w:rPr>
          <w:rFonts w:ascii="Arial" w:cs="Arial" w:eastAsia="Arial" w:hAnsi="Arial"/>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Arial" w:cs="Arial" w:eastAsia="Arial" w:hAnsi="Arial"/>
          <w:sz w:val="18"/>
          <w:szCs w:val="18"/>
          <w:color w:val="auto"/>
        </w:rPr>
        <w:t>ability to attract and retain key personnel;</w:t>
      </w:r>
    </w:p>
    <w:p>
      <w:pPr>
        <w:ind w:left="940"/>
        <w:spacing w:after="0" w:line="203" w:lineRule="auto"/>
        <w:rPr>
          <w:sz w:val="20"/>
          <w:szCs w:val="20"/>
          <w:color w:val="auto"/>
        </w:rPr>
      </w:pPr>
      <w:r>
        <w:rPr>
          <w:rFonts w:ascii="Arial" w:cs="Arial" w:eastAsia="Arial" w:hAnsi="Arial"/>
          <w:sz w:val="18"/>
          <w:szCs w:val="18"/>
          <w:color w:val="auto"/>
        </w:rPr>
        <w:t>the performance of third-party manufacturers;</w:t>
      </w:r>
    </w:p>
    <w:p>
      <w:pPr>
        <w:ind w:left="940"/>
        <w:spacing w:after="0" w:line="204" w:lineRule="auto"/>
        <w:rPr>
          <w:sz w:val="20"/>
          <w:szCs w:val="20"/>
          <w:color w:val="auto"/>
        </w:rPr>
      </w:pPr>
      <w:r>
        <w:rPr>
          <w:rFonts w:ascii="Arial" w:cs="Arial" w:eastAsia="Arial" w:hAnsi="Arial"/>
          <w:sz w:val="18"/>
          <w:szCs w:val="18"/>
          <w:color w:val="auto"/>
        </w:rPr>
        <w:t>expectations for future capital requirements; and</w:t>
      </w:r>
    </w:p>
    <w:p>
      <w:pPr>
        <w:ind w:left="940"/>
        <w:spacing w:after="0"/>
        <w:rPr>
          <w:sz w:val="20"/>
          <w:szCs w:val="20"/>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45,019,627</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36,618,497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1,179,124</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1,380,560</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46,198,751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37,999,057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93,516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100,730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119,291</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112,821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46,411,558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38,212,608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4,740,702</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4,081,173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2,535,124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2,820,377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1,079,924</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269,162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line="170"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8,355,750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7,170,712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8,775,328</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9,470,445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17,131,078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16,641,157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7"/>
                <w:szCs w:val="17"/>
                <w:color w:val="auto"/>
                <w:w w:val="96"/>
              </w:rPr>
              <w:t>Preferred stock, $0.0001 par value per share (10,000,000 shares authorized, none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and outstanding at March 31, 2017 and December 31, 2016,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6"/>
              </w:rPr>
              <w:t>Common stock, $0.0001 par value per share (150,000,000 shares authorized, 23,543,667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and 19,158,417 shares issued and outstanding at March 31, 2017 and December 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line="176"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7"/>
              </w:rPr>
              <w:t>84,914,616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9"/>
              </w:rPr>
              <w:t>69,210,986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(55,636,490)</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(47,641,451)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29,280,480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21,571,451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46,411,558</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38,212,608</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w:t>
      </w:r>
    </w:p>
    <w:p>
      <w:pPr>
        <w:ind w:left="73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2"/>
              <w:spacing w:after="0" w:line="136"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2"/>
              <w:spacing w:after="0" w:line="136"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5,985,219</w:t>
            </w:r>
          </w:p>
        </w:tc>
        <w:tc>
          <w:tcPr>
            <w:tcW w:w="100" w:type="dxa"/>
            <w:vAlign w:val="bottom"/>
          </w:tcPr>
          <w:p>
            <w:pPr>
              <w:spacing w:after="0"/>
              <w:rPr>
                <w:sz w:val="15"/>
                <w:szCs w:val="15"/>
                <w:color w:val="auto"/>
              </w:rPr>
            </w:pP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4,526,252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1,686,814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1,356,613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7,672,033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5,882,865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(7,672,033)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(5,882,865)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and amortization of debt discount/premium (expense) income</w:t>
            </w: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(323,006)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16,924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(7,995,039)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(5,865,941)</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outstanding, basic and diluted</w:t>
            </w: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19,537,897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19,149,417</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10"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5"/>
          </w:tcPr>
          <w:p>
            <w:pPr>
              <w:ind w:left="12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9"/>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(7,995,039)</w:t>
            </w:r>
          </w:p>
        </w:tc>
        <w:tc>
          <w:tcPr>
            <w:tcW w:w="440" w:type="dxa"/>
            <w:vAlign w:val="bottom"/>
            <w:gridSpan w:val="2"/>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(5,865,941)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663,615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656,192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115,645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Depreciation</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10,113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2,112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201,436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9,066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(6,470)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(30,875)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659,529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(61,941)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Accrued expenses</w:t>
            </w:r>
          </w:p>
        </w:tc>
        <w:tc>
          <w:tcPr>
            <w:tcW w:w="8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(285,253)</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1,343,778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8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(6,636,424)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(3,947,609)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Purchases of equipment</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(2,899)</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(10,651)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8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(2,899)</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(10,651)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net</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14,790,021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line="162" w:lineRule="exact"/>
              <w:rPr>
                <w:sz w:val="20"/>
                <w:szCs w:val="20"/>
                <w:color w:val="auto"/>
              </w:rPr>
            </w:pPr>
            <w:r>
              <w:rPr>
                <w:rFonts w:ascii="Arial" w:cs="Arial" w:eastAsia="Arial" w:hAnsi="Arial"/>
                <w:sz w:val="16"/>
                <w:szCs w:val="16"/>
                <w:color w:val="auto"/>
              </w:rPr>
              <w:t>Proceeds from exercise of options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201,163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exercise of warrants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49,269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provided by financing activities</w:t>
            </w:r>
          </w:p>
        </w:tc>
        <w:tc>
          <w:tcPr>
            <w:tcW w:w="8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15,040,453</w:t>
            </w:r>
          </w:p>
        </w:tc>
        <w:tc>
          <w:tcPr>
            <w:tcW w:w="2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increase (decrease) in cash</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8,401,130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(3,958,260)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at beginning of period</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36,618,497</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48,036,260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at end of period</w:t>
            </w:r>
          </w:p>
        </w:tc>
        <w:tc>
          <w:tcPr>
            <w:tcW w:w="8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45,019,627</w:t>
            </w: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44,078,000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7"/>
          <w:szCs w:val="17"/>
          <w:color w:val="auto"/>
        </w:rPr>
        <w:t>Axsome Therapeutics, Inc. (“Axsome” or the “Company”) is a clinical stage biopharmaceutical company developing novel therapies for central nervous system, or CNS, disorders for which there are limited treatment options. By focusing on this therapeutic area, the Company is addressing significant and growing markets where current treatment options are limited or inadequate. The Company’s product candidate portfolio includes two late</w:t>
      </w:r>
      <w:r>
        <w:rPr>
          <w:rFonts w:ascii="MS PGothic" w:cs="MS PGothic" w:eastAsia="MS PGothic" w:hAnsi="MS PGothic"/>
          <w:sz w:val="17"/>
          <w:szCs w:val="17"/>
          <w:color w:val="auto"/>
        </w:rPr>
        <w:t>‑</w:t>
      </w:r>
      <w:r>
        <w:rPr>
          <w:rFonts w:ascii="Arial" w:cs="Arial" w:eastAsia="Arial" w:hAnsi="Arial"/>
          <w:sz w:val="17"/>
          <w:szCs w:val="17"/>
          <w:color w:val="auto"/>
        </w:rPr>
        <w:t>stage candidates, AXS</w:t>
      </w:r>
      <w:r>
        <w:rPr>
          <w:rFonts w:ascii="MS PGothic" w:cs="MS PGothic" w:eastAsia="MS PGothic" w:hAnsi="MS PGothic"/>
          <w:sz w:val="17"/>
          <w:szCs w:val="17"/>
          <w:color w:val="auto"/>
        </w:rPr>
        <w:t>‑</w:t>
      </w:r>
      <w:r>
        <w:rPr>
          <w:rFonts w:ascii="Arial" w:cs="Arial" w:eastAsia="Arial" w:hAnsi="Arial"/>
          <w:sz w:val="17"/>
          <w:szCs w:val="17"/>
          <w:color w:val="auto"/>
        </w:rPr>
        <w:t>05 and AXS</w:t>
      </w:r>
      <w:r>
        <w:rPr>
          <w:rFonts w:ascii="MS PGothic" w:cs="MS PGothic" w:eastAsia="MS PGothic" w:hAnsi="MS PGothic"/>
          <w:sz w:val="17"/>
          <w:szCs w:val="17"/>
          <w:color w:val="auto"/>
        </w:rPr>
        <w:t>‑</w:t>
      </w:r>
      <w:r>
        <w:rPr>
          <w:rFonts w:ascii="Arial" w:cs="Arial" w:eastAsia="Arial" w:hAnsi="Arial"/>
          <w:sz w:val="17"/>
          <w:szCs w:val="17"/>
          <w:color w:val="auto"/>
        </w:rPr>
        <w:t>02,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68"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2016 filed with the SEC on March 7, 2017.</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2017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March 31, 2017, the Company had an accumulated deficit of $55.6 million.</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The Company’s primary sources of cash have been proceeds from the issuance and sale of its common stock in public offerings and through private placements of its convertible notes.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As of March 31, 2017, the Company had $45.0 million in cash. The Company currently anticipates its cash to be sufficient to fund its anticipated operating cash requirements into the first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the accounting for research and development costs; and the recoverability of the Company’s net deferred tax assets and related valuation allowance.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months ended March 31,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 xml:space="preserve">In March 2016, the Financial Accounting Standards Board (“FASB”) issued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which allows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simplification of several aspects of the accounting for share-based payment transactions. The standard is effective for interim and annual periods beginning after December 15, 2016. The Company adopted this guidance effective March 31, 2017. The adoption of the guidance did not have a material impact on the Company’s financial statements.</w:t>
      </w:r>
    </w:p>
    <w:p>
      <w:pPr>
        <w:spacing w:after="0" w:line="161"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which is guidance to address diversity in practice with respect to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is currently evaluating the potential impact of the new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2017 and December 31, 2016 accrued expenses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345"/>
        </w:trPr>
        <w:tc>
          <w:tcPr>
            <w:tcW w:w="3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1,976,412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1,693,748</w:t>
            </w:r>
          </w:p>
        </w:tc>
        <w:tc>
          <w:tcPr>
            <w:tcW w:w="160" w:type="dxa"/>
            <w:vAlign w:val="bottom"/>
          </w:tcPr>
          <w:p>
            <w:pPr>
              <w:spacing w:after="0"/>
              <w:rPr>
                <w:sz w:val="24"/>
                <w:szCs w:val="24"/>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compensation</w:t>
            </w: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159,174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539,290</w:t>
            </w:r>
          </w:p>
        </w:tc>
        <w:tc>
          <w:tcPr>
            <w:tcW w:w="160" w:type="dxa"/>
            <w:vAlign w:val="bottom"/>
            <w:shd w:val="clear" w:color="auto" w:fill="CCEEFF"/>
          </w:tcPr>
          <w:p>
            <w:pPr>
              <w:spacing w:after="0"/>
              <w:rPr>
                <w:sz w:val="15"/>
                <w:szCs w:val="15"/>
                <w:color w:val="auto"/>
              </w:rPr>
            </w:pPr>
          </w:p>
        </w:tc>
      </w:tr>
      <w:tr>
        <w:trPr>
          <w:trHeight w:val="176"/>
        </w:trPr>
        <w:tc>
          <w:tcPr>
            <w:tcW w:w="32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3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399,538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587,339</w:t>
            </w:r>
          </w:p>
        </w:tc>
        <w:tc>
          <w:tcPr>
            <w:tcW w:w="160" w:type="dxa"/>
            <w:vAlign w:val="bottom"/>
            <w:tcBorders>
              <w:bottom w:val="single" w:sz="8" w:color="CCEEFF"/>
            </w:tcBorders>
          </w:tcPr>
          <w:p>
            <w:pPr>
              <w:spacing w:after="0"/>
              <w:rPr>
                <w:sz w:val="15"/>
                <w:szCs w:val="15"/>
                <w:color w:val="auto"/>
              </w:rPr>
            </w:pPr>
          </w:p>
        </w:tc>
      </w:tr>
      <w:tr>
        <w:trPr>
          <w:trHeight w:val="189"/>
        </w:trPr>
        <w:tc>
          <w:tcPr>
            <w:tcW w:w="32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2,535,124</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2,820,377</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811"/>
        </w:trPr>
        <w:tc>
          <w:tcPr>
            <w:tcW w:w="3220" w:type="dxa"/>
            <w:vAlign w:val="bottom"/>
          </w:tcPr>
          <w:p>
            <w:pPr>
              <w:spacing w:after="0"/>
              <w:rPr>
                <w:sz w:val="24"/>
                <w:szCs w:val="24"/>
                <w:color w:val="auto"/>
              </w:rPr>
            </w:pPr>
          </w:p>
        </w:tc>
        <w:tc>
          <w:tcPr>
            <w:tcW w:w="3360" w:type="dxa"/>
            <w:vAlign w:val="bottom"/>
          </w:tcPr>
          <w:p>
            <w:pPr>
              <w:jc w:val="right"/>
              <w:ind w:right="19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2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 and Security Agreement</w:t>
      </w:r>
    </w:p>
    <w:p>
      <w:pPr>
        <w:spacing w:after="0" w:line="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28"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loan bears interest at an annual rate equal to 4.50% plus the prime rate, which is the greater of 3.50% or the Wall Street Journal prime rate, and is payable monthly. It matures in November 2020 and has an interest-only payment period of 12 months, which may be extended to 18 months upon the drawing of the second tranche. Following the interest-only payment period, the Company will begin making monthly payments of principal and interest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w:t>
      </w:r>
    </w:p>
    <w:p>
      <w:pPr>
        <w:spacing w:after="0" w:line="46"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4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Interest expense was $207,361 and amortization of the final payment was $86,159 for the three months ended March 31,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debt discount, net of current portion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(113,561)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9,886,439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(1,111,111)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8,775,328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line="203" w:lineRule="exact"/>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1,111,111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1,079,924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Term Loan, SVB and Life Science Loans, LLC (“the Lenders”) received warrants to purchase an aggregate 65,228 shares of the Company’s common stock at an exercise price of $7.41 per share, which are exercisable for seven years from the date of issuance. The Lenders will receive additional warrants in connection with the second and third term loans, if and when advanced by the Lenders.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$29,486 for the three months ended March 31, 2017.</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7000" w:type="dxa"/>
            <w:vAlign w:val="bottom"/>
            <w:gridSpan w:val="3"/>
          </w:tcPr>
          <w:p>
            <w:pPr>
              <w:spacing w:after="0"/>
              <w:rPr>
                <w:sz w:val="20"/>
                <w:szCs w:val="20"/>
                <w:color w:val="auto"/>
              </w:rPr>
            </w:pPr>
            <w:r>
              <w:rPr>
                <w:rFonts w:ascii="Arial" w:cs="Arial" w:eastAsia="Arial" w:hAnsi="Arial"/>
                <w:sz w:val="18"/>
                <w:szCs w:val="18"/>
                <w:color w:val="auto"/>
                <w:w w:val="98"/>
              </w:rPr>
              <w:t>Scheduled principal payments on outstanding debt, as of March 31, 2017, are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2017</w:t>
            </w:r>
          </w:p>
        </w:tc>
        <w:tc>
          <w:tcPr>
            <w:tcW w:w="57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5"/>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277,778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2018</w:t>
            </w:r>
          </w:p>
        </w:tc>
        <w:tc>
          <w:tcPr>
            <w:tcW w:w="5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2019</w:t>
            </w:r>
          </w:p>
        </w:tc>
        <w:tc>
          <w:tcPr>
            <w:tcW w:w="5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2020</w:t>
            </w:r>
          </w:p>
        </w:tc>
        <w:tc>
          <w:tcPr>
            <w:tcW w:w="57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3,055,556</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8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10,000,000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9"/>
              </w:rPr>
              <w:t>(7,995,039)</w:t>
            </w:r>
          </w:p>
        </w:tc>
        <w:tc>
          <w:tcPr>
            <w:tcW w:w="220" w:type="dxa"/>
            <w:vAlign w:val="bottom"/>
          </w:tcPr>
          <w:p>
            <w:pPr>
              <w:spacing w:after="0"/>
              <w:rPr>
                <w:sz w:val="15"/>
                <w:szCs w:val="15"/>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9"/>
              </w:rPr>
              <w:t>(5,865,941)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outstanding—basic and diluted</w:t>
            </w: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19,537,897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19,149,417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9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(0.41)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(0.31)</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March 31, 2017 and 2016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2,144,808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998,198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299,797</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272,468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2,444,605</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1,270,666</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 The Company completed an offering of common stock in March 2017 utilizing the 2016 Shelf Registration Statement (see below). 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32"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the Company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Shares available for the issuance of stock options or other stock-based awards under the Company’s 2015 Omnibus Incentive Compensation Plan were 3,069,765 at March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three months ended March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9"/>
        </w:trPr>
        <w:tc>
          <w:tcPr>
            <w:tcW w:w="52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1,772,050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5.74</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457,515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4.93</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(42,538)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(42,219)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7.19</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March 31, 2017</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2,144,808</w:t>
            </w:r>
          </w:p>
        </w:tc>
        <w:tc>
          <w:tcPr>
            <w:tcW w:w="260" w:type="dxa"/>
            <w:vAlign w:val="bottom"/>
            <w:gridSpan w:val="2"/>
            <w:shd w:val="clear" w:color="auto" w:fill="CCEEFF"/>
          </w:tcPr>
          <w:p>
            <w:pPr>
              <w:ind w:left="16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$ 1,121,325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2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Vested and expected to vest at March 31, 2017</w:t>
            </w:r>
          </w:p>
        </w:tc>
        <w:tc>
          <w:tcPr>
            <w:tcW w:w="8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89"/>
              </w:rPr>
              <w:t>2,138,639</w:t>
            </w:r>
          </w:p>
        </w:tc>
        <w:tc>
          <w:tcPr>
            <w:tcW w:w="16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6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5.57</w:t>
            </w:r>
          </w:p>
        </w:tc>
        <w:tc>
          <w:tcPr>
            <w:tcW w:w="16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8.6</w:t>
            </w:r>
          </w:p>
        </w:tc>
        <w:tc>
          <w:tcPr>
            <w:tcW w:w="16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86"/>
              </w:rPr>
              <w:t>$ 1,105,286</w:t>
            </w:r>
          </w:p>
        </w:tc>
        <w:tc>
          <w:tcPr>
            <w:tcW w:w="4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Exercisable at March 31, 2017</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1,004,041</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$ 1,095,946</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Company periodically remeasures the fair value of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w:t>
      </w:r>
    </w:p>
    <w:p>
      <w:pPr>
        <w:spacing w:after="0" w:line="168"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The weighted average valuation date fair value of options granted was $3.19 per option for the three months ended March 31, 2017. No grants were made during the three months ended March 31, 2016. As of March 31, 2017, there was $4.4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3.0 years. These amounts do not include 6,169 options outstanding as of March 31, 2017,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w:t>
      </w:r>
    </w:p>
    <w:p>
      <w:pPr>
        <w:spacing w:after="0" w:line="165"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months ended March 31, 2017 and 2016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4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139,953</w:t>
            </w:r>
          </w:p>
        </w:tc>
        <w:tc>
          <w:tcPr>
            <w:tcW w:w="44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540,747</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3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523,662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115,445</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3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663,615</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656,192</w:t>
            </w: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20" w:type="dxa"/>
            <w:vAlign w:val="bottom"/>
          </w:tcPr>
          <w:p>
            <w:pPr>
              <w:jc w:val="right"/>
              <w:ind w:right="18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220" w:firstLine="648"/>
        <w:spacing w:after="0" w:line="185" w:lineRule="exact"/>
        <w:rPr>
          <w:sz w:val="20"/>
          <w:szCs w:val="20"/>
          <w:color w:val="auto"/>
        </w:rPr>
      </w:pPr>
      <w:r>
        <w:rPr>
          <w:rFonts w:ascii="Arial" w:cs="Arial" w:eastAsia="Arial" w:hAnsi="Arial"/>
          <w:sz w:val="17"/>
          <w:szCs w:val="17"/>
          <w:color w:val="auto"/>
        </w:rPr>
        <w:t>The Company issued no performance-based awards during the three months ended March 31, 2017 and 2016.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will recognize the lowest aggregate amount within the range of potential values as expense until the measurement date is established. For the three months ended March 31, 2017 and 2016, the Company recognized $25,109 and $484,612, respectively, as expense related to performance</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Warrants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9"/>
        </w:trPr>
        <w:tc>
          <w:tcPr>
            <w:tcW w:w="6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337,696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(37,899)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6"/>
        </w:trPr>
        <w:tc>
          <w:tcPr>
            <w:tcW w:w="65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March 31, 2017</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299,797</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2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 which was filed with the Securities and Exchange Commission on March 7, 2017</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are a clinical stage biopharmaceutical company developing novel therapies for central nervous system, or CNS, disorders for which there are limited treatment options. By focusing on this therapeutic area, we are addressing significant and growing markets where current treatment options are limited or inadequate. Our product candidate portfolio includes two late stage candidates, AXS-05 and AXS-02, which we are developing for multiple indications. We are conducting a Phase 3 trial with AXS-05 in treatment resistant depression, or TRD, which we refer to as the STRIDE-1 study, and plan to initiate a Phase 2/3 trial in agitation in patients with Alzheimer’s disease, or AD, in the second quarter of 2017. We are also conducting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are also developing AXS-02 for the treatment of chronic low back pain, or CLBP, associated with Modic changes, or MCs.</w:t>
      </w:r>
    </w:p>
    <w:p>
      <w:pPr>
        <w:spacing w:after="0" w:line="122"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In May 2017, we received Fast Track designation from the U.S. Food and Drug Administration, or the FDA, for AXS-05 for the treatment of agitation in patients with AD.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2017, we received Fast Track designation from the FDA, for AXS-05 for the treatment of TRD.</w:t>
      </w:r>
    </w:p>
    <w:p>
      <w:pPr>
        <w:spacing w:after="0" w:line="156"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In February 2017, we received Investigational New Drug Application, or IND, clearance from the FDA to proceed with a Phase 3 trial of AXS-02 in the treatment of CLBP associated with MCs. The start of this trial is planned following readouts from our CREATE-1 and STRIDE-1 studies.</w:t>
      </w:r>
    </w:p>
    <w:p>
      <w:pPr>
        <w:spacing w:after="0" w:line="123"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In January 2017, we received IND clearance from the FDA to proceed with a Phase 2/3 trial for AXS-05 in the treatment of agitation in patients with AD.</w:t>
      </w:r>
    </w:p>
    <w:p>
      <w:pPr>
        <w:spacing w:after="0" w:line="12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122"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In March 2017, we completed an underwritten public offering, in which we sold 4,304,813 shares of common stock at a public offering price of $3.74 per share. We received gross proceeds of approximately $16.1 million and net proceeds of approximately $14.8 million, net of underwriting discounts and offering expenses.</w:t>
      </w:r>
    </w:p>
    <w:p>
      <w:pPr>
        <w:spacing w:after="0" w:line="123"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In November 2016, we entered into a loan and security agreement with Silicon Valley Bank, or SVB, for a term loan of up to $20.0 million. The initial tranche of $10.0 million was funded shortly after executing the loan agreement.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07"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2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We have incurred significant operating and net losses since inception. We incurred net losses of $8.0 million and $5.9 million for the three months ended March 31, 2017 and 2016, respectively. Our accumulated deficit as of March 31, 2017 was $55.6 million, and we expect to incur significant expenses and increasing operating losses for the foreseeable future. We expect our expenses to increase in connection with our ongoing activities, as we continue the development and clinical trials of, and seek regulatory approval for,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any other 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Accordingly, we will need additional financing to support our continuing operations. We will seek to fund our operations through public or private equity or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research and development expenses by program for the three months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3"/>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r>
      <w:tr>
        <w:trPr>
          <w:trHeight w:val="129"/>
        </w:trPr>
        <w:tc>
          <w:tcPr>
            <w:tcW w:w="4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19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2,724,910</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5"/>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2,169,030</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2,605,763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w w:val="94"/>
              </w:rPr>
              <w:t>1,097,596</w:t>
            </w:r>
          </w:p>
        </w:tc>
        <w:tc>
          <w:tcPr>
            <w:tcW w:w="200" w:type="dxa"/>
            <w:vAlign w:val="bottom"/>
          </w:tcPr>
          <w:p>
            <w:pPr>
              <w:spacing w:after="0"/>
              <w:rPr>
                <w:sz w:val="15"/>
                <w:szCs w:val="15"/>
                <w:color w:val="auto"/>
              </w:rPr>
            </w:pP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113,543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139,894</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401,050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578,985</w:t>
            </w:r>
          </w:p>
        </w:tc>
        <w:tc>
          <w:tcPr>
            <w:tcW w:w="200" w:type="dxa"/>
            <w:vAlign w:val="bottom"/>
          </w:tcPr>
          <w:p>
            <w:pPr>
              <w:spacing w:after="0"/>
              <w:rPr>
                <w:sz w:val="15"/>
                <w:szCs w:val="15"/>
                <w:color w:val="auto"/>
              </w:rPr>
            </w:pP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139,953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540,747</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174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5,985,219</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4,526,252</w:t>
            </w:r>
          </w:p>
        </w:tc>
        <w:tc>
          <w:tcPr>
            <w:tcW w:w="200" w:type="dxa"/>
            <w:vAlign w:val="bottom"/>
          </w:tcPr>
          <w:p>
            <w:pPr>
              <w:spacing w:after="0"/>
              <w:rPr>
                <w:sz w:val="15"/>
                <w:szCs w:val="15"/>
                <w:color w:val="auto"/>
              </w:rPr>
            </w:pPr>
          </w:p>
        </w:tc>
      </w:tr>
    </w:tbl>
    <w:p>
      <w:pPr>
        <w:spacing w:after="0" w:line="188"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Other research and development expenses primarily consist of employee salaries and benefits, and facilities and overhead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discount/premium (expense) income</w:t>
      </w:r>
    </w:p>
    <w:p>
      <w:pPr>
        <w:spacing w:after="0" w:line="185" w:lineRule="exact"/>
        <w:rPr>
          <w:sz w:val="20"/>
          <w:szCs w:val="20"/>
          <w:color w:val="auto"/>
        </w:rPr>
      </w:pPr>
    </w:p>
    <w:p>
      <w:pPr>
        <w:ind w:right="280" w:firstLine="648"/>
        <w:spacing w:after="0" w:line="187" w:lineRule="exact"/>
        <w:rPr>
          <w:sz w:val="20"/>
          <w:szCs w:val="20"/>
          <w:color w:val="auto"/>
        </w:rPr>
      </w:pPr>
      <w:r>
        <w:rPr>
          <w:rFonts w:ascii="Arial" w:cs="Arial" w:eastAsia="Arial" w:hAnsi="Arial"/>
          <w:sz w:val="17"/>
          <w:szCs w:val="17"/>
          <w:color w:val="auto"/>
        </w:rPr>
        <w:t>Interest and amortization of debt discount/premium (expense) income primarily consists of cash interest and non</w:t>
      </w:r>
      <w:r>
        <w:rPr>
          <w:rFonts w:ascii="MS PGothic" w:cs="MS PGothic" w:eastAsia="MS PGothic" w:hAnsi="MS PGothic"/>
          <w:sz w:val="17"/>
          <w:szCs w:val="17"/>
          <w:color w:val="auto"/>
        </w:rPr>
        <w:t>‑</w:t>
      </w:r>
      <w:r>
        <w:rPr>
          <w:rFonts w:ascii="Arial" w:cs="Arial" w:eastAsia="Arial" w:hAnsi="Arial"/>
          <w:sz w:val="17"/>
          <w:szCs w:val="17"/>
          <w:color w:val="auto"/>
        </w:rPr>
        <w:t>cash costs related to our term loan with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 Interest and amortization of debt discount/premium (expense) income also includes interest income earned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400" w:firstLine="648"/>
        <w:spacing w:after="0" w:line="216" w:lineRule="auto"/>
        <w:rPr>
          <w:sz w:val="20"/>
          <w:szCs w:val="20"/>
          <w:color w:val="auto"/>
        </w:rPr>
      </w:pPr>
      <w:r>
        <w:rPr>
          <w:rFonts w:ascii="Arial" w:cs="Arial" w:eastAsia="Arial" w:hAnsi="Arial"/>
          <w:sz w:val="18"/>
          <w:szCs w:val="18"/>
          <w:color w:val="auto"/>
        </w:rPr>
        <w:t>Our discussion and analysis of financial condition and results of operations are based upon our consolidated financial statements, which have been prepared in accordance with U.S. generally accepted accounting principles. The preparation of these financial statements requires us to make significant estimates and judgments that affect the reported amounts of assets, liabilities, expenses and related disclosures. On an ongoing basis, our actual results may differ significantly from our estimates.</w:t>
      </w:r>
    </w:p>
    <w:p>
      <w:pPr>
        <w:spacing w:after="0" w:line="122"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Securities and Exchange Commission on March 7, 2017.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8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ind w:left="75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3"/>
              <w:spacing w:after="0" w:line="136"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3"/>
              <w:spacing w:after="0" w:line="136"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5,985,219</w:t>
            </w:r>
          </w:p>
        </w:tc>
        <w:tc>
          <w:tcPr>
            <w:tcW w:w="3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4,526,252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1,686,814</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1,356,613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7,672,033</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5,882,865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(7,672,033)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(5,882,865)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and amortization of debt discount/premium (expense) income</w:t>
            </w:r>
          </w:p>
        </w:tc>
        <w:tc>
          <w:tcPr>
            <w:tcW w:w="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(323,006)</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16,924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(7,995,039)</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(5,865,941)</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185"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2017 were $6.0 million, compared to $4.5 million for the three months ended March 31, 2016, an increase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$1.5 million. The increase was primarily due to the conduct of our CREATE-1, STRIDE-1, and COAST-1 studies as well as manufacturing costs associated with our product candidates.</w:t>
      </w:r>
    </w:p>
    <w:p>
      <w:pPr>
        <w:spacing w:after="0" w:line="161"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2017 were $1.7 million, compared to $1.4 million for three months ended March 31, 2016, an increase of $0.3 million. The increase was primarily related to stock compensation expense.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and Amortization of Debt Discount/Premium (Expense) Income. </w:t>
      </w:r>
      <w:r>
        <w:rPr>
          <w:rFonts w:ascii="Arial" w:cs="Arial" w:eastAsia="Arial" w:hAnsi="Arial"/>
          <w:sz w:val="18"/>
          <w:szCs w:val="18"/>
          <w:color w:val="auto"/>
        </w:rPr>
        <w:t>Interest and amortization of debt</w:t>
      </w:r>
    </w:p>
    <w:p>
      <w:pPr>
        <w:spacing w:after="0" w:line="229" w:lineRule="auto"/>
        <w:rPr>
          <w:sz w:val="20"/>
          <w:szCs w:val="20"/>
          <w:color w:val="auto"/>
        </w:rPr>
      </w:pPr>
      <w:r>
        <w:rPr>
          <w:rFonts w:ascii="Arial" w:cs="Arial" w:eastAsia="Arial" w:hAnsi="Arial"/>
          <w:sz w:val="16"/>
          <w:szCs w:val="16"/>
          <w:color w:val="auto"/>
        </w:rPr>
        <w:t>discount/premium (expense) income for the three months ended March 31, 2017 was $0.3 million of expense, compared to</w:t>
      </w:r>
    </w:p>
    <w:p>
      <w:pPr>
        <w:spacing w:after="0" w:line="215" w:lineRule="auto"/>
        <w:rPr>
          <w:sz w:val="20"/>
          <w:szCs w:val="20"/>
          <w:color w:val="auto"/>
        </w:rPr>
      </w:pPr>
      <w:r>
        <w:rPr>
          <w:rFonts w:ascii="Arial" w:cs="Arial" w:eastAsia="Arial" w:hAnsi="Arial"/>
          <w:sz w:val="17"/>
          <w:szCs w:val="17"/>
          <w:color w:val="auto"/>
        </w:rPr>
        <w:t>income of approximately $17,000 for the three months ended March 31, 2016, an increase in expense of approximately</w:t>
      </w:r>
    </w:p>
    <w:p>
      <w:pPr>
        <w:spacing w:after="0" w:line="229" w:lineRule="auto"/>
        <w:rPr>
          <w:sz w:val="20"/>
          <w:szCs w:val="20"/>
          <w:color w:val="auto"/>
        </w:rPr>
      </w:pPr>
      <w:r>
        <w:rPr>
          <w:rFonts w:ascii="Arial" w:cs="Arial" w:eastAsia="Arial" w:hAnsi="Arial"/>
          <w:sz w:val="16"/>
          <w:szCs w:val="16"/>
          <w:color w:val="auto"/>
        </w:rPr>
        <w:t>$0.3 million. In 2017, the expense was related to interest and the amortization of the debt discount associated with our loan</w:t>
      </w:r>
    </w:p>
    <w:p>
      <w:pPr>
        <w:spacing w:after="0"/>
        <w:rPr>
          <w:sz w:val="20"/>
          <w:szCs w:val="20"/>
          <w:color w:val="auto"/>
        </w:rPr>
      </w:pPr>
      <w:r>
        <w:rPr>
          <w:rFonts w:ascii="Arial" w:cs="Arial" w:eastAsia="Arial" w:hAnsi="Arial"/>
          <w:sz w:val="18"/>
          <w:szCs w:val="18"/>
          <w:color w:val="auto"/>
        </w:rPr>
        <w:t>and security agreement with SVB.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2016, we entered into a loan and security agreement with SVB for a term loan of up to $20.0 million.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initial tranche of $10.0 million was funded shortly after executing the loan agreement.</w:t>
      </w:r>
    </w:p>
    <w:p>
      <w:pPr>
        <w:spacing w:after="0" w:line="47"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We completed an offering of common stock in March 2017 utilizing the 2016 Shelf Registration Statement (see below). In the future, we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33"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In March 2017, we completed an underwritten public offering, in which we sold 4,304,813 shares of common stock at a public offering price of $3.74 per share. We received gross proceeds of approximately $16.1 million and net proceeds of approximately $14.8 million, net of underwriting discounts and offering expenses.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At March 31, 2017, we had cash of $45.0 million. We currently anticipate our cash to be sufficient to fund our anticipated operating cash requirements into the first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2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9"/>
              </w:rPr>
              <w:t>(6,636,424)</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(3,947,609)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(2,899)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(10,651)</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15,040,453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8,401,130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(3,958,260)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in operating activities for the three months ended March 31, 2017 was $6.6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$3.9 million for the three months ended March 31, 2016. The increase of $2.7 million in net cash used was primarily related to an increase in expenditures for our clinical programs, including our CREATE-1, STRIDE-1, and COAST-1 studies, manufacturing costs for our product candidates, and interest related to our term loan with SVB.</w:t>
      </w:r>
    </w:p>
    <w:p>
      <w:pPr>
        <w:spacing w:after="0" w:line="163"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three months ended March 31, 2017 and 2016.</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$15.0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which included the net proceeds from the sale of common stock in the March 2017 public offering of $14.8 million as well as $0.3 million from the exercise of options and warrants. No cash was provided by financing activities for the three months ended March 31,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number and development requirements of any other product candidates that we pursue;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costs, timing, and outcome of regulatory reviews of our product candidates;</w:t>
      </w:r>
    </w:p>
    <w:p>
      <w:pPr>
        <w:spacing w:after="0" w:line="117" w:lineRule="exact"/>
        <w:rPr>
          <w:sz w:val="20"/>
          <w:szCs w:val="20"/>
          <w:color w:val="auto"/>
        </w:rPr>
      </w:pPr>
    </w:p>
    <w:p>
      <w:pPr>
        <w:ind w:left="920" w:right="160" w:firstLine="29"/>
        <w:spacing w:after="0" w:line="258" w:lineRule="auto"/>
        <w:rPr>
          <w:sz w:val="20"/>
          <w:szCs w:val="20"/>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other lawsuits related to our product candidates;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expenses needed to attract and retain skilled personnel;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general and administrative expenses related to being a public company;</w:t>
      </w:r>
    </w:p>
    <w:p>
      <w:pPr>
        <w:spacing w:after="0" w:line="104"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sz w:val="20"/>
          <w:szCs w:val="20"/>
          <w:color w:val="auto"/>
        </w:rPr>
      </w:pPr>
    </w:p>
    <w:p>
      <w:pPr>
        <w:ind w:left="920" w:right="520" w:firstLine="29"/>
        <w:spacing w:after="0" w:line="203" w:lineRule="exact"/>
        <w:rPr>
          <w:sz w:val="20"/>
          <w:szCs w:val="20"/>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Please see “Risk Factors” for additional risks associated with our substantial capital requirements. </w:t>
      </w:r>
      <w:r>
        <w:rPr>
          <w:rFonts w:ascii="Arial" w:cs="Arial" w:eastAsia="Arial" w:hAnsi="Arial"/>
          <w:sz w:val="18"/>
          <w:szCs w:val="18"/>
          <w:b w:val="1"/>
          <w:bCs w:val="1"/>
          <w:color w:val="auto"/>
        </w:rPr>
        <w:t>Contractual Obligations and Commitments</w:t>
      </w: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54"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November 2016, we entered into a loan and security agreement with Silicon Valley Bank, or SVB, for a term loan of up to $20.0 million. The initial tranche of $10.0 million was funded shortly after executing the loan agreement. We are scheduled to make interest only payments on the loan until December 1, 2017, which period may be extended under certain circumstances. Under the terms of the loan, we may, but are not obligated to, draw two additional tranches of $5.0 million each prior to November 9, 2017 and December 31, 2017, subject to the achievement of certain clinical and financial milestones.</w:t>
      </w:r>
    </w:p>
    <w:p>
      <w:pPr>
        <w:spacing w:after="0" w:line="41"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The SVB loan accrues interest at an annual rate equal to 4.50% plus the prime rate, which is the greater of 3.50% or the Wall Street Journal prime rate, and is payable monthly. Following the interest only payment period, we will begin making monthly payments of principal and interest until the maturity date of November 1, 2020. In addition, we are required to pay a final payment fee of 8.5% of the principal amount extended to us on the date of repayment of the outstanding loan.</w:t>
      </w:r>
    </w:p>
    <w:p>
      <w:pPr>
        <w:spacing w:after="0" w:line="3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loan, SVB and Life Science Loans, LLC, collectively referred to as the lenders, received warrants to purchase an aggregate 65,228 shares of our common stock at an exercise price of $7.41 per share, which are exercisable for seven years from the date of issuance. The lenders will receive additional warrants in connection with the second and third tranches, if and when advanced by the lenders.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 pricing model, was recorded as additional paid-in capital and reduced the carrying value of the debt. The discount on the debt is being amortized to interest expense over the term of the debt.</w:t>
      </w:r>
    </w:p>
    <w:p>
      <w:pPr>
        <w:spacing w:after="0" w:line="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 xml:space="preserve">In March 2016, the Financial Accounting Standards Board (“FASB”) issued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which allows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simplification of several aspects of the accounting for share-based payment transactions. The standard is effective for interim and annual periods beginning after December 15, 2016. We adopted this guidance effective March 31, 2017. The adoption of the guidance did not have a material impact on our financial statements.</w:t>
      </w:r>
    </w:p>
    <w:p>
      <w:pPr>
        <w:spacing w:after="0" w:line="161"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which is guidance to address diversity in practice with respect to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are currently evaluating the potential impact of the new guidance.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$45.0 million and $36.6 million as of March 31, 2017 and December 31, 2016,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do not believe a 10% change in these currencies on March 31, 2017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the company’s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with the goal of achieving regulatory approval. Since inception, we have incurred significant operating losses. Our net losses were $8.0 million and $27.2 million for the three months ended March 31, 2017 and the year ended December 31, 2016, respectively. As of March 31, 2017, we had an accumulated deficit of $55.6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our other current and future product candidates. In addition, we expect to incur significant sales, marketing, and manufacturing expenses related to the commercialization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our other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920" w:right="80" w:firstLine="29"/>
        <w:spacing w:after="0" w:line="203" w:lineRule="exact"/>
        <w:rPr>
          <w:sz w:val="20"/>
          <w:szCs w:val="20"/>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complex regional pain syndrome, or CRPS;</w:t>
      </w:r>
    </w:p>
    <w:p>
      <w:pPr>
        <w:spacing w:after="0" w:line="162" w:lineRule="exact"/>
        <w:rPr>
          <w:sz w:val="20"/>
          <w:szCs w:val="20"/>
          <w:color w:val="auto"/>
        </w:rPr>
      </w:pPr>
    </w:p>
    <w:p>
      <w:pPr>
        <w:ind w:left="920" w:right="120" w:firstLine="29"/>
        <w:spacing w:after="0" w:line="203" w:lineRule="exact"/>
        <w:rPr>
          <w:sz w:val="20"/>
          <w:szCs w:val="20"/>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2"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initiate and enroll patients in our Phase 3 clinical trials in other indications for AXS</w:t>
      </w:r>
      <w:r>
        <w:rPr>
          <w:rFonts w:ascii="MS PGothic" w:cs="MS PGothic" w:eastAsia="MS PGothic" w:hAnsi="MS PGothic"/>
          <w:sz w:val="18"/>
          <w:szCs w:val="18"/>
          <w:color w:val="auto"/>
        </w:rPr>
        <w:t>‑</w:t>
      </w:r>
      <w:r>
        <w:rPr>
          <w:rFonts w:ascii="Arial" w:cs="Arial" w:eastAsia="Arial" w:hAnsi="Arial"/>
          <w:sz w:val="18"/>
          <w:szCs w:val="18"/>
          <w:color w:val="auto"/>
        </w:rPr>
        <w:t>02 and for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5" w:lineRule="exact"/>
        <w:rPr>
          <w:sz w:val="20"/>
          <w:szCs w:val="20"/>
          <w:color w:val="auto"/>
        </w:rPr>
      </w:pPr>
    </w:p>
    <w:p>
      <w:pPr>
        <w:ind w:left="940"/>
        <w:spacing w:after="0" w:line="184" w:lineRule="exact"/>
        <w:rPr>
          <w:sz w:val="20"/>
          <w:szCs w:val="20"/>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8"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196"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conduct preclinical studies with AXS</w:t>
      </w:r>
      <w:r>
        <w:rPr>
          <w:rFonts w:ascii="MS PGothic" w:cs="MS PGothic" w:eastAsia="MS PGothic" w:hAnsi="MS PGothic"/>
          <w:sz w:val="18"/>
          <w:szCs w:val="18"/>
          <w:color w:val="auto"/>
        </w:rPr>
        <w:t>‑</w:t>
      </w:r>
      <w:r>
        <w:rPr>
          <w:rFonts w:ascii="Arial" w:cs="Arial" w:eastAsia="Arial" w:hAnsi="Arial"/>
          <w:sz w:val="18"/>
          <w:szCs w:val="18"/>
          <w:color w:val="auto"/>
        </w:rPr>
        <w:t>06 or any additional product candidates;</w:t>
      </w:r>
    </w:p>
    <w:p>
      <w:pPr>
        <w:spacing w:after="0" w:line="185" w:lineRule="exact"/>
        <w:rPr>
          <w:sz w:val="20"/>
          <w:szCs w:val="20"/>
          <w:color w:val="auto"/>
        </w:rPr>
      </w:pPr>
    </w:p>
    <w:p>
      <w:pPr>
        <w:ind w:left="920" w:right="580" w:firstLine="29"/>
        <w:spacing w:after="0" w:line="203" w:lineRule="exact"/>
        <w:rPr>
          <w:sz w:val="20"/>
          <w:szCs w:val="20"/>
          <w:color w:val="auto"/>
        </w:rPr>
      </w:pPr>
      <w:r>
        <w:rPr>
          <w:rFonts w:ascii="Arial" w:cs="Arial" w:eastAsia="Arial" w:hAnsi="Arial"/>
          <w:sz w:val="18"/>
          <w:szCs w:val="18"/>
          <w:color w:val="auto"/>
        </w:rPr>
        <w:t>increase manufacturing batch sizes of AXS</w:t>
      </w:r>
      <w:r>
        <w:rPr>
          <w:rFonts w:ascii="MS PGothic" w:cs="MS PGothic" w:eastAsia="MS PGothic" w:hAnsi="MS PGothic"/>
          <w:sz w:val="18"/>
          <w:szCs w:val="18"/>
          <w:color w:val="auto"/>
        </w:rPr>
        <w:t>‑</w:t>
      </w:r>
      <w:r>
        <w:rPr>
          <w:rFonts w:ascii="Arial" w:cs="Arial" w:eastAsia="Arial" w:hAnsi="Arial"/>
          <w:sz w:val="18"/>
          <w:szCs w:val="18"/>
          <w:color w:val="auto"/>
        </w:rPr>
        <w:t>02 and AXS-05 to satisfy FDA requirements for a marketing application submission;</w:t>
      </w:r>
    </w:p>
    <w:p>
      <w:pPr>
        <w:spacing w:after="0" w:line="162" w:lineRule="exact"/>
        <w:rPr>
          <w:sz w:val="20"/>
          <w:szCs w:val="20"/>
          <w:color w:val="auto"/>
        </w:rPr>
      </w:pPr>
    </w:p>
    <w:p>
      <w:pPr>
        <w:jc w:val="both"/>
        <w:ind w:left="920" w:right="80" w:firstLine="29"/>
        <w:spacing w:after="0" w:line="224" w:lineRule="auto"/>
        <w:rPr>
          <w:sz w:val="20"/>
          <w:szCs w:val="20"/>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require larger quantities of product;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maintain, expand, and protect our intellectual property portfolio;</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hire additional clinical, quality control, and scientific personnel; and</w:t>
      </w:r>
    </w:p>
    <w:p>
      <w:pPr>
        <w:spacing w:after="0" w:line="185" w:lineRule="exact"/>
        <w:rPr>
          <w:sz w:val="20"/>
          <w:szCs w:val="20"/>
          <w:color w:val="auto"/>
        </w:rPr>
      </w:pPr>
    </w:p>
    <w:p>
      <w:pPr>
        <w:ind w:left="920" w:right="120" w:firstLine="29"/>
        <w:spacing w:after="0" w:line="258" w:lineRule="auto"/>
        <w:rPr>
          <w:sz w:val="20"/>
          <w:szCs w:val="20"/>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200"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20" w:firstLine="648"/>
        <w:spacing w:after="0" w:line="189"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will need to raise additional capital to:</w:t>
      </w:r>
    </w:p>
    <w:p>
      <w:pPr>
        <w:spacing w:after="0" w:line="163" w:lineRule="exact"/>
        <w:rPr>
          <w:sz w:val="20"/>
          <w:szCs w:val="20"/>
          <w:color w:val="auto"/>
        </w:rPr>
      </w:pPr>
    </w:p>
    <w:p>
      <w:pPr>
        <w:ind w:left="920" w:right="440" w:firstLine="29"/>
        <w:spacing w:after="0" w:line="235" w:lineRule="auto"/>
        <w:rPr>
          <w:sz w:val="20"/>
          <w:szCs w:val="20"/>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194" w:lineRule="exact"/>
        <w:rPr>
          <w:sz w:val="20"/>
          <w:szCs w:val="20"/>
          <w:color w:val="auto"/>
        </w:rPr>
      </w:pPr>
      <w:r>
        <w:rPr>
          <w:rFonts w:ascii="Arial" w:cs="Arial" w:eastAsia="Arial" w:hAnsi="Arial"/>
          <w:sz w:val="18"/>
          <w:szCs w:val="18"/>
          <w:color w:val="auto"/>
        </w:rPr>
        <w:t xml:space="preserve">fund our operations and continue our efforts to hire additional personnel and build a commercial infrastructure to prepare for the commercialization of AXS </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our other current and future product candidates, if approved by the FDA or other comparable foreign regulatory authorities;</w:t>
      </w:r>
    </w:p>
    <w:p>
      <w:pPr>
        <w:spacing w:after="0" w:line="163" w:lineRule="exact"/>
        <w:rPr>
          <w:sz w:val="20"/>
          <w:szCs w:val="20"/>
          <w:color w:val="auto"/>
        </w:rPr>
      </w:pPr>
    </w:p>
    <w:p>
      <w:pPr>
        <w:ind w:left="920" w:right="240" w:firstLine="29"/>
        <w:spacing w:after="0" w:line="203" w:lineRule="exact"/>
        <w:rPr>
          <w:sz w:val="20"/>
          <w:szCs w:val="20"/>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2"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develop additional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06; and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We believe that with our available cash as of March 31, 2017, we will have sufficient funds to meet our anticipated operating cash requirements into the first quarter of 2019. We have based this estimate on assumptions that may prove to be wrong and we could spend our available financial resources faster than we currently expect. Further, we may not have sufficient financial resources to meet all of our objectives if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is approved, which could require us to postpone, scale back, or eliminate some, or all, of these objectives, including our potential launch activities relating to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Our future funding requirements will depend on many factors, including, but not limited to:</w:t>
      </w:r>
    </w:p>
    <w:p>
      <w:pPr>
        <w:spacing w:after="0" w:line="166"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the rate of progress and costs related to our Phase 3 development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196" w:lineRule="exact"/>
        <w:rPr>
          <w:sz w:val="20"/>
          <w:szCs w:val="20"/>
          <w:color w:val="auto"/>
        </w:rPr>
      </w:pPr>
      <w:r>
        <w:rPr>
          <w:rFonts w:ascii="Arial" w:cs="Arial" w:eastAsia="Arial" w:hAnsi="Arial"/>
          <w:sz w:val="17"/>
          <w:szCs w:val="17"/>
          <w:color w:val="auto"/>
        </w:rPr>
        <w:t>the costs associated with conducting additional non</w:t>
      </w:r>
      <w:r>
        <w:rPr>
          <w:rFonts w:ascii="MS PGothic" w:cs="MS PGothic" w:eastAsia="MS PGothic" w:hAnsi="MS PGothic"/>
          <w:sz w:val="17"/>
          <w:szCs w:val="17"/>
          <w:color w:val="auto"/>
        </w:rPr>
        <w:t>‑</w:t>
      </w:r>
      <w:r>
        <w:rPr>
          <w:rFonts w:ascii="Arial" w:cs="Arial" w:eastAsia="Arial" w:hAnsi="Arial"/>
          <w:sz w:val="17"/>
          <w:szCs w:val="17"/>
          <w:color w:val="auto"/>
        </w:rPr>
        <w:t>clinical studies with any of our product candidates;</w:t>
      </w:r>
    </w:p>
    <w:p>
      <w:pPr>
        <w:spacing w:after="0" w:line="196" w:lineRule="exact"/>
        <w:rPr>
          <w:sz w:val="20"/>
          <w:szCs w:val="20"/>
          <w:color w:val="auto"/>
        </w:rPr>
      </w:pPr>
    </w:p>
    <w:p>
      <w:pPr>
        <w:ind w:left="920" w:right="560" w:firstLine="29"/>
        <w:spacing w:after="0" w:line="203" w:lineRule="exact"/>
        <w:rPr>
          <w:sz w:val="20"/>
          <w:szCs w:val="20"/>
          <w:color w:val="auto"/>
        </w:rPr>
      </w:pPr>
      <w:r>
        <w:rPr>
          <w:rFonts w:ascii="Arial" w:cs="Arial" w:eastAsia="Arial" w:hAnsi="Arial"/>
          <w:sz w:val="18"/>
          <w:szCs w:val="18"/>
          <w:color w:val="auto"/>
        </w:rPr>
        <w:t>the potential for delays in our efforts to seek regulatory approval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and any costs associated with such delays;</w:t>
      </w:r>
    </w:p>
    <w:p>
      <w:pPr>
        <w:spacing w:after="0" w:line="162" w:lineRule="exact"/>
        <w:rPr>
          <w:sz w:val="20"/>
          <w:szCs w:val="20"/>
          <w:color w:val="auto"/>
        </w:rPr>
      </w:pPr>
    </w:p>
    <w:p>
      <w:pPr>
        <w:ind w:left="940" w:right="640"/>
        <w:spacing w:after="0" w:line="311" w:lineRule="exact"/>
        <w:rPr>
          <w:sz w:val="20"/>
          <w:szCs w:val="20"/>
          <w:color w:val="auto"/>
        </w:rPr>
      </w:pPr>
      <w:r>
        <w:rPr>
          <w:rFonts w:ascii="Arial" w:cs="Arial" w:eastAsia="Arial" w:hAnsi="Arial"/>
          <w:sz w:val="16"/>
          <w:szCs w:val="16"/>
          <w:color w:val="auto"/>
        </w:rPr>
        <w:t>the costs of establishing a commercial organization to sell, market, and distribute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the rate of progress and costs related to our Phase 3 development of AXS-02 and AXS-05;</w:t>
      </w:r>
    </w:p>
    <w:p>
      <w:pPr>
        <w:spacing w:after="0" w:line="162" w:lineRule="exact"/>
        <w:rPr>
          <w:sz w:val="20"/>
          <w:szCs w:val="20"/>
          <w:color w:val="auto"/>
        </w:rPr>
      </w:pPr>
    </w:p>
    <w:p>
      <w:pPr>
        <w:ind w:left="920" w:right="40" w:firstLine="29"/>
        <w:spacing w:after="0" w:line="194" w:lineRule="exact"/>
        <w:rPr>
          <w:sz w:val="20"/>
          <w:szCs w:val="20"/>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161" w:lineRule="exact"/>
        <w:rPr>
          <w:sz w:val="20"/>
          <w:szCs w:val="20"/>
          <w:color w:val="auto"/>
        </w:rPr>
      </w:pPr>
    </w:p>
    <w:p>
      <w:pPr>
        <w:ind w:left="920" w:right="60" w:firstLine="29"/>
        <w:spacing w:after="0" w:line="235" w:lineRule="auto"/>
        <w:rPr>
          <w:sz w:val="20"/>
          <w:szCs w:val="20"/>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2" w:lineRule="exact"/>
        <w:rPr>
          <w:sz w:val="20"/>
          <w:szCs w:val="20"/>
          <w:color w:val="auto"/>
        </w:rPr>
      </w:pPr>
    </w:p>
    <w:p>
      <w:pPr>
        <w:ind w:left="920" w:right="1000" w:firstLine="29"/>
        <w:spacing w:after="0" w:line="203" w:lineRule="exact"/>
        <w:rPr>
          <w:sz w:val="20"/>
          <w:szCs w:val="20"/>
          <w:color w:val="auto"/>
        </w:rPr>
      </w:pPr>
      <w:r>
        <w:rPr>
          <w:rFonts w:ascii="Arial" w:cs="Arial" w:eastAsia="Arial" w:hAnsi="Arial"/>
          <w:sz w:val="18"/>
          <w:szCs w:val="18"/>
          <w:color w:val="auto"/>
        </w:rPr>
        <w:t>the cost and timing of manufacturing sufficient supplies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in preparation for commercialization;</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effect of competing technological and market developments;</w:t>
      </w:r>
    </w:p>
    <w:p>
      <w:pPr>
        <w:spacing w:after="0" w:line="185" w:lineRule="exact"/>
        <w:rPr>
          <w:sz w:val="20"/>
          <w:szCs w:val="20"/>
          <w:color w:val="auto"/>
        </w:rPr>
      </w:pPr>
    </w:p>
    <w:p>
      <w:pPr>
        <w:ind w:left="920" w:right="240" w:firstLine="29"/>
        <w:spacing w:after="0" w:line="235" w:lineRule="auto"/>
        <w:rPr>
          <w:sz w:val="20"/>
          <w:szCs w:val="20"/>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62" w:lineRule="exact"/>
        <w:rPr>
          <w:sz w:val="20"/>
          <w:szCs w:val="20"/>
          <w:color w:val="auto"/>
        </w:rPr>
      </w:pPr>
    </w:p>
    <w:p>
      <w:pPr>
        <w:ind w:left="920" w:right="20" w:firstLine="29"/>
        <w:spacing w:after="0" w:line="203" w:lineRule="exact"/>
        <w:rPr>
          <w:sz w:val="20"/>
          <w:szCs w:val="20"/>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162" w:lineRule="exact"/>
        <w:rPr>
          <w:sz w:val="20"/>
          <w:szCs w:val="20"/>
          <w:color w:val="auto"/>
        </w:rPr>
      </w:pPr>
    </w:p>
    <w:p>
      <w:pPr>
        <w:ind w:left="920" w:right="580" w:firstLine="29"/>
        <w:spacing w:after="0" w:line="203" w:lineRule="exact"/>
        <w:rPr>
          <w:sz w:val="20"/>
          <w:szCs w:val="20"/>
          <w:color w:val="auto"/>
        </w:rPr>
      </w:pPr>
      <w:r>
        <w:rPr>
          <w:rFonts w:ascii="Arial" w:cs="Arial" w:eastAsia="Arial" w:hAnsi="Arial"/>
          <w:sz w:val="18"/>
          <w:szCs w:val="18"/>
          <w:color w:val="auto"/>
        </w:rPr>
        <w:t>the success of the commercialization of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any other of our current or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is conditioned upon the achievement of both a clinical and financial milestone on or prior to November 9, 2017. The clinical milestone requires our receipt of positive interim results of our ongoing CREATE-1 study of AXS-02 in CRPS, while the financial milestone requires that we receive unrestricted and unencumbered net cash proceeds of at least $30.0 million from the issuance and sale of our equity securities to investors. Availability of $5.0 million under the third term advance is tied to achievement of the clinical and financial milestones described above, as well as our receipt of positive data with respect to our ongoing CREATE-1 study by December 31, 2017 sufficient to file a new drug application with the FDA.</w:t>
      </w:r>
    </w:p>
    <w:p>
      <w:pPr>
        <w:spacing w:after="0" w:line="162"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The loan advances mature on November 1, 2020 and have an interest</w:t>
      </w:r>
      <w:r>
        <w:rPr>
          <w:rFonts w:ascii="MS PGothic" w:cs="MS PGothic" w:eastAsia="MS PGothic" w:hAnsi="MS PGothic"/>
          <w:sz w:val="16"/>
          <w:szCs w:val="16"/>
          <w:color w:val="auto"/>
        </w:rPr>
        <w:t>‑</w:t>
      </w:r>
      <w:r>
        <w:rPr>
          <w:rFonts w:ascii="Arial" w:cs="Arial" w:eastAsia="Arial" w:hAnsi="Arial"/>
          <w:sz w:val="16"/>
          <w:szCs w:val="16"/>
          <w:color w:val="auto"/>
        </w:rPr>
        <w:t>only monthly payment period until November 2017, which may be extended to May 2018 upon our receipt of the second term advance. Following the interest-only payment period, we will begin making monthly payments of principal and interest until the maturity date. Interest will accrue on the unpaid principal balance of the outstanding loan advances at a floating per annum rate of 4.50% above the prime rate.</w:t>
      </w:r>
    </w:p>
    <w:p>
      <w:pPr>
        <w:spacing w:after="0" w:line="164"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lead product candidates,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and our other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spacing w:after="0" w:line="194" w:lineRule="exact"/>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candidates,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and cannot guarantee that these product candidates will successfully complete our planned and ongoing Phase 3 clinical trials, receive regulatory approval, or be successfully commercialized.</w:t>
      </w:r>
    </w:p>
    <w:p>
      <w:pPr>
        <w:spacing w:after="0" w:line="163"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most advanced product candidates,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Our business depends entirely on the successful development and commercialization of our product candidates, and in particular,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which may never occur. Our ability to generate revenues in the near term is substantially dependent on our ability to develop, obtain regulatory approval for, and then successfully commercialize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We currently generate no revenues from sales of any products, and we may never be able to develop or commercialize a marketable product.</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lead product candidates,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will require additional clinical and non</w:t>
      </w:r>
      <w:r>
        <w:rPr>
          <w:rFonts w:ascii="MS PGothic" w:cs="MS PGothic" w:eastAsia="MS PGothic" w:hAnsi="MS PGothic"/>
          <w:sz w:val="17"/>
          <w:szCs w:val="17"/>
          <w:color w:val="auto"/>
        </w:rPr>
        <w:t>‑</w:t>
      </w:r>
      <w:r>
        <w:rPr>
          <w:rFonts w:ascii="Arial" w:cs="Arial" w:eastAsia="Arial" w:hAnsi="Arial"/>
          <w:sz w:val="17"/>
          <w:szCs w:val="17"/>
          <w:color w:val="auto"/>
        </w:rPr>
        <w:t>clinical development, regulatory approval, commercial manufacturing arrangements, establishment of a commercial organization, significant marketing efforts, and further investment before we generate any revenues from product sales. We initiated our Phase 3 clinical trial with AXS</w:t>
      </w:r>
      <w:r>
        <w:rPr>
          <w:rFonts w:ascii="MS PGothic" w:cs="MS PGothic" w:eastAsia="MS PGothic" w:hAnsi="MS PGothic"/>
          <w:sz w:val="17"/>
          <w:szCs w:val="17"/>
          <w:color w:val="auto"/>
        </w:rPr>
        <w:t>‑</w:t>
      </w:r>
      <w:r>
        <w:rPr>
          <w:rFonts w:ascii="Arial" w:cs="Arial" w:eastAsia="Arial" w:hAnsi="Arial"/>
          <w:sz w:val="17"/>
          <w:szCs w:val="17"/>
          <w:color w:val="auto"/>
        </w:rPr>
        <w:t xml:space="preserve">02 for the treatment of the pain of knee OA associated with BMLs in March 2016 and for the treatment of pain in patients with CRPS in July 2015. Further, we initiated our Phase 3 clinical trial with AXS </w:t>
      </w:r>
      <w:r>
        <w:rPr>
          <w:rFonts w:ascii="MS PGothic" w:cs="MS PGothic" w:eastAsia="MS PGothic" w:hAnsi="MS PGothic"/>
          <w:sz w:val="17"/>
          <w:szCs w:val="17"/>
          <w:color w:val="auto"/>
        </w:rPr>
        <w:t>‑</w:t>
      </w:r>
      <w:r>
        <w:rPr>
          <w:rFonts w:ascii="Arial" w:cs="Arial" w:eastAsia="Arial" w:hAnsi="Arial"/>
          <w:sz w:val="17"/>
          <w:szCs w:val="17"/>
          <w:color w:val="auto"/>
        </w:rPr>
        <w:t xml:space="preserve">05 for the treatment of TRD in March 2016. As a result of one or more risks discussed in this section, we cannot assure you that we will meet projected timelines related to these trials. Two of our Phase 1 trials with AXS </w:t>
      </w:r>
      <w:r>
        <w:rPr>
          <w:rFonts w:ascii="MS PGothic" w:cs="MS PGothic" w:eastAsia="MS PGothic" w:hAnsi="MS PGothic"/>
          <w:sz w:val="17"/>
          <w:szCs w:val="17"/>
          <w:color w:val="auto"/>
        </w:rPr>
        <w:t>‑</w:t>
      </w:r>
      <w:r>
        <w:rPr>
          <w:rFonts w:ascii="Arial" w:cs="Arial" w:eastAsia="Arial" w:hAnsi="Arial"/>
          <w:sz w:val="17"/>
          <w:szCs w:val="17"/>
          <w:color w:val="auto"/>
        </w:rPr>
        <w:t>05 were conducted with two tablets, one tablet consisting of dextromethorphan, or DM, and one tablet consisting of bupropion. Our third Phase 1 trial with AXS-05 was conducted with one tablet containing both DM and bupropion. We are also conducting our Phase 3 clinical trial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are not permitted to market or promote any of our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before we receive regulatory approval from the FDA or comparable foreign regulatory authorities, and we may never receive such regulatory approval for any of our product candidates. Even if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is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the submission of a risk evaluation and mitigation strategy, or REMS, to monitor the safety or efficacy of the products. If we do not receive regulatory approval for, and successfully commercialize,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we will not be able to generate revenue from these product candidates in the foreseeable future, or at all. Any significant delays in obtaining approval for and commercializing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will have a material adverse impact on our business and financial condition.</w:t>
      </w:r>
    </w:p>
    <w:p>
      <w:pPr>
        <w:spacing w:after="0" w:line="167"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8"/>
          <w:szCs w:val="18"/>
          <w:color w:val="auto"/>
        </w:rPr>
        <w:t>We have not previously submitted an NDA to the FDA, or similar drug approval filings to comparable foreign authorities, for any product candidate, and we cannot be certain that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or future product candidates will be successful in clinical trials or receive regulatory approval. In addition, AXS</w:t>
      </w:r>
      <w:r>
        <w:rPr>
          <w:rFonts w:ascii="MS PGothic" w:cs="MS PGothic" w:eastAsia="MS PGothic" w:hAnsi="MS PGothic"/>
          <w:sz w:val="18"/>
          <w:szCs w:val="18"/>
          <w:color w:val="auto"/>
        </w:rPr>
        <w:t>‑</w:t>
      </w:r>
      <w:r>
        <w:rPr>
          <w:rFonts w:ascii="Arial" w:cs="Arial" w:eastAsia="Arial" w:hAnsi="Arial"/>
          <w:sz w:val="18"/>
          <w:szCs w:val="18"/>
          <w:color w:val="auto"/>
        </w:rPr>
        <w:t>02 has only completed one Phase 1 clinical trial. Furthermore, our product candidate AXS</w:t>
      </w:r>
      <w:r>
        <w:rPr>
          <w:rFonts w:ascii="MS PGothic" w:cs="MS PGothic" w:eastAsia="MS PGothic" w:hAnsi="MS PGothic"/>
          <w:sz w:val="18"/>
          <w:szCs w:val="18"/>
          <w:color w:val="auto"/>
        </w:rPr>
        <w:t>‑</w:t>
      </w:r>
      <w:r>
        <w:rPr>
          <w:rFonts w:ascii="Arial" w:cs="Arial" w:eastAsia="Arial" w:hAnsi="Arial"/>
          <w:sz w:val="18"/>
          <w:szCs w:val="18"/>
          <w:color w:val="auto"/>
        </w:rPr>
        <w:t>06 is only in the early stages of product development and additional preclinical work is required before we may submit an investigational new drug application, or IND, and begin clinical trials.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plan to conduct an interim analysis for our ongoing Phase 3 trials of AXS-02 for the treatment of CRPS and for the treatment of the pain of knee OA associated with BMLs, and may elect to conduct interim analyses for other clinical trials. Interim results of a clinical trial do not necessarily predict final results, and interim results may result in early stoppage of our clinical trials for futility. Further, our product candidates,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may not receive regulatory approval even if they are successful in clinical trials.</w:t>
      </w:r>
    </w:p>
    <w:p>
      <w:pPr>
        <w:spacing w:after="0" w:line="15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If approved for marketing by applicable regulatory authorities, our ability to generate revenues from AXS</w:t>
      </w:r>
      <w:r>
        <w:rPr>
          <w:rFonts w:ascii="MS PGothic" w:cs="MS PGothic" w:eastAsia="MS PGothic" w:hAnsi="MS PGothic"/>
          <w:sz w:val="17"/>
          <w:szCs w:val="17"/>
          <w:color w:val="auto"/>
        </w:rPr>
        <w:t>‑</w:t>
      </w:r>
      <w:r>
        <w:rPr>
          <w:rFonts w:ascii="Arial" w:cs="Arial" w:eastAsia="Arial" w:hAnsi="Arial"/>
          <w:sz w:val="17"/>
          <w:szCs w:val="17"/>
          <w:color w:val="auto"/>
        </w:rPr>
        <w:t>02 or</w:t>
      </w:r>
    </w:p>
    <w:p>
      <w:pPr>
        <w:spacing w:after="0" w:line="207"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05 will depend on our ability to:</w:t>
      </w:r>
    </w:p>
    <w:p>
      <w:pPr>
        <w:spacing w:after="0" w:line="169" w:lineRule="exact"/>
        <w:rPr>
          <w:sz w:val="20"/>
          <w:szCs w:val="20"/>
          <w:color w:val="auto"/>
        </w:rPr>
      </w:pPr>
    </w:p>
    <w:p>
      <w:pPr>
        <w:ind w:left="920" w:right="180" w:firstLine="29"/>
        <w:spacing w:after="0" w:line="203" w:lineRule="exact"/>
        <w:rPr>
          <w:sz w:val="20"/>
          <w:szCs w:val="20"/>
          <w:color w:val="auto"/>
        </w:rPr>
      </w:pPr>
      <w:r>
        <w:rPr>
          <w:rFonts w:ascii="Arial" w:cs="Arial" w:eastAsia="Arial" w:hAnsi="Arial"/>
          <w:sz w:val="18"/>
          <w:szCs w:val="18"/>
          <w:color w:val="auto"/>
        </w:rPr>
        <w:t>create market demand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through our own marketing and sales activities, and any other arrangements to promote these product candidates that we may otherwise establish;</w:t>
      </w:r>
    </w:p>
    <w:p>
      <w:pPr>
        <w:spacing w:after="0" w:line="162" w:lineRule="exact"/>
        <w:rPr>
          <w:sz w:val="20"/>
          <w:szCs w:val="20"/>
          <w:color w:val="auto"/>
        </w:rPr>
      </w:pPr>
    </w:p>
    <w:p>
      <w:pPr>
        <w:ind w:left="940" w:right="1180"/>
        <w:spacing w:after="0" w:line="311" w:lineRule="exact"/>
        <w:rPr>
          <w:sz w:val="20"/>
          <w:szCs w:val="20"/>
          <w:color w:val="auto"/>
        </w:rPr>
      </w:pPr>
      <w:r>
        <w:rPr>
          <w:rFonts w:ascii="Arial" w:cs="Arial" w:eastAsia="Arial" w:hAnsi="Arial"/>
          <w:sz w:val="16"/>
          <w:szCs w:val="16"/>
          <w:color w:val="auto"/>
        </w:rPr>
        <w:t>receive regulatory approval for claims that are necessary or desirable for successful marketing; hire, train, and deploy a sales force to commercialize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in the United States;</w:t>
      </w:r>
    </w:p>
    <w:p>
      <w:pPr>
        <w:spacing w:after="0" w:line="162" w:lineRule="exact"/>
        <w:rPr>
          <w:sz w:val="20"/>
          <w:szCs w:val="20"/>
          <w:color w:val="auto"/>
        </w:rPr>
      </w:pPr>
    </w:p>
    <w:p>
      <w:pPr>
        <w:ind w:left="920" w:right="200" w:firstLine="29"/>
        <w:spacing w:after="0" w:line="203" w:lineRule="exact"/>
        <w:rPr>
          <w:sz w:val="20"/>
          <w:szCs w:val="20"/>
          <w:color w:val="auto"/>
        </w:rPr>
      </w:pPr>
      <w:r>
        <w:rPr>
          <w:rFonts w:ascii="Arial" w:cs="Arial" w:eastAsia="Arial" w:hAnsi="Arial"/>
          <w:sz w:val="18"/>
          <w:szCs w:val="18"/>
          <w:color w:val="auto"/>
        </w:rPr>
        <w:t>manufacture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in sufficient quantities and at acceptable quality and manufacturing cost to meet commercial demand at launch and thereafter;</w:t>
      </w:r>
    </w:p>
    <w:p>
      <w:pPr>
        <w:spacing w:after="0" w:line="162" w:lineRule="exact"/>
        <w:rPr>
          <w:sz w:val="20"/>
          <w:szCs w:val="20"/>
          <w:color w:val="auto"/>
        </w:rPr>
      </w:pPr>
    </w:p>
    <w:p>
      <w:pPr>
        <w:ind w:left="920" w:right="580" w:firstLine="29"/>
        <w:spacing w:after="0" w:line="235" w:lineRule="auto"/>
        <w:rPr>
          <w:sz w:val="20"/>
          <w:szCs w:val="20"/>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2" w:lineRule="exact"/>
        <w:rPr>
          <w:sz w:val="20"/>
          <w:szCs w:val="20"/>
          <w:color w:val="auto"/>
        </w:rPr>
      </w:pPr>
    </w:p>
    <w:p>
      <w:pPr>
        <w:ind w:left="920" w:right="220" w:firstLine="29"/>
        <w:spacing w:after="0" w:line="235" w:lineRule="auto"/>
        <w:rPr>
          <w:sz w:val="20"/>
          <w:szCs w:val="20"/>
          <w:color w:val="auto"/>
        </w:rPr>
      </w:pPr>
      <w:r>
        <w:rPr>
          <w:rFonts w:ascii="Arial" w:cs="Arial" w:eastAsia="Arial" w:hAnsi="Arial"/>
          <w:sz w:val="18"/>
          <w:szCs w:val="18"/>
          <w:color w:val="auto"/>
        </w:rPr>
        <w:t>create partnerships with, or offer licenses to, third parties to promote and sell AXS-02 and AXS-05 in foreign markets where we receive marketing approval;</w:t>
      </w:r>
    </w:p>
    <w:p>
      <w:pPr>
        <w:spacing w:after="0" w:line="162"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maintain patent and trade secret protection and regulatory exclusivity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launch commercial sales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whether alone or in collaboration with others;</w:t>
      </w:r>
    </w:p>
    <w:p>
      <w:pPr>
        <w:spacing w:after="0" w:line="185" w:lineRule="exact"/>
        <w:rPr>
          <w:sz w:val="20"/>
          <w:szCs w:val="20"/>
          <w:color w:val="auto"/>
        </w:rPr>
      </w:pPr>
    </w:p>
    <w:p>
      <w:pPr>
        <w:ind w:left="940"/>
        <w:spacing w:after="0" w:line="184" w:lineRule="exact"/>
        <w:rPr>
          <w:sz w:val="20"/>
          <w:szCs w:val="20"/>
          <w:color w:val="auto"/>
        </w:rPr>
      </w:pPr>
      <w:r>
        <w:rPr>
          <w:rFonts w:ascii="Arial" w:cs="Arial" w:eastAsia="Arial" w:hAnsi="Arial"/>
          <w:sz w:val="16"/>
          <w:szCs w:val="16"/>
          <w:color w:val="auto"/>
        </w:rPr>
        <w:t>achieve market acceptance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achieve appropriate reimbursement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effectively compete with other therapies; and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maintain a continued acceptable safety profile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following launch.</w:t>
      </w:r>
    </w:p>
    <w:p>
      <w:pPr>
        <w:spacing w:after="0" w:line="185"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8"/>
          <w:szCs w:val="18"/>
          <w:color w:val="auto"/>
        </w:rPr>
        <w:t>As we continue to develop our other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06, we expect to face similar risks related to our ability to develop, obtain regulatory approval for, and successfully commercialize such product candidates as we face with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63"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and knee OA associated with BMLs, and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and agitation associated with AD. As a result, we may forego or delay pursuit of opportunities with other product candidates or for other indications that may prove to have greater commercial potential. Additionally,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difficulty or inability to secure financing to fund business activities for such development;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disruption of our business and diversion of our management’s time and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higher than expected development costs;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exposure to unknown liabilities;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difficulty in managing multiple product development programs;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499" w:firstLine="3"/>
        <w:spacing w:after="0" w:line="185" w:lineRule="exact"/>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process. The label, however, may require all or some of the limitations, contraindications, warnings, or precautions included in the reference product’s label, including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8"/>
          <w:szCs w:val="18"/>
          <w:color w:val="auto"/>
        </w:rPr>
        <w:t>‑</w:t>
      </w:r>
      <w:r>
        <w:rPr>
          <w:rFonts w:ascii="Arial" w:cs="Arial" w:eastAsia="Arial" w:hAnsi="Arial"/>
          <w:sz w:val="18"/>
          <w:szCs w:val="18"/>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or, possibly, withdraw the product from the market.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applicant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7"/>
          <w:szCs w:val="17"/>
          <w:color w:val="auto"/>
        </w:rPr>
        <w:t>‑</w:t>
      </w:r>
      <w:r>
        <w:rPr>
          <w:rFonts w:ascii="Arial" w:cs="Arial" w:eastAsia="Arial" w:hAnsi="Arial"/>
          <w:sz w:val="17"/>
          <w:szCs w:val="17"/>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While, at this time, we believe that we will not need to file a paragraph IV certification for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should circumstances change, should the FDA disagree or should we be required to file a paragraph IV certification in the future for other product candidates, we may risk patent litigation and substantial delays.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6"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2" w:lineRule="exact"/>
        <w:rPr>
          <w:sz w:val="20"/>
          <w:szCs w:val="20"/>
          <w:color w:val="auto"/>
        </w:rPr>
      </w:pPr>
    </w:p>
    <w:p>
      <w:pPr>
        <w:ind w:right="44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920" w:right="240" w:firstLine="29"/>
        <w:spacing w:after="0" w:line="235" w:lineRule="auto"/>
        <w:rPr>
          <w:sz w:val="20"/>
          <w:szCs w:val="20"/>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2" w:lineRule="exact"/>
        <w:rPr>
          <w:sz w:val="20"/>
          <w:szCs w:val="20"/>
          <w:color w:val="auto"/>
        </w:rPr>
      </w:pPr>
    </w:p>
    <w:p>
      <w:pPr>
        <w:ind w:left="920" w:right="560" w:firstLine="29"/>
        <w:spacing w:after="0" w:line="235" w:lineRule="auto"/>
        <w:rPr>
          <w:sz w:val="20"/>
          <w:szCs w:val="20"/>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2" w:lineRule="exact"/>
        <w:rPr>
          <w:sz w:val="20"/>
          <w:szCs w:val="20"/>
          <w:color w:val="auto"/>
        </w:rPr>
      </w:pPr>
    </w:p>
    <w:p>
      <w:pPr>
        <w:ind w:left="920" w:right="80" w:firstLine="29"/>
        <w:spacing w:after="0" w:line="249" w:lineRule="auto"/>
        <w:rPr>
          <w:sz w:val="20"/>
          <w:szCs w:val="20"/>
          <w:color w:val="auto"/>
        </w:rPr>
      </w:pPr>
      <w:r>
        <w:rPr>
          <w:rFonts w:ascii="Arial" w:cs="Arial" w:eastAsia="Arial" w:hAnsi="Arial"/>
          <w:sz w:val="16"/>
          <w:szCs w:val="16"/>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 For instance, as CRPS may spontaneously resolve on its own, our studies in recently diagnosed patients may fail to show a treatment effect;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224"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sz w:val="20"/>
          <w:szCs w:val="20"/>
          <w:color w:val="auto"/>
        </w:rPr>
      </w:pPr>
    </w:p>
    <w:p>
      <w:pPr>
        <w:ind w:left="920" w:firstLine="29"/>
        <w:spacing w:after="0" w:line="194" w:lineRule="exact"/>
        <w:rPr>
          <w:sz w:val="20"/>
          <w:szCs w:val="20"/>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sz w:val="20"/>
          <w:szCs w:val="20"/>
          <w:color w:val="auto"/>
        </w:rPr>
      </w:pPr>
    </w:p>
    <w:p>
      <w:pPr>
        <w:ind w:left="920" w:right="220" w:firstLine="29"/>
        <w:spacing w:after="0" w:line="216" w:lineRule="auto"/>
        <w:rPr>
          <w:sz w:val="20"/>
          <w:szCs w:val="20"/>
          <w:color w:val="auto"/>
        </w:rPr>
      </w:pPr>
      <w:r>
        <w:rPr>
          <w:rFonts w:ascii="Arial" w:cs="Arial" w:eastAsia="Arial" w:hAnsi="Arial"/>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w:t>
      </w:r>
    </w:p>
    <w:p>
      <w:pPr>
        <w:spacing w:after="0" w:line="162" w:lineRule="exact"/>
        <w:rPr>
          <w:sz w:val="20"/>
          <w:szCs w:val="20"/>
          <w:color w:val="auto"/>
        </w:rPr>
      </w:pPr>
    </w:p>
    <w:p>
      <w:pPr>
        <w:ind w:left="920" w:right="120" w:firstLine="29"/>
        <w:spacing w:after="0" w:line="235" w:lineRule="auto"/>
        <w:rPr>
          <w:sz w:val="20"/>
          <w:szCs w:val="20"/>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2" w:lineRule="exact"/>
        <w:rPr>
          <w:sz w:val="20"/>
          <w:szCs w:val="20"/>
          <w:color w:val="auto"/>
        </w:rPr>
      </w:pPr>
    </w:p>
    <w:p>
      <w:pPr>
        <w:ind w:left="940" w:right="3140"/>
        <w:spacing w:after="0" w:line="510" w:lineRule="auto"/>
        <w:rPr>
          <w:sz w:val="20"/>
          <w:szCs w:val="20"/>
          <w:color w:val="auto"/>
        </w:rPr>
      </w:pPr>
      <w:r>
        <w:rPr>
          <w:rFonts w:ascii="Arial" w:cs="Arial" w:eastAsia="Arial" w:hAnsi="Arial"/>
          <w:sz w:val="16"/>
          <w:szCs w:val="16"/>
          <w:color w:val="auto"/>
        </w:rPr>
        <w:t>changes in or the enactment of additional statutes or regulations; changes in regulatory review for each submitted product application;</w:t>
      </w:r>
    </w:p>
    <w:p>
      <w:pPr>
        <w:spacing w:after="0" w:line="1" w:lineRule="exact"/>
        <w:rPr>
          <w:sz w:val="20"/>
          <w:szCs w:val="20"/>
          <w:color w:val="auto"/>
        </w:rPr>
      </w:pPr>
    </w:p>
    <w:p>
      <w:pPr>
        <w:ind w:left="920" w:right="80" w:firstLine="29"/>
        <w:spacing w:after="0" w:line="224" w:lineRule="auto"/>
        <w:rPr>
          <w:sz w:val="20"/>
          <w:szCs w:val="20"/>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3" w:lineRule="exact"/>
        <w:rPr>
          <w:sz w:val="20"/>
          <w:szCs w:val="20"/>
          <w:color w:val="auto"/>
        </w:rPr>
      </w:pPr>
    </w:p>
    <w:p>
      <w:pPr>
        <w:ind w:left="920" w:right="420" w:firstLine="29"/>
        <w:spacing w:after="0" w:line="235"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2" w:lineRule="exact"/>
        <w:rPr>
          <w:sz w:val="20"/>
          <w:szCs w:val="20"/>
          <w:color w:val="auto"/>
        </w:rPr>
      </w:pPr>
    </w:p>
    <w:p>
      <w:pPr>
        <w:ind w:left="920" w:right="20" w:firstLine="29"/>
        <w:spacing w:after="0" w:line="180" w:lineRule="exact"/>
        <w:rPr>
          <w:sz w:val="20"/>
          <w:szCs w:val="20"/>
          <w:color w:val="auto"/>
        </w:rPr>
      </w:pPr>
      <w:r>
        <w:rPr>
          <w:rFonts w:ascii="Arial" w:cs="Arial" w:eastAsia="Arial" w:hAnsi="Arial"/>
          <w:sz w:val="17"/>
          <w:szCs w:val="17"/>
          <w:color w:val="auto"/>
        </w:rPr>
        <w:t>we may decide, or regulators may require us, to conduct additional clinical trials, analyses, reports, data, or preclinical trials, or we may abandon product development programs. For instance, for the development of AXS</w:t>
      </w:r>
      <w:r>
        <w:rPr>
          <w:rFonts w:ascii="MS PGothic" w:cs="MS PGothic" w:eastAsia="MS PGothic" w:hAnsi="MS PGothic"/>
          <w:sz w:val="17"/>
          <w:szCs w:val="17"/>
          <w:color w:val="auto"/>
        </w:rPr>
        <w:t>‑</w:t>
      </w:r>
      <w:r>
        <w:rPr>
          <w:rFonts w:ascii="Arial" w:cs="Arial" w:eastAsia="Arial" w:hAnsi="Arial"/>
          <w:sz w:val="17"/>
          <w:szCs w:val="17"/>
          <w:color w:val="auto"/>
        </w:rPr>
        <w:t>02, the FDA has indicated that we will need to file a new IND for each indication to supplement the initial IND that we filed in 2013 for the treatment of pain associated with CRPS, and that we will need to conduct additional preclinical studies and clinical trials, such as non</w:t>
      </w:r>
      <w:r>
        <w:rPr>
          <w:rFonts w:ascii="MS PGothic" w:cs="MS PGothic" w:eastAsia="MS PGothic" w:hAnsi="MS PGothic"/>
          <w:sz w:val="17"/>
          <w:szCs w:val="17"/>
          <w:color w:val="auto"/>
        </w:rPr>
        <w:t>‑</w:t>
      </w:r>
      <w:r>
        <w:rPr>
          <w:rFonts w:ascii="Arial" w:cs="Arial" w:eastAsia="Arial" w:hAnsi="Arial"/>
          <w:sz w:val="17"/>
          <w:szCs w:val="17"/>
          <w:color w:val="auto"/>
        </w:rPr>
        <w:t>clinical oral toxicology studies and clinical trials to further assess the safety and duration of effect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02 food effects, and possibly repeat dosing. For our ongoing Phase 3 clinical trial with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the pain of knee OA associated with BMLs, although we have received a Special Protocol Assessment, or SPA, the FDA stated that if there is a recurrence of knee OA pain, we will need to explore repeat dosing, which would require additional preclinical studies.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planned Phase 3 trials in order to file an NDA for this product candidate. The outcome of our studies may further necessitate additional clinical or preclinical work;</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5" w:lineRule="exact"/>
        <w:rPr>
          <w:sz w:val="20"/>
          <w:szCs w:val="20"/>
          <w:color w:val="auto"/>
        </w:rPr>
      </w:pPr>
    </w:p>
    <w:p>
      <w:pPr>
        <w:ind w:left="920" w:right="300" w:firstLine="29"/>
        <w:spacing w:after="0" w:line="235" w:lineRule="auto"/>
        <w:rPr>
          <w:sz w:val="20"/>
          <w:szCs w:val="20"/>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2" w:lineRule="exact"/>
        <w:rPr>
          <w:sz w:val="20"/>
          <w:szCs w:val="20"/>
          <w:color w:val="auto"/>
        </w:rPr>
      </w:pPr>
    </w:p>
    <w:p>
      <w:pPr>
        <w:jc w:val="both"/>
        <w:ind w:left="920" w:right="500" w:firstLine="29"/>
        <w:spacing w:after="0" w:line="259" w:lineRule="auto"/>
        <w:rPr>
          <w:sz w:val="20"/>
          <w:szCs w:val="20"/>
          <w:color w:val="auto"/>
        </w:rPr>
      </w:pPr>
      <w:r>
        <w:rPr>
          <w:rFonts w:ascii="Arial" w:cs="Arial" w:eastAsia="Arial" w:hAnsi="Arial"/>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47"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firstLine="29"/>
        <w:spacing w:after="0" w:line="184" w:lineRule="exact"/>
        <w:rPr>
          <w:sz w:val="20"/>
          <w:szCs w:val="20"/>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sz w:val="20"/>
          <w:szCs w:val="20"/>
          <w:color w:val="auto"/>
        </w:rPr>
      </w:pPr>
    </w:p>
    <w:p>
      <w:pPr>
        <w:ind w:left="920" w:right="20" w:firstLine="29"/>
        <w:spacing w:after="0" w:line="235" w:lineRule="auto"/>
        <w:rPr>
          <w:sz w:val="20"/>
          <w:szCs w:val="20"/>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FDA or comparable foreign regulatory authorities may disagree with our intended indications;</w:t>
      </w:r>
    </w:p>
    <w:p>
      <w:pPr>
        <w:spacing w:after="0" w:line="185" w:lineRule="exact"/>
        <w:rPr>
          <w:sz w:val="20"/>
          <w:szCs w:val="20"/>
          <w:color w:val="auto"/>
        </w:rPr>
      </w:pPr>
    </w:p>
    <w:p>
      <w:pPr>
        <w:ind w:left="920" w:right="300" w:firstLine="29"/>
        <w:spacing w:after="0" w:line="258" w:lineRule="auto"/>
        <w:rPr>
          <w:sz w:val="20"/>
          <w:szCs w:val="20"/>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7"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2" w:lineRule="exact"/>
        <w:rPr>
          <w:sz w:val="20"/>
          <w:szCs w:val="20"/>
          <w:color w:val="auto"/>
        </w:rPr>
      </w:pPr>
    </w:p>
    <w:p>
      <w:pPr>
        <w:ind w:left="920" w:firstLine="29"/>
        <w:spacing w:after="0" w:line="235" w:lineRule="auto"/>
        <w:rPr>
          <w:sz w:val="20"/>
          <w:szCs w:val="20"/>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940" w:right="3000"/>
        <w:spacing w:after="0" w:line="454" w:lineRule="auto"/>
        <w:rPr>
          <w:sz w:val="20"/>
          <w:szCs w:val="20"/>
          <w:color w:val="auto"/>
        </w:rPr>
      </w:pPr>
      <w:r>
        <w:rPr>
          <w:rFonts w:ascii="Arial" w:cs="Arial" w:eastAsia="Arial" w:hAnsi="Arial"/>
          <w:sz w:val="18"/>
          <w:szCs w:val="18"/>
          <w:color w:val="auto"/>
        </w:rPr>
        <w:t>be delayed in obtaining marketing approval for our product candidates; not obtain marketing approval at all;</w:t>
      </w:r>
    </w:p>
    <w:p>
      <w:pPr>
        <w:ind w:left="920" w:right="440" w:firstLine="29"/>
        <w:spacing w:after="0" w:line="235" w:lineRule="auto"/>
        <w:rPr>
          <w:sz w:val="20"/>
          <w:szCs w:val="20"/>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2" w:lineRule="exact"/>
        <w:rPr>
          <w:sz w:val="20"/>
          <w:szCs w:val="20"/>
          <w:color w:val="auto"/>
        </w:rPr>
      </w:pPr>
    </w:p>
    <w:p>
      <w:pPr>
        <w:ind w:left="920" w:right="200" w:firstLine="29"/>
        <w:spacing w:after="0" w:line="259" w:lineRule="auto"/>
        <w:rPr>
          <w:sz w:val="20"/>
          <w:szCs w:val="20"/>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7" w:lineRule="exact"/>
        <w:rPr>
          <w:sz w:val="20"/>
          <w:szCs w:val="20"/>
          <w:color w:val="auto"/>
        </w:rPr>
      </w:pPr>
    </w:p>
    <w:p>
      <w:pPr>
        <w:ind w:left="940" w:right="1040"/>
        <w:spacing w:after="0" w:line="311" w:lineRule="exact"/>
        <w:rPr>
          <w:sz w:val="20"/>
          <w:szCs w:val="20"/>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 have the product removed from the market after obtaining marketing approval.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has not previously reviewed product candidates for the indications we are pursuing, such as bisphosphonates for the treatment of pain. As a result, we may experience delays in regulatory approval due to uncertainties in the approval process.</w:t>
      </w:r>
    </w:p>
    <w:p>
      <w:pPr>
        <w:spacing w:after="0" w:line="161"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b w:val="1"/>
          <w:bCs w:val="1"/>
          <w:i w:val="1"/>
          <w:iCs w:val="1"/>
          <w:color w:val="auto"/>
        </w:rPr>
        <w:t>The FDA may determine that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or any other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The number of requests for additional data or information issued by the FDA in recent years has increased, and resulted in substantial delays in the approval of several new drugs. Undesirable side effects caused by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surveillance, or other requirements, including REMS, to monitor the safety or efficacy of the products, and in turn prevent us from commercializing and generating revenues from the sale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is a combination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size and nature of the patient population;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severity of the disease under investigation;</w:t>
      </w:r>
    </w:p>
    <w:p>
      <w:pPr>
        <w:spacing w:after="0" w:line="185" w:lineRule="exact"/>
        <w:rPr>
          <w:sz w:val="20"/>
          <w:szCs w:val="20"/>
          <w:color w:val="auto"/>
        </w:rPr>
      </w:pPr>
    </w:p>
    <w:p>
      <w:pPr>
        <w:ind w:left="920" w:right="400" w:firstLine="29"/>
        <w:spacing w:after="0" w:line="235" w:lineRule="auto"/>
        <w:rPr>
          <w:sz w:val="20"/>
          <w:szCs w:val="20"/>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2" w:lineRule="exact"/>
        <w:rPr>
          <w:sz w:val="20"/>
          <w:szCs w:val="20"/>
          <w:color w:val="auto"/>
        </w:rPr>
      </w:pPr>
    </w:p>
    <w:p>
      <w:pPr>
        <w:ind w:left="920" w:right="440" w:firstLine="29"/>
        <w:spacing w:after="0" w:line="289" w:lineRule="auto"/>
        <w:rPr>
          <w:sz w:val="20"/>
          <w:szCs w:val="20"/>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competition in recruiting and enrolling patients in clinical trials;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patient referral practices of physicians;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effectiveness of publicity created by clinical trial sites regarding the trial;</w:t>
      </w:r>
    </w:p>
    <w:p>
      <w:pPr>
        <w:spacing w:after="0" w:line="185" w:lineRule="exact"/>
        <w:rPr>
          <w:sz w:val="20"/>
          <w:szCs w:val="20"/>
          <w:color w:val="auto"/>
        </w:rPr>
      </w:pPr>
    </w:p>
    <w:p>
      <w:pPr>
        <w:ind w:left="920" w:right="99" w:firstLine="29"/>
        <w:spacing w:after="0" w:line="235" w:lineRule="auto"/>
        <w:rPr>
          <w:sz w:val="20"/>
          <w:szCs w:val="20"/>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inability to obtain or maintain patient informed consents;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risk that enrolled patients will drop out before completion;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Our current development plan for AXS</w:t>
      </w:r>
      <w:r>
        <w:rPr>
          <w:rFonts w:ascii="MS PGothic" w:cs="MS PGothic" w:eastAsia="MS PGothic" w:hAnsi="MS PGothic"/>
          <w:sz w:val="16"/>
          <w:szCs w:val="16"/>
          <w:color w:val="auto"/>
        </w:rPr>
        <w:t>‑</w:t>
      </w:r>
      <w:r>
        <w:rPr>
          <w:rFonts w:ascii="Arial" w:cs="Arial" w:eastAsia="Arial" w:hAnsi="Arial"/>
          <w:sz w:val="16"/>
          <w:szCs w:val="16"/>
          <w:color w:val="auto"/>
        </w:rPr>
        <w:t>02 contemplates recruiting and enrolling more than 475 patients for our Phase 3 clinical trials for the treatment of pain associated with CRPS. We may encounter difficulties or delays in completing our planned enrollments for these trials. In addition, because of some of our other entry criteria for our Phase 3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such as the requirement that patients cease any usage of previous opioid therapy, we may further limit our potential patient population. For our initiated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we will require patients to have previously failed one or two antidepressant treatments, which further limits our potential patient population. As a result, these entry criteria may make it difficult for us to enroll patients in any of our clinical trials. We may be required by the FDA to modify the entry criteria for our ongoing Phase 3 clinical trials with AXS-02 and AXS-05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15" w:lineRule="exact"/>
        <w:rPr>
          <w:sz w:val="20"/>
          <w:szCs w:val="20"/>
          <w:color w:val="auto"/>
        </w:rPr>
      </w:pPr>
    </w:p>
    <w:p>
      <w:pPr>
        <w:jc w:val="both"/>
        <w:ind w:right="99"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194" w:lineRule="exact"/>
        <w:rPr>
          <w:sz w:val="20"/>
          <w:szCs w:val="20"/>
          <w:color w:val="auto"/>
        </w:rPr>
      </w:pPr>
      <w:r>
        <w:rPr>
          <w:rFonts w:ascii="Arial" w:cs="Arial" w:eastAsia="Arial" w:hAnsi="Arial"/>
          <w:sz w:val="18"/>
          <w:szCs w:val="18"/>
          <w:b w:val="1"/>
          <w:bCs w:val="1"/>
          <w:i w:val="1"/>
          <w:iCs w:val="1"/>
          <w:color w:val="auto"/>
        </w:rPr>
        <w:t>One of our lead product candidates,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if approved, will compete in the marketplace with other bupropion products that are subject to restrictive marketing and distribution regulations, which if applied to our product candidates would restrict their use and harm our ability to generate profits.</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Some of the currently approved bupropion products require REMS. REMS programs may require medication guides for patients,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AXS</w:t>
      </w:r>
      <w:r>
        <w:rPr>
          <w:rFonts w:ascii="MS PGothic" w:cs="MS PGothic" w:eastAsia="MS PGothic" w:hAnsi="MS PGothic"/>
          <w:sz w:val="16"/>
          <w:szCs w:val="16"/>
          <w:color w:val="auto"/>
        </w:rPr>
        <w:t>‑</w:t>
      </w:r>
      <w:r>
        <w:rPr>
          <w:rFonts w:ascii="Arial" w:cs="Arial" w:eastAsia="Arial" w:hAnsi="Arial"/>
          <w:sz w:val="16"/>
          <w:szCs w:val="16"/>
          <w:color w:val="auto"/>
        </w:rPr>
        <w:t>05 will require a REMS program. We cannot predict whether REMS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for such product candidates may also prevent or delay their approval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our initial studies in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will be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We have received a Fast Track product designation for AXS</w:t>
      </w:r>
      <w:r>
        <w:rPr>
          <w:rFonts w:ascii="MS PGothic" w:cs="MS PGothic" w:eastAsia="MS PGothic" w:hAnsi="MS PGothic"/>
          <w:sz w:val="16"/>
          <w:szCs w:val="16"/>
          <w:color w:val="auto"/>
        </w:rPr>
        <w:t>‑</w:t>
      </w:r>
      <w:r>
        <w:rPr>
          <w:rFonts w:ascii="Arial" w:cs="Arial" w:eastAsia="Arial" w:hAnsi="Arial"/>
          <w:sz w:val="16"/>
          <w:szCs w:val="16"/>
          <w:color w:val="auto"/>
        </w:rPr>
        <w:t>02 for both the treatment of pain associated with CRPS as well as for the treatment of the pain of knee OA associated with BMLs, and for AXS-05 for the treatment of TRD,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40"/>
        <w:spacing w:after="0" w:line="189" w:lineRule="exact"/>
        <w:rPr>
          <w:sz w:val="20"/>
          <w:szCs w:val="20"/>
          <w:color w:val="auto"/>
        </w:rPr>
      </w:pPr>
      <w:r>
        <w:rPr>
          <w:rFonts w:ascii="Arial" w:cs="Arial" w:eastAsia="Arial" w:hAnsi="Arial"/>
          <w:sz w:val="18"/>
          <w:szCs w:val="18"/>
          <w:b w:val="1"/>
          <w:bCs w:val="1"/>
          <w:i w:val="1"/>
          <w:iCs w:val="1"/>
          <w:color w:val="auto"/>
        </w:rPr>
        <w:t>Regulatory approval is limited by the FDA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7"/>
          <w:szCs w:val="17"/>
          <w:color w:val="auto"/>
        </w:rPr>
        <w:t>‑</w:t>
      </w:r>
      <w:r>
        <w:rPr>
          <w:rFonts w:ascii="Arial" w:cs="Arial" w:eastAsia="Arial" w:hAnsi="Arial"/>
          <w:sz w:val="17"/>
          <w:szCs w:val="17"/>
          <w:color w:val="auto"/>
        </w:rPr>
        <w:t>label use.</w:t>
      </w:r>
    </w:p>
    <w:p>
      <w:pPr>
        <w:spacing w:after="0" w:line="16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In the United States, engaging in the impermissible promotion of our products, following approval, for off</w:t>
      </w:r>
      <w:r>
        <w:rPr>
          <w:rFonts w:ascii="MS PGothic" w:cs="MS PGothic" w:eastAsia="MS PGothic" w:hAnsi="MS PGothic"/>
          <w:sz w:val="17"/>
          <w:szCs w:val="17"/>
          <w:color w:val="auto"/>
        </w:rPr>
        <w:t>‑</w:t>
      </w:r>
      <w:r>
        <w:rPr>
          <w:rFonts w:ascii="Arial" w:cs="Arial" w:eastAsia="Arial" w:hAnsi="Arial"/>
          <w:sz w:val="17"/>
          <w:szCs w:val="17"/>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7"/>
          <w:szCs w:val="17"/>
          <w:color w:val="auto"/>
        </w:rPr>
        <w:t>‑</w:t>
      </w:r>
      <w:r>
        <w:rPr>
          <w:rFonts w:ascii="Arial" w:cs="Arial" w:eastAsia="Arial" w:hAnsi="Arial"/>
          <w:sz w:val="17"/>
          <w:szCs w:val="17"/>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2" w:lineRule="exact"/>
        <w:rPr>
          <w:sz w:val="20"/>
          <w:szCs w:val="20"/>
          <w:color w:val="auto"/>
        </w:rPr>
      </w:pPr>
    </w:p>
    <w:p>
      <w:pPr>
        <w:ind w:right="120"/>
        <w:spacing w:after="0" w:line="189" w:lineRule="exact"/>
        <w:rPr>
          <w:sz w:val="20"/>
          <w:szCs w:val="20"/>
          <w:color w:val="auto"/>
        </w:rPr>
      </w:pPr>
      <w:r>
        <w:rPr>
          <w:rFonts w:ascii="Arial" w:cs="Arial" w:eastAsia="Arial" w:hAnsi="Arial"/>
          <w:sz w:val="16"/>
          <w:szCs w:val="16"/>
          <w:b w:val="1"/>
          <w:bCs w:val="1"/>
          <w:i w:val="1"/>
          <w:iCs w:val="1"/>
          <w:color w:val="auto"/>
        </w:rPr>
        <w:t>Even if AXS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02 or AXS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05 receive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including manufacturing deviations and reports; registration and listing requirements; the payment of annual fees for our product candidates, if approved, and the establishments at which they are manufactured;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6"/>
          <w:szCs w:val="16"/>
          <w:color w:val="auto"/>
        </w:rPr>
        <w:t>‑</w:t>
      </w:r>
      <w:r>
        <w:rPr>
          <w:rFonts w:ascii="Arial" w:cs="Arial" w:eastAsia="Arial" w:hAnsi="Arial"/>
          <w:sz w:val="16"/>
          <w:szCs w:val="16"/>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6"/>
          <w:szCs w:val="16"/>
          <w:color w:val="auto"/>
        </w:rPr>
        <w:t>‑</w:t>
      </w:r>
      <w:r>
        <w:rPr>
          <w:rFonts w:ascii="Arial" w:cs="Arial" w:eastAsia="Arial" w:hAnsi="Arial"/>
          <w:sz w:val="16"/>
          <w:szCs w:val="16"/>
          <w:color w:val="auto"/>
        </w:rPr>
        <w:t>market requirements or restrictions. Any such restrictions could limit sales of the product.</w:t>
      </w:r>
    </w:p>
    <w:p>
      <w:pPr>
        <w:spacing w:after="0" w:line="163"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restrictions on manufacturing or distribution, or marketing of such products;</w:t>
      </w:r>
    </w:p>
    <w:p>
      <w:pPr>
        <w:spacing w:after="0" w:line="185" w:lineRule="exact"/>
        <w:rPr>
          <w:sz w:val="20"/>
          <w:szCs w:val="20"/>
          <w:color w:val="auto"/>
        </w:rPr>
      </w:pPr>
    </w:p>
    <w:p>
      <w:pPr>
        <w:ind w:left="920" w:right="1200" w:firstLine="29"/>
        <w:spacing w:after="0" w:line="258" w:lineRule="auto"/>
        <w:rPr>
          <w:sz w:val="20"/>
          <w:szCs w:val="20"/>
          <w:color w:val="auto"/>
        </w:rPr>
      </w:pPr>
      <w:r>
        <w:rPr>
          <w:rFonts w:ascii="Arial" w:cs="Arial" w:eastAsia="Arial" w:hAnsi="Arial"/>
          <w:sz w:val="17"/>
          <w:szCs w:val="17"/>
          <w:color w:val="auto"/>
        </w:rPr>
        <w:t>restrictions on the labeling, including required additional warnings, such as black box warnings, contraindications, precautions, and restrictions on the approved indication or use;</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modifications to promotional pieces;</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clinical holds or termination of clinical trials;</w:t>
      </w:r>
    </w:p>
    <w:p>
      <w:pPr>
        <w:spacing w:after="0" w:line="185" w:lineRule="exact"/>
        <w:rPr>
          <w:sz w:val="20"/>
          <w:szCs w:val="20"/>
          <w:color w:val="auto"/>
        </w:rPr>
      </w:pPr>
    </w:p>
    <w:p>
      <w:pPr>
        <w:ind w:left="920" w:right="80" w:firstLine="29"/>
        <w:spacing w:after="0" w:line="232" w:lineRule="auto"/>
        <w:rPr>
          <w:sz w:val="20"/>
          <w:szCs w:val="20"/>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to the way the drug is administered;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liability for harm caused to patients or subjects;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reputational harm;</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drug becoming less competitive;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warning, untitled, or cyber letters;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suspension of marketing or withdrawal of the products from the market;</w:t>
      </w:r>
    </w:p>
    <w:p>
      <w:pPr>
        <w:spacing w:after="0" w:line="185" w:lineRule="exact"/>
        <w:rPr>
          <w:sz w:val="20"/>
          <w:szCs w:val="20"/>
          <w:color w:val="auto"/>
        </w:rPr>
      </w:pPr>
    </w:p>
    <w:p>
      <w:pPr>
        <w:ind w:left="920" w:right="780" w:firstLine="29"/>
        <w:spacing w:after="0" w:line="258" w:lineRule="auto"/>
        <w:rPr>
          <w:sz w:val="20"/>
          <w:szCs w:val="20"/>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refusal to approve pending applications or supplements to approved applications that we submit;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recall of products;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fines, damages, restitution, or disgorgement of profits or revenues;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suspension or withdrawal of marketing approvals;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refusal to permit the import or export of our products;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product seizure or detention;</w:t>
      </w:r>
    </w:p>
    <w:p>
      <w:pPr>
        <w:spacing w:after="0" w:line="185" w:lineRule="exact"/>
        <w:rPr>
          <w:sz w:val="20"/>
          <w:szCs w:val="20"/>
          <w:color w:val="auto"/>
        </w:rPr>
      </w:pPr>
    </w:p>
    <w:p>
      <w:pPr>
        <w:ind w:left="920" w:right="260" w:firstLine="29"/>
        <w:spacing w:after="0" w:line="289" w:lineRule="auto"/>
        <w:rPr>
          <w:sz w:val="20"/>
          <w:szCs w:val="20"/>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injunctions or the imposition of civil or criminal penalties, including imprisonment.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different regulatory requirements for approval of drugs in foreign countries;</w:t>
      </w:r>
    </w:p>
    <w:p>
      <w:pPr>
        <w:spacing w:after="0" w:line="185" w:lineRule="exact"/>
        <w:rPr>
          <w:sz w:val="20"/>
          <w:szCs w:val="20"/>
          <w:color w:val="auto"/>
        </w:rPr>
      </w:pPr>
    </w:p>
    <w:p>
      <w:pPr>
        <w:ind w:left="920" w:right="320" w:firstLine="29"/>
        <w:spacing w:after="0" w:line="194" w:lineRule="exact"/>
        <w:rPr>
          <w:sz w:val="20"/>
          <w:szCs w:val="20"/>
          <w:color w:val="auto"/>
        </w:rPr>
      </w:pPr>
      <w:r>
        <w:rPr>
          <w:rFonts w:ascii="Arial" w:cs="Arial" w:eastAsia="Arial" w:hAnsi="Arial"/>
          <w:sz w:val="18"/>
          <w:szCs w:val="18"/>
          <w:color w:val="auto"/>
        </w:rPr>
        <w:t>the potential for so</w:t>
      </w:r>
      <w:r>
        <w:rPr>
          <w:rFonts w:ascii="MS PGothic" w:cs="MS PGothic" w:eastAsia="MS PGothic" w:hAnsi="MS PGothic"/>
          <w:sz w:val="18"/>
          <w:szCs w:val="18"/>
          <w:color w:val="auto"/>
        </w:rPr>
        <w:t>‑</w:t>
      </w:r>
      <w:r>
        <w:rPr>
          <w:rFonts w:ascii="Arial" w:cs="Arial" w:eastAsia="Arial" w:hAnsi="Arial"/>
          <w:sz w:val="18"/>
          <w:szCs w:val="18"/>
          <w:color w:val="auto"/>
        </w:rPr>
        <w:t>called parallel importing, which is what happens when a local seller, faced with high or higher local prices, opts to import goods from a foreign market (with low or lower prices) rather than buying them locally;</w:t>
      </w:r>
    </w:p>
    <w:p>
      <w:pPr>
        <w:spacing w:after="0" w:line="163" w:lineRule="exact"/>
        <w:rPr>
          <w:sz w:val="20"/>
          <w:szCs w:val="20"/>
          <w:color w:val="auto"/>
        </w:rPr>
      </w:pPr>
    </w:p>
    <w:p>
      <w:pPr>
        <w:ind w:left="920" w:firstLine="29"/>
        <w:spacing w:after="0" w:line="258" w:lineRule="auto"/>
        <w:rPr>
          <w:sz w:val="20"/>
          <w:szCs w:val="20"/>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7" w:lineRule="exact"/>
        <w:rPr>
          <w:sz w:val="20"/>
          <w:szCs w:val="20"/>
          <w:color w:val="auto"/>
        </w:rPr>
      </w:pPr>
    </w:p>
    <w:p>
      <w:pPr>
        <w:ind w:left="920" w:right="480" w:firstLine="29"/>
        <w:spacing w:after="0" w:line="235" w:lineRule="auto"/>
        <w:rPr>
          <w:sz w:val="20"/>
          <w:szCs w:val="20"/>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2" w:lineRule="exact"/>
        <w:rPr>
          <w:sz w:val="20"/>
          <w:szCs w:val="20"/>
          <w:color w:val="auto"/>
        </w:rPr>
      </w:pPr>
    </w:p>
    <w:p>
      <w:pPr>
        <w:ind w:left="940" w:right="360"/>
        <w:spacing w:after="0" w:line="454" w:lineRule="auto"/>
        <w:rPr>
          <w:sz w:val="20"/>
          <w:szCs w:val="20"/>
          <w:color w:val="auto"/>
        </w:rPr>
      </w:pPr>
      <w:r>
        <w:rPr>
          <w:rFonts w:ascii="Arial" w:cs="Arial" w:eastAsia="Arial" w:hAnsi="Arial"/>
          <w:sz w:val="18"/>
          <w:szCs w:val="18"/>
          <w:color w:val="auto"/>
        </w:rPr>
        <w:t>economic weakness, including inflation, or political instability in particular foreign economies and markets; compliance with tax, employment, immigration, and labor laws for employees living or traveling abroad; foreign taxes, including withholding of payroll taxes;</w:t>
      </w:r>
    </w:p>
    <w:p>
      <w:pPr>
        <w:ind w:left="920" w:right="320" w:firstLine="29"/>
        <w:spacing w:after="0" w:line="235"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difficulties staffing and managing foreign operations;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85" w:lineRule="exact"/>
        <w:rPr>
          <w:sz w:val="20"/>
          <w:szCs w:val="20"/>
          <w:color w:val="auto"/>
        </w:rPr>
      </w:pPr>
    </w:p>
    <w:p>
      <w:pPr>
        <w:ind w:left="920" w:right="580" w:firstLine="29"/>
        <w:spacing w:after="0" w:line="258" w:lineRule="auto"/>
        <w:rPr>
          <w:sz w:val="20"/>
          <w:szCs w:val="20"/>
          <w:color w:val="auto"/>
        </w:rPr>
      </w:pPr>
      <w:r>
        <w:rPr>
          <w:rFonts w:ascii="Arial" w:cs="Arial" w:eastAsia="Arial" w:hAnsi="Arial"/>
          <w:sz w:val="17"/>
          <w:szCs w:val="17"/>
          <w:color w:val="auto"/>
        </w:rPr>
        <w:t>costs of compliance with U.S. laws and regulations for foreign operations, including the Foreign Corrupt Practices Act or comparable foreign regulations, and the risks and costs of noncompliance;</w:t>
      </w:r>
    </w:p>
    <w:p>
      <w:pPr>
        <w:spacing w:after="0" w:line="147" w:lineRule="exact"/>
        <w:rPr>
          <w:sz w:val="20"/>
          <w:szCs w:val="20"/>
          <w:color w:val="auto"/>
        </w:rPr>
      </w:pPr>
    </w:p>
    <w:p>
      <w:pPr>
        <w:ind w:left="920" w:right="420" w:firstLine="29"/>
        <w:spacing w:after="0" w:line="235"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60" w:firstLine="29"/>
        <w:spacing w:after="0" w:line="235" w:lineRule="auto"/>
        <w:rPr>
          <w:sz w:val="20"/>
          <w:szCs w:val="20"/>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Specifically, there are a large number of companies developing or marketing therapies for the treatment and management of pain and other CNS disorders, including many major pharmaceutical and biotechnology companies. Among the companies that currently market or are developing therapies that, if approved, our product candidates would potentially compete with include: Alkermes plc; Allergan plc; Carbylan Therapeutics, Inc.; Eli Lilly and Company; Flexion Therapeutics, Inc.; Grunenthal GmbH; Janssen Research &amp; Development, LLC; Levolta Pharmaceuticals, Inc.; and Otsuka Pharmaceutical Co. Ltd.; OPKO Health, Inc.; Acadia Pharmaceuticals, Inc.; and Intra-Cellular Therapies, Inc.</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We are not aware of any generic products currently available on the market that are approved for the specific indications that we are pursuing; however, generic forms of the active ingredients of our product candidates, including zoledronic acid, DM, and bupropion,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payer from offering favorable coverage for such product and disadvantaging our product candidates, even if the generics would be used off-label.</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jc w:val="both"/>
        <w:ind w:right="16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4"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for our product candidates if they are approved. These three years, however, would only protect our modifications in formulation or approved uses in comparison to the reference listed drug and would not prevent other companies from submitting full NDAs.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 We may also be eligible in the United States for seven years of orphan exclusivity for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CRPS, which is further discussed below.</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194" w:lineRule="exact"/>
        <w:rPr>
          <w:sz w:val="20"/>
          <w:szCs w:val="20"/>
          <w:color w:val="auto"/>
        </w:rPr>
      </w:pPr>
      <w:r>
        <w:rPr>
          <w:rFonts w:ascii="Arial" w:cs="Arial" w:eastAsia="Arial" w:hAnsi="Arial"/>
          <w:sz w:val="17"/>
          <w:szCs w:val="17"/>
          <w:b w:val="1"/>
          <w:bCs w:val="1"/>
          <w:i w:val="1"/>
          <w:iCs w:val="1"/>
          <w:color w:val="auto"/>
        </w:rPr>
        <w:t>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02 has received Orphan Drug Designation from the FDA. However, there is no guarantee that we will be able to maintain this designation for 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02, receive this designation for any of our other product candidates, or receive or maintain any corresponding benefits, including periods of exclusivity.</w:t>
      </w:r>
    </w:p>
    <w:p>
      <w:pPr>
        <w:spacing w:after="0" w:line="161" w:lineRule="exact"/>
        <w:rPr>
          <w:sz w:val="20"/>
          <w:szCs w:val="20"/>
          <w:color w:val="auto"/>
        </w:rPr>
      </w:pPr>
    </w:p>
    <w:p>
      <w:pPr>
        <w:ind w:firstLine="648"/>
        <w:spacing w:after="0" w:line="203"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02 has received Orphan Drug Designation from the FDA for the treatment of CRPS. We may also seek Orphan Drug Designation for our other product candidates, as appropriate.</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Orphan Drug Designation, however, may be lost if the indication for which we develop AXS</w:t>
      </w:r>
      <w:r>
        <w:rPr>
          <w:rFonts w:ascii="MS PGothic" w:cs="MS PGothic" w:eastAsia="MS PGothic" w:hAnsi="MS PGothic"/>
          <w:sz w:val="17"/>
          <w:szCs w:val="17"/>
          <w:color w:val="auto"/>
        </w:rPr>
        <w:t>‑</w:t>
      </w:r>
      <w:r>
        <w:rPr>
          <w:rFonts w:ascii="Arial" w:cs="Arial" w:eastAsia="Arial" w:hAnsi="Arial"/>
          <w:sz w:val="17"/>
          <w:szCs w:val="17"/>
          <w:color w:val="auto"/>
        </w:rPr>
        <w:t>02 or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4"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Thar Pharmaceuticals was subsequently acquired by Grunenthal GmbH. If Grunenthal GmbH or another sponsor receives FDA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obtain FDA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be prevented from launching our product in the United States for this indication for a period of at least 7 years. If another sponsor receives EMA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obtain EMA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be prevented from launching our product in the European Union for this indication for a period of at least 10 to 12 years.</w:t>
      </w:r>
    </w:p>
    <w:p>
      <w:pPr>
        <w:spacing w:after="0" w:line="164"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6"/>
          <w:szCs w:val="16"/>
          <w:color w:val="auto"/>
        </w:rPr>
        <w:t xml:space="preserve">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AXS </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other of our current or future product candidates, which would limit our ability to generate product revenues. Factors that may inhibit our efforts to commercialize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other of our current or future product candidates on our own include:</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08" w:lineRule="exact"/>
        <w:rPr>
          <w:sz w:val="20"/>
          <w:szCs w:val="20"/>
          <w:color w:val="auto"/>
        </w:rPr>
      </w:pPr>
    </w:p>
    <w:p>
      <w:pPr>
        <w:ind w:left="920" w:right="319" w:firstLine="29"/>
        <w:spacing w:after="0" w:line="203" w:lineRule="exact"/>
        <w:rPr>
          <w:sz w:val="20"/>
          <w:szCs w:val="20"/>
          <w:color w:val="auto"/>
        </w:rPr>
      </w:pPr>
      <w:r>
        <w:rPr>
          <w:rFonts w:ascii="Arial" w:cs="Arial" w:eastAsia="Arial" w:hAnsi="Arial"/>
          <w:sz w:val="18"/>
          <w:szCs w:val="18"/>
          <w:color w:val="auto"/>
        </w:rPr>
        <w:t>the inability of sales personnel to obtain access to physicians or persuade adequate numbers of physicians to prescribe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or future product candidates;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inability to effectively oversee a geographically dispersed sales and marketing team;</w:t>
      </w:r>
    </w:p>
    <w:p>
      <w:pPr>
        <w:spacing w:after="0" w:line="185" w:lineRule="exact"/>
        <w:rPr>
          <w:sz w:val="20"/>
          <w:szCs w:val="20"/>
          <w:color w:val="auto"/>
        </w:rPr>
      </w:pPr>
    </w:p>
    <w:p>
      <w:pPr>
        <w:ind w:left="920" w:right="39" w:firstLine="29"/>
        <w:spacing w:after="0" w:line="235" w:lineRule="auto"/>
        <w:rPr>
          <w:sz w:val="20"/>
          <w:szCs w:val="20"/>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 inability to secure adequate coverage and reimbursement by government and private health plans;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clinical indications for which the product is approved;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08" w:lineRule="exact"/>
        <w:rPr>
          <w:sz w:val="20"/>
          <w:szCs w:val="20"/>
          <w:color w:val="auto"/>
        </w:rPr>
      </w:pPr>
    </w:p>
    <w:p>
      <w:pPr>
        <w:ind w:left="920" w:right="39" w:firstLine="29"/>
        <w:spacing w:after="0" w:line="235" w:lineRule="auto"/>
        <w:rPr>
          <w:sz w:val="20"/>
          <w:szCs w:val="20"/>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2" w:lineRule="exact"/>
        <w:rPr>
          <w:sz w:val="20"/>
          <w:szCs w:val="20"/>
          <w:color w:val="auto"/>
        </w:rPr>
      </w:pPr>
    </w:p>
    <w:p>
      <w:pPr>
        <w:ind w:left="920" w:right="859" w:firstLine="29"/>
        <w:spacing w:after="0" w:line="235" w:lineRule="auto"/>
        <w:rPr>
          <w:sz w:val="20"/>
          <w:szCs w:val="20"/>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62" w:lineRule="exact"/>
        <w:rPr>
          <w:sz w:val="20"/>
          <w:szCs w:val="20"/>
          <w:color w:val="auto"/>
        </w:rPr>
      </w:pPr>
    </w:p>
    <w:p>
      <w:pPr>
        <w:ind w:left="920" w:right="619" w:firstLine="29"/>
        <w:spacing w:after="0" w:line="235"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2" w:lineRule="exact"/>
        <w:rPr>
          <w:sz w:val="20"/>
          <w:szCs w:val="20"/>
          <w:color w:val="auto"/>
        </w:rPr>
      </w:pPr>
    </w:p>
    <w:p>
      <w:pPr>
        <w:ind w:left="920" w:right="379" w:firstLine="29"/>
        <w:spacing w:after="0" w:line="235" w:lineRule="auto"/>
        <w:rPr>
          <w:sz w:val="20"/>
          <w:szCs w:val="20"/>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firstLine="648"/>
        <w:spacing w:after="0" w:line="184" w:lineRule="exact"/>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other of our current or future product candidates.</w:t>
      </w:r>
    </w:p>
    <w:p>
      <w:pPr>
        <w:spacing w:after="0" w:line="166"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165" w:lineRule="exact"/>
        <w:rPr>
          <w:sz w:val="20"/>
          <w:szCs w:val="20"/>
          <w:color w:val="auto"/>
        </w:rPr>
      </w:pPr>
    </w:p>
    <w:p>
      <w:pPr>
        <w:ind w:right="280"/>
        <w:spacing w:after="0" w:line="203" w:lineRule="exact"/>
        <w:rPr>
          <w:sz w:val="20"/>
          <w:szCs w:val="20"/>
          <w:color w:val="auto"/>
        </w:rPr>
      </w:pPr>
      <w:r>
        <w:rPr>
          <w:rFonts w:ascii="Arial" w:cs="Arial" w:eastAsia="Arial" w:hAnsi="Arial"/>
          <w:sz w:val="18"/>
          <w:szCs w:val="18"/>
          <w:b w:val="1"/>
          <w:bCs w:val="1"/>
          <w:i w:val="1"/>
          <w:iCs w:val="1"/>
          <w:color w:val="auto"/>
        </w:rPr>
        <w:t>If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or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does not achieve broad market acceptance, the revenues that we generate from their sales will be limited.</w:t>
      </w:r>
    </w:p>
    <w:p>
      <w:pPr>
        <w:spacing w:after="0" w:line="162"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We have never commercialized a product candidate for any indication. Even if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is approved by</w:t>
      </w:r>
    </w:p>
    <w:p>
      <w:pPr>
        <w:spacing w:after="0" w:line="224" w:lineRule="auto"/>
        <w:rPr>
          <w:sz w:val="20"/>
          <w:szCs w:val="20"/>
          <w:color w:val="auto"/>
        </w:rPr>
      </w:pPr>
      <w:r>
        <w:rPr>
          <w:rFonts w:ascii="Arial" w:cs="Arial" w:eastAsia="Arial" w:hAnsi="Arial"/>
          <w:sz w:val="17"/>
          <w:szCs w:val="17"/>
          <w:color w:val="auto"/>
        </w:rPr>
        <w:t>the appropriate regulatory authorities for marketing and sale, it may not gain acceptance among physicians, patients,</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and others in the medical community. If any product candidates for which we obtain regulatory approval</w:t>
      </w:r>
    </w:p>
    <w:p>
      <w:pPr>
        <w:spacing w:after="0" w:line="229" w:lineRule="auto"/>
        <w:rPr>
          <w:sz w:val="20"/>
          <w:szCs w:val="20"/>
          <w:color w:val="auto"/>
        </w:rPr>
      </w:pPr>
      <w:r>
        <w:rPr>
          <w:rFonts w:ascii="Arial" w:cs="Arial" w:eastAsia="Arial" w:hAnsi="Arial"/>
          <w:sz w:val="16"/>
          <w:szCs w:val="16"/>
          <w:color w:val="auto"/>
        </w:rPr>
        <w:t>do not gain an adequate level of market acceptance, we may not generate significant product revenues or become profitable.</w:t>
      </w:r>
    </w:p>
    <w:p>
      <w:pPr>
        <w:spacing w:after="0" w:line="176" w:lineRule="exact"/>
        <w:rPr>
          <w:sz w:val="20"/>
          <w:szCs w:val="20"/>
          <w:color w:val="auto"/>
        </w:rPr>
      </w:pPr>
      <w:r>
        <w:rPr>
          <w:rFonts w:ascii="Arial" w:cs="Arial" w:eastAsia="Arial" w:hAnsi="Arial"/>
          <w:sz w:val="17"/>
          <w:szCs w:val="17"/>
          <w:color w:val="auto"/>
        </w:rPr>
        <w:t>Market acceptance of AXS</w:t>
      </w:r>
      <w:r>
        <w:rPr>
          <w:rFonts w:ascii="MS PGothic" w:cs="MS PGothic" w:eastAsia="MS PGothic" w:hAnsi="MS PGothic"/>
          <w:sz w:val="17"/>
          <w:szCs w:val="17"/>
          <w:color w:val="auto"/>
        </w:rPr>
        <w:t>‑</w:t>
      </w:r>
      <w:r>
        <w:rPr>
          <w:rFonts w:ascii="Arial" w:cs="Arial" w:eastAsia="Arial" w:hAnsi="Arial"/>
          <w:sz w:val="17"/>
          <w:szCs w:val="17"/>
          <w:color w:val="auto"/>
        </w:rPr>
        <w:t>02 or AXS</w:t>
      </w:r>
      <w:r>
        <w:rPr>
          <w:rFonts w:ascii="MS PGothic" w:cs="MS PGothic" w:eastAsia="MS PGothic" w:hAnsi="MS PGothic"/>
          <w:sz w:val="17"/>
          <w:szCs w:val="17"/>
          <w:color w:val="auto"/>
        </w:rPr>
        <w:t>‑</w:t>
      </w:r>
      <w:r>
        <w:rPr>
          <w:rFonts w:ascii="Arial" w:cs="Arial" w:eastAsia="Arial" w:hAnsi="Arial"/>
          <w:sz w:val="17"/>
          <w:szCs w:val="17"/>
          <w:color w:val="auto"/>
        </w:rPr>
        <w:t>05 by the medical community,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will depend on a</w:t>
      </w:r>
    </w:p>
    <w:p>
      <w:pPr>
        <w:spacing w:after="0" w:line="229" w:lineRule="auto"/>
        <w:rPr>
          <w:sz w:val="20"/>
          <w:szCs w:val="20"/>
          <w:color w:val="auto"/>
        </w:rPr>
      </w:pPr>
      <w:r>
        <w:rPr>
          <w:rFonts w:ascii="Arial" w:cs="Arial" w:eastAsia="Arial" w:hAnsi="Arial"/>
          <w:sz w:val="16"/>
          <w:szCs w:val="16"/>
          <w:color w:val="auto"/>
        </w:rPr>
        <w:t>number of factors, some of which are beyond our control. For example, physicians are often reluctant to switch their patients</w:t>
      </w:r>
    </w:p>
    <w:p>
      <w:pPr>
        <w:spacing w:after="0" w:line="229" w:lineRule="auto"/>
        <w:rPr>
          <w:sz w:val="20"/>
          <w:szCs w:val="20"/>
          <w:color w:val="auto"/>
        </w:rPr>
      </w:pPr>
      <w:r>
        <w:rPr>
          <w:rFonts w:ascii="Arial" w:cs="Arial" w:eastAsia="Arial" w:hAnsi="Arial"/>
          <w:sz w:val="16"/>
          <w:szCs w:val="16"/>
          <w:color w:val="auto"/>
        </w:rPr>
        <w:t>from existing therapies even when new and potentially more effective or convenient treatments enter the market. Further,</w:t>
      </w:r>
    </w:p>
    <w:p>
      <w:pPr>
        <w:spacing w:after="0" w:line="216" w:lineRule="auto"/>
        <w:rPr>
          <w:sz w:val="20"/>
          <w:szCs w:val="20"/>
          <w:color w:val="auto"/>
        </w:rPr>
      </w:pPr>
      <w:r>
        <w:rPr>
          <w:rFonts w:ascii="Arial" w:cs="Arial" w:eastAsia="Arial" w:hAnsi="Arial"/>
          <w:sz w:val="17"/>
          <w:szCs w:val="17"/>
          <w:color w:val="auto"/>
        </w:rPr>
        <w:t>patients often acclimate to the therapy that they are currently taking and do not want to switch unless their physicians</w:t>
      </w:r>
    </w:p>
    <w:p>
      <w:pPr>
        <w:spacing w:after="0"/>
        <w:rPr>
          <w:sz w:val="20"/>
          <w:szCs w:val="20"/>
          <w:color w:val="auto"/>
        </w:rPr>
      </w:pPr>
      <w:r>
        <w:rPr>
          <w:rFonts w:ascii="Arial" w:cs="Arial" w:eastAsia="Arial" w:hAnsi="Arial"/>
          <w:sz w:val="16"/>
          <w:szCs w:val="16"/>
          <w:color w:val="auto"/>
        </w:rPr>
        <w:t>recommend switching products or they are required to switch therapies due to lack of reimbursement for existing therapies.</w:t>
      </w:r>
    </w:p>
    <w:p>
      <w:pPr>
        <w:spacing w:after="0" w:line="19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and in particular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will depend on a number of factors, including:</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efficacy of our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prevalence and severity of adverse events associated with such product candidate;</w:t>
      </w:r>
    </w:p>
    <w:p>
      <w:pPr>
        <w:spacing w:after="0" w:line="185" w:lineRule="exact"/>
        <w:rPr>
          <w:sz w:val="20"/>
          <w:szCs w:val="20"/>
          <w:color w:val="auto"/>
        </w:rPr>
      </w:pPr>
    </w:p>
    <w:p>
      <w:pPr>
        <w:ind w:left="920" w:right="340" w:firstLine="29"/>
        <w:spacing w:after="0" w:line="235" w:lineRule="auto"/>
        <w:rPr>
          <w:sz w:val="20"/>
          <w:szCs w:val="20"/>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2" w:lineRule="exact"/>
        <w:rPr>
          <w:sz w:val="20"/>
          <w:szCs w:val="20"/>
          <w:color w:val="auto"/>
        </w:rPr>
      </w:pPr>
    </w:p>
    <w:p>
      <w:pPr>
        <w:ind w:left="920" w:right="320" w:firstLine="29"/>
        <w:spacing w:after="0" w:line="203" w:lineRule="exact"/>
        <w:rPr>
          <w:sz w:val="20"/>
          <w:szCs w:val="20"/>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2"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relative convenience and ease of administration of such product candidate;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140" w:firstLine="29"/>
        <w:spacing w:after="0" w:line="258" w:lineRule="auto"/>
        <w:rPr>
          <w:sz w:val="20"/>
          <w:szCs w:val="20"/>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extent and strength of our marketing and distribution of such product candidate;</w:t>
      </w:r>
    </w:p>
    <w:p>
      <w:pPr>
        <w:spacing w:after="0" w:line="185" w:lineRule="exact"/>
        <w:rPr>
          <w:sz w:val="20"/>
          <w:szCs w:val="20"/>
          <w:color w:val="auto"/>
        </w:rPr>
      </w:pPr>
    </w:p>
    <w:p>
      <w:pPr>
        <w:ind w:left="920" w:right="140" w:firstLine="29"/>
        <w:spacing w:after="0" w:line="235" w:lineRule="auto"/>
        <w:rPr>
          <w:sz w:val="20"/>
          <w:szCs w:val="20"/>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2" w:lineRule="exact"/>
        <w:rPr>
          <w:sz w:val="20"/>
          <w:szCs w:val="20"/>
          <w:color w:val="auto"/>
        </w:rPr>
      </w:pPr>
    </w:p>
    <w:p>
      <w:pPr>
        <w:ind w:left="920" w:right="380" w:firstLine="29"/>
        <w:spacing w:after="0" w:line="289" w:lineRule="auto"/>
        <w:rPr>
          <w:sz w:val="20"/>
          <w:szCs w:val="20"/>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timing of market introduction of such product candidate, as well as competitive products;</w:t>
      </w:r>
    </w:p>
    <w:p>
      <w:pPr>
        <w:spacing w:after="0" w:line="185" w:lineRule="exact"/>
        <w:rPr>
          <w:sz w:val="20"/>
          <w:szCs w:val="20"/>
          <w:color w:val="auto"/>
        </w:rPr>
      </w:pPr>
    </w:p>
    <w:p>
      <w:pPr>
        <w:ind w:left="920" w:right="260" w:firstLine="29"/>
        <w:spacing w:after="0" w:line="235" w:lineRule="auto"/>
        <w:rPr>
          <w:sz w:val="20"/>
          <w:szCs w:val="20"/>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2" w:lineRule="exact"/>
        <w:rPr>
          <w:sz w:val="20"/>
          <w:szCs w:val="20"/>
          <w:color w:val="auto"/>
        </w:rPr>
      </w:pPr>
    </w:p>
    <w:p>
      <w:pPr>
        <w:ind w:left="920" w:right="700" w:firstLine="29"/>
        <w:spacing w:after="0" w:line="235" w:lineRule="auto"/>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clinical indications for which such product candidate is approved;</w:t>
      </w:r>
    </w:p>
    <w:p>
      <w:pPr>
        <w:spacing w:after="0" w:line="185"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approval of other new products for the same indications;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adverse publicity about the product or favorable publicity about competitive products;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efforts to educate the medical community and third</w:t>
      </w:r>
      <w:r>
        <w:rPr>
          <w:rFonts w:ascii="MS PGothic" w:cs="MS PGothic" w:eastAsia="MS PGothic" w:hAnsi="MS PGothic"/>
          <w:sz w:val="17"/>
          <w:szCs w:val="17"/>
          <w:color w:val="auto"/>
        </w:rPr>
        <w:t>‑</w:t>
      </w:r>
      <w:r>
        <w:rPr>
          <w:rFonts w:ascii="Arial" w:cs="Arial" w:eastAsia="Arial" w:hAnsi="Arial"/>
          <w:sz w:val="17"/>
          <w:szCs w:val="17"/>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If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is approved but does not achieve an adequate level of acceptance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we may not generate meaningful revenues from our product candidates, and we may not become profitable.</w:t>
      </w:r>
    </w:p>
    <w:p>
      <w:pPr>
        <w:spacing w:after="0" w:line="167"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65" w:lineRule="exact"/>
        <w:rPr>
          <w:sz w:val="20"/>
          <w:szCs w:val="20"/>
          <w:color w:val="auto"/>
        </w:rPr>
      </w:pPr>
    </w:p>
    <w:p>
      <w:pPr>
        <w:ind w:right="320"/>
        <w:spacing w:after="0" w:line="194" w:lineRule="exact"/>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or any other of our current or future product candidates and may have to limit their commercialization.</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use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loss of revenue from decreased demand for our products and/or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impairment of our business reputation or financial stability;</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costs of related litigation;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substantial monetary awards to patients or other claimants;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diversion of management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loss of revenues;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significant negative media attention;</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decrease in our stock price;</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initiation of investigations and enforcement actions by regulators;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2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We rely on third</w:t>
      </w:r>
      <w:r>
        <w:rPr>
          <w:rFonts w:ascii="MS PGothic" w:cs="MS PGothic" w:eastAsia="MS PGothic" w:hAnsi="MS PGothic"/>
          <w:sz w:val="16"/>
          <w:szCs w:val="16"/>
          <w:color w:val="auto"/>
        </w:rPr>
        <w:t>‑</w:t>
      </w:r>
      <w:r>
        <w:rPr>
          <w:rFonts w:ascii="Arial" w:cs="Arial" w:eastAsia="Arial" w:hAnsi="Arial"/>
          <w:sz w:val="16"/>
          <w:szCs w:val="16"/>
          <w:color w:val="auto"/>
        </w:rPr>
        <w:t>party CROs to conduct, supervise, and monitor our preclinical studies and clinical trials for our product candidates,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3" w:lineRule="exact"/>
        <w:rPr>
          <w:sz w:val="20"/>
          <w:szCs w:val="20"/>
          <w:color w:val="auto"/>
        </w:rPr>
      </w:pPr>
    </w:p>
    <w:p>
      <w:pPr>
        <w:ind w:right="12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9"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or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16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80"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80"/>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for which we obtain approval in the future.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16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Any problems or delays we experience in preparing for commercial</w:t>
      </w:r>
      <w:r>
        <w:rPr>
          <w:rFonts w:ascii="MS PGothic" w:cs="MS PGothic" w:eastAsia="MS PGothic" w:hAnsi="MS PGothic"/>
          <w:sz w:val="16"/>
          <w:szCs w:val="16"/>
          <w:color w:val="auto"/>
        </w:rPr>
        <w:t>‑</w:t>
      </w:r>
      <w:r>
        <w:rPr>
          <w:rFonts w:ascii="Arial" w:cs="Arial" w:eastAsia="Arial" w:hAnsi="Arial"/>
          <w:sz w:val="16"/>
          <w:szCs w:val="16"/>
          <w:color w:val="auto"/>
        </w:rPr>
        <w:t xml:space="preserve">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AXS </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of our other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6"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8" w:lineRule="auto"/>
        <w:rPr>
          <w:sz w:val="20"/>
          <w:szCs w:val="20"/>
          <w:color w:val="auto"/>
        </w:rPr>
      </w:pPr>
      <w:r>
        <w:rPr>
          <w:rFonts w:ascii="Arial" w:cs="Arial" w:eastAsia="Arial" w:hAnsi="Arial"/>
          <w:sz w:val="17"/>
          <w:szCs w:val="17"/>
          <w:color w:val="auto"/>
        </w:rPr>
        <w:t>In addition, all manufacturers of our product candidates must comply with cGMP requirements enforced by the FDA that are applicable to both finished drug products and active pharmaceutical ingredients used both for clinical and commercial supply, through its facilities inspection program. Our manufacturers must be approved by the FDA pursuant to inspections that will be conducted after we submit our marketing applications to the agency.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72"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5" w:lineRule="exact"/>
        <w:rPr>
          <w:sz w:val="20"/>
          <w:szCs w:val="20"/>
          <w:color w:val="auto"/>
        </w:rPr>
      </w:pPr>
    </w:p>
    <w:p>
      <w:pPr>
        <w:ind w:right="60"/>
        <w:spacing w:after="0" w:line="187" w:lineRule="exact"/>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02, 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05, or any other of our current or future product candidates will be significantly impacted and we may be subject to regulatory sanctions.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for the development or commercialization of our product candidates in the rest of the world.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63"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collaborators may not perform their obligations as expected;</w:t>
      </w:r>
    </w:p>
    <w:p>
      <w:pPr>
        <w:spacing w:after="0" w:line="185" w:lineRule="exact"/>
        <w:rPr>
          <w:sz w:val="20"/>
          <w:szCs w:val="20"/>
          <w:color w:val="auto"/>
        </w:rPr>
      </w:pPr>
    </w:p>
    <w:p>
      <w:pPr>
        <w:ind w:left="920" w:firstLine="29"/>
        <w:spacing w:after="0" w:line="232" w:lineRule="auto"/>
        <w:rPr>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3" w:lineRule="exact"/>
        <w:rPr>
          <w:sz w:val="20"/>
          <w:szCs w:val="20"/>
          <w:color w:val="auto"/>
        </w:rPr>
      </w:pPr>
    </w:p>
    <w:p>
      <w:pPr>
        <w:ind w:left="920" w:right="280" w:firstLine="29"/>
        <w:spacing w:after="0" w:line="224"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collaborators could fail to make timely regulatory submissions for a product candidate;</w:t>
      </w:r>
    </w:p>
    <w:p>
      <w:pPr>
        <w:spacing w:after="0" w:line="185" w:lineRule="exact"/>
        <w:rPr>
          <w:sz w:val="20"/>
          <w:szCs w:val="20"/>
          <w:color w:val="auto"/>
        </w:rPr>
      </w:pPr>
    </w:p>
    <w:p>
      <w:pPr>
        <w:ind w:left="920" w:right="320" w:firstLine="29"/>
        <w:spacing w:after="0" w:line="235" w:lineRule="auto"/>
        <w:rPr>
          <w:sz w:val="20"/>
          <w:szCs w:val="20"/>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2" w:lineRule="exact"/>
        <w:rPr>
          <w:sz w:val="20"/>
          <w:szCs w:val="20"/>
          <w:color w:val="auto"/>
        </w:rPr>
      </w:pPr>
    </w:p>
    <w:p>
      <w:pPr>
        <w:ind w:left="920" w:right="20" w:firstLine="29"/>
        <w:spacing w:after="0" w:line="21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3" w:lineRule="exact"/>
        <w:rPr>
          <w:sz w:val="20"/>
          <w:szCs w:val="20"/>
          <w:color w:val="auto"/>
        </w:rPr>
      </w:pPr>
    </w:p>
    <w:p>
      <w:pPr>
        <w:ind w:left="920" w:right="100" w:firstLine="29"/>
        <w:spacing w:after="0" w:line="224" w:lineRule="auto"/>
        <w:rPr>
          <w:sz w:val="20"/>
          <w:szCs w:val="20"/>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sz w:val="20"/>
          <w:szCs w:val="20"/>
          <w:color w:val="auto"/>
        </w:rPr>
      </w:pPr>
    </w:p>
    <w:p>
      <w:pPr>
        <w:jc w:val="both"/>
        <w:ind w:left="920" w:right="460" w:firstLine="29"/>
        <w:spacing w:after="0" w:line="224" w:lineRule="auto"/>
        <w:rPr>
          <w:sz w:val="20"/>
          <w:szCs w:val="20"/>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0" w:firstLine="29"/>
        <w:spacing w:after="0" w:line="249" w:lineRule="auto"/>
        <w:rPr>
          <w:sz w:val="20"/>
          <w:szCs w:val="20"/>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5" w:lineRule="exact"/>
        <w:rPr>
          <w:sz w:val="20"/>
          <w:szCs w:val="20"/>
          <w:color w:val="auto"/>
        </w:rPr>
      </w:pPr>
    </w:p>
    <w:p>
      <w:pPr>
        <w:jc w:val="both"/>
        <w:ind w:left="920" w:right="260" w:firstLine="29"/>
        <w:spacing w:after="0" w:line="224" w:lineRule="auto"/>
        <w:rPr>
          <w:sz w:val="20"/>
          <w:szCs w:val="20"/>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sz w:val="20"/>
          <w:szCs w:val="20"/>
          <w:color w:val="auto"/>
        </w:rPr>
      </w:pPr>
    </w:p>
    <w:p>
      <w:pPr>
        <w:ind w:left="920" w:right="60" w:firstLine="29"/>
        <w:spacing w:after="0" w:line="235" w:lineRule="auto"/>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40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6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For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any other current or future product candidates, we may in the future determine to collaborate with additional pharmaceutical and biotechnology companies for their development and potential commercialization.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03" w:lineRule="exact"/>
        <w:rPr>
          <w:sz w:val="20"/>
          <w:szCs w:val="20"/>
          <w:color w:val="auto"/>
        </w:rPr>
      </w:pPr>
      <w:r>
        <w:rPr>
          <w:rFonts w:ascii="Arial" w:cs="Arial" w:eastAsia="Arial" w:hAnsi="Arial"/>
          <w:sz w:val="18"/>
          <w:szCs w:val="18"/>
          <w:b w:val="1"/>
          <w:bCs w:val="1"/>
          <w:i w:val="1"/>
          <w:iCs w:val="1"/>
          <w:color w:val="auto"/>
        </w:rPr>
        <w:t>We are dependent on third parties to decide to utilize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to make them readily available at the point of care throughout their networks of pharmacies.</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In addition to extensive internal efforts, the successful commercialization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will require many third parties, over whom we have no control, to decide to utilize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w:t>
      </w:r>
      <w:r>
        <w:rPr>
          <w:rFonts w:ascii="MS PGothic" w:cs="MS PGothic" w:eastAsia="MS PGothic" w:hAnsi="MS PGothic"/>
          <w:sz w:val="16"/>
          <w:szCs w:val="16"/>
          <w:color w:val="auto"/>
        </w:rPr>
        <w:t>‑</w:t>
      </w:r>
      <w:r>
        <w:rPr>
          <w:rFonts w:ascii="Arial" w:cs="Arial" w:eastAsia="Arial" w:hAnsi="Arial"/>
          <w:sz w:val="16"/>
          <w:szCs w:val="16"/>
          <w:color w:val="auto"/>
        </w:rPr>
        <w:t>term care facility will acquire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for its own pharmacies, or a PBM will pay retail network pharmacies on behalf of its health plans,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w:t>
      </w:r>
      <w:r>
        <w:rPr>
          <w:rFonts w:ascii="MS PGothic" w:cs="MS PGothic" w:eastAsia="MS PGothic" w:hAnsi="MS PGothic"/>
          <w:sz w:val="16"/>
          <w:szCs w:val="16"/>
          <w:color w:val="auto"/>
        </w:rPr>
        <w:t>‑</w:t>
      </w:r>
      <w:r>
        <w:rPr>
          <w:rFonts w:ascii="Arial" w:cs="Arial" w:eastAsia="Arial" w:hAnsi="Arial"/>
          <w:sz w:val="16"/>
          <w:szCs w:val="16"/>
          <w:color w:val="auto"/>
        </w:rPr>
        <w:t>making process, so we may experience substantial delays in obtaining formulary approvals. Additionally, P&amp;T committees may be concerned that the cost of acquiring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for use in their institutions or reimbursing retail pharmacies outweighs clinical benefits and will resist efforts to add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 to the formulary, or implement restrictions on the usage of the drug in order to control costs. We cannot guarantee that we will be successful in getting the approvals we need from enough P&amp;T committees quickly enough to maintain and grow sales of AXS</w:t>
      </w:r>
      <w:r>
        <w:rPr>
          <w:rFonts w:ascii="MS PGothic" w:cs="MS PGothic" w:eastAsia="MS PGothic" w:hAnsi="MS PGothic"/>
          <w:sz w:val="16"/>
          <w:szCs w:val="16"/>
          <w:color w:val="auto"/>
        </w:rPr>
        <w:t>‑</w:t>
      </w:r>
      <w:r>
        <w:rPr>
          <w:rFonts w:ascii="Arial" w:cs="Arial" w:eastAsia="Arial" w:hAnsi="Arial"/>
          <w:sz w:val="16"/>
          <w:szCs w:val="16"/>
          <w:color w:val="auto"/>
        </w:rPr>
        <w:t>02 or AXS</w:t>
      </w:r>
      <w:r>
        <w:rPr>
          <w:rFonts w:ascii="MS PGothic" w:cs="MS PGothic" w:eastAsia="MS PGothic" w:hAnsi="MS PGothic"/>
          <w:sz w:val="16"/>
          <w:szCs w:val="16"/>
          <w:color w:val="auto"/>
        </w:rPr>
        <w:t>‑</w:t>
      </w:r>
      <w:r>
        <w:rPr>
          <w:rFonts w:ascii="Arial" w:cs="Arial" w:eastAsia="Arial" w:hAnsi="Arial"/>
          <w:sz w:val="16"/>
          <w:szCs w:val="16"/>
          <w:color w:val="auto"/>
        </w:rPr>
        <w:t>05.</w:t>
      </w:r>
    </w:p>
    <w:p>
      <w:pPr>
        <w:spacing w:after="0" w:line="164"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200" w:firstLine="648"/>
        <w:spacing w:after="0" w:line="185" w:lineRule="exact"/>
        <w:rPr>
          <w:sz w:val="20"/>
          <w:szCs w:val="20"/>
          <w:color w:val="auto"/>
        </w:rPr>
      </w:pPr>
      <w:r>
        <w:rPr>
          <w:rFonts w:ascii="Arial" w:cs="Arial" w:eastAsia="Arial" w:hAnsi="Arial"/>
          <w:sz w:val="18"/>
          <w:szCs w:val="18"/>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8"/>
          <w:szCs w:val="18"/>
          <w:color w:val="auto"/>
        </w:rPr>
        <w:t>‑</w:t>
      </w:r>
      <w:r>
        <w:rPr>
          <w:rFonts w:ascii="Arial" w:cs="Arial" w:eastAsia="Arial" w:hAnsi="Arial"/>
          <w:sz w:val="18"/>
          <w:szCs w:val="18"/>
          <w:color w:val="auto"/>
        </w:rPr>
        <w:t>party challenges, our patent and trade secret protection for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any other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7"/>
          <w:szCs w:val="17"/>
          <w:color w:val="auto"/>
        </w:rPr>
        <w:t>‑</w:t>
      </w:r>
      <w:r>
        <w:rPr>
          <w:rFonts w:ascii="Arial" w:cs="Arial" w:eastAsia="Arial" w:hAnsi="Arial"/>
          <w:sz w:val="17"/>
          <w:szCs w:val="17"/>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that we may develop, license, or acquire by obtaining and defending patents. For example:</w:t>
      </w:r>
    </w:p>
    <w:p>
      <w:pPr>
        <w:spacing w:after="0" w:line="168"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 may not have been the first to file patent applications for these inventions;</w:t>
      </w:r>
    </w:p>
    <w:p>
      <w:pPr>
        <w:spacing w:after="0" w:line="185" w:lineRule="exact"/>
        <w:rPr>
          <w:sz w:val="20"/>
          <w:szCs w:val="20"/>
          <w:color w:val="auto"/>
        </w:rPr>
      </w:pPr>
    </w:p>
    <w:p>
      <w:pPr>
        <w:ind w:left="920" w:right="60" w:firstLine="29"/>
        <w:spacing w:after="0" w:line="235" w:lineRule="auto"/>
        <w:rPr>
          <w:sz w:val="20"/>
          <w:szCs w:val="20"/>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it is possible that none of the pending patent applications will result in issued patents;</w:t>
      </w:r>
    </w:p>
    <w:p>
      <w:pPr>
        <w:spacing w:after="0" w:line="185" w:lineRule="exact"/>
        <w:rPr>
          <w:sz w:val="20"/>
          <w:szCs w:val="20"/>
          <w:color w:val="auto"/>
        </w:rPr>
      </w:pPr>
    </w:p>
    <w:p>
      <w:pPr>
        <w:ind w:left="920" w:right="80" w:firstLine="29"/>
        <w:spacing w:after="0" w:line="235" w:lineRule="auto"/>
        <w:rPr>
          <w:sz w:val="20"/>
          <w:szCs w:val="20"/>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2" w:lineRule="exact"/>
        <w:rPr>
          <w:sz w:val="20"/>
          <w:szCs w:val="20"/>
          <w:color w:val="auto"/>
        </w:rPr>
      </w:pPr>
    </w:p>
    <w:p>
      <w:pPr>
        <w:ind w:left="940" w:right="2680"/>
        <w:spacing w:after="0" w:line="510" w:lineRule="auto"/>
        <w:rPr>
          <w:sz w:val="20"/>
          <w:szCs w:val="20"/>
          <w:color w:val="auto"/>
        </w:rPr>
      </w:pPr>
      <w:r>
        <w:rPr>
          <w:rFonts w:ascii="Arial" w:cs="Arial" w:eastAsia="Arial" w:hAnsi="Arial"/>
          <w:sz w:val="16"/>
          <w:szCs w:val="16"/>
          <w:color w:val="auto"/>
        </w:rPr>
        <w:t>we may not develop additional proprietary technologies that are patentable; patents of others may have an adverse effect on our business;</w:t>
      </w:r>
    </w:p>
    <w:p>
      <w:pPr>
        <w:spacing w:after="0" w:line="1" w:lineRule="exact"/>
        <w:rPr>
          <w:sz w:val="20"/>
          <w:szCs w:val="20"/>
          <w:color w:val="auto"/>
        </w:rPr>
      </w:pPr>
    </w:p>
    <w:p>
      <w:pPr>
        <w:jc w:val="both"/>
        <w:ind w:left="920" w:right="100" w:firstLine="29"/>
        <w:spacing w:after="0" w:line="238" w:lineRule="auto"/>
        <w:rPr>
          <w:sz w:val="20"/>
          <w:szCs w:val="20"/>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80" w:firstLine="29"/>
        <w:spacing w:after="0" w:line="259" w:lineRule="auto"/>
        <w:rPr>
          <w:sz w:val="20"/>
          <w:szCs w:val="20"/>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47" w:lineRule="exact"/>
        <w:rPr>
          <w:sz w:val="20"/>
          <w:szCs w:val="20"/>
          <w:color w:val="auto"/>
        </w:rPr>
      </w:pPr>
    </w:p>
    <w:p>
      <w:pPr>
        <w:ind w:left="920" w:right="200" w:firstLine="29"/>
        <w:spacing w:after="0" w:line="238" w:lineRule="auto"/>
        <w:rPr>
          <w:sz w:val="20"/>
          <w:szCs w:val="20"/>
          <w:color w:val="auto"/>
        </w:rPr>
      </w:pPr>
      <w:r>
        <w:rPr>
          <w:rFonts w:ascii="Arial" w:cs="Arial" w:eastAsia="Arial" w:hAnsi="Arial"/>
          <w:sz w:val="17"/>
          <w:szCs w:val="17"/>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1"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178" w:lineRule="exact"/>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6" w:lineRule="exact"/>
        <w:rPr>
          <w:sz w:val="20"/>
          <w:szCs w:val="20"/>
          <w:color w:val="auto"/>
        </w:rPr>
      </w:pPr>
    </w:p>
    <w:p>
      <w:pPr>
        <w:ind w:firstLine="648"/>
        <w:spacing w:after="0" w:line="178" w:lineRule="exact"/>
        <w:rPr>
          <w:sz w:val="20"/>
          <w:szCs w:val="20"/>
          <w:color w:val="auto"/>
        </w:rPr>
      </w:pPr>
      <w:r>
        <w:rPr>
          <w:rFonts w:ascii="Arial" w:cs="Arial" w:eastAsia="Arial" w:hAnsi="Arial"/>
          <w:sz w:val="17"/>
          <w:szCs w:val="17"/>
          <w:color w:val="auto"/>
        </w:rPr>
        <w:t>In addition, the patentability of claims in pending patent applications covering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can be challenged by third parties during prosecution in the USPTO, for example by third</w:t>
      </w:r>
      <w:r>
        <w:rPr>
          <w:rFonts w:ascii="MS PGothic" w:cs="MS PGothic" w:eastAsia="MS PGothic" w:hAnsi="MS PGothic"/>
          <w:sz w:val="17"/>
          <w:szCs w:val="17"/>
          <w:color w:val="auto"/>
        </w:rPr>
        <w:t>‑</w:t>
      </w:r>
      <w:r>
        <w:rPr>
          <w:rFonts w:ascii="Arial" w:cs="Arial" w:eastAsia="Arial" w:hAnsi="Arial"/>
          <w:sz w:val="17"/>
          <w:szCs w:val="17"/>
          <w:color w:val="auto"/>
        </w:rPr>
        <w:t>party observations and derivation proceedings, and the validity of claims in issued patents can be challenged by third parties in various post</w:t>
      </w:r>
      <w:r>
        <w:rPr>
          <w:rFonts w:ascii="MS PGothic" w:cs="MS PGothic" w:eastAsia="MS PGothic" w:hAnsi="MS PGothic"/>
          <w:sz w:val="17"/>
          <w:szCs w:val="17"/>
          <w:color w:val="auto"/>
        </w:rPr>
        <w:t>‑</w:t>
      </w:r>
      <w:r>
        <w:rPr>
          <w:rFonts w:ascii="Arial" w:cs="Arial" w:eastAsia="Arial" w:hAnsi="Arial"/>
          <w:sz w:val="17"/>
          <w:szCs w:val="17"/>
          <w:color w:val="auto"/>
        </w:rPr>
        <w:t>grant proceedings such as post</w:t>
      </w:r>
      <w:r>
        <w:rPr>
          <w:rFonts w:ascii="MS PGothic" w:cs="MS PGothic" w:eastAsia="MS PGothic" w:hAnsi="MS PGothic"/>
          <w:sz w:val="17"/>
          <w:szCs w:val="17"/>
          <w:color w:val="auto"/>
        </w:rPr>
        <w:t>‑</w:t>
      </w:r>
      <w:r>
        <w:rPr>
          <w:rFonts w:ascii="Arial" w:cs="Arial" w:eastAsia="Arial" w:hAnsi="Arial"/>
          <w:sz w:val="17"/>
          <w:szCs w:val="17"/>
          <w:color w:val="auto"/>
        </w:rPr>
        <w:t>grant review, reexamination, and inter</w:t>
      </w:r>
      <w:r>
        <w:rPr>
          <w:rFonts w:ascii="MS PGothic" w:cs="MS PGothic" w:eastAsia="MS PGothic" w:hAnsi="MS PGothic"/>
          <w:sz w:val="17"/>
          <w:szCs w:val="17"/>
          <w:color w:val="auto"/>
        </w:rPr>
        <w:t>‑</w:t>
      </w:r>
      <w:r>
        <w:rPr>
          <w:rFonts w:ascii="Arial" w:cs="Arial" w:eastAsia="Arial" w:hAnsi="Arial"/>
          <w:sz w:val="17"/>
          <w:szCs w:val="17"/>
          <w:color w:val="auto"/>
        </w:rPr>
        <w:t>partes review proceedings. For example, in December 2016, a petition for post-grant-review of U.S. Patent No. 9,283,239 (“the ‘239 patent”) was filed at the USPTO by Grunenthal GmbH. In addition, in May 2017, a petition for post-grant-review of U.S. Patent No. 9,408,862 (“the ‘862 patent”) was filed at the USPTO by Grunenthal GmbH. The ‘239 patent contains claims directed to the use of orally administered zoledronic acid, the active moiety in AXS-02, for the treatment of CRPS, and is one of several issued patents containing claims covering the use of AXS-02 for the treatment of CRPS. The ‘862 patent contains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The ‘862 patent is one of several issued patents containing claims covering dosage forms of zoledronic acid such as AXS-02, and the use of certain oral dosage forms containing zoledronic acid, including AXS-02, in the treatment of knee pain. The petitions request that the Patent Trial and Appeal Board, or PTAB, initiate a proceeding to review the validity of the ‘239 and the ‘862 patents. We intend to respond to and oppose these petitions, after which the PTAB is expected to render a decision as to whether it will initiate these proceedings. If the PTAB decides to initiate the proceedings, any patent claim the PTAB determines to be unpatentable would be stricken from the challenged patents or modified. We cannot predict if the PTAB will initiate a proceeding on the ‘239 patent or on the ‘862 patent, or what the outcomes of the proceedings would be if either is initiated. If the PTAB decides to initiate a proceeding, it may determine that all the claims of the challenged patents are unpatentable. Additionally we cannot be sure that the validity of the claims in other issued patents covering any of our current or future product candidates will not also be challenged.</w:t>
      </w:r>
    </w:p>
    <w:p>
      <w:pPr>
        <w:spacing w:after="0" w:line="17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right="160" w:firstLine="648"/>
        <w:spacing w:after="0" w:line="179" w:lineRule="exact"/>
        <w:rPr>
          <w:sz w:val="20"/>
          <w:szCs w:val="20"/>
          <w:color w:val="auto"/>
        </w:rPr>
      </w:pPr>
      <w:r>
        <w:rPr>
          <w:rFonts w:ascii="Arial" w:cs="Arial" w:eastAsia="Arial" w:hAnsi="Arial"/>
          <w:sz w:val="16"/>
          <w:szCs w:val="16"/>
          <w:color w:val="auto"/>
        </w:rPr>
        <w:t>Our ability to develop, manufacture, market, and sell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and any other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other of our current or future product candidates may infringe. There could also be existing patents of which we are not aware that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or any other of our current or future product candidates may inadvertently infringe.</w:t>
      </w:r>
    </w:p>
    <w:p>
      <w:pPr>
        <w:spacing w:after="0" w:line="167"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920" w:right="340" w:firstLine="29"/>
        <w:spacing w:after="0" w:line="258" w:lineRule="auto"/>
        <w:rPr>
          <w:sz w:val="20"/>
          <w:szCs w:val="20"/>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7" w:lineRule="exact"/>
        <w:rPr>
          <w:sz w:val="20"/>
          <w:szCs w:val="20"/>
          <w:color w:val="auto"/>
        </w:rPr>
      </w:pPr>
    </w:p>
    <w:p>
      <w:pPr>
        <w:ind w:left="920" w:right="660" w:firstLine="29"/>
        <w:spacing w:after="0" w:line="235" w:lineRule="auto"/>
        <w:rPr>
          <w:sz w:val="20"/>
          <w:szCs w:val="20"/>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320" w:firstLine="29"/>
        <w:spacing w:after="0" w:line="235" w:lineRule="auto"/>
        <w:rPr>
          <w:sz w:val="20"/>
          <w:szCs w:val="20"/>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2" w:lineRule="exact"/>
        <w:rPr>
          <w:sz w:val="20"/>
          <w:szCs w:val="20"/>
          <w:color w:val="auto"/>
        </w:rPr>
      </w:pPr>
    </w:p>
    <w:p>
      <w:pPr>
        <w:ind w:left="920" w:right="120" w:firstLine="29"/>
        <w:spacing w:after="0" w:line="235" w:lineRule="auto"/>
        <w:rPr>
          <w:sz w:val="20"/>
          <w:szCs w:val="20"/>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2" w:lineRule="exact"/>
        <w:rPr>
          <w:sz w:val="20"/>
          <w:szCs w:val="20"/>
          <w:color w:val="auto"/>
        </w:rPr>
      </w:pPr>
    </w:p>
    <w:p>
      <w:pPr>
        <w:ind w:left="920" w:right="220" w:firstLine="29"/>
        <w:spacing w:after="0" w:line="235" w:lineRule="auto"/>
        <w:rPr>
          <w:sz w:val="20"/>
          <w:szCs w:val="20"/>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As a pharmaceutical company, we are subject to many federal and state healthcare laws, such as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certain federal and state healthcare laws and regulations pertaining to fraud and abuse and patients’ rights are and will be applicable to our business. We would be subject to healthcare fraud and abuse by both the federal government and the states in which we conduct our business.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60"/>
        <w:spacing w:after="0" w:line="194" w:lineRule="exact"/>
        <w:rPr>
          <w:sz w:val="20"/>
          <w:szCs w:val="20"/>
          <w:color w:val="auto"/>
        </w:rPr>
      </w:pPr>
      <w:r>
        <w:rPr>
          <w:rFonts w:ascii="Arial" w:cs="Arial" w:eastAsia="Arial" w:hAnsi="Arial"/>
          <w:sz w:val="17"/>
          <w:szCs w:val="17"/>
          <w:b w:val="1"/>
          <w:bCs w:val="1"/>
          <w:i w:val="1"/>
          <w:iCs w:val="1"/>
          <w:color w:val="auto"/>
        </w:rPr>
        <w:t>If the government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payors fail to provide adequate coverage and payment rates for 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02, AXS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05, or any other of our current or future product candidates, or if HMOs or long</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term care facilities choose to use therapies that are less expensive, our revenue and prospects for profitability will be limited.</w:t>
      </w:r>
    </w:p>
    <w:p>
      <w:pPr>
        <w:spacing w:after="0" w:line="161"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For example, legislative changes have been proposed and adopted since President Obama signed into law the Affordable Care Act, or ACA, in 2010. These changes include, among other things, aggregate reductions to Medicare payments to providers of up to 2% per fiscal year, which went effective on April 1, 2013. These new laws may result in additional reductions in Medicare and other healthcare funding, which could have a material adverse effect on customers for our drugs, if approved, and, accordingly, on our results of operations.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new administration, would repeal certain aspects of the ACA. Further,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Congress also could consider subsequent legislation to replace elements of the ACA that are repealed.</w:t>
      </w:r>
    </w:p>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3"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160" w:firstLine="648"/>
        <w:spacing w:after="0" w:line="234"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new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will eventually be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3"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ind w:right="279"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As of May 3, 2017, we had only 19 full</w:t>
      </w:r>
      <w:r>
        <w:rPr>
          <w:rFonts w:ascii="MS PGothic" w:cs="MS PGothic" w:eastAsia="MS PGothic" w:hAnsi="MS PGothic"/>
          <w:sz w:val="16"/>
          <w:szCs w:val="16"/>
          <w:color w:val="auto"/>
        </w:rPr>
        <w:t>‑</w:t>
      </w:r>
      <w:r>
        <w:rPr>
          <w:rFonts w:ascii="Arial" w:cs="Arial" w:eastAsia="Arial" w:hAnsi="Arial"/>
          <w:sz w:val="16"/>
          <w:szCs w:val="16"/>
          <w:color w:val="auto"/>
        </w:rPr>
        <w:t>time employees and 6 key consultants. We will need to substantially expand our managerial, commercial, financial, manufacturing, and other personnel resources in order to manage our operations and prepare for the commercialization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3" w:lineRule="exact"/>
        <w:rPr>
          <w:sz w:val="20"/>
          <w:szCs w:val="20"/>
          <w:color w:val="auto"/>
        </w:rPr>
      </w:pPr>
    </w:p>
    <w:p>
      <w:pPr>
        <w:jc w:val="both"/>
        <w:ind w:left="920" w:right="379" w:firstLine="29"/>
        <w:spacing w:after="0" w:line="194" w:lineRule="exact"/>
        <w:rPr>
          <w:sz w:val="20"/>
          <w:szCs w:val="20"/>
          <w:color w:val="auto"/>
        </w:rPr>
      </w:pPr>
      <w:r>
        <w:rPr>
          <w:rFonts w:ascii="Arial" w:cs="Arial" w:eastAsia="Arial" w:hAnsi="Arial"/>
          <w:sz w:val="18"/>
          <w:szCs w:val="18"/>
          <w:color w:val="auto"/>
        </w:rPr>
        <w:t>continue the hiring and training of personnel for an effective commercial organization in anticipation of the potential approval of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 and establish appropriate systems, policies and infrastructure to support that organization;</w:t>
      </w:r>
    </w:p>
    <w:p>
      <w:pPr>
        <w:spacing w:after="0" w:line="163" w:lineRule="exact"/>
        <w:rPr>
          <w:sz w:val="20"/>
          <w:szCs w:val="20"/>
          <w:color w:val="auto"/>
        </w:rPr>
      </w:pPr>
    </w:p>
    <w:p>
      <w:pPr>
        <w:ind w:left="920" w:right="459" w:firstLine="29"/>
        <w:spacing w:after="0" w:line="235" w:lineRule="auto"/>
        <w:rPr>
          <w:sz w:val="20"/>
          <w:szCs w:val="20"/>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continue to carry out our own contractual obligations to our licensors and other third parties;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08"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39"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ind w:right="59" w:firstLine="648"/>
        <w:spacing w:after="0" w:line="289" w:lineRule="auto"/>
        <w:rPr>
          <w:sz w:val="20"/>
          <w:szCs w:val="20"/>
          <w:color w:val="auto"/>
        </w:rPr>
      </w:pPr>
      <w:r>
        <w:rPr>
          <w:rFonts w:ascii="Arial" w:cs="Arial" w:eastAsia="Arial" w:hAnsi="Arial"/>
          <w:sz w:val="16"/>
          <w:szCs w:val="16"/>
          <w:color w:val="auto"/>
        </w:rPr>
        <w:t>We may not be able to attract or retain qualified management and commercial, scientific, and clinical personnel due to the intense competition for qualified personnel among biotechnology, pharmaceutical, and other businesses. If we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62"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25" w:lineRule="exact"/>
        <w:rPr>
          <w:sz w:val="20"/>
          <w:szCs w:val="20"/>
          <w:color w:val="auto"/>
        </w:rPr>
      </w:pPr>
    </w:p>
    <w:p>
      <w:pPr>
        <w:ind w:right="60" w:firstLine="648"/>
        <w:spacing w:after="0" w:line="208" w:lineRule="auto"/>
        <w:rPr>
          <w:sz w:val="20"/>
          <w:szCs w:val="20"/>
          <w:color w:val="auto"/>
        </w:rPr>
      </w:pPr>
      <w:r>
        <w:rPr>
          <w:rFonts w:ascii="Arial" w:cs="Arial" w:eastAsia="Arial" w:hAnsi="Arial"/>
          <w:sz w:val="18"/>
          <w:szCs w:val="18"/>
          <w:color w:val="auto"/>
        </w:rPr>
        <w:t>Section 404(a) of the Sarbanes-Oxley Act requires annual management assessments of the effectiveness of our internal control over financial reporting, starting with the second annual report that we would expect to file with the SEC.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$1.0 billion in nonconvertible debt during the previous three years; or (iv) the date on which we are deemed to be a large accelerated filer under the rules of the SEC.</w:t>
      </w:r>
    </w:p>
    <w:p>
      <w:pPr>
        <w:spacing w:after="0" w:line="130"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34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355"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920" w:right="60" w:firstLine="29"/>
        <w:spacing w:after="0" w:line="203" w:lineRule="exact"/>
        <w:rPr>
          <w:sz w:val="20"/>
          <w:szCs w:val="20"/>
          <w:color w:val="auto"/>
        </w:rPr>
      </w:pPr>
      <w:r>
        <w:rPr>
          <w:rFonts w:ascii="Arial" w:cs="Arial" w:eastAsia="Arial" w:hAnsi="Arial"/>
          <w:sz w:val="18"/>
          <w:szCs w:val="18"/>
          <w:color w:val="auto"/>
        </w:rPr>
        <w:t>delays in the commencement, enrollment, and ultimate completion, of our planned and ongoing Phase 3 clinical trials for AXS</w:t>
      </w:r>
      <w:r>
        <w:rPr>
          <w:rFonts w:ascii="MS PGothic" w:cs="MS PGothic" w:eastAsia="MS PGothic" w:hAnsi="MS PGothic"/>
          <w:sz w:val="18"/>
          <w:szCs w:val="18"/>
          <w:color w:val="auto"/>
        </w:rPr>
        <w:t>‑</w:t>
      </w:r>
      <w:r>
        <w:rPr>
          <w:rFonts w:ascii="Arial" w:cs="Arial" w:eastAsia="Arial" w:hAnsi="Arial"/>
          <w:sz w:val="18"/>
          <w:szCs w:val="18"/>
          <w:color w:val="auto"/>
        </w:rPr>
        <w:t>02 and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62" w:lineRule="exact"/>
        <w:rPr>
          <w:sz w:val="20"/>
          <w:szCs w:val="20"/>
          <w:color w:val="auto"/>
        </w:rPr>
      </w:pPr>
    </w:p>
    <w:p>
      <w:pPr>
        <w:ind w:left="920" w:right="380" w:firstLine="29"/>
        <w:spacing w:after="0" w:line="203" w:lineRule="exact"/>
        <w:rPr>
          <w:sz w:val="20"/>
          <w:szCs w:val="20"/>
          <w:color w:val="auto"/>
        </w:rPr>
      </w:pPr>
      <w:r>
        <w:rPr>
          <w:rFonts w:ascii="Arial" w:cs="Arial" w:eastAsia="Arial" w:hAnsi="Arial"/>
          <w:sz w:val="18"/>
          <w:szCs w:val="18"/>
          <w:color w:val="auto"/>
        </w:rPr>
        <w:t>any delay or refusal on the part of the FDA in approving an NDA for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and future product candidates;</w:t>
      </w:r>
    </w:p>
    <w:p>
      <w:pPr>
        <w:spacing w:after="0" w:line="162" w:lineRule="exact"/>
        <w:rPr>
          <w:sz w:val="20"/>
          <w:szCs w:val="20"/>
          <w:color w:val="auto"/>
        </w:rPr>
      </w:pPr>
    </w:p>
    <w:p>
      <w:pPr>
        <w:ind w:left="920" w:right="400" w:firstLine="29"/>
        <w:spacing w:after="0" w:line="203" w:lineRule="exact"/>
        <w:rPr>
          <w:sz w:val="20"/>
          <w:szCs w:val="20"/>
          <w:color w:val="auto"/>
        </w:rPr>
      </w:pPr>
      <w:r>
        <w:rPr>
          <w:rFonts w:ascii="Arial" w:cs="Arial" w:eastAsia="Arial" w:hAnsi="Arial"/>
          <w:sz w:val="18"/>
          <w:szCs w:val="18"/>
          <w:color w:val="auto"/>
        </w:rPr>
        <w:t>the commercial success of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any other of our current and future product candidates, if approved by the FDA;</w:t>
      </w:r>
    </w:p>
    <w:p>
      <w:pPr>
        <w:spacing w:after="0" w:line="162" w:lineRule="exact"/>
        <w:rPr>
          <w:sz w:val="20"/>
          <w:szCs w:val="20"/>
          <w:color w:val="auto"/>
        </w:rPr>
      </w:pPr>
    </w:p>
    <w:p>
      <w:pPr>
        <w:ind w:left="920" w:right="40" w:firstLine="29"/>
        <w:spacing w:after="0" w:line="203" w:lineRule="exact"/>
        <w:rPr>
          <w:sz w:val="20"/>
          <w:szCs w:val="20"/>
          <w:color w:val="auto"/>
        </w:rPr>
      </w:pPr>
      <w:r>
        <w:rPr>
          <w:rFonts w:ascii="Arial" w:cs="Arial" w:eastAsia="Arial" w:hAnsi="Arial"/>
          <w:sz w:val="18"/>
          <w:szCs w:val="18"/>
          <w:color w:val="auto"/>
        </w:rPr>
        <w:t>results of clinical trials of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any other of our current and future product candidates or those of our competitors;</w:t>
      </w:r>
    </w:p>
    <w:p>
      <w:pPr>
        <w:spacing w:after="0" w:line="162" w:lineRule="exact"/>
        <w:rPr>
          <w:sz w:val="20"/>
          <w:szCs w:val="20"/>
          <w:color w:val="auto"/>
        </w:rPr>
      </w:pPr>
    </w:p>
    <w:p>
      <w:pPr>
        <w:ind w:left="940" w:right="2460"/>
        <w:spacing w:after="0" w:line="510" w:lineRule="auto"/>
        <w:rPr>
          <w:sz w:val="20"/>
          <w:szCs w:val="20"/>
          <w:color w:val="auto"/>
        </w:rPr>
      </w:pPr>
      <w:r>
        <w:rPr>
          <w:rFonts w:ascii="Arial" w:cs="Arial" w:eastAsia="Arial" w:hAnsi="Arial"/>
          <w:sz w:val="16"/>
          <w:szCs w:val="16"/>
          <w:color w:val="auto"/>
        </w:rPr>
        <w:t>actual or anticipated variations in quarterly or annual operating results; failure to meet or exceed financial projections we provide to the public, if any;</w:t>
      </w:r>
    </w:p>
    <w:p>
      <w:pPr>
        <w:spacing w:after="0" w:line="1" w:lineRule="exact"/>
        <w:rPr>
          <w:sz w:val="20"/>
          <w:szCs w:val="20"/>
          <w:color w:val="auto"/>
        </w:rPr>
      </w:pPr>
    </w:p>
    <w:p>
      <w:pPr>
        <w:ind w:left="920" w:right="560" w:firstLine="29"/>
        <w:spacing w:after="0" w:line="235" w:lineRule="auto"/>
        <w:rPr>
          <w:sz w:val="20"/>
          <w:szCs w:val="20"/>
          <w:color w:val="auto"/>
        </w:rPr>
      </w:pPr>
      <w:r>
        <w:rPr>
          <w:rFonts w:ascii="Arial" w:cs="Arial" w:eastAsia="Arial" w:hAnsi="Arial"/>
          <w:sz w:val="18"/>
          <w:szCs w:val="18"/>
          <w:color w:val="auto"/>
        </w:rPr>
        <w:t>failure to meet or exceed the estimates and projections of the investment community, including securities analysts;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introduction of competitive products or technologies;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or developments in laws or regulations applicable to our product candidates;</w:t>
      </w:r>
    </w:p>
    <w:p>
      <w:pPr>
        <w:spacing w:after="0" w:line="185" w:lineRule="exact"/>
        <w:rPr>
          <w:sz w:val="20"/>
          <w:szCs w:val="20"/>
          <w:color w:val="auto"/>
        </w:rPr>
      </w:pPr>
    </w:p>
    <w:p>
      <w:pPr>
        <w:ind w:left="920" w:right="700" w:firstLine="29"/>
        <w:spacing w:after="0" w:line="235" w:lineRule="auto"/>
        <w:rPr>
          <w:sz w:val="20"/>
          <w:szCs w:val="20"/>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economic and market conditions and overall fluctuations in U.S. equity markets;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developments concerning our sources of manufacturing supply, warehousing, and inventory control;</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disputes or other developments relating to patents or other proprietary rights;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additions or departures of key scientific or management personnel;</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capital commitments;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investors’ general perception of our company and our business;</w:t>
      </w:r>
    </w:p>
    <w:p>
      <w:pPr>
        <w:spacing w:after="0" w:line="185" w:lineRule="exact"/>
        <w:rPr>
          <w:sz w:val="20"/>
          <w:szCs w:val="20"/>
          <w:color w:val="auto"/>
        </w:rPr>
      </w:pPr>
    </w:p>
    <w:p>
      <w:pPr>
        <w:ind w:left="920" w:right="580" w:firstLine="29"/>
        <w:spacing w:after="0" w:line="235" w:lineRule="auto"/>
        <w:rPr>
          <w:sz w:val="20"/>
          <w:szCs w:val="20"/>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sales of our common stock, including sales by our directors and officers or significant stockholders;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in the market valuations of companies similar to us;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conditions or trends in our industry; and</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jc w:val="both"/>
        <w:ind w:left="920" w:right="420" w:firstLine="29"/>
        <w:spacing w:after="0" w:line="194" w:lineRule="exact"/>
        <w:rPr>
          <w:sz w:val="20"/>
          <w:szCs w:val="20"/>
          <w:color w:val="auto"/>
        </w:rPr>
      </w:pPr>
      <w:r>
        <w:rPr>
          <w:rFonts w:ascii="Arial" w:cs="Arial" w:eastAsia="Arial" w:hAnsi="Arial"/>
          <w:sz w:val="18"/>
          <w:szCs w:val="18"/>
          <w:color w:val="auto"/>
        </w:rPr>
        <w:t>whether the FDA requires us to complete additional, unanticipated studies, tests, or other activities prior to approving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and future product candidates, which would likely further delay any such approval;</w:t>
      </w:r>
    </w:p>
    <w:p>
      <w:pPr>
        <w:spacing w:after="0" w:line="163" w:lineRule="exact"/>
        <w:rPr>
          <w:sz w:val="20"/>
          <w:szCs w:val="20"/>
          <w:color w:val="auto"/>
        </w:rPr>
      </w:pPr>
    </w:p>
    <w:p>
      <w:pPr>
        <w:ind w:left="920" w:right="20" w:firstLine="29"/>
        <w:spacing w:after="0" w:line="189" w:lineRule="exact"/>
        <w:rPr>
          <w:sz w:val="20"/>
          <w:szCs w:val="20"/>
          <w:color w:val="auto"/>
        </w:rPr>
      </w:pPr>
      <w:r>
        <w:rPr>
          <w:rFonts w:ascii="Arial" w:cs="Arial" w:eastAsia="Arial" w:hAnsi="Arial"/>
          <w:sz w:val="18"/>
          <w:szCs w:val="18"/>
          <w:color w:val="auto"/>
        </w:rPr>
        <w:t>if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3" w:lineRule="exact"/>
        <w:rPr>
          <w:sz w:val="20"/>
          <w:szCs w:val="20"/>
          <w:color w:val="auto"/>
        </w:rPr>
      </w:pPr>
    </w:p>
    <w:p>
      <w:pPr>
        <w:ind w:left="920" w:right="40" w:firstLine="29"/>
        <w:spacing w:after="0" w:line="203" w:lineRule="exact"/>
        <w:rPr>
          <w:sz w:val="20"/>
          <w:szCs w:val="20"/>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or any other of our current or future product candidates in commercial quantities;</w:t>
      </w:r>
    </w:p>
    <w:p>
      <w:pPr>
        <w:spacing w:after="0" w:line="162"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variations in the level of expenses related to our future development programs;</w:t>
      </w:r>
    </w:p>
    <w:p>
      <w:pPr>
        <w:spacing w:after="0" w:line="1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intellectual property infringement lawsuit in which we may become involved;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40" w:firstLine="29"/>
        <w:spacing w:after="0" w:line="203" w:lineRule="exact"/>
        <w:rPr>
          <w:sz w:val="20"/>
          <w:szCs w:val="20"/>
          <w:color w:val="auto"/>
        </w:rPr>
      </w:pPr>
      <w:r>
        <w:rPr>
          <w:rFonts w:ascii="Arial" w:cs="Arial" w:eastAsia="Arial" w:hAnsi="Arial"/>
          <w:sz w:val="18"/>
          <w:szCs w:val="18"/>
          <w:color w:val="auto"/>
        </w:rPr>
        <w:t>regulatory developments affecting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our other current and future product candidates, or the product candidates of our competitors; and</w:t>
      </w:r>
    </w:p>
    <w:p>
      <w:pPr>
        <w:spacing w:after="0" w:line="162" w:lineRule="exact"/>
        <w:rPr>
          <w:sz w:val="20"/>
          <w:szCs w:val="20"/>
          <w:color w:val="auto"/>
        </w:rPr>
      </w:pPr>
    </w:p>
    <w:p>
      <w:pPr>
        <w:ind w:left="920" w:right="280" w:firstLine="29"/>
        <w:spacing w:after="0" w:line="203" w:lineRule="exact"/>
        <w:rPr>
          <w:sz w:val="20"/>
          <w:szCs w:val="20"/>
          <w:color w:val="auto"/>
        </w:rPr>
      </w:pPr>
      <w:r>
        <w:rPr>
          <w:rFonts w:ascii="Arial" w:cs="Arial" w:eastAsia="Arial" w:hAnsi="Arial"/>
          <w:sz w:val="17"/>
          <w:szCs w:val="17"/>
          <w:color w:val="auto"/>
        </w:rPr>
        <w:t>if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or any other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As of May 3, 2017, our executive officers, directors, and 5% stockholders and their affiliates beneficially owned an aggregate of approximately 57%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May 3, 2017, we have outstanding 23,605,201 shares of common stock. Of these shares, 15,524,918 are freely tradable. The remainder of the outstanding shares of common stock are held by our affiliates and may be considered “control securities” for purposes of Rule 144 under the Securities Act.</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5,257,843 shares of common stock subject to options or other equity awards issued or reserved for future issuance under our 2015 Omnibus Incentive Compensation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our capital raises, including our initial public offering and our recently completed public offering, and may not use them effectively.</w:t>
      </w:r>
    </w:p>
    <w:p>
      <w:pPr>
        <w:spacing w:after="0" w:line="147" w:lineRule="exact"/>
        <w:rPr>
          <w:sz w:val="20"/>
          <w:szCs w:val="20"/>
          <w:color w:val="auto"/>
        </w:rPr>
      </w:pPr>
    </w:p>
    <w:p>
      <w:pPr>
        <w:jc w:val="both"/>
        <w:ind w:right="100" w:firstLine="648"/>
        <w:spacing w:after="0" w:line="235"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initial public offering and our recently completed public offering, and our stockholders will not have the opportunity as part of their investment decision to assess whether the net proceeds from those capital raises are being used appropriately.</w:t>
      </w:r>
    </w:p>
    <w:p>
      <w:pPr>
        <w:spacing w:after="0" w:line="2" w:lineRule="exact"/>
        <w:rPr>
          <w:sz w:val="20"/>
          <w:szCs w:val="20"/>
          <w:color w:val="auto"/>
        </w:rPr>
      </w:pPr>
    </w:p>
    <w:p>
      <w:pPr>
        <w:ind w:right="20"/>
        <w:spacing w:after="0" w:line="180" w:lineRule="exact"/>
        <w:rPr>
          <w:sz w:val="20"/>
          <w:szCs w:val="20"/>
          <w:color w:val="auto"/>
        </w:rPr>
      </w:pPr>
      <w:r>
        <w:rPr>
          <w:rFonts w:ascii="Arial" w:cs="Arial" w:eastAsia="Arial" w:hAnsi="Arial"/>
          <w:sz w:val="16"/>
          <w:szCs w:val="16"/>
          <w:color w:val="auto"/>
        </w:rPr>
        <w:t>You may not agree with our decisions, and our use of the proceeds may not yield any return on your investment. Because of the number and variability of factors that will determine our use of the net proceeds from our capital raises, including our initial public offering and our recently completed public offering, their ultimate use may vary substantially from their currently intended use. Our failure to apply the net proceeds of our capital raises, including our initial public offering and our recently completed public offering,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initial public offering and recently completed public offering. Pending their use, we may invest the net proceeds from our capital raises, including our initial public offering and our recently completed public offering, in short</w:t>
      </w:r>
      <w:r>
        <w:rPr>
          <w:rFonts w:ascii="MS PGothic" w:cs="MS PGothic" w:eastAsia="MS PGothic" w:hAnsi="MS PGothic"/>
          <w:sz w:val="16"/>
          <w:szCs w:val="16"/>
          <w:color w:val="auto"/>
        </w:rPr>
        <w:t>‑</w:t>
      </w:r>
      <w:r>
        <w:rPr>
          <w:rFonts w:ascii="Arial" w:cs="Arial" w:eastAsia="Arial" w:hAnsi="Arial"/>
          <w:sz w:val="16"/>
          <w:szCs w:val="16"/>
          <w:color w:val="auto"/>
        </w:rPr>
        <w:t>term, investment</w:t>
      </w:r>
      <w:r>
        <w:rPr>
          <w:rFonts w:ascii="MS PGothic" w:cs="MS PGothic" w:eastAsia="MS PGothic" w:hAnsi="MS PGothic"/>
          <w:sz w:val="16"/>
          <w:szCs w:val="16"/>
          <w:color w:val="auto"/>
        </w:rPr>
        <w:t>‑</w:t>
      </w:r>
      <w:r>
        <w:rPr>
          <w:rFonts w:ascii="Arial" w:cs="Arial" w:eastAsia="Arial" w:hAnsi="Arial"/>
          <w:sz w:val="16"/>
          <w:szCs w:val="16"/>
          <w:color w:val="auto"/>
        </w:rPr>
        <w:t>grade, interest</w:t>
      </w:r>
      <w:r>
        <w:rPr>
          <w:rFonts w:ascii="MS PGothic" w:cs="MS PGothic" w:eastAsia="MS PGothic" w:hAnsi="MS PGothic"/>
          <w:sz w:val="16"/>
          <w:szCs w:val="16"/>
          <w:color w:val="auto"/>
        </w:rPr>
        <w:t>‑</w:t>
      </w:r>
      <w:r>
        <w:rPr>
          <w:rFonts w:ascii="Arial" w:cs="Arial" w:eastAsia="Arial" w:hAnsi="Arial"/>
          <w:sz w:val="16"/>
          <w:szCs w:val="16"/>
          <w:color w:val="auto"/>
        </w:rPr>
        <w:t>bearing instruments and U.S. government securities. These temporary investments are not likely to yield a significant return.</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6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jc w:val="both"/>
        <w:ind w:right="80" w:firstLine="648"/>
        <w:spacing w:after="0" w:line="189" w:lineRule="exact"/>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initial public offering in November 2015, (b) in which we have total annual gross revenue of at least $1.07 billion, or (c)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3"/>
        <w:spacing w:after="0" w:line="189" w:lineRule="exact"/>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during the prior three</w:t>
      </w:r>
      <w:r>
        <w:rPr>
          <w:rFonts w:ascii="MS PGothic" w:cs="MS PGothic" w:eastAsia="MS PGothic" w:hAnsi="MS PGothic"/>
          <w:sz w:val="18"/>
          <w:szCs w:val="18"/>
          <w:color w:val="auto"/>
        </w:rPr>
        <w:t>‑</w:t>
      </w:r>
      <w:r>
        <w:rPr>
          <w:rFonts w:ascii="Arial" w:cs="Arial" w:eastAsia="Arial" w:hAnsi="Arial"/>
          <w:sz w:val="18"/>
          <w:szCs w:val="18"/>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2016, we had U.S. net operating loss carryforwards of approximately $37.0 million. Our net operating loss carryforwards will begin expiring in 2033 if we have not used them prior to that time. Additionally, our ability to use any net operating loss and credit carryforwards to offset taxable income or tax, respectively, in the future will be limited under Internal Revenue Code Sections 382 and 383, respectively, if we have a cumulative change in ownership of more than 50% within a three</w:t>
      </w:r>
      <w:r>
        <w:rPr>
          <w:rFonts w:ascii="MS PGothic" w:cs="MS PGothic" w:eastAsia="MS PGothic" w:hAnsi="MS PGothic"/>
          <w:sz w:val="16"/>
          <w:szCs w:val="16"/>
          <w:color w:val="auto"/>
        </w:rPr>
        <w:t>‑</w:t>
      </w:r>
      <w:r>
        <w:rPr>
          <w:rFonts w:ascii="Arial" w:cs="Arial" w:eastAsia="Arial" w:hAnsi="Arial"/>
          <w:sz w:val="16"/>
          <w:szCs w:val="16"/>
          <w:color w:val="auto"/>
        </w:rPr>
        <w:t>year period. The completion of our initial public offering, together with our recently completed public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In addition, we are subject to the anti</w:t>
      </w:r>
      <w:r>
        <w:rPr>
          <w:rFonts w:ascii="MS PGothic" w:cs="MS PGothic" w:eastAsia="MS PGothic" w:hAnsi="MS PGothic"/>
          <w:sz w:val="17"/>
          <w:szCs w:val="17"/>
          <w:color w:val="auto"/>
        </w:rPr>
        <w:t>‑</w:t>
      </w:r>
      <w:r>
        <w:rPr>
          <w:rFonts w:ascii="Arial" w:cs="Arial" w:eastAsia="Arial" w:hAnsi="Arial"/>
          <w:sz w:val="17"/>
          <w:szCs w:val="17"/>
          <w:color w:val="auto"/>
        </w:rPr>
        <w:t>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IPO Proceeds</w:t>
      </w:r>
    </w:p>
    <w:p>
      <w:pPr>
        <w:spacing w:after="0" w:line="144" w:lineRule="exact"/>
        <w:rPr>
          <w:sz w:val="20"/>
          <w:szCs w:val="20"/>
          <w:color w:val="auto"/>
        </w:rPr>
      </w:pPr>
    </w:p>
    <w:p>
      <w:pPr>
        <w:ind w:right="79" w:firstLine="648"/>
        <w:spacing w:after="0" w:line="229" w:lineRule="auto"/>
        <w:rPr>
          <w:sz w:val="20"/>
          <w:szCs w:val="20"/>
          <w:color w:val="auto"/>
        </w:rPr>
      </w:pPr>
      <w:r>
        <w:rPr>
          <w:rFonts w:ascii="Arial" w:cs="Arial" w:eastAsia="Arial" w:hAnsi="Arial"/>
          <w:sz w:val="17"/>
          <w:szCs w:val="17"/>
          <w:color w:val="auto"/>
        </w:rPr>
        <w:t>On November 19, 2015, the Company’s registration statement on Form S-1 (File No. 333-207393) for our IPO was declared effective by the Securities and Exchange Commission, or SEC. On November 24, 2015, we completed our IPO whereby we sold 5,666,667 shares of common stock, at a public offering price of $9.00 per share, before underwriting discounts and expenses. The aggregate net proceeds received by us from the offering were $45.5 million after deducting the underwriting discounts and commissions and offering expenses paid by us.</w:t>
      </w:r>
    </w:p>
    <w:p>
      <w:pPr>
        <w:spacing w:after="0" w:line="121" w:lineRule="exact"/>
        <w:rPr>
          <w:sz w:val="20"/>
          <w:szCs w:val="20"/>
          <w:color w:val="auto"/>
        </w:rPr>
      </w:pPr>
    </w:p>
    <w:p>
      <w:pPr>
        <w:ind w:right="19" w:firstLine="576"/>
        <w:spacing w:after="0" w:line="235" w:lineRule="auto"/>
        <w:rPr>
          <w:sz w:val="20"/>
          <w:szCs w:val="20"/>
          <w:color w:val="auto"/>
        </w:rPr>
      </w:pPr>
      <w:r>
        <w:rPr>
          <w:rFonts w:ascii="Arial" w:cs="Arial" w:eastAsia="Arial" w:hAnsi="Arial"/>
          <w:sz w:val="18"/>
          <w:szCs w:val="18"/>
          <w:color w:val="auto"/>
        </w:rPr>
        <w:t>As of March 31, 2017, we have used approximately $25.4 million of our net proceeds from the IPO primarily to fund the Phase 3 clinical trials for AXS-02 and AXS-05, as well as general working capital purposes.</w:t>
      </w:r>
    </w:p>
    <w:p>
      <w:pPr>
        <w:spacing w:after="0" w:line="162" w:lineRule="exact"/>
        <w:rPr>
          <w:sz w:val="20"/>
          <w:szCs w:val="20"/>
          <w:color w:val="auto"/>
        </w:rPr>
      </w:pPr>
    </w:p>
    <w:p>
      <w:pPr>
        <w:ind w:right="59" w:firstLine="576"/>
        <w:spacing w:after="0" w:line="289" w:lineRule="auto"/>
        <w:rPr>
          <w:sz w:val="20"/>
          <w:szCs w:val="20"/>
          <w:color w:val="auto"/>
        </w:rPr>
      </w:pPr>
      <w:r>
        <w:rPr>
          <w:rFonts w:ascii="Arial" w:cs="Arial" w:eastAsia="Arial" w:hAnsi="Arial"/>
          <w:sz w:val="16"/>
          <w:szCs w:val="16"/>
          <w:color w:val="auto"/>
        </w:rPr>
        <w:t>There has been no material change in the planned use of proceeds from our IPO as described in our prospectus dated November 19, 2015, filed with the SEC pursuant to Rule 424(b)(4) under the Securities Act of 1933, as amended.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699" w:firstLine="576"/>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Herriot Tabuteau, M.D.</w:t>
      </w:r>
    </w:p>
    <w:p>
      <w:pPr>
        <w:ind w:left="51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5140"/>
        <w:spacing w:after="0"/>
        <w:rPr>
          <w:sz w:val="20"/>
          <w:szCs w:val="20"/>
          <w:color w:val="auto"/>
        </w:rPr>
      </w:pPr>
      <w:r>
        <w:rPr>
          <w:rFonts w:ascii="Arial" w:cs="Arial" w:eastAsia="Arial" w:hAnsi="Arial"/>
          <w:sz w:val="18"/>
          <w:szCs w:val="18"/>
          <w:i w:val="1"/>
          <w:iCs w:val="1"/>
          <w:color w:val="auto"/>
        </w:rPr>
        <w:t>(Principal Executive Officer)</w:t>
      </w:r>
    </w:p>
    <w:p>
      <w:pPr>
        <w:spacing w:after="0" w:line="358"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Constance 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Constance Ames</w:t>
      </w:r>
    </w:p>
    <w:p>
      <w:pPr>
        <w:ind w:left="5140"/>
        <w:spacing w:after="0" w:line="219" w:lineRule="auto"/>
        <w:rPr>
          <w:sz w:val="20"/>
          <w:szCs w:val="20"/>
          <w:color w:val="auto"/>
        </w:rPr>
      </w:pPr>
      <w:r>
        <w:rPr>
          <w:rFonts w:ascii="Arial" w:cs="Arial" w:eastAsia="Arial" w:hAnsi="Arial"/>
          <w:sz w:val="18"/>
          <w:szCs w:val="18"/>
          <w:i w:val="1"/>
          <w:iCs w:val="1"/>
          <w:color w:val="auto"/>
        </w:rPr>
        <w:t>Vice President, Finance</w:t>
      </w:r>
    </w:p>
    <w:p>
      <w:pPr>
        <w:ind w:left="51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60" w:type="dxa"/>
            <w:vAlign w:val="bottom"/>
          </w:tcPr>
          <w:p>
            <w:pPr>
              <w:ind w:left="286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766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7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780" w:right="679" w:hanging="391"/>
        <w:spacing w:after="0" w:line="228" w:lineRule="auto"/>
        <w:rPr>
          <w:sz w:val="20"/>
          <w:szCs w:val="20"/>
          <w:color w:val="auto"/>
        </w:rPr>
      </w:pPr>
      <w:r>
        <w:rPr>
          <w:rFonts w:ascii="Arial" w:cs="Arial" w:eastAsia="Arial" w:hAnsi="Arial"/>
          <w:sz w:val="18"/>
          <w:szCs w:val="18"/>
          <w:color w:val="auto"/>
        </w:rPr>
        <w:t>31.1 Certification of Principal Executive Officer pursuant to Rule 13a-14(a)/15d-14(a), as adopted pursuant to Section 302 of the Sarbanes-Oxley Act of 2002.</w:t>
      </w:r>
    </w:p>
    <w:p>
      <w:pPr>
        <w:ind w:left="780" w:right="739" w:hanging="391"/>
        <w:spacing w:after="0" w:line="219" w:lineRule="auto"/>
        <w:rPr>
          <w:sz w:val="20"/>
          <w:szCs w:val="20"/>
          <w:color w:val="auto"/>
        </w:rPr>
      </w:pPr>
      <w:r>
        <w:rPr>
          <w:rFonts w:ascii="Arial" w:cs="Arial" w:eastAsia="Arial" w:hAnsi="Arial"/>
          <w:sz w:val="18"/>
          <w:szCs w:val="18"/>
          <w:color w:val="auto"/>
        </w:rPr>
        <w:t>31.2 Certification of Principal Financial Officer pursuant to Rule 13a-14(a)/15d-14(a), as adopted pursuant to Section 302 of the Sarbanes-Oxley Act of 2002.</w:t>
      </w:r>
    </w:p>
    <w:p>
      <w:pPr>
        <w:ind w:left="780" w:right="1319" w:hanging="391"/>
        <w:spacing w:after="0" w:line="219" w:lineRule="auto"/>
        <w:rPr>
          <w:sz w:val="20"/>
          <w:szCs w:val="20"/>
          <w:color w:val="auto"/>
        </w:rPr>
      </w:pPr>
      <w:r>
        <w:rPr>
          <w:rFonts w:ascii="Arial" w:cs="Arial" w:eastAsia="Arial" w:hAnsi="Arial"/>
          <w:sz w:val="18"/>
          <w:szCs w:val="18"/>
          <w:color w:val="auto"/>
        </w:rPr>
        <w:t>32.1 Certification of Principal Executive Officer pursuant to 18 U.S.C. §1350, as adopted pursuant to Section 906 of the Sarbanes-Oxley Act of 2002 (furnished herewith).</w:t>
      </w:r>
    </w:p>
    <w:p>
      <w:pPr>
        <w:ind w:left="780" w:right="1379" w:hanging="391"/>
        <w:spacing w:after="0" w:line="219" w:lineRule="auto"/>
        <w:rPr>
          <w:sz w:val="20"/>
          <w:szCs w:val="20"/>
          <w:color w:val="auto"/>
        </w:rPr>
      </w:pPr>
      <w:r>
        <w:rPr>
          <w:rFonts w:ascii="Arial" w:cs="Arial" w:eastAsia="Arial" w:hAnsi="Arial"/>
          <w:sz w:val="18"/>
          <w:szCs w:val="18"/>
          <w:color w:val="auto"/>
        </w:rPr>
        <w:t>32.2 Certification of Principal Financial Officer pursuant to 18 U.S.C. §1350, as adopted pursuant to Section 906 of the Sarbanes-Oxley Act of 2002 (furnished herewith).</w:t>
      </w:r>
    </w:p>
    <w:p>
      <w:pPr>
        <w:ind w:left="780" w:hanging="345"/>
        <w:spacing w:after="0" w:line="21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w:t>
      </w:r>
    </w:p>
    <w:p>
      <w:pPr>
        <w:ind w:left="780" w:right="979"/>
        <w:spacing w:after="0" w:line="233" w:lineRule="auto"/>
        <w:rPr>
          <w:rFonts w:ascii="Arial" w:cs="Arial" w:eastAsia="Arial" w:hAnsi="Arial"/>
          <w:sz w:val="18"/>
          <w:szCs w:val="18"/>
          <w:color w:val="auto"/>
        </w:rPr>
      </w:pPr>
      <w:r>
        <w:rPr>
          <w:rFonts w:ascii="Arial" w:cs="Arial" w:eastAsia="Arial" w:hAnsi="Arial"/>
          <w:sz w:val="18"/>
          <w:szCs w:val="18"/>
          <w:color w:val="auto"/>
        </w:rPr>
        <w:t>(ii) Consolidated Statements of Operations, (iii) Consolidated Statements of Cash Flows, and (iv) the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20" w:hanging="317"/>
        <w:spacing w:after="0" w:line="258" w:lineRule="auto"/>
        <w:tabs>
          <w:tab w:leader="none" w:pos="30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Constance Ames, certify that:</w:t>
      </w:r>
    </w:p>
    <w:p>
      <w:pPr>
        <w:spacing w:after="0" w:line="144"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20" w:hanging="317"/>
        <w:spacing w:after="0" w:line="258" w:lineRule="auto"/>
        <w:tabs>
          <w:tab w:leader="none" w:pos="30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color w:val="auto"/>
        </w:rPr>
        <w:t>/s/ Constance 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Constance Ames</w:t>
      </w:r>
    </w:p>
    <w:p>
      <w:pPr>
        <w:ind w:left="4540"/>
        <w:spacing w:after="0" w:line="204" w:lineRule="auto"/>
        <w:rPr>
          <w:sz w:val="20"/>
          <w:szCs w:val="20"/>
          <w:color w:val="auto"/>
        </w:rPr>
      </w:pPr>
      <w:r>
        <w:rPr>
          <w:rFonts w:ascii="Arial" w:cs="Arial" w:eastAsia="Arial" w:hAnsi="Arial"/>
          <w:sz w:val="18"/>
          <w:szCs w:val="18"/>
          <w:color w:val="auto"/>
        </w:rPr>
        <w:t>Vice President, Finance</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2017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8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2017 as filed with the Securities and Exchange Commission (the “Report”), I, Constance Ames, Vice President, Finance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6"/>
          <w:szCs w:val="16"/>
          <w:color w:val="auto"/>
        </w:rPr>
        <w:t>/s/ Constance 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Constance Ames</w:t>
      </w:r>
    </w:p>
    <w:p>
      <w:pPr>
        <w:ind w:left="4540"/>
        <w:spacing w:after="0" w:line="204" w:lineRule="auto"/>
        <w:rPr>
          <w:sz w:val="20"/>
          <w:szCs w:val="20"/>
          <w:color w:val="auto"/>
        </w:rPr>
      </w:pPr>
      <w:r>
        <w:rPr>
          <w:rFonts w:ascii="Arial" w:cs="Arial" w:eastAsia="Arial" w:hAnsi="Arial"/>
          <w:sz w:val="18"/>
          <w:szCs w:val="18"/>
          <w:color w:val="auto"/>
        </w:rPr>
        <w:t>Vice President, Finance</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2019-12-29T06:10:55Z</dcterms:created>
  <dcterms:modified xsi:type="dcterms:W3CDTF">2019-12-29T06:10:55Z</dcterms:modified>
</cp:coreProperties>
</file>