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Coleman Mark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3,308 options elected to be received in lieu of cash compensation earned in 2019.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-3716020</wp:posOffset>
            </wp:positionV>
            <wp:extent cx="7033895" cy="279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379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2020-03-19T20:18:56Z</dcterms:created>
  <dcterms:modified xsi:type="dcterms:W3CDTF">2020-03-19T20:18:56Z</dcterms:modified>
</cp:coreProperties>
</file>