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660"/>
          </w:cols>
          <w:pgMar w:left="1080" w:top="225" w:right="1159" w:bottom="416" w:gutter="0" w:footer="0" w:header="0"/>
        </w:sectPr>
      </w:pPr>
    </w:p>
    <w:p>
      <w:pPr>
        <w:spacing w:after="0" w:line="99" w:lineRule="exact"/>
        <w:rPr>
          <w:sz w:val="24"/>
          <w:szCs w:val="24"/>
          <w:color w:val="auto"/>
        </w:rPr>
      </w:pPr>
    </w:p>
    <w:p>
      <w:pPr>
        <w:ind w:left="2680" w:firstLine="550"/>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4"/>
          <w:szCs w:val="24"/>
          <w:color w:val="auto"/>
        </w:rPr>
      </w:pPr>
    </w:p>
    <w:p>
      <w:pPr>
        <w:sectPr>
          <w:pgSz w:w="11900" w:h="16838" w:orient="portrait"/>
          <w:cols w:equalWidth="0" w:num="2">
            <w:col w:w="6620" w:space="360"/>
            <w:col w:w="2680"/>
          </w:cols>
          <w:pgMar w:left="1080" w:top="225" w:right="1159" w:bottom="416"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ectPr>
          <w:pgSz w:w="11900" w:h="16838" w:orient="portrait"/>
          <w:cols w:equalWidth="0" w:num="1">
            <w:col w:w="9660"/>
          </w:cols>
          <w:pgMar w:left="1080" w:top="225" w:right="1159" w:bottom="416"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2">
            <w:col w:w="2960" w:space="60"/>
            <w:col w:w="6640"/>
          </w:cols>
          <w:pgMar w:left="1080" w:top="225" w:right="1159" w:bottom="416" w:gutter="0" w:footer="0" w:header="0"/>
          <w:type w:val="continuous"/>
        </w:sect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660"/>
          </w:cols>
          <w:pgMar w:left="1080" w:top="225" w:right="1159" w:bottom="416" w:gutter="0" w:footer="0" w:header="0"/>
          <w:type w:val="continuous"/>
        </w:sectPr>
      </w:pP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67" w:lineRule="exact"/>
        <w:rPr>
          <w:sz w:val="24"/>
          <w:szCs w:val="24"/>
          <w:color w:val="auto"/>
        </w:rPr>
      </w:pPr>
    </w:p>
    <w:p>
      <w:pPr>
        <w:sectPr>
          <w:pgSz w:w="11900" w:h="16838" w:orient="portrait"/>
          <w:cols w:equalWidth="0" w:num="2">
            <w:col w:w="160" w:space="200"/>
            <w:col w:w="9300"/>
          </w:cols>
          <w:pgMar w:left="1080" w:top="225" w:right="1159" w:bottom="416"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71" w:lineRule="exact"/>
        <w:rPr>
          <w:sz w:val="24"/>
          <w:szCs w:val="24"/>
          <w:color w:val="auto"/>
        </w:rPr>
      </w:pPr>
    </w:p>
    <w:p>
      <w:pPr>
        <w:sectPr>
          <w:pgSz w:w="11900" w:h="16838" w:orient="portrait"/>
          <w:cols w:equalWidth="0" w:num="2">
            <w:col w:w="160" w:space="200"/>
            <w:col w:w="9300"/>
          </w:cols>
          <w:pgMar w:left="1080" w:top="225" w:right="1159" w:bottom="416"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80" w:lineRule="exact"/>
        <w:rPr>
          <w:sz w:val="24"/>
          <w:szCs w:val="24"/>
          <w:color w:val="auto"/>
        </w:rPr>
      </w:pPr>
    </w:p>
    <w:p>
      <w:pPr>
        <w:sectPr>
          <w:pgSz w:w="11900" w:h="16838" w:orient="portrait"/>
          <w:cols w:equalWidth="0" w:num="2">
            <w:col w:w="160" w:space="200"/>
            <w:col w:w="9300"/>
          </w:cols>
          <w:pgMar w:left="1080" w:top="225" w:right="1159" w:bottom="416"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Definitive Additional Materials</w:t>
      </w:r>
    </w:p>
    <w:p>
      <w:pPr>
        <w:spacing w:after="0" w:line="55" w:lineRule="exact"/>
        <w:rPr>
          <w:sz w:val="24"/>
          <w:szCs w:val="24"/>
          <w:color w:val="auto"/>
        </w:rPr>
      </w:pPr>
    </w:p>
    <w:p>
      <w:pPr>
        <w:sectPr>
          <w:pgSz w:w="11900" w:h="16838" w:orient="portrait"/>
          <w:cols w:equalWidth="0" w:num="2">
            <w:col w:w="160" w:space="200"/>
            <w:col w:w="9300"/>
          </w:cols>
          <w:pgMar w:left="1080" w:top="225" w:right="1159" w:bottom="416" w:gutter="0" w:footer="0" w:header="0"/>
          <w:type w:val="continuous"/>
        </w:sect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Soliciting Material under §240.14a-12</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8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87"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87" w:lineRule="exact"/>
        <w:rPr>
          <w:rFonts w:ascii="MS PGothic" w:cs="MS PGothic" w:eastAsia="MS PGothic" w:hAnsi="MS PGothic"/>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right="20" w:hanging="405"/>
        <w:spacing w:after="0" w:line="277" w:lineRule="auto"/>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0"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400" w:hanging="396"/>
        <w:spacing w:after="0" w:line="263"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5" w:lineRule="exact"/>
        <w:rPr>
          <w:rFonts w:ascii="MS PGothic" w:cs="MS PGothic" w:eastAsia="MS PGothic" w:hAnsi="MS PGothic"/>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00" w:hanging="405"/>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508000</wp:posOffset>
            </wp:positionH>
            <wp:positionV relativeFrom="paragraph">
              <wp:posOffset>212090</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-164465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-567690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-970280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-2590800</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-2993390</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-3396615</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-3936365</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-4339590</wp:posOffset>
            </wp:positionV>
            <wp:extent cx="5666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366395</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417830</wp:posOffset>
            </wp:positionV>
            <wp:extent cx="61722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41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975360</wp:posOffset>
            </wp:positionV>
            <wp:extent cx="5349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92075</wp:posOffset>
            </wp:positionV>
            <wp:extent cx="211709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70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21, 2020</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You are cordially invited to attend the 2020 Annual Meeting of Stockholders of Axsome Therapeutics, Inc. (the “Annual Meeting”) that will be held on Friday, June 5, 2020 at 9:00 a.m. local time, at the offices of DLA Piper LLP (US) at 1251 Avenue of the Americas, New York, NY 10020.*</w:t>
      </w:r>
    </w:p>
    <w:p>
      <w:pPr>
        <w:spacing w:after="0" w:line="76"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In accordance with the Securities and Exchange Commission rules allowing companies to furnish proxy materials to their stockholders over the Internet, we have sent stockholders of record at the close of business on April 9, 2020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7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w:t>
      </w:r>
    </w:p>
    <w:p>
      <w:pPr>
        <w:spacing w:after="0" w:line="62" w:lineRule="exact"/>
        <w:rPr>
          <w:sz w:val="20"/>
          <w:szCs w:val="20"/>
          <w:color w:val="auto"/>
        </w:rPr>
      </w:pPr>
    </w:p>
    <w:p>
      <w:pPr>
        <w:jc w:val="both"/>
        <w:ind w:left="300" w:right="379" w:firstLine="360"/>
        <w:spacing w:after="0" w:line="257" w:lineRule="auto"/>
        <w:rPr>
          <w:sz w:val="20"/>
          <w:szCs w:val="20"/>
          <w:color w:val="auto"/>
        </w:rPr>
      </w:pPr>
      <w:r>
        <w:rPr>
          <w:rFonts w:ascii="Arial" w:cs="Arial" w:eastAsia="Arial" w:hAnsi="Arial"/>
          <w:sz w:val="18"/>
          <w:szCs w:val="18"/>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of Axsome.</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Herriot Tabuteau, M.D.</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Chief Executive Officer, President, and Chairman of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Board</w:t>
      </w:r>
    </w:p>
    <w:p>
      <w:pPr>
        <w:spacing w:after="0" w:line="206" w:lineRule="exact"/>
        <w:rPr>
          <w:sz w:val="20"/>
          <w:szCs w:val="20"/>
          <w:color w:val="auto"/>
        </w:rPr>
      </w:pPr>
    </w:p>
    <w:p>
      <w:pPr>
        <w:ind w:left="640" w:right="419" w:hanging="348"/>
        <w:spacing w:after="0" w:line="251" w:lineRule="auto"/>
        <w:tabs>
          <w:tab w:leader="none" w:pos="64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Due to the emerging public health impact of coronavirus (COVID-19), we are planning for the possibility that the date, time or location of the Annual Meeting may be changed, or that the Annual Meeting may be held solely by means of remote communication (or alternatively, that a virtual meeting open to all stockholders may be held in addition to the in-person meeting at the offices of DLA Piper LLP (US)). If this step is taken, we will announce the decision to do so in advance, and details on how to participate will be set forth in a press release issued by us and available on our website at www.axsome.com under the Investors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106680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68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rPr>
              <w:t>AXSOME THERAPEUTICS, INC.</w:t>
            </w:r>
          </w:p>
        </w:tc>
      </w:tr>
      <w:tr>
        <w:trPr>
          <w:trHeight w:val="226"/>
        </w:trPr>
        <w:tc>
          <w:tcPr>
            <w:tcW w:w="1580" w:type="dxa"/>
            <w:vAlign w:val="bottom"/>
          </w:tcPr>
          <w:p>
            <w:pPr>
              <w:spacing w:after="0"/>
              <w:rPr>
                <w:sz w:val="19"/>
                <w:szCs w:val="19"/>
                <w:color w:val="auto"/>
              </w:rPr>
            </w:pPr>
          </w:p>
        </w:tc>
        <w:tc>
          <w:tcPr>
            <w:tcW w:w="6840" w:type="dxa"/>
            <w:vAlign w:val="bottom"/>
            <w:gridSpan w:val="2"/>
          </w:tcPr>
          <w:p>
            <w:pPr>
              <w:jc w:val="center"/>
              <w:ind w:right="1510"/>
              <w:spacing w:after="0" w:line="226" w:lineRule="exact"/>
              <w:rPr>
                <w:sz w:val="20"/>
                <w:szCs w:val="20"/>
                <w:color w:val="auto"/>
              </w:rPr>
            </w:pPr>
            <w:r>
              <w:rPr>
                <w:rFonts w:ascii="Arial" w:cs="Arial" w:eastAsia="Arial" w:hAnsi="Arial"/>
                <w:sz w:val="16"/>
                <w:szCs w:val="16"/>
                <w:b w:val="1"/>
                <w:bCs w:val="1"/>
                <w:color w:val="auto"/>
              </w:rPr>
              <w:t>200 Broadway, 3</w:t>
            </w:r>
            <w:r>
              <w:rPr>
                <w:rFonts w:ascii="Arial" w:cs="Arial" w:eastAsia="Arial" w:hAnsi="Arial"/>
                <w:sz w:val="26"/>
                <w:szCs w:val="26"/>
                <w:b w:val="1"/>
                <w:bCs w:val="1"/>
                <w:color w:val="auto"/>
                <w:vertAlign w:val="superscript"/>
              </w:rPr>
              <w:t>rd</w:t>
            </w:r>
            <w:r>
              <w:rPr>
                <w:rFonts w:ascii="Arial" w:cs="Arial" w:eastAsia="Arial" w:hAnsi="Arial"/>
                <w:sz w:val="16"/>
                <w:szCs w:val="16"/>
                <w:b w:val="1"/>
                <w:bCs w:val="1"/>
                <w:color w:val="auto"/>
              </w:rPr>
              <w:t xml:space="preserve"> Floor</w:t>
            </w:r>
          </w:p>
        </w:tc>
      </w:tr>
      <w:tr>
        <w:trPr>
          <w:trHeight w:val="234"/>
        </w:trPr>
        <w:tc>
          <w:tcPr>
            <w:tcW w:w="1580" w:type="dxa"/>
            <w:vAlign w:val="bottom"/>
          </w:tcPr>
          <w:p>
            <w:pPr>
              <w:spacing w:after="0"/>
              <w:rPr>
                <w:sz w:val="20"/>
                <w:szCs w:val="20"/>
                <w:color w:val="auto"/>
              </w:rPr>
            </w:pPr>
          </w:p>
        </w:tc>
        <w:tc>
          <w:tcPr>
            <w:tcW w:w="68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2"/>
              </w:rPr>
              <w:t>New York, New York 10038</w:t>
            </w:r>
          </w:p>
        </w:tc>
      </w:tr>
      <w:tr>
        <w:trPr>
          <w:trHeight w:val="427"/>
        </w:trPr>
        <w:tc>
          <w:tcPr>
            <w:tcW w:w="1580" w:type="dxa"/>
            <w:vAlign w:val="bottom"/>
          </w:tcPr>
          <w:p>
            <w:pPr>
              <w:spacing w:after="0"/>
              <w:rPr>
                <w:sz w:val="24"/>
                <w:szCs w:val="24"/>
                <w:color w:val="auto"/>
              </w:rPr>
            </w:pPr>
          </w:p>
        </w:tc>
        <w:tc>
          <w:tcPr>
            <w:tcW w:w="68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rPr>
              <w:t>NOTICE OF</w:t>
            </w:r>
          </w:p>
        </w:tc>
      </w:tr>
      <w:tr>
        <w:trPr>
          <w:trHeight w:val="234"/>
        </w:trPr>
        <w:tc>
          <w:tcPr>
            <w:tcW w:w="1580" w:type="dxa"/>
            <w:vAlign w:val="bottom"/>
          </w:tcPr>
          <w:p>
            <w:pPr>
              <w:spacing w:after="0"/>
              <w:rPr>
                <w:sz w:val="20"/>
                <w:szCs w:val="20"/>
                <w:color w:val="auto"/>
              </w:rPr>
            </w:pPr>
          </w:p>
        </w:tc>
        <w:tc>
          <w:tcPr>
            <w:tcW w:w="684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99"/>
              </w:rPr>
              <w:t>2020 ANNUAL MEETING OF STOCKHOLDERS</w:t>
            </w:r>
          </w:p>
        </w:tc>
      </w:tr>
      <w:tr>
        <w:trPr>
          <w:trHeight w:val="122"/>
        </w:trPr>
        <w:tc>
          <w:tcPr>
            <w:tcW w:w="15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r>
      <w:tr>
        <w:trPr>
          <w:trHeight w:val="250"/>
        </w:trPr>
        <w:tc>
          <w:tcPr>
            <w:tcW w:w="15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Friday, June 5, 2020 at 9:00 a.m. local time.</w:t>
            </w:r>
          </w:p>
        </w:tc>
      </w:tr>
      <w:tr>
        <w:trPr>
          <w:trHeight w:val="526"/>
        </w:trPr>
        <w:tc>
          <w:tcPr>
            <w:tcW w:w="15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5"/>
              </w:rPr>
              <w:t>The offices of DLA Piper LLP (US) at 1251 Avenue of the Americas, New York, NY</w:t>
            </w:r>
          </w:p>
        </w:tc>
      </w:tr>
      <w:tr>
        <w:trPr>
          <w:trHeight w:val="230"/>
        </w:trPr>
        <w:tc>
          <w:tcPr>
            <w:tcW w:w="15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10020.*</w:t>
            </w:r>
          </w:p>
        </w:tc>
        <w:tc>
          <w:tcPr>
            <w:tcW w:w="4360" w:type="dxa"/>
            <w:vAlign w:val="bottom"/>
          </w:tcPr>
          <w:p>
            <w:pPr>
              <w:spacing w:after="0"/>
              <w:rPr>
                <w:sz w:val="20"/>
                <w:szCs w:val="20"/>
                <w:color w:val="auto"/>
              </w:rPr>
            </w:pPr>
          </w:p>
        </w:tc>
      </w:tr>
      <w:tr>
        <w:trPr>
          <w:trHeight w:val="454"/>
        </w:trPr>
        <w:tc>
          <w:tcPr>
            <w:tcW w:w="1580" w:type="dxa"/>
            <w:vAlign w:val="bottom"/>
          </w:tcPr>
          <w:p>
            <w:pPr>
              <w:spacing w:after="0"/>
              <w:rPr>
                <w:sz w:val="24"/>
                <w:szCs w:val="24"/>
                <w:color w:val="auto"/>
              </w:rPr>
            </w:pPr>
          </w:p>
        </w:tc>
        <w:tc>
          <w:tcPr>
            <w:tcW w:w="6840" w:type="dxa"/>
            <w:vAlign w:val="bottom"/>
            <w:gridSpan w:val="2"/>
          </w:tcPr>
          <w:p>
            <w:pPr>
              <w:ind w:left="540"/>
              <w:spacing w:after="0"/>
              <w:rPr>
                <w:sz w:val="20"/>
                <w:szCs w:val="20"/>
                <w:color w:val="auto"/>
              </w:rPr>
            </w:pPr>
            <w:r>
              <w:rPr>
                <w:rFonts w:ascii="Arial" w:cs="Arial" w:eastAsia="Arial" w:hAnsi="Arial"/>
                <w:sz w:val="14"/>
                <w:szCs w:val="14"/>
                <w:color w:val="auto"/>
                <w:w w:val="97"/>
              </w:rPr>
              <w:t>*Due to the emerging public health impact of coronavirus (COVID-19), we are planning for the possibility</w:t>
            </w:r>
          </w:p>
        </w:tc>
      </w:tr>
      <w:tr>
        <w:trPr>
          <w:trHeight w:val="148"/>
        </w:trPr>
        <w:tc>
          <w:tcPr>
            <w:tcW w:w="1580" w:type="dxa"/>
            <w:vAlign w:val="bottom"/>
          </w:tcPr>
          <w:p>
            <w:pPr>
              <w:spacing w:after="0"/>
              <w:rPr>
                <w:sz w:val="12"/>
                <w:szCs w:val="12"/>
                <w:color w:val="auto"/>
              </w:rPr>
            </w:pPr>
          </w:p>
        </w:tc>
        <w:tc>
          <w:tcPr>
            <w:tcW w:w="684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6"/>
              </w:rPr>
              <w:t>that the date, time or location of the Annual Meeting may be changed, or that the Annual Meeting may be</w:t>
            </w:r>
          </w:p>
        </w:tc>
      </w:tr>
      <w:tr>
        <w:trPr>
          <w:trHeight w:val="148"/>
        </w:trPr>
        <w:tc>
          <w:tcPr>
            <w:tcW w:w="1580" w:type="dxa"/>
            <w:vAlign w:val="bottom"/>
          </w:tcPr>
          <w:p>
            <w:pPr>
              <w:spacing w:after="0"/>
              <w:rPr>
                <w:sz w:val="12"/>
                <w:szCs w:val="12"/>
                <w:color w:val="auto"/>
              </w:rPr>
            </w:pPr>
          </w:p>
        </w:tc>
        <w:tc>
          <w:tcPr>
            <w:tcW w:w="6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held solely by means of remote communication (or alternatively, that a virtual meeting open to all</w:t>
            </w:r>
          </w:p>
        </w:tc>
      </w:tr>
      <w:tr>
        <w:trPr>
          <w:trHeight w:val="148"/>
        </w:trPr>
        <w:tc>
          <w:tcPr>
            <w:tcW w:w="1580" w:type="dxa"/>
            <w:vAlign w:val="bottom"/>
          </w:tcPr>
          <w:p>
            <w:pPr>
              <w:spacing w:after="0"/>
              <w:rPr>
                <w:sz w:val="12"/>
                <w:szCs w:val="12"/>
                <w:color w:val="auto"/>
              </w:rPr>
            </w:pPr>
          </w:p>
        </w:tc>
        <w:tc>
          <w:tcPr>
            <w:tcW w:w="684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5"/>
              </w:rPr>
              <w:t>stockholders may be held in addition to the in-person meeting at the offices of DLA Piper LLP (US)). If this</w:t>
            </w:r>
          </w:p>
        </w:tc>
      </w:tr>
      <w:tr>
        <w:trPr>
          <w:trHeight w:val="149"/>
        </w:trPr>
        <w:tc>
          <w:tcPr>
            <w:tcW w:w="1580" w:type="dxa"/>
            <w:vAlign w:val="bottom"/>
          </w:tcPr>
          <w:p>
            <w:pPr>
              <w:spacing w:after="0"/>
              <w:rPr>
                <w:sz w:val="12"/>
                <w:szCs w:val="12"/>
                <w:color w:val="auto"/>
              </w:rPr>
            </w:pPr>
          </w:p>
        </w:tc>
        <w:tc>
          <w:tcPr>
            <w:tcW w:w="684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3"/>
              </w:rPr>
              <w:t>step is taken, we will announce the decision to do so in advance, and details on how to participate will be set</w:t>
            </w:r>
          </w:p>
        </w:tc>
      </w:tr>
      <w:tr>
        <w:trPr>
          <w:trHeight w:val="148"/>
        </w:trPr>
        <w:tc>
          <w:tcPr>
            <w:tcW w:w="1580" w:type="dxa"/>
            <w:vAlign w:val="bottom"/>
          </w:tcPr>
          <w:p>
            <w:pPr>
              <w:spacing w:after="0"/>
              <w:rPr>
                <w:sz w:val="12"/>
                <w:szCs w:val="12"/>
                <w:color w:val="auto"/>
              </w:rPr>
            </w:pPr>
          </w:p>
        </w:tc>
        <w:tc>
          <w:tcPr>
            <w:tcW w:w="684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4"/>
              </w:rPr>
              <w:t>forth in a press release issued by us and available on our website at www.axsome.com under the Investors</w:t>
            </w:r>
          </w:p>
        </w:tc>
      </w:tr>
      <w:tr>
        <w:trPr>
          <w:trHeight w:val="182"/>
        </w:trPr>
        <w:tc>
          <w:tcPr>
            <w:tcW w:w="1580" w:type="dxa"/>
            <w:vAlign w:val="bottom"/>
          </w:tcPr>
          <w:p>
            <w:pPr>
              <w:spacing w:after="0"/>
              <w:rPr>
                <w:sz w:val="15"/>
                <w:szCs w:val="15"/>
                <w:color w:val="auto"/>
              </w:rPr>
            </w:pPr>
          </w:p>
        </w:tc>
        <w:tc>
          <w:tcPr>
            <w:tcW w:w="6840" w:type="dxa"/>
            <w:vAlign w:val="bottom"/>
            <w:gridSpan w:val="2"/>
          </w:tcPr>
          <w:p>
            <w:pPr>
              <w:ind w:left="540"/>
              <w:spacing w:after="0"/>
              <w:rPr>
                <w:sz w:val="20"/>
                <w:szCs w:val="20"/>
                <w:color w:val="auto"/>
              </w:rPr>
            </w:pPr>
            <w:r>
              <w:rPr>
                <w:rFonts w:ascii="Arial" w:cs="Arial" w:eastAsia="Arial" w:hAnsi="Arial"/>
                <w:sz w:val="14"/>
                <w:szCs w:val="14"/>
                <w:color w:val="auto"/>
              </w:rPr>
              <w:t>tab.</w:t>
            </w:r>
          </w:p>
        </w:tc>
      </w:tr>
      <w:tr>
        <w:trPr>
          <w:trHeight w:val="511"/>
        </w:trPr>
        <w:tc>
          <w:tcPr>
            <w:tcW w:w="1580" w:type="dxa"/>
            <w:vAlign w:val="bottom"/>
          </w:tcPr>
          <w:p>
            <w:pPr>
              <w:spacing w:after="0"/>
              <w:rPr>
                <w:sz w:val="20"/>
                <w:szCs w:val="20"/>
                <w:color w:val="auto"/>
              </w:rPr>
            </w:pPr>
            <w:r>
              <w:rPr>
                <w:rFonts w:ascii="Arial" w:cs="Arial" w:eastAsia="Arial" w:hAnsi="Arial"/>
                <w:sz w:val="18"/>
                <w:szCs w:val="18"/>
                <w:b w:val="1"/>
                <w:bCs w:val="1"/>
                <w:color w:val="auto"/>
                <w:w w:val="97"/>
              </w:rPr>
              <w:t>Items of Business:</w:t>
            </w: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w w:val="93"/>
              </w:rPr>
              <w:t>(1)  To elect one director named in the proxy statement accompanying this notice to serve</w:t>
            </w:r>
          </w:p>
        </w:tc>
      </w:tr>
      <w:tr>
        <w:trPr>
          <w:trHeight w:val="216"/>
        </w:trPr>
        <w:tc>
          <w:tcPr>
            <w:tcW w:w="1580" w:type="dxa"/>
            <w:vAlign w:val="bottom"/>
          </w:tcPr>
          <w:p>
            <w:pPr>
              <w:spacing w:after="0"/>
              <w:rPr>
                <w:sz w:val="18"/>
                <w:szCs w:val="18"/>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3"/>
              </w:rPr>
              <w:t>as a Class II director until the annual meeting held in 2023 and until his successor is</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duly elected and qualified.</w:t>
            </w:r>
          </w:p>
        </w:tc>
      </w:tr>
      <w:tr>
        <w:trPr>
          <w:trHeight w:val="526"/>
        </w:trPr>
        <w:tc>
          <w:tcPr>
            <w:tcW w:w="158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(2)  To ratify the appointment of Ernst &amp; Young LLP as Axsome Therapeutics, Inc.’s</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1"/>
              </w:rPr>
              <w:t>independent registered public accounting firm for the year ending December 31, 2020.</w:t>
            </w:r>
          </w:p>
        </w:tc>
      </w:tr>
      <w:tr>
        <w:trPr>
          <w:trHeight w:val="526"/>
        </w:trPr>
        <w:tc>
          <w:tcPr>
            <w:tcW w:w="158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w w:val="90"/>
              </w:rPr>
              <w:t>(3)  To transact such other business as may properly come before the annual meeting or any</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adjournment thereof.</w:t>
            </w:r>
          </w:p>
        </w:tc>
      </w:tr>
      <w:tr>
        <w:trPr>
          <w:trHeight w:val="526"/>
        </w:trPr>
        <w:tc>
          <w:tcPr>
            <w:tcW w:w="1580" w:type="dxa"/>
            <w:vAlign w:val="bottom"/>
          </w:tcPr>
          <w:p>
            <w:pPr>
              <w:spacing w:after="0"/>
              <w:rPr>
                <w:sz w:val="24"/>
                <w:szCs w:val="24"/>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0"/>
              </w:rPr>
              <w:t>These items of business are more fully described in the proxy statement accompanying</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this notice.</w:t>
            </w:r>
          </w:p>
        </w:tc>
      </w:tr>
      <w:tr>
        <w:trPr>
          <w:trHeight w:val="522"/>
        </w:trPr>
        <w:tc>
          <w:tcPr>
            <w:tcW w:w="1580" w:type="dxa"/>
            <w:vAlign w:val="bottom"/>
          </w:tcPr>
          <w:p>
            <w:pPr>
              <w:spacing w:after="0"/>
              <w:rPr>
                <w:sz w:val="20"/>
                <w:szCs w:val="20"/>
                <w:color w:val="auto"/>
              </w:rPr>
            </w:pPr>
            <w:r>
              <w:rPr>
                <w:rFonts w:ascii="Arial" w:cs="Arial" w:eastAsia="Arial" w:hAnsi="Arial"/>
                <w:sz w:val="18"/>
                <w:szCs w:val="18"/>
                <w:b w:val="1"/>
                <w:bCs w:val="1"/>
                <w:color w:val="auto"/>
                <w:w w:val="98"/>
              </w:rPr>
              <w:t>Adjournments and</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1"/>
              </w:rPr>
              <w:t>Any action on the items of business described above may be considered at the annual</w:t>
            </w:r>
          </w:p>
        </w:tc>
      </w:tr>
      <w:tr>
        <w:trPr>
          <w:trHeight w:val="220"/>
        </w:trPr>
        <w:tc>
          <w:tcPr>
            <w:tcW w:w="1580" w:type="dxa"/>
            <w:vAlign w:val="bottom"/>
          </w:tcPr>
          <w:p>
            <w:pPr>
              <w:spacing w:after="0"/>
              <w:rPr>
                <w:sz w:val="20"/>
                <w:szCs w:val="20"/>
                <w:color w:val="auto"/>
              </w:rPr>
            </w:pPr>
            <w:r>
              <w:rPr>
                <w:rFonts w:ascii="Arial" w:cs="Arial" w:eastAsia="Arial" w:hAnsi="Arial"/>
                <w:sz w:val="18"/>
                <w:szCs w:val="18"/>
                <w:b w:val="1"/>
                <w:bCs w:val="1"/>
                <w:color w:val="auto"/>
              </w:rPr>
              <w:t>Postponements:</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3"/>
              </w:rPr>
              <w:t>meeting at the time and on the date specified above or at any time and date to which</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the annual meeting may be properly adjourned or postponed.</w:t>
            </w:r>
          </w:p>
        </w:tc>
      </w:tr>
      <w:tr>
        <w:trPr>
          <w:trHeight w:val="526"/>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2"/>
              </w:rPr>
              <w:t>You are entitled to vote if you were a stockholder of record as of the close of business</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on April 9, 2020.</w:t>
            </w:r>
          </w:p>
        </w:tc>
      </w:tr>
      <w:tr>
        <w:trPr>
          <w:trHeight w:val="526"/>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2"/>
              </w:rPr>
              <w:t>Your vote is very important. Whether or not you plan to attend the annual meeting, we</w:t>
            </w:r>
          </w:p>
        </w:tc>
      </w:tr>
      <w:tr>
        <w:trPr>
          <w:trHeight w:val="216"/>
        </w:trPr>
        <w:tc>
          <w:tcPr>
            <w:tcW w:w="1580" w:type="dxa"/>
            <w:vAlign w:val="bottom"/>
          </w:tcPr>
          <w:p>
            <w:pPr>
              <w:spacing w:after="0"/>
              <w:rPr>
                <w:sz w:val="18"/>
                <w:szCs w:val="18"/>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1"/>
              </w:rPr>
              <w:t>encourage you to read the proxy statement and vote on the Internet or by telephone or</w:t>
            </w:r>
          </w:p>
        </w:tc>
      </w:tr>
      <w:tr>
        <w:trPr>
          <w:trHeight w:val="216"/>
        </w:trPr>
        <w:tc>
          <w:tcPr>
            <w:tcW w:w="1580" w:type="dxa"/>
            <w:vAlign w:val="bottom"/>
          </w:tcPr>
          <w:p>
            <w:pPr>
              <w:spacing w:after="0"/>
              <w:rPr>
                <w:sz w:val="18"/>
                <w:szCs w:val="18"/>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3"/>
              </w:rPr>
              <w:t>submit your proxy card, if you have requested one, as soon as possible. For specific</w:t>
            </w:r>
          </w:p>
        </w:tc>
      </w:tr>
      <w:tr>
        <w:trPr>
          <w:trHeight w:val="216"/>
        </w:trPr>
        <w:tc>
          <w:tcPr>
            <w:tcW w:w="1580" w:type="dxa"/>
            <w:vAlign w:val="bottom"/>
          </w:tcPr>
          <w:p>
            <w:pPr>
              <w:spacing w:after="0"/>
              <w:rPr>
                <w:sz w:val="18"/>
                <w:szCs w:val="18"/>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w w:val="97"/>
              </w:rPr>
              <w:t>instructions on how to vote your shares, please refer to the section herein entitled</w:t>
            </w:r>
          </w:p>
        </w:tc>
      </w:tr>
      <w:tr>
        <w:trPr>
          <w:trHeight w:val="230"/>
        </w:trPr>
        <w:tc>
          <w:tcPr>
            <w:tcW w:w="1580" w:type="dxa"/>
            <w:vAlign w:val="bottom"/>
          </w:tcPr>
          <w:p>
            <w:pPr>
              <w:spacing w:after="0"/>
              <w:rPr>
                <w:sz w:val="20"/>
                <w:szCs w:val="20"/>
                <w:color w:val="auto"/>
              </w:rPr>
            </w:pPr>
          </w:p>
        </w:tc>
        <w:tc>
          <w:tcPr>
            <w:tcW w:w="6840" w:type="dxa"/>
            <w:vAlign w:val="bottom"/>
            <w:gridSpan w:val="2"/>
          </w:tcPr>
          <w:p>
            <w:pPr>
              <w:ind w:left="540"/>
              <w:spacing w:after="0"/>
              <w:rPr>
                <w:sz w:val="20"/>
                <w:szCs w:val="20"/>
                <w:color w:val="auto"/>
              </w:rPr>
            </w:pPr>
            <w:r>
              <w:rPr>
                <w:rFonts w:ascii="Arial" w:cs="Arial" w:eastAsia="Arial" w:hAnsi="Arial"/>
                <w:sz w:val="18"/>
                <w:szCs w:val="18"/>
                <w:color w:val="auto"/>
              </w:rPr>
              <w:t>“Questions and Answers About Procedural Matters.”</w:t>
            </w:r>
          </w:p>
        </w:tc>
      </w:tr>
      <w:tr>
        <w:trPr>
          <w:trHeight w:val="324"/>
        </w:trPr>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648"/>
        </w:trPr>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 MARK JACOBSON</w:t>
            </w:r>
          </w:p>
        </w:tc>
      </w:tr>
      <w:tr>
        <w:trPr>
          <w:trHeight w:val="68"/>
        </w:trPr>
        <w:tc>
          <w:tcPr>
            <w:tcW w:w="15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r>
      <w:tr>
        <w:trPr>
          <w:trHeight w:val="277"/>
        </w:trPr>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Mark Jacobson</w:t>
            </w:r>
          </w:p>
        </w:tc>
      </w:tr>
      <w:tr>
        <w:trPr>
          <w:trHeight w:val="324"/>
        </w:trPr>
        <w:tc>
          <w:tcPr>
            <w:tcW w:w="1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i w:val="1"/>
                <w:iCs w:val="1"/>
                <w:color w:val="auto"/>
              </w:rPr>
              <w:t>Secretary</w:t>
            </w:r>
          </w:p>
        </w:tc>
      </w:tr>
    </w:tbl>
    <w:p>
      <w:pPr>
        <w:spacing w:after="0" w:line="9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This Notice of Annual Meeting and Proxy Statement are first being distributed or made available, as the case may be, on or about April 21, 2020.</w:t>
      </w:r>
    </w:p>
    <w:p>
      <w:pPr>
        <w:sectPr>
          <w:pgSz w:w="11900" w:h="16838" w:orient="portrait"/>
          <w:cols w:equalWidth="0" w:num="1">
            <w:col w:w="9019"/>
          </w:cols>
          <w:pgMar w:left="1440" w:top="265" w:right="1440"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This Proxy Statement and our Annual Report are available free of charge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120" w:type="dxa"/>
            <w:vAlign w:val="bottom"/>
            <w:tcBorders>
              <w:top w:val="single" w:sz="8" w:color="CCEEFF"/>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PROCEDURAL MATTERS</w:t>
              </w:r>
            </w:hyperlink>
          </w:p>
        </w:tc>
        <w:tc>
          <w:tcPr>
            <w:tcW w:w="300" w:type="dxa"/>
            <w:vAlign w:val="bottom"/>
            <w:tcBorders>
              <w:top w:val="single" w:sz="8" w:color="auto"/>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Annual Meeting</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Stock Ownership</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Quorum and Voting</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Stockholder Proposals and Director Nominations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5</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Additional Information about the Proxy Materials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6</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ONE—ELECTION OF DIRECTORS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Nominees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Information Regarding the Nominees and Other Directors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8120" w:type="dxa"/>
            <w:vAlign w:val="bottom"/>
            <w:gridSpan w:val="3"/>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TWO—RATIFICATION OF THE APPOINTMENT OF INDEPENDENT REGISTERED</w:t>
              </w:r>
            </w:hyperlink>
          </w:p>
        </w:tc>
        <w:tc>
          <w:tcPr>
            <w:tcW w:w="30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74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PUBLIC ACCOUNTING FIRM</w:t>
              </w:r>
            </w:hyperlink>
          </w:p>
        </w:tc>
        <w:tc>
          <w:tcPr>
            <w:tcW w:w="6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2360" w:type="dxa"/>
            <w:vAlign w:val="bottom"/>
            <w:tcBorders>
              <w:top w:val="single" w:sz="8" w:color="0000EE"/>
            </w:tcBorders>
            <w:shd w:val="clear" w:color="auto" w:fill="CCEEFF"/>
          </w:tcPr>
          <w:p>
            <w:pPr>
              <w:spacing w:after="0"/>
              <w:rPr>
                <w:sz w:val="6"/>
                <w:szCs w:val="6"/>
                <w:color w:val="auto"/>
              </w:rPr>
            </w:pPr>
          </w:p>
        </w:tc>
        <w:tc>
          <w:tcPr>
            <w:tcW w:w="51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General</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Principal Accounting Fees and Services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Pre-Approval of Audit and Non-Audit Services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CORPORATE GOVERNANCE</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Code of Business Conduct and Ethics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Composition</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Director Independence</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Leadership Structure</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Board Committees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Committee Interlocks and Insider Participation</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Meetings of the Board of Directors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Board Oversight of Risk</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Director Nomination Process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Director Compensation</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Limitation of Liability and Indemnification Arrangements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Stockholder Communications with the Board of Directors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OFFICERS &amp; KEY PERSONNEL</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21</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COMPENSATION DISCUSSION AND ANALYSIS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23</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ind w:left="1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Compensation Committee Report</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32</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SECURITY OWNERSHIP OF CERTAIN BENEFICIAL OWNERS AND MANAGEMENT</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36</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EQUITY COMPENSATION PLAN INFORMATION</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38</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CERTAIN RELATIONSHIPS AND RELATED PARTY TRANSACTIONS</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39</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16(a) BENEFICIAL OWNERSHIP REPORTING COMPLIANCE</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41</w:t>
              </w:r>
            </w:hyperlink>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5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AUDIT COMMITTEE REPORT</w:t>
              </w:r>
            </w:hyperlink>
          </w:p>
        </w:tc>
        <w:tc>
          <w:tcPr>
            <w:tcW w:w="3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42</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3"/>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OTHER MATTERS</w:t>
              </w:r>
            </w:hyperlink>
          </w:p>
        </w:tc>
        <w:tc>
          <w:tcPr>
            <w:tcW w:w="1600" w:type="dxa"/>
            <w:vAlign w:val="bottom"/>
            <w:gridSpan w:val="2"/>
          </w:tcPr>
          <w:p>
            <w:pPr>
              <w:jc w:val="right"/>
              <w:ind w:right="13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43</w:t>
              </w:r>
            </w:hyperlink>
          </w:p>
        </w:tc>
      </w:tr>
      <w:tr>
        <w:trPr>
          <w:trHeight w:val="196"/>
        </w:trPr>
        <w:tc>
          <w:tcPr>
            <w:tcW w:w="1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-7663180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line="182" w:lineRule="auto"/>
        <w:rPr>
          <w:sz w:val="20"/>
          <w:szCs w:val="20"/>
          <w:color w:val="auto"/>
        </w:rPr>
      </w:pPr>
      <w:r>
        <w:rPr>
          <w:rFonts w:ascii="Arial" w:cs="Arial" w:eastAsia="Arial" w:hAnsi="Arial"/>
          <w:sz w:val="17"/>
          <w:szCs w:val="17"/>
          <w:b w:val="1"/>
          <w:bCs w:val="1"/>
          <w:color w:val="auto"/>
        </w:rPr>
        <w:t>200 Broadway, 3</w:t>
      </w:r>
      <w:r>
        <w:rPr>
          <w:rFonts w:ascii="Arial" w:cs="Arial" w:eastAsia="Arial" w:hAnsi="Arial"/>
          <w:sz w:val="28"/>
          <w:szCs w:val="28"/>
          <w:b w:val="1"/>
          <w:bCs w:val="1"/>
          <w:color w:val="auto"/>
          <w:vertAlign w:val="superscript"/>
        </w:rPr>
        <w:t>rd</w:t>
      </w:r>
      <w:r>
        <w:rPr>
          <w:rFonts w:ascii="Arial" w:cs="Arial" w:eastAsia="Arial" w:hAnsi="Arial"/>
          <w:sz w:val="17"/>
          <w:szCs w:val="17"/>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10038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17" w:lineRule="exact"/>
        <w:rPr>
          <w:sz w:val="20"/>
          <w:szCs w:val="20"/>
          <w:color w:val="auto"/>
        </w:rPr>
      </w:pPr>
    </w:p>
    <w:p>
      <w:pPr>
        <w:ind w:left="300" w:right="379" w:firstLine="360"/>
        <w:spacing w:after="0" w:line="294" w:lineRule="auto"/>
        <w:rPr>
          <w:sz w:val="20"/>
          <w:szCs w:val="20"/>
          <w:color w:val="auto"/>
        </w:rPr>
      </w:pPr>
      <w:r>
        <w:rPr>
          <w:rFonts w:ascii="Arial" w:cs="Arial" w:eastAsia="Arial" w:hAnsi="Arial"/>
          <w:sz w:val="16"/>
          <w:szCs w:val="16"/>
          <w:color w:val="auto"/>
        </w:rPr>
        <w:t>This proxy statement is furnished in connection with solicitation of proxies by our board of directors for use at the 2020 Annual Meeting of Stockholders (the “Annual Meeting”) to be held at 9:00 a.m. local time on Friday, June 5, 2020, and any postponements or adjournments thereof. The Annual Meeting will be held at the offices of DLA Piper LLP (US) at 1251 Avenue of the Americas, New York, NY 10020.* As used in this proxy statement, the terms “Axsome,” “we,” “us,” and “our” mean Axsome Therapeutics, Inc. unless the context indicates otherwise.</w:t>
      </w:r>
    </w:p>
    <w:p>
      <w:pPr>
        <w:spacing w:after="0" w:line="3" w:lineRule="exact"/>
        <w:rPr>
          <w:sz w:val="20"/>
          <w:szCs w:val="20"/>
          <w:color w:val="auto"/>
        </w:rPr>
      </w:pPr>
    </w:p>
    <w:p>
      <w:pPr>
        <w:ind w:left="640" w:right="419" w:hanging="348"/>
        <w:spacing w:after="0" w:line="251" w:lineRule="auto"/>
        <w:tabs>
          <w:tab w:leader="none" w:pos="640" w:val="left"/>
        </w:tabs>
        <w:numPr>
          <w:ilvl w:val="0"/>
          <w:numId w:val="4"/>
        </w:numPr>
        <w:rPr>
          <w:rFonts w:ascii="Arial" w:cs="Arial" w:eastAsia="Arial" w:hAnsi="Arial"/>
          <w:sz w:val="13"/>
          <w:szCs w:val="13"/>
          <w:color w:val="auto"/>
        </w:rPr>
      </w:pPr>
      <w:r>
        <w:rPr>
          <w:rFonts w:ascii="Arial" w:cs="Arial" w:eastAsia="Arial" w:hAnsi="Arial"/>
          <w:sz w:val="13"/>
          <w:szCs w:val="13"/>
          <w:color w:val="auto"/>
        </w:rPr>
        <w:t>Due to the emerging public health impact of coronavirus (COVID-19), we are planning for the possibility that the date, time or location of the Annual Meeting may be changed, or that the Annual Meeting may be held solely by means of remote communication (or alternatively, that a virtual meeting open to all stockholders may be held in addition to the in-person meeting at the offices of DLA Piper LLP (US)). If this step is taken, we will announce the decision to do so in advance, and details on how to participate will be set forth in a press release issued by us and available on our website at www.axsome.com under the Investors tab.</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PROCEDURAL MATTERS</w:t>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Meeting</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these proxy materials?</w:t>
      </w:r>
    </w:p>
    <w:p>
      <w:pPr>
        <w:spacing w:after="0" w:line="121" w:lineRule="exact"/>
        <w:rPr>
          <w:sz w:val="20"/>
          <w:szCs w:val="20"/>
          <w:color w:val="auto"/>
        </w:rPr>
      </w:pPr>
    </w:p>
    <w:p>
      <w:pPr>
        <w:ind w:left="640" w:right="359" w:hanging="348"/>
        <w:spacing w:after="0" w:line="273"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made these proxy materials available to you on the Internet or, upon your request, have delivered paper proxy materials to you, because our board of directors is soliciting your proxy to vote at the Annual Meeting to be held on Friday, June 5, 2020 at 9:00 a.m. local time, and at any adjournment or postponement thereof, for the purpose of considering and acting upon the matters set forth herein. This proxy statement includes information that we are required to provide to you by the Securities and Exchange Commission, or the SEC, and that is designed to assist you in voting your shares.</w:t>
      </w:r>
    </w:p>
    <w:p>
      <w:pPr>
        <w:spacing w:after="0" w:line="66" w:lineRule="exact"/>
        <w:rPr>
          <w:sz w:val="20"/>
          <w:szCs w:val="20"/>
          <w:color w:val="auto"/>
        </w:rPr>
      </w:pPr>
    </w:p>
    <w:p>
      <w:pPr>
        <w:ind w:left="640" w:right="479" w:hanging="348"/>
        <w:spacing w:after="0" w:line="282" w:lineRule="auto"/>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paper copy of proxy materials?</w:t>
      </w:r>
    </w:p>
    <w:p>
      <w:pPr>
        <w:spacing w:after="0" w:line="58" w:lineRule="exact"/>
        <w:rPr>
          <w:sz w:val="20"/>
          <w:szCs w:val="20"/>
          <w:color w:val="auto"/>
        </w:rPr>
      </w:pPr>
    </w:p>
    <w:p>
      <w:pPr>
        <w:ind w:left="640" w:right="359" w:hanging="348"/>
        <w:spacing w:after="0" w:line="269"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rules of the SEC permit us to furnish proxy materials, including this Proxy Statement and our 2019 Annual Report, to our stockholders by providing access to such documents on the Internet instead of mailing printed copies.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67" w:lineRule="exact"/>
        <w:rPr>
          <w:sz w:val="20"/>
          <w:szCs w:val="20"/>
          <w:color w:val="auto"/>
        </w:rPr>
      </w:pPr>
    </w:p>
    <w:p>
      <w:pPr>
        <w:ind w:left="640" w:right="759" w:hanging="348"/>
        <w:spacing w:after="0" w:line="282"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58" w:lineRule="exact"/>
        <w:rPr>
          <w:sz w:val="20"/>
          <w:szCs w:val="20"/>
          <w:color w:val="auto"/>
        </w:rPr>
      </w:pPr>
    </w:p>
    <w:p>
      <w:pPr>
        <w:ind w:left="640" w:right="359" w:hanging="348"/>
        <w:spacing w:after="0" w:line="296"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included in the proxy materials?</w:t>
      </w:r>
    </w:p>
    <w:p>
      <w:pPr>
        <w:spacing w:after="0" w:line="121" w:lineRule="exact"/>
        <w:rPr>
          <w:sz w:val="20"/>
          <w:szCs w:val="20"/>
          <w:color w:val="auto"/>
        </w:rPr>
      </w:pPr>
    </w:p>
    <w:p>
      <w:pPr>
        <w:ind w:left="640" w:hanging="34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proxy materials include: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proxy statement for the Annual Meeting;</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2019 Annual Report to Stockholders, which consists of our Annual Report on Form 10-K for the year ended December 31, 2019; and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proxy card or a voting instruction form for the Annual Meeting, if you have requested that the proxy materials be mailed to you.</w:t>
      </w:r>
    </w:p>
    <w:p>
      <w:pPr>
        <w:spacing w:after="0" w:line="5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information is contained in this proxy statement?</w:t>
      </w:r>
    </w:p>
    <w:p>
      <w:pPr>
        <w:spacing w:after="0" w:line="121" w:lineRule="exact"/>
        <w:rPr>
          <w:sz w:val="20"/>
          <w:szCs w:val="20"/>
          <w:color w:val="auto"/>
        </w:rPr>
      </w:pPr>
    </w:p>
    <w:p>
      <w:pPr>
        <w:ind w:left="640" w:right="499" w:hanging="348"/>
        <w:spacing w:after="0" w:line="263"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is the Annual Meeting?*</w:t>
      </w:r>
    </w:p>
    <w:p>
      <w:pPr>
        <w:spacing w:after="0" w:line="121" w:lineRule="exact"/>
        <w:rPr>
          <w:sz w:val="20"/>
          <w:szCs w:val="20"/>
          <w:color w:val="auto"/>
        </w:rPr>
      </w:pPr>
    </w:p>
    <w:p>
      <w:pPr>
        <w:ind w:left="640" w:right="339" w:hanging="348"/>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Meeting will be held at the offices of DLA Piper (US) at 1251 Avenue of the Americas, New York, NY 10020.</w:t>
      </w:r>
    </w:p>
    <w:p>
      <w:pPr>
        <w:spacing w:after="0" w:line="5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attend the Annual Meeting?*</w:t>
      </w:r>
    </w:p>
    <w:p>
      <w:pPr>
        <w:spacing w:after="0" w:line="121" w:lineRule="exact"/>
        <w:rPr>
          <w:sz w:val="20"/>
          <w:szCs w:val="20"/>
          <w:color w:val="auto"/>
        </w:rPr>
      </w:pPr>
    </w:p>
    <w:p>
      <w:pPr>
        <w:ind w:left="640" w:right="519" w:hanging="348"/>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invited to attend the Annual Meeting if you were a stockholder of record or a beneficial owner as of April 9, 2020, the Record Date. Admission will begin at 8:45 a.m. local time on the date of the Annual Meeting, and you must present valid picture identification such as a driver’s license or passport and, if asked, provide proof of stock ownership as of the Record Date. The use of mobile phones, pagers, recording or photographic equipment, tablets and/or computers is not permitted at the Annual Meeting. The meeting will begin promptly at 9:00 a.m. local time.</w:t>
      </w:r>
    </w:p>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Ownership</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difference between holding shares as a stockholder of record and as a beneficial owner?</w:t>
      </w:r>
    </w:p>
    <w:p>
      <w:pPr>
        <w:spacing w:after="0" w:line="121" w:lineRule="exact"/>
        <w:rPr>
          <w:sz w:val="20"/>
          <w:szCs w:val="20"/>
          <w:color w:val="auto"/>
        </w:rPr>
      </w:pPr>
    </w:p>
    <w:p>
      <w:pPr>
        <w:ind w:left="640" w:right="319" w:hanging="348"/>
        <w:spacing w:after="0" w:line="25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—If your shares are registered directly in your name with our transfer agent,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Transfer &amp; Trust Company, LLC, you are 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79" w:lineRule="exact"/>
        <w:rPr>
          <w:rFonts w:ascii="Arial" w:cs="Arial" w:eastAsia="Arial" w:hAnsi="Arial"/>
          <w:sz w:val="18"/>
          <w:szCs w:val="18"/>
          <w:color w:val="auto"/>
        </w:rPr>
      </w:pPr>
    </w:p>
    <w:p>
      <w:pPr>
        <w:ind w:left="660" w:right="439"/>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—Many Axsome stockholders hold their shares through a broker, trustee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rather than directly in their own name. If your shares 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79" w:lineRule="exact"/>
        <w:rPr>
          <w:rFonts w:ascii="Arial" w:cs="Arial" w:eastAsia="Arial" w:hAnsi="Arial"/>
          <w:sz w:val="18"/>
          <w:szCs w:val="18"/>
          <w:color w:val="auto"/>
        </w:rPr>
      </w:pPr>
    </w:p>
    <w:p>
      <w:pPr>
        <w:ind w:left="660" w:right="439"/>
        <w:spacing w:after="0" w:line="275" w:lineRule="auto"/>
        <w:rPr>
          <w:rFonts w:ascii="Arial" w:cs="Arial" w:eastAsia="Arial" w:hAnsi="Arial"/>
          <w:sz w:val="18"/>
          <w:szCs w:val="18"/>
          <w:color w:val="auto"/>
        </w:rPr>
      </w:pPr>
      <w:r>
        <w:rPr>
          <w:rFonts w:ascii="Arial" w:cs="Arial" w:eastAsia="Arial" w:hAnsi="Arial"/>
          <w:sz w:val="17"/>
          <w:szCs w:val="17"/>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and Voting</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many shares must be present or represented to conduct business at the Annual Meeting?</w:t>
      </w:r>
    </w:p>
    <w:p>
      <w:pPr>
        <w:spacing w:after="0" w:line="121" w:lineRule="exact"/>
        <w:rPr>
          <w:sz w:val="20"/>
          <w:szCs w:val="20"/>
          <w:color w:val="auto"/>
        </w:rPr>
      </w:pPr>
    </w:p>
    <w:p>
      <w:pPr>
        <w:ind w:left="640" w:right="379" w:hanging="348"/>
        <w:spacing w:after="0" w:line="25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439"/>
        <w:spacing w:after="0" w:line="277" w:lineRule="auto"/>
        <w:rPr>
          <w:sz w:val="20"/>
          <w:szCs w:val="20"/>
          <w:color w:val="auto"/>
        </w:rPr>
      </w:pPr>
      <w:r>
        <w:rPr>
          <w:rFonts w:ascii="Arial" w:cs="Arial" w:eastAsia="Arial" w:hAnsi="Arial"/>
          <w:sz w:val="18"/>
          <w:szCs w:val="18"/>
          <w:color w:val="auto"/>
        </w:rPr>
        <w:t>A proxy submitted by a stockholder may indicate that the shares represented by the proxy are not being voted, referred to as stockholder withholding with respect to a particular matter.</w:t>
      </w:r>
    </w:p>
    <w:p>
      <w:pPr>
        <w:spacing w:after="0" w:line="62" w:lineRule="exact"/>
        <w:rPr>
          <w:sz w:val="20"/>
          <w:szCs w:val="20"/>
          <w:color w:val="auto"/>
        </w:rPr>
      </w:pPr>
    </w:p>
    <w:p>
      <w:pPr>
        <w:ind w:left="660" w:right="799"/>
        <w:spacing w:after="0" w:line="342" w:lineRule="auto"/>
        <w:rPr>
          <w:sz w:val="20"/>
          <w:szCs w:val="20"/>
          <w:color w:val="auto"/>
        </w:rPr>
      </w:pPr>
      <w:r>
        <w:rPr>
          <w:rFonts w:ascii="Arial" w:cs="Arial" w:eastAsia="Arial" w:hAnsi="Arial"/>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16" w:lineRule="exact"/>
        <w:rPr>
          <w:sz w:val="20"/>
          <w:szCs w:val="20"/>
          <w:color w:val="auto"/>
        </w:rPr>
      </w:pPr>
    </w:p>
    <w:p>
      <w:pPr>
        <w:jc w:val="both"/>
        <w:ind w:left="660" w:right="499"/>
        <w:spacing w:after="0" w:line="263" w:lineRule="auto"/>
        <w:rPr>
          <w:sz w:val="20"/>
          <w:szCs w:val="20"/>
          <w:color w:val="auto"/>
        </w:rPr>
      </w:pPr>
      <w:r>
        <w:rPr>
          <w:rFonts w:ascii="Arial" w:cs="Arial" w:eastAsia="Arial" w:hAnsi="Arial"/>
          <w:sz w:val="18"/>
          <w:szCs w:val="18"/>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entitled to vote at the Annual Meeting?</w:t>
      </w:r>
    </w:p>
    <w:p>
      <w:pPr>
        <w:spacing w:after="0" w:line="121" w:lineRule="exact"/>
        <w:rPr>
          <w:sz w:val="20"/>
          <w:szCs w:val="20"/>
          <w:color w:val="auto"/>
        </w:rPr>
      </w:pPr>
    </w:p>
    <w:p>
      <w:pPr>
        <w:ind w:left="640" w:right="519" w:hanging="348"/>
        <w:spacing w:after="0" w:line="296"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Holders of record of our common stock at the close of business on the Record Date are entitled to receive notice of and to vote their shares at the Annual Meeting. As of the Record Date, we had 37,075,422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49"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in person at the Annual Meeting?</w:t>
      </w:r>
    </w:p>
    <w:p>
      <w:pPr>
        <w:spacing w:after="0" w:line="121" w:lineRule="exact"/>
        <w:rPr>
          <w:sz w:val="20"/>
          <w:szCs w:val="20"/>
          <w:color w:val="auto"/>
        </w:rPr>
      </w:pPr>
    </w:p>
    <w:p>
      <w:pPr>
        <w:ind w:left="640" w:right="339" w:hanging="348"/>
        <w:spacing w:after="0" w:line="273"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Shares held in your name as the stockholder of record may be voted in person at the Annual Meeting. Shares held beneficially in street name may be voted in person at the Annual Meeting only if you obtain a legal proxy from the broker, trustee or other nominee that holds your shares giving you the right to vote the shares. </w:t>
      </w:r>
      <w:r>
        <w:rPr>
          <w:rFonts w:ascii="Arial" w:cs="Arial" w:eastAsia="Arial" w:hAnsi="Arial"/>
          <w:sz w:val="17"/>
          <w:szCs w:val="17"/>
          <w:b w:val="1"/>
          <w:bCs w:val="1"/>
          <w:color w:val="auto"/>
        </w:rPr>
        <w:t>Even if</w:t>
      </w:r>
      <w:r>
        <w:rPr>
          <w:rFonts w:ascii="Arial" w:cs="Arial" w:eastAsia="Arial" w:hAnsi="Arial"/>
          <w:sz w:val="17"/>
          <w:szCs w:val="17"/>
          <w:color w:val="auto"/>
        </w:rPr>
        <w:t xml:space="preserve"> </w:t>
      </w:r>
      <w:r>
        <w:rPr>
          <w:rFonts w:ascii="Arial" w:cs="Arial" w:eastAsia="Arial" w:hAnsi="Arial"/>
          <w:sz w:val="17"/>
          <w:szCs w:val="17"/>
          <w:b w:val="1"/>
          <w:bCs w:val="1"/>
          <w:color w:val="auto"/>
        </w:rPr>
        <w:t>you 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without attending the Annual Meeting?</w:t>
      </w:r>
    </w:p>
    <w:p>
      <w:pPr>
        <w:spacing w:after="0" w:line="121" w:lineRule="exact"/>
        <w:rPr>
          <w:sz w:val="20"/>
          <w:szCs w:val="20"/>
          <w:color w:val="auto"/>
        </w:rPr>
      </w:pPr>
    </w:p>
    <w:p>
      <w:pPr>
        <w:ind w:left="640" w:right="579" w:hanging="348"/>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—If you are a stockholder of record, there are three ways to vote without attending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w:t>
      </w:r>
    </w:p>
    <w:p>
      <w:pPr>
        <w:spacing w:after="0" w:line="62" w:lineRule="exact"/>
        <w:rPr>
          <w:rFonts w:ascii="Arial" w:cs="Arial" w:eastAsia="Arial" w:hAnsi="Arial"/>
          <w:sz w:val="18"/>
          <w:szCs w:val="18"/>
          <w:color w:val="auto"/>
        </w:rPr>
      </w:pPr>
    </w:p>
    <w:p>
      <w:pPr>
        <w:ind w:left="1000" w:right="879" w:hanging="348"/>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Via the Internet</w:t>
      </w:r>
      <w:r>
        <w:rPr>
          <w:rFonts w:ascii="Arial" w:cs="Arial" w:eastAsia="Arial" w:hAnsi="Arial"/>
          <w:sz w:val="18"/>
          <w:szCs w:val="18"/>
          <w:color w:val="auto"/>
        </w:rPr>
        <w:t>—You may vote by proxy via the Internet at www.proxyvote.com.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provided in the Notice or proxy card.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—You may vote by proxy by telephone by calling the toll-free number found on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proxy by filling out the proxy card you may have received and returning 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envelope provided.</w:t>
      </w:r>
    </w:p>
    <w:p>
      <w:pPr>
        <w:spacing w:after="0" w:line="62" w:lineRule="exact"/>
        <w:rPr>
          <w:sz w:val="20"/>
          <w:szCs w:val="20"/>
          <w:color w:val="auto"/>
        </w:rPr>
      </w:pPr>
    </w:p>
    <w:p>
      <w:pPr>
        <w:ind w:left="660" w:right="679"/>
        <w:spacing w:after="0" w:line="277"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4, 2020.</w:t>
      </w:r>
    </w:p>
    <w:p>
      <w:pPr>
        <w:spacing w:after="0" w:line="62" w:lineRule="exact"/>
        <w:rPr>
          <w:sz w:val="20"/>
          <w:szCs w:val="20"/>
          <w:color w:val="auto"/>
        </w:rPr>
      </w:pPr>
    </w:p>
    <w:p>
      <w:pPr>
        <w:ind w:left="660" w:right="439"/>
        <w:spacing w:after="0" w:line="342"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holding shares through a bank, broker or other nominee,</w:t>
      </w:r>
      <w:r>
        <w:rPr>
          <w:rFonts w:ascii="Arial" w:cs="Arial" w:eastAsia="Arial" w:hAnsi="Arial"/>
          <w:sz w:val="16"/>
          <w:szCs w:val="16"/>
          <w:i w:val="1"/>
          <w:iCs w:val="1"/>
          <w:color w:val="auto"/>
        </w:rPr>
        <w:t xml:space="preserve"> </w:t>
      </w:r>
      <w:r>
        <w:rPr>
          <w:rFonts w:ascii="Arial" w:cs="Arial" w:eastAsia="Arial" w:hAnsi="Arial"/>
          <w:sz w:val="16"/>
          <w:szCs w:val="16"/>
          <w:color w:val="auto"/>
        </w:rPr>
        <w:t>please refer to information forwarded by your bank or broker to see which voting options are available to you.</w:t>
      </w:r>
    </w:p>
    <w:p>
      <w:pPr>
        <w:spacing w:after="0" w:line="1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vote my shares by completing and returning the Notice?</w:t>
      </w:r>
    </w:p>
    <w:p>
      <w:pPr>
        <w:spacing w:after="0" w:line="121" w:lineRule="exact"/>
        <w:rPr>
          <w:sz w:val="20"/>
          <w:szCs w:val="20"/>
          <w:color w:val="auto"/>
        </w:rPr>
      </w:pPr>
    </w:p>
    <w:p>
      <w:pPr>
        <w:ind w:left="640" w:right="379" w:hanging="348"/>
        <w:spacing w:after="0" w:line="263"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The Notice will, however, provide instructions on how to vote by telephone, by internet, by requesting and returning a paper proxy card or voting instruction card, or by submitting a ballot in person at the Annual Meeting.</w:t>
      </w:r>
    </w:p>
    <w:p>
      <w:pPr>
        <w:spacing w:after="0" w:line="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proposals will be voted on at the Annual Meeting?</w:t>
      </w:r>
    </w:p>
    <w:p>
      <w:pPr>
        <w:spacing w:after="0" w:line="121"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Annual Meeting, stockholders will be asked to vote:</w:t>
      </w:r>
    </w:p>
    <w:p>
      <w:pPr>
        <w:spacing w:after="0" w:line="117" w:lineRule="exact"/>
        <w:rPr>
          <w:rFonts w:ascii="Arial" w:cs="Arial" w:eastAsia="Arial" w:hAnsi="Arial"/>
          <w:sz w:val="18"/>
          <w:szCs w:val="18"/>
          <w:color w:val="auto"/>
        </w:rPr>
      </w:pPr>
    </w:p>
    <w:p>
      <w:pPr>
        <w:ind w:left="1000" w:right="819" w:hanging="348"/>
        <w:spacing w:after="0" w:line="308" w:lineRule="auto"/>
        <w:tabs>
          <w:tab w:leader="none" w:pos="10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To elect one director identified in this proxy statement to serve as a Class II director until the annual meeting held in 2023 and until his or her successor is duly elected and qualified;</w:t>
      </w:r>
    </w:p>
    <w:p>
      <w:pPr>
        <w:spacing w:after="0" w:line="38" w:lineRule="exact"/>
        <w:rPr>
          <w:rFonts w:ascii="Arial" w:cs="Arial" w:eastAsia="Arial" w:hAnsi="Arial"/>
          <w:sz w:val="17"/>
          <w:szCs w:val="17"/>
          <w:color w:val="auto"/>
        </w:rPr>
      </w:pPr>
    </w:p>
    <w:p>
      <w:pPr>
        <w:ind w:left="1000" w:right="399" w:hanging="348"/>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year ending December 31, 2020; and</w:t>
      </w:r>
    </w:p>
    <w:p>
      <w:pPr>
        <w:spacing w:after="0" w:line="62" w:lineRule="exact"/>
        <w:rPr>
          <w:rFonts w:ascii="Arial" w:cs="Arial" w:eastAsia="Arial" w:hAnsi="Arial"/>
          <w:sz w:val="18"/>
          <w:szCs w:val="18"/>
          <w:color w:val="auto"/>
        </w:rPr>
      </w:pPr>
    </w:p>
    <w:p>
      <w:pPr>
        <w:ind w:left="1000" w:right="699" w:hanging="348"/>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voting requirement to approve each of the proposals?</w:t>
      </w:r>
    </w:p>
    <w:p>
      <w:pPr>
        <w:spacing w:after="0" w:line="121" w:lineRule="exact"/>
        <w:rPr>
          <w:sz w:val="20"/>
          <w:szCs w:val="20"/>
          <w:color w:val="auto"/>
        </w:rPr>
      </w:pPr>
    </w:p>
    <w:p>
      <w:pPr>
        <w:ind w:left="640" w:right="479" w:hanging="348"/>
        <w:spacing w:after="0" w:line="25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Proposal One</w:t>
      </w:r>
      <w:r>
        <w:rPr>
          <w:rFonts w:ascii="Arial" w:cs="Arial" w:eastAsia="Arial" w:hAnsi="Arial"/>
          <w:sz w:val="18"/>
          <w:szCs w:val="18"/>
          <w:color w:val="auto"/>
        </w:rPr>
        <w:t>—The election of a director requires a plurality vote of the shares of common stock voted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“Plurality” means that the individual 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80" w:lineRule="exact"/>
        <w:rPr>
          <w:sz w:val="20"/>
          <w:szCs w:val="20"/>
          <w:color w:val="auto"/>
        </w:rPr>
      </w:pPr>
    </w:p>
    <w:p>
      <w:pPr>
        <w:ind w:left="660" w:right="359"/>
        <w:spacing w:after="0" w:line="286" w:lineRule="auto"/>
        <w:rPr>
          <w:sz w:val="20"/>
          <w:szCs w:val="20"/>
          <w:color w:val="auto"/>
        </w:rPr>
      </w:pPr>
      <w:r>
        <w:rPr>
          <w:rFonts w:ascii="Arial" w:cs="Arial" w:eastAsia="Arial" w:hAnsi="Arial"/>
          <w:sz w:val="17"/>
          <w:szCs w:val="17"/>
          <w:i w:val="1"/>
          <w:iCs w:val="1"/>
          <w:color w:val="auto"/>
        </w:rPr>
        <w:t>Proposal Two</w:t>
      </w:r>
      <w:r>
        <w:rPr>
          <w:rFonts w:ascii="Arial" w:cs="Arial" w:eastAsia="Arial" w:hAnsi="Arial"/>
          <w:sz w:val="17"/>
          <w:szCs w:val="17"/>
          <w:color w:val="auto"/>
        </w:rPr>
        <w:t>—The affirmative vote of a majority of votes cast is required to ratify the appointment of Ernst &amp;</w:t>
      </w:r>
      <w:r>
        <w:rPr>
          <w:rFonts w:ascii="Arial" w:cs="Arial" w:eastAsia="Arial" w:hAnsi="Arial"/>
          <w:sz w:val="17"/>
          <w:szCs w:val="17"/>
          <w:i w:val="1"/>
          <w:iCs w:val="1"/>
          <w:color w:val="auto"/>
        </w:rPr>
        <w:t xml:space="preserve"> </w:t>
      </w:r>
      <w:r>
        <w:rPr>
          <w:rFonts w:ascii="Arial" w:cs="Arial" w:eastAsia="Arial" w:hAnsi="Arial"/>
          <w:sz w:val="17"/>
          <w:szCs w:val="17"/>
          <w:color w:val="auto"/>
        </w:rPr>
        <w:t>Young LLP as our independent registered public accounting firm. Abstentions will have the effect of a vote against this proposal and broker non-votes will have no effect on the outcome of this proposal.</w:t>
      </w:r>
    </w:p>
    <w:p>
      <w:pPr>
        <w:spacing w:after="0" w:line="5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board of directors recommend that I vote?</w:t>
      </w:r>
    </w:p>
    <w:p>
      <w:pPr>
        <w:spacing w:after="0" w:line="121" w:lineRule="exact"/>
        <w:rPr>
          <w:sz w:val="20"/>
          <w:szCs w:val="20"/>
          <w:color w:val="auto"/>
        </w:rPr>
      </w:pPr>
    </w:p>
    <w:p>
      <w:pPr>
        <w:ind w:left="640" w:hanging="34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unanimously recommends that you vote your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the nominee for election as director listed in Proposal One; and</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year ending December 31, 2020.</w:t>
      </w:r>
    </w:p>
    <w:p>
      <w:pPr>
        <w:spacing w:after="0" w:line="5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I do not give specific voting instructions?</w:t>
      </w:r>
    </w:p>
    <w:p>
      <w:pPr>
        <w:spacing w:after="0" w:line="121" w:lineRule="exact"/>
        <w:rPr>
          <w:sz w:val="20"/>
          <w:szCs w:val="20"/>
          <w:color w:val="auto"/>
        </w:rPr>
      </w:pPr>
    </w:p>
    <w:p>
      <w:pPr>
        <w:ind w:left="640" w:hanging="34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—If you are a stockholder of record and you:</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our board of directors;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117" w:lineRule="exact"/>
        <w:rPr>
          <w:sz w:val="20"/>
          <w:szCs w:val="20"/>
          <w:color w:val="auto"/>
        </w:rPr>
      </w:pPr>
    </w:p>
    <w:p>
      <w:pPr>
        <w:ind w:left="660" w:right="659"/>
        <w:spacing w:after="0" w:line="311" w:lineRule="auto"/>
        <w:rPr>
          <w:sz w:val="20"/>
          <w:szCs w:val="20"/>
          <w:color w:val="auto"/>
        </w:rPr>
      </w:pPr>
      <w:r>
        <w:rPr>
          <w:rFonts w:ascii="Arial" w:cs="Arial" w:eastAsia="Arial" w:hAnsi="Arial"/>
          <w:sz w:val="16"/>
          <w:szCs w:val="16"/>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41" w:lineRule="exact"/>
        <w:rPr>
          <w:sz w:val="20"/>
          <w:szCs w:val="20"/>
          <w:color w:val="auto"/>
        </w:rPr>
      </w:pPr>
    </w:p>
    <w:p>
      <w:pPr>
        <w:ind w:left="660" w:right="359"/>
        <w:spacing w:after="0" w:line="293" w:lineRule="auto"/>
        <w:rPr>
          <w:sz w:val="20"/>
          <w:szCs w:val="20"/>
          <w:color w:val="auto"/>
        </w:rPr>
      </w:pPr>
      <w:r>
        <w:rPr>
          <w:rFonts w:ascii="Arial" w:cs="Arial" w:eastAsia="Arial" w:hAnsi="Arial"/>
          <w:sz w:val="16"/>
          <w:szCs w:val="16"/>
          <w:i w:val="1"/>
          <w:iCs w:val="1"/>
          <w:color w:val="auto"/>
        </w:rPr>
        <w:t>Beneficial owners</w:t>
      </w:r>
      <w:r>
        <w:rPr>
          <w:rFonts w:ascii="Arial" w:cs="Arial" w:eastAsia="Arial" w:hAnsi="Arial"/>
          <w:sz w:val="16"/>
          <w:szCs w:val="16"/>
          <w:color w:val="auto"/>
        </w:rPr>
        <w:t>—If you are a beneficial owner of shares held in street name and do not provide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that holds your shares with specific voting 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5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my brokerage firm or other intermediary vote my shares if I fail to provide timely directions?</w:t>
      </w:r>
    </w:p>
    <w:p>
      <w:pPr>
        <w:spacing w:after="0" w:line="121" w:lineRule="exact"/>
        <w:rPr>
          <w:sz w:val="20"/>
          <w:szCs w:val="20"/>
          <w:color w:val="auto"/>
        </w:rPr>
      </w:pPr>
    </w:p>
    <w:p>
      <w:pPr>
        <w:ind w:left="640" w:right="579" w:hanging="348"/>
        <w:spacing w:after="0" w:line="25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w:t>
      </w:r>
    </w:p>
    <w:p>
      <w:pPr>
        <w:spacing w:after="0" w:line="76" w:lineRule="exact"/>
        <w:rPr>
          <w:sz w:val="20"/>
          <w:szCs w:val="20"/>
          <w:color w:val="auto"/>
        </w:rPr>
      </w:pPr>
    </w:p>
    <w:p>
      <w:pPr>
        <w:ind w:left="660" w:right="739"/>
        <w:spacing w:after="0" w:line="266" w:lineRule="auto"/>
        <w:rPr>
          <w:sz w:val="20"/>
          <w:szCs w:val="20"/>
          <w:color w:val="auto"/>
        </w:rPr>
      </w:pPr>
      <w:r>
        <w:rPr>
          <w:rFonts w:ascii="Arial" w:cs="Arial" w:eastAsia="Arial" w:hAnsi="Arial"/>
          <w:sz w:val="18"/>
          <w:szCs w:val="18"/>
          <w:b w:val="1"/>
          <w:bCs w:val="1"/>
          <w:color w:val="auto"/>
        </w:rPr>
        <w:t>Please note that brokers may not vote your shares on the election of directors in the absence of your specific instructions as to how to vote, so we encourage you to provide instructions to your broker regarding the voting of your shares.</w:t>
      </w:r>
    </w:p>
    <w:p>
      <w:pPr>
        <w:spacing w:after="0" w:line="6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additional matters are presented at the Annual Meeting?</w:t>
      </w:r>
    </w:p>
    <w:p>
      <w:pPr>
        <w:spacing w:after="0" w:line="121" w:lineRule="exact"/>
        <w:rPr>
          <w:sz w:val="20"/>
          <w:szCs w:val="20"/>
          <w:color w:val="auto"/>
        </w:rPr>
      </w:pPr>
    </w:p>
    <w:p>
      <w:pPr>
        <w:ind w:left="640" w:right="559" w:hanging="348"/>
        <w:spacing w:after="0" w:line="296"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or revoke my vote after submitting my proxy?</w:t>
      </w:r>
    </w:p>
    <w:p>
      <w:pPr>
        <w:spacing w:after="0" w:line="121" w:lineRule="exact"/>
        <w:rPr>
          <w:sz w:val="20"/>
          <w:szCs w:val="20"/>
          <w:color w:val="auto"/>
        </w:rPr>
      </w:pPr>
    </w:p>
    <w:p>
      <w:pPr>
        <w:ind w:left="640" w:right="579" w:hanging="348"/>
        <w:spacing w:after="0" w:line="308"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any rules your broker, trustee or nominee may have, you may change or revoke your proxy in any one of the ways listed below at any time before your proxy is voted at the Annual Meeting.</w:t>
      </w:r>
    </w:p>
    <w:p>
      <w:pPr>
        <w:spacing w:after="0" w:line="38" w:lineRule="exact"/>
        <w:rPr>
          <w:rFonts w:ascii="Arial" w:cs="Arial" w:eastAsia="Arial" w:hAnsi="Arial"/>
          <w:sz w:val="17"/>
          <w:szCs w:val="17"/>
          <w:color w:val="auto"/>
        </w:rPr>
      </w:pPr>
    </w:p>
    <w:p>
      <w:pPr>
        <w:ind w:left="660" w:right="319"/>
        <w:spacing w:after="0" w:line="273" w:lineRule="auto"/>
        <w:rPr>
          <w:rFonts w:ascii="Arial" w:cs="Arial" w:eastAsia="Arial" w:hAnsi="Arial"/>
          <w:sz w:val="17"/>
          <w:szCs w:val="17"/>
          <w:color w:val="auto"/>
        </w:rPr>
      </w:pPr>
      <w:r>
        <w:rPr>
          <w:rFonts w:ascii="Arial" w:cs="Arial" w:eastAsia="Arial" w:hAnsi="Arial"/>
          <w:sz w:val="17"/>
          <w:szCs w:val="17"/>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on the Internet or by telephone may also change his or her vote by later making a timely and valid Internet or telephone vote.</w:t>
      </w:r>
    </w:p>
    <w:p>
      <w:pPr>
        <w:spacing w:after="0" w:line="69" w:lineRule="exact"/>
        <w:rPr>
          <w:rFonts w:ascii="Arial" w:cs="Arial" w:eastAsia="Arial" w:hAnsi="Arial"/>
          <w:sz w:val="17"/>
          <w:szCs w:val="17"/>
          <w:color w:val="auto"/>
        </w:rPr>
      </w:pPr>
    </w:p>
    <w:p>
      <w:pPr>
        <w:ind w:left="660" w:right="419"/>
        <w:spacing w:after="0" w:line="273" w:lineRule="auto"/>
        <w:rPr>
          <w:rFonts w:ascii="Arial" w:cs="Arial" w:eastAsia="Arial" w:hAnsi="Arial"/>
          <w:sz w:val="17"/>
          <w:szCs w:val="17"/>
          <w:color w:val="auto"/>
        </w:rPr>
      </w:pPr>
      <w:r>
        <w:rPr>
          <w:rFonts w:ascii="Arial" w:cs="Arial" w:eastAsia="Arial" w:hAnsi="Arial"/>
          <w:sz w:val="17"/>
          <w:szCs w:val="17"/>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69" w:lineRule="exact"/>
        <w:rPr>
          <w:rFonts w:ascii="Arial" w:cs="Arial" w:eastAsia="Arial" w:hAnsi="Arial"/>
          <w:sz w:val="17"/>
          <w:szCs w:val="17"/>
          <w:color w:val="auto"/>
        </w:rPr>
      </w:pPr>
    </w:p>
    <w:p>
      <w:pPr>
        <w:ind w:left="660" w:right="299"/>
        <w:spacing w:after="0" w:line="259" w:lineRule="auto"/>
        <w:rPr>
          <w:rFonts w:ascii="Arial" w:cs="Arial" w:eastAsia="Arial" w:hAnsi="Arial"/>
          <w:sz w:val="17"/>
          <w:szCs w:val="17"/>
          <w:color w:val="auto"/>
        </w:rPr>
      </w:pPr>
      <w:r>
        <w:rPr>
          <w:rFonts w:ascii="Arial" w:cs="Arial" w:eastAsia="Arial" w:hAnsi="Arial"/>
          <w:sz w:val="18"/>
          <w:szCs w:val="18"/>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75"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bear the cost of soliciting votes for the Annual Meeting?</w:t>
      </w:r>
    </w:p>
    <w:p>
      <w:pPr>
        <w:spacing w:after="0" w:line="121" w:lineRule="exact"/>
        <w:rPr>
          <w:sz w:val="20"/>
          <w:szCs w:val="20"/>
          <w:color w:val="auto"/>
        </w:rPr>
      </w:pPr>
    </w:p>
    <w:p>
      <w:pPr>
        <w:ind w:left="640" w:right="359" w:hanging="348"/>
        <w:spacing w:after="0" w:line="269"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7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Is my vote confidential?</w:t>
      </w:r>
    </w:p>
    <w:p>
      <w:pPr>
        <w:spacing w:after="0" w:line="121" w:lineRule="exact"/>
        <w:rPr>
          <w:sz w:val="20"/>
          <w:szCs w:val="20"/>
          <w:color w:val="auto"/>
        </w:rPr>
      </w:pPr>
    </w:p>
    <w:p>
      <w:pPr>
        <w:ind w:left="640" w:right="379" w:hanging="348"/>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75"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Annual Meeting?</w:t>
      </w:r>
    </w:p>
    <w:p>
      <w:pPr>
        <w:spacing w:after="0" w:line="121" w:lineRule="exact"/>
        <w:rPr>
          <w:sz w:val="20"/>
          <w:szCs w:val="20"/>
          <w:color w:val="auto"/>
        </w:rPr>
      </w:pPr>
    </w:p>
    <w:p>
      <w:pPr>
        <w:ind w:left="640" w:right="759" w:hanging="348"/>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Annual Meeting and will publish final results in a Current Report on Form 8-K within four business days after the Annual Meeting.</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17" w:lineRule="exact"/>
        <w:rPr>
          <w:sz w:val="20"/>
          <w:szCs w:val="20"/>
          <w:color w:val="auto"/>
        </w:rPr>
      </w:pPr>
    </w:p>
    <w:p>
      <w:pPr>
        <w:ind w:left="640" w:right="499" w:hanging="348"/>
        <w:spacing w:after="0" w:line="282" w:lineRule="auto"/>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8" w:lineRule="exact"/>
        <w:rPr>
          <w:sz w:val="20"/>
          <w:szCs w:val="20"/>
          <w:color w:val="auto"/>
        </w:rPr>
      </w:pPr>
    </w:p>
    <w:p>
      <w:pPr>
        <w:ind w:left="640" w:hanging="348"/>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may submit proposals, including director nominations, for consideration at future stockholder meetings.</w:t>
      </w:r>
    </w:p>
    <w:p>
      <w:pPr>
        <w:spacing w:after="0" w:line="128" w:lineRule="exact"/>
        <w:rPr>
          <w:rFonts w:ascii="Arial" w:cs="Arial" w:eastAsia="Arial" w:hAnsi="Arial"/>
          <w:sz w:val="17"/>
          <w:szCs w:val="17"/>
          <w:color w:val="auto"/>
        </w:rPr>
      </w:pPr>
    </w:p>
    <w:p>
      <w:pPr>
        <w:ind w:left="660" w:right="339"/>
        <w:spacing w:after="0" w:line="254" w:lineRule="auto"/>
        <w:rPr>
          <w:rFonts w:ascii="Arial" w:cs="Arial" w:eastAsia="Arial" w:hAnsi="Arial"/>
          <w:sz w:val="17"/>
          <w:szCs w:val="17"/>
          <w:color w:val="auto"/>
        </w:rPr>
      </w:pPr>
      <w:r>
        <w:rPr>
          <w:rFonts w:ascii="Arial" w:cs="Arial" w:eastAsia="Arial" w:hAnsi="Arial"/>
          <w:sz w:val="18"/>
          <w:szCs w:val="18"/>
          <w:i w:val="1"/>
          <w:iCs w:val="1"/>
          <w:color w:val="auto"/>
        </w:rPr>
        <w:t>Requirements for stockholder proposals to be considered for inclusion in our proxy materials</w:t>
      </w:r>
      <w:r>
        <w:rPr>
          <w:rFonts w:ascii="Arial" w:cs="Arial" w:eastAsia="Arial" w:hAnsi="Arial"/>
          <w:sz w:val="18"/>
          <w:szCs w:val="18"/>
          <w:color w:val="auto"/>
        </w:rPr>
        <w:t>—Stockholders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present proper proposals for inclusion in our proxy statement and for consideration at our next annual meeting of stockholders by submitting their proposals in writing to our Corporate Secretary in a timely manner. In order to be included in the proxy statement for the 2021 annual meeting of stockholders, stockholder proposals must be received by our Corporate Secretary no later than December 22, 2020 and must otherwise comply with the requirements of Rule 14a-8 of the Securities Exchange Act of 1934, as amended, or the Exchange Act.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39"/>
        <w:spacing w:after="0" w:line="290" w:lineRule="auto"/>
        <w:rPr>
          <w:sz w:val="20"/>
          <w:szCs w:val="20"/>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an advance notice 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bylaws also provide that the only business that may be conducted at an annual meeting is business that is</w:t>
      </w:r>
    </w:p>
    <w:p>
      <w:pPr>
        <w:spacing w:after="0" w:line="46" w:lineRule="exact"/>
        <w:rPr>
          <w:sz w:val="20"/>
          <w:szCs w:val="20"/>
          <w:color w:val="auto"/>
        </w:rPr>
      </w:pPr>
    </w:p>
    <w:p>
      <w:pPr>
        <w:ind w:left="660" w:right="439" w:hanging="8"/>
        <w:spacing w:after="0" w:line="273" w:lineRule="auto"/>
        <w:tabs>
          <w:tab w:leader="none" w:pos="9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68" w:lineRule="exact"/>
        <w:rPr>
          <w:sz w:val="20"/>
          <w:szCs w:val="20"/>
          <w:color w:val="auto"/>
        </w:rPr>
      </w:pPr>
    </w:p>
    <w:p>
      <w:pPr>
        <w:ind w:left="660" w:right="559"/>
        <w:spacing w:after="0" w:line="259" w:lineRule="auto"/>
        <w:rPr>
          <w:sz w:val="20"/>
          <w:szCs w:val="20"/>
          <w:color w:val="auto"/>
        </w:rPr>
      </w:pPr>
      <w:r>
        <w:rPr>
          <w:rFonts w:ascii="Arial" w:cs="Arial" w:eastAsia="Arial" w:hAnsi="Arial"/>
          <w:sz w:val="18"/>
          <w:szCs w:val="18"/>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2021 annual meeting of stockholders is between January 6, 2021 and February 5, 2021.</w:t>
      </w:r>
    </w:p>
    <w:p>
      <w:pPr>
        <w:spacing w:after="0" w:line="79" w:lineRule="exact"/>
        <w:rPr>
          <w:sz w:val="20"/>
          <w:szCs w:val="20"/>
          <w:color w:val="auto"/>
        </w:rPr>
      </w:pPr>
    </w:p>
    <w:p>
      <w:pPr>
        <w:ind w:left="660" w:right="459"/>
        <w:spacing w:after="0" w:line="263"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76" w:lineRule="exact"/>
        <w:rPr>
          <w:sz w:val="20"/>
          <w:szCs w:val="20"/>
          <w:color w:val="auto"/>
        </w:rPr>
      </w:pPr>
    </w:p>
    <w:p>
      <w:pPr>
        <w:ind w:left="660" w:right="659"/>
        <w:spacing w:after="0" w:line="311" w:lineRule="auto"/>
        <w:rPr>
          <w:sz w:val="20"/>
          <w:szCs w:val="20"/>
          <w:color w:val="auto"/>
        </w:rPr>
      </w:pPr>
      <w:r>
        <w:rPr>
          <w:rFonts w:ascii="Arial" w:cs="Arial" w:eastAsia="Arial" w:hAnsi="Arial"/>
          <w:sz w:val="16"/>
          <w:szCs w:val="16"/>
          <w:i w:val="1"/>
          <w:iCs w:val="1"/>
          <w:color w:val="auto"/>
        </w:rPr>
        <w:t>Recommendation of director candidates</w:t>
      </w:r>
      <w:r>
        <w:rPr>
          <w:rFonts w:ascii="Arial" w:cs="Arial" w:eastAsia="Arial" w:hAnsi="Arial"/>
          <w:sz w:val="16"/>
          <w:szCs w:val="16"/>
          <w:color w:val="auto"/>
        </w:rPr>
        <w:t>—You may recommend candidates to our board of directors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by our nominating and governance committee by following the procedures set forth below in “Corporation Governance—Stockholder Recommendations for Nominations to the Board of Directors.”</w:t>
      </w:r>
    </w:p>
    <w:p>
      <w:pPr>
        <w:spacing w:after="0" w:line="37" w:lineRule="exact"/>
        <w:rPr>
          <w:sz w:val="20"/>
          <w:szCs w:val="20"/>
          <w:color w:val="auto"/>
        </w:rPr>
      </w:pPr>
    </w:p>
    <w:p>
      <w:pPr>
        <w:ind w:left="640" w:right="1119" w:hanging="348"/>
        <w:spacing w:after="0" w:line="282" w:lineRule="auto"/>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 copy of the bylaw provisions regarding stockholder proposals and director nominations?</w:t>
      </w:r>
    </w:p>
    <w:p>
      <w:pPr>
        <w:spacing w:after="0" w:line="58" w:lineRule="exact"/>
        <w:rPr>
          <w:sz w:val="20"/>
          <w:szCs w:val="20"/>
          <w:color w:val="auto"/>
        </w:rPr>
      </w:pPr>
    </w:p>
    <w:p>
      <w:pPr>
        <w:ind w:left="640" w:right="339" w:hanging="348"/>
        <w:spacing w:after="0" w:line="273"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3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Information about the Proxy Materials</w:t>
      </w:r>
    </w:p>
    <w:p>
      <w:pPr>
        <w:spacing w:after="0" w:line="117" w:lineRule="exact"/>
        <w:rPr>
          <w:sz w:val="20"/>
          <w:szCs w:val="20"/>
          <w:color w:val="auto"/>
        </w:rPr>
      </w:pPr>
    </w:p>
    <w:p>
      <w:pPr>
        <w:ind w:left="640" w:right="499" w:hanging="348"/>
        <w:spacing w:after="0" w:line="282" w:lineRule="auto"/>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multiple members of my household are stockholders but we only received one full set of proxy materials in the mail?</w:t>
      </w:r>
    </w:p>
    <w:p>
      <w:pPr>
        <w:spacing w:after="0" w:line="58" w:lineRule="exact"/>
        <w:rPr>
          <w:sz w:val="20"/>
          <w:szCs w:val="20"/>
          <w:color w:val="auto"/>
        </w:rPr>
      </w:pPr>
    </w:p>
    <w:p>
      <w:pPr>
        <w:ind w:left="640" w:right="379" w:hanging="348"/>
        <w:spacing w:after="0" w:line="287"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mailing address for Axsome’s principal executive offices?</w:t>
      </w:r>
    </w:p>
    <w:p>
      <w:pPr>
        <w:spacing w:after="0" w:line="111" w:lineRule="exact"/>
        <w:rPr>
          <w:sz w:val="20"/>
          <w:szCs w:val="20"/>
          <w:color w:val="auto"/>
        </w:rPr>
      </w:pPr>
    </w:p>
    <w:p>
      <w:pPr>
        <w:ind w:left="640" w:right="799" w:hanging="348"/>
        <w:spacing w:after="0" w:line="202"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principal executive offices are located at 200 Broadway,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New York 10038. The telephone number at that location is (212) 332-3241.</w:t>
      </w:r>
    </w:p>
    <w:p>
      <w:pPr>
        <w:spacing w:after="0" w:line="94" w:lineRule="exact"/>
        <w:rPr>
          <w:rFonts w:ascii="Arial" w:cs="Arial" w:eastAsia="Arial" w:hAnsi="Arial"/>
          <w:sz w:val="18"/>
          <w:szCs w:val="18"/>
          <w:color w:val="auto"/>
        </w:rPr>
      </w:pPr>
    </w:p>
    <w:p>
      <w:pPr>
        <w:ind w:left="660" w:right="359"/>
        <w:spacing w:after="0" w:line="311" w:lineRule="auto"/>
        <w:rPr>
          <w:rFonts w:ascii="Arial" w:cs="Arial" w:eastAsia="Arial" w:hAnsi="Arial"/>
          <w:sz w:val="18"/>
          <w:szCs w:val="18"/>
          <w:color w:val="auto"/>
        </w:rPr>
      </w:pPr>
      <w:r>
        <w:rPr>
          <w:rFonts w:ascii="Arial" w:cs="Arial" w:eastAsia="Arial" w:hAnsi="Arial"/>
          <w:sz w:val="16"/>
          <w:szCs w:val="16"/>
          <w:color w:val="auto"/>
        </w:rPr>
        <w:t>Any written requests for additional information, copies of the proxy materials and 2019 Annual Report, notices of stockholder proposals, recommendations for candidates to our board of directors, communications to our board of directors or any other communications should be sent to the address above.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17" w:lineRule="exact"/>
        <w:rPr>
          <w:sz w:val="20"/>
          <w:szCs w:val="20"/>
          <w:color w:val="auto"/>
        </w:rPr>
      </w:pPr>
    </w:p>
    <w:p>
      <w:pPr>
        <w:ind w:left="300" w:right="399" w:firstLine="360"/>
        <w:spacing w:after="0" w:line="233" w:lineRule="auto"/>
        <w:rPr>
          <w:sz w:val="20"/>
          <w:szCs w:val="20"/>
          <w:color w:val="auto"/>
        </w:rPr>
      </w:pPr>
      <w:r>
        <w:rPr>
          <w:rFonts w:ascii="Arial" w:cs="Arial" w:eastAsia="Arial" w:hAnsi="Arial"/>
          <w:sz w:val="18"/>
          <w:szCs w:val="18"/>
          <w:b w:val="1"/>
          <w:bCs w:val="1"/>
          <w:color w:val="auto"/>
        </w:rPr>
        <w:t>This proxy statement is accompanied by our 2019 Annual Report to Stockholders, which includes our Annual Report on Form 10-K for the fiscal year ended December 31, 2019. The Form 10-K includes our audited financial statements. We have filed the Form 10-K with the SEC, and it is available free of charge at the SEC’s website at www.sec.gov and on our website at www.axsome.com. In addition, upon written request to the Company’s Corporate Secretary at 200 Broadway,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Floor, New York, New York 10038, we will mail a paper copy of our Form 10-K, including the financial statements and the financial statement schedules, to you free of charge.</w:t>
      </w:r>
    </w:p>
    <w:p>
      <w:pPr>
        <w:spacing w:after="0" w:line="198" w:lineRule="exact"/>
        <w:rPr>
          <w:sz w:val="20"/>
          <w:szCs w:val="20"/>
          <w:color w:val="auto"/>
        </w:rPr>
      </w:pPr>
    </w:p>
    <w:p>
      <w:pPr>
        <w:ind w:left="640" w:right="419" w:hanging="348"/>
        <w:spacing w:after="0" w:line="251" w:lineRule="auto"/>
        <w:tabs>
          <w:tab w:leader="none" w:pos="640" w:val="left"/>
        </w:tabs>
        <w:numPr>
          <w:ilvl w:val="0"/>
          <w:numId w:val="38"/>
        </w:numPr>
        <w:rPr>
          <w:rFonts w:ascii="Arial" w:cs="Arial" w:eastAsia="Arial" w:hAnsi="Arial"/>
          <w:sz w:val="13"/>
          <w:szCs w:val="13"/>
          <w:b w:val="1"/>
          <w:bCs w:val="1"/>
          <w:color w:val="auto"/>
        </w:rPr>
      </w:pPr>
      <w:r>
        <w:rPr>
          <w:rFonts w:ascii="Arial" w:cs="Arial" w:eastAsia="Arial" w:hAnsi="Arial"/>
          <w:sz w:val="13"/>
          <w:szCs w:val="13"/>
          <w:color w:val="auto"/>
        </w:rPr>
        <w:t>Due to the emerging public health impact of coronavirus (COVID-19), we are planning for the possibility that the date, time or location of the Annual Meeting may be changed, or that the Annual Meeting may be held solely by means of remote communication (or alternatively, that a virtual meeting open to all stockholders may be held in addition to the in-person meeting at the offices of DLA Piper LLP (US)). If this step is taken, we will announce the decision to do so in advance, and details on how to participate will be set forth in a press release issued by us and available on our website at www.axsome.com under the Investors tab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300" w:right="1340" w:firstLine="360"/>
        <w:spacing w:after="0" w:line="291" w:lineRule="auto"/>
        <w:rPr>
          <w:sz w:val="20"/>
          <w:szCs w:val="20"/>
          <w:color w:val="auto"/>
        </w:rPr>
      </w:pPr>
      <w:r>
        <w:rPr>
          <w:rFonts w:ascii="Arial" w:cs="Arial" w:eastAsia="Arial" w:hAnsi="Arial"/>
          <w:sz w:val="16"/>
          <w:szCs w:val="16"/>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The term of office of our Class II director Mark Saad, will expire at this year’s Annual Meeting. Your proxy cannot be voted for a greater number of persons than the number of nominees named in this proxy statement.</w:t>
      </w:r>
    </w:p>
    <w:p>
      <w:pPr>
        <w:spacing w:after="0" w:line="58" w:lineRule="exact"/>
        <w:rPr>
          <w:sz w:val="20"/>
          <w:szCs w:val="20"/>
          <w:color w:val="auto"/>
        </w:rPr>
      </w:pPr>
    </w:p>
    <w:p>
      <w:pPr>
        <w:ind w:left="1300" w:right="1300" w:firstLine="360"/>
        <w:spacing w:after="0" w:line="257" w:lineRule="auto"/>
        <w:rPr>
          <w:sz w:val="20"/>
          <w:szCs w:val="20"/>
          <w:color w:val="auto"/>
        </w:rPr>
      </w:pPr>
      <w:r>
        <w:rPr>
          <w:rFonts w:ascii="Arial" w:cs="Arial" w:eastAsia="Arial" w:hAnsi="Arial"/>
          <w:sz w:val="18"/>
          <w:szCs w:val="18"/>
          <w:color w:val="auto"/>
        </w:rPr>
        <w:t>On April 19, 2020, Myrtle Potter, one of our current directors, informed our board of directors of her decision not to stand for re-election as a director at the 2020 Annual Meeting. Ms. Potter will therefore no longer serve on the board of directors effective upon the expiration of her current term as a Class II director at the 2020 Annual Meeting. As a result, the Board will have a vacancy for a Class II director after the 2020 Annual Meeting. The Board will continue to search for a new director to fill such vacancy.</w:t>
      </w:r>
    </w:p>
    <w:p>
      <w:pPr>
        <w:spacing w:after="0" w:line="80" w:lineRule="exact"/>
        <w:rPr>
          <w:sz w:val="20"/>
          <w:szCs w:val="20"/>
          <w:color w:val="auto"/>
        </w:rPr>
      </w:pPr>
    </w:p>
    <w:p>
      <w:pPr>
        <w:ind w:left="1300" w:right="1480" w:firstLine="360"/>
        <w:spacing w:after="0" w:line="342" w:lineRule="auto"/>
        <w:rPr>
          <w:sz w:val="20"/>
          <w:szCs w:val="20"/>
          <w:color w:val="auto"/>
        </w:rPr>
      </w:pPr>
      <w:r>
        <w:rPr>
          <w:rFonts w:ascii="Arial" w:cs="Arial" w:eastAsia="Arial" w:hAnsi="Arial"/>
          <w:sz w:val="16"/>
          <w:szCs w:val="16"/>
          <w:color w:val="auto"/>
        </w:rPr>
        <w:t>Ms. Potter’s decision to not stand for re-election as a director was not due to any disagreement with us on any matter related to our operations, policies or practices. Ms. Potter has served on the board of directors since 2017.</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1300" w:right="1500" w:firstLine="360"/>
        <w:spacing w:after="0" w:line="301" w:lineRule="auto"/>
        <w:rPr>
          <w:sz w:val="20"/>
          <w:szCs w:val="20"/>
          <w:color w:val="auto"/>
        </w:rPr>
      </w:pPr>
      <w:r>
        <w:rPr>
          <w:rFonts w:ascii="Arial" w:cs="Arial" w:eastAsia="Arial" w:hAnsi="Arial"/>
          <w:sz w:val="16"/>
          <w:szCs w:val="16"/>
          <w:color w:val="auto"/>
        </w:rPr>
        <w:t>One Class II director has been nominated for election at the Annual Meeting for a three-year term expiring in 2023. Upon the recommendation of our nominating and governance committee, our board of directors has nominated Mark Saad for election as a Class II director. The term of office of the nominee elected as director will continue until such director’s term expires in 2023 and until his successor has been duly elected and qualified.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Information Regarding the Nominee and Other Directors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Nominee for Class II Director for a Term Expiring in 2023</w:t>
      </w:r>
    </w:p>
    <w:p>
      <w:pPr>
        <w:spacing w:after="0" w:line="117" w:lineRule="exact"/>
        <w:rPr>
          <w:sz w:val="20"/>
          <w:szCs w:val="20"/>
          <w:color w:val="auto"/>
        </w:rPr>
      </w:pPr>
    </w:p>
    <w:p>
      <w:pPr>
        <w:ind w:left="1300" w:right="1660" w:firstLine="360"/>
        <w:spacing w:after="0" w:line="275" w:lineRule="auto"/>
        <w:rPr>
          <w:sz w:val="20"/>
          <w:szCs w:val="20"/>
          <w:color w:val="auto"/>
        </w:rPr>
      </w:pPr>
      <w:r>
        <w:rPr>
          <w:rFonts w:ascii="Arial" w:cs="Arial" w:eastAsia="Arial" w:hAnsi="Arial"/>
          <w:sz w:val="17"/>
          <w:szCs w:val="17"/>
          <w:color w:val="auto"/>
        </w:rPr>
        <w:t>The following contains information about the nominee as of the Record Date,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6920" w:type="dxa"/>
            <w:vAlign w:val="bottom"/>
            <w:gridSpan w:val="2"/>
          </w:tcPr>
          <w:p>
            <w:pPr>
              <w:ind w:left="138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53"/>
        </w:trPr>
        <w:tc>
          <w:tcPr>
            <w:tcW w:w="13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Mark Saad</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2"/>
                <w:szCs w:val="22"/>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Mr. Saad has been a member of our board of directors since December 2014.</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Mr. Saad is currently a Partner and Chief Operating Officer of Alethea</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Capital Management, LLC, an asset management firm based in San Diego.</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Between August 2014 and February 2017, he served as the Chief Financial</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Officer of Bird Rock Bio, Inc., a clinical stage biopharmaceutical company</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focused on developing innovative immuno-inflammatory regulators.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Previously, he served as Chief Financial Officer of Cytori Therapeutics from</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2004 to 2014, where he was responsible for finance and accounting, business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development, and other operating functions. Prior to Cytori, he served as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Executive Director of UBS Investment Bank, where he was the Chief</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Officer of the Global Healthcare Group. Prior to UBS, he was part</w:t>
            </w:r>
          </w:p>
        </w:tc>
      </w:tr>
      <w:tr>
        <w:trPr>
          <w:trHeight w:val="230"/>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of the Health Care Investment Banking Group at Salomon Smith Barney.</w:t>
            </w:r>
          </w:p>
        </w:tc>
      </w:tr>
      <w:tr>
        <w:trPr>
          <w:trHeight w:val="580"/>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ind w:left="1360"/>
              <w:spacing w:after="0"/>
              <w:rPr>
                <w:sz w:val="20"/>
                <w:szCs w:val="20"/>
                <w:color w:val="auto"/>
              </w:rPr>
            </w:pPr>
            <w:r>
              <w:rPr>
                <w:rFonts w:ascii="Arial" w:cs="Arial" w:eastAsia="Arial" w:hAnsi="Arial"/>
                <w:sz w:val="18"/>
                <w:szCs w:val="18"/>
                <w:color w:val="auto"/>
              </w:rPr>
              <w:t>8</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00"/>
        <w:spacing w:after="0"/>
        <w:tabs>
          <w:tab w:leader="none" w:pos="2540" w:val="left"/>
          <w:tab w:leader="none" w:pos="44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100" w:right="299"/>
        <w:spacing w:after="0" w:line="255" w:lineRule="auto"/>
        <w:rPr>
          <w:sz w:val="20"/>
          <w:szCs w:val="20"/>
          <w:color w:val="auto"/>
        </w:rPr>
      </w:pPr>
      <w:r>
        <w:rPr>
          <w:rFonts w:ascii="Arial" w:cs="Arial" w:eastAsia="Arial" w:hAnsi="Arial"/>
          <w:sz w:val="18"/>
          <w:szCs w:val="18"/>
          <w:color w:val="auto"/>
        </w:rPr>
        <w:t>Mr. Saad currently serves on the Board of Directors of Ra Medical and Presidium Health, along with other private biotech companies. Mr. Saad holds a Bachelor of Arts Degree from Villanova University. Through his years of experience as a chief financial officer, and his experience in the investment banking field, Mr. Saad provides valuable financial and leadership experience to the board.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CLASS II NOMINEE NAMED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Incumbent Class III Directors Whose Terms Expire in 2021</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Pr>
          <w:p>
            <w:pPr>
              <w:ind w:left="138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53"/>
        </w:trPr>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3"/>
        </w:trPr>
        <w:tc>
          <w:tcPr>
            <w:tcW w:w="2160" w:type="dxa"/>
            <w:vAlign w:val="bottom"/>
            <w:gridSpan w:val="2"/>
          </w:tcPr>
          <w:p>
            <w:pPr>
              <w:spacing w:after="0"/>
              <w:rPr>
                <w:sz w:val="20"/>
                <w:szCs w:val="20"/>
                <w:color w:val="auto"/>
              </w:rPr>
            </w:pPr>
            <w:r>
              <w:rPr>
                <w:rFonts w:ascii="Arial" w:cs="Arial" w:eastAsia="Arial" w:hAnsi="Arial"/>
                <w:sz w:val="18"/>
                <w:szCs w:val="18"/>
                <w:color w:val="auto"/>
              </w:rPr>
              <w:t>Herriot Tabuteau,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Dr. Tabuteau has served as our founder, Chief Executive Officer, and</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Chairman of our board of directors since our founding in January 2012. He is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also the founder of Antecip Capital LLC (formerly Versant Capital</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Management LLC), one of our principal stockholders, for which Dr. Tabuteau</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has been the managing member since 2003. Dr. Tabuteau is also the</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managing member of Antecip Bioventures II LLC. Prior to founding our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company, Dr. Tabuteau was a Senior Analyst and Partner at Healthco/S.A.C.</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Capital (now known as HealthCor) where he was responsible for the</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8"/>
              </w:rPr>
              <w:t>biotechnology, genomics, and instrumentation portfolios. Previously, Dr.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Tabuteau was the healthcare analyst at Kingdon Capital. Prior to that</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5"/>
              </w:rPr>
              <w:t>position, Dr. Tabuteau was a Senior Research Analyst at Banc of America</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Securities covering the hospital supplies sector. Prior to Banc of America, Dr.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3"/>
              </w:rPr>
              <w:t>Tabuteau was part of the healthcare investment banking group at Goldman</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Sachs. Dr. Tabuteau earned his M.D. from Yale University School of</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7"/>
              </w:rPr>
              <w:t>Medicine and his Bachelor of Arts in molecular biology and biochemistry</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from Wesleyan University.</w:t>
            </w:r>
          </w:p>
        </w:tc>
      </w:tr>
      <w:tr>
        <w:trPr>
          <w:trHeight w:val="634"/>
        </w:trPr>
        <w:tc>
          <w:tcPr>
            <w:tcW w:w="2160" w:type="dxa"/>
            <w:vAlign w:val="bottom"/>
            <w:gridSpan w:val="2"/>
          </w:tcPr>
          <w:p>
            <w:pPr>
              <w:spacing w:after="0"/>
              <w:rPr>
                <w:sz w:val="20"/>
                <w:szCs w:val="20"/>
                <w:color w:val="auto"/>
              </w:rPr>
            </w:pPr>
            <w:r>
              <w:rPr>
                <w:rFonts w:ascii="Arial" w:cs="Arial" w:eastAsia="Arial" w:hAnsi="Arial"/>
                <w:sz w:val="18"/>
                <w:szCs w:val="18"/>
                <w:color w:val="auto"/>
              </w:rPr>
              <w:t>Mark Coleman,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3"/>
              </w:rPr>
              <w:t>Dr. Coleman has been a member of our board of directors since December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2"/>
              </w:rPr>
              <w:t>2014. In addition, from 2012 to 2014, Dr. Coleman served as a consultant to</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us. Dr. Coleman is currently the President of National Spine and Pain</w:t>
            </w:r>
          </w:p>
        </w:tc>
      </w:tr>
    </w:tbl>
    <w:p>
      <w:pPr>
        <w:ind w:left="3100" w:right="319"/>
        <w:spacing w:after="0" w:line="286" w:lineRule="auto"/>
        <w:rPr>
          <w:sz w:val="20"/>
          <w:szCs w:val="20"/>
          <w:color w:val="auto"/>
        </w:rPr>
      </w:pPr>
      <w:r>
        <w:rPr>
          <w:rFonts w:ascii="Arial" w:cs="Arial" w:eastAsia="Arial" w:hAnsi="Arial"/>
          <w:sz w:val="16"/>
          <w:szCs w:val="16"/>
          <w:color w:val="auto"/>
        </w:rPr>
        <w:t>Centers, or NSPC, the nation’s largest interventional pain management group. His clinical duties include serving as the Medical Director of the Pikesville, Maryland branch. Dr. Coleman served as Director of Novel Therapies at NSPC from 2009 to 2011. NSPC routinely evaluates emerging treatments for pain through the conduct of clinical trials. Dr. Coleman is a Diplomat of the American Board of Anesthesiology in Anesthesiology and Pain Management. Dr. Coleman holds an M.D. from Johns Hopkins University School of Medicine and received his undergraduate degree from Wesleyan University. Dr. Coleman's medical expertise and business experience make him qualified to serve on our board.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Incumbent Class I Directors Whose Terms Expire in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6920" w:type="dxa"/>
            <w:vAlign w:val="bottom"/>
            <w:gridSpan w:val="2"/>
          </w:tcPr>
          <w:p>
            <w:pPr>
              <w:ind w:left="138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53"/>
        </w:trPr>
        <w:tc>
          <w:tcPr>
            <w:tcW w:w="130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Roger Jeffs, Ph.D.</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2"/>
                <w:szCs w:val="22"/>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Dr. Jeffs has been a member of our board of directors since December 2014.</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Dr. Jeffs is currently the Co-Founder and Vice Chairman of Kriya</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Therapeutics since October 2019. Dr. Jeffs was previously at United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Therapeutics Corporation where he worked for 18 years until 2016. Dr. Jeffs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joined United Therapeutics Corporation during its inception phase in 1998 as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Director of Research, Development, and Medical and served as its President</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and Chief Operating Officer from 2001 to 2014, and President and co-CEO</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from 2015-2016, and was a member of the Board of Directors from 2001</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through 2016. While at United Therapeutics, Dr. Jeffs helped lead the IPO,</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oversaw the clinical development and regulatory approval of 6 products for</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rare diseases, and managed the commercial effort that led to a consistent</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&gt;20% CAGR and $1.5B revenue run rate. United Therapeutics was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consistently recognized as one of the fastest growing companies and best</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places to work during his tenure. Dr. Jeffs previously held positions at</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Amgen, Inc. and Burroughs Wellcome Co. where he held roles in clinical</w:t>
            </w:r>
          </w:p>
        </w:tc>
      </w:tr>
      <w:tr>
        <w:trPr>
          <w:trHeight w:val="230"/>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development.</w:t>
            </w:r>
          </w:p>
        </w:tc>
      </w:tr>
      <w:tr>
        <w:trPr>
          <w:trHeight w:val="458"/>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Dr. Jeffs currently serves on the Board of Directors of Albireo Pharma and</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previously served on the Board of Directors of Axovant Gene Therapies,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Dova Pharmaceuticals and Sangamo Therapeutics. Dr. Jeffs holds an</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undergraduate degree in chemistry from Duke University and a Ph.D. in</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pharmacology from the University of North Carolina School of Medicine.</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Dr. Jeffs’ scientific background and business experience, coupled with his</w:t>
            </w:r>
          </w:p>
        </w:tc>
      </w:tr>
      <w:tr>
        <w:trPr>
          <w:trHeight w:val="216"/>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experience as a chief executive officer of a publicly-traded biotechnology</w:t>
            </w:r>
          </w:p>
        </w:tc>
      </w:tr>
      <w:tr>
        <w:trPr>
          <w:trHeight w:val="230"/>
        </w:trPr>
        <w:tc>
          <w:tcPr>
            <w:tcW w:w="1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company, provide him with the qualifications and skills to serve on our board.</w:t>
            </w:r>
          </w:p>
        </w:tc>
      </w:tr>
      <w:tr>
        <w:trPr>
          <w:trHeight w:val="432"/>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ind w:left="132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Incumbent Class II Director Not Seeking Re-election</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Pr>
          <w:p>
            <w:pPr>
              <w:ind w:left="138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53"/>
        </w:trPr>
        <w:tc>
          <w:tcPr>
            <w:tcW w:w="1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3"/>
        </w:trPr>
        <w:tc>
          <w:tcPr>
            <w:tcW w:w="2160" w:type="dxa"/>
            <w:vAlign w:val="bottom"/>
            <w:gridSpan w:val="2"/>
          </w:tcPr>
          <w:p>
            <w:pPr>
              <w:spacing w:after="0"/>
              <w:rPr>
                <w:sz w:val="20"/>
                <w:szCs w:val="20"/>
                <w:color w:val="auto"/>
              </w:rPr>
            </w:pPr>
            <w:r>
              <w:rPr>
                <w:rFonts w:ascii="Arial" w:cs="Arial" w:eastAsia="Arial" w:hAnsi="Arial"/>
                <w:sz w:val="18"/>
                <w:szCs w:val="18"/>
                <w:color w:val="auto"/>
              </w:rPr>
              <w:t>Myrtle Potter</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5"/>
              </w:rPr>
              <w:t>Ms. Potter has been a member of our board of directors since June 2017.</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Ms. Potter has served as Chief Executive Officer of Sumitovant Biophama,</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 since December 2019. Sumitovant Biopharma is a global</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2"/>
              </w:rPr>
              <w:t>biopharmaceutical company that is the parent to five biopharma companies.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2"/>
              </w:rPr>
              <w:t>Formerly she served as Vant Operating Chair of Roivant Sciences from July</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2018 to December 2019. In this role she oversaw a portfolio of thirteen</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biopharmaceutical companies and guided the initial public offerings of two.</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4"/>
              </w:rPr>
              <w:t>Ms. Potter founded Myrtle Potter &amp; Company LLC, a life sciences advisory</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firm in September 2005 and served as the CEO until June 2018. She and her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100+ team of experts led major strategic efforts including corporate</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initiatives, clinical development planning and product launch readiness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6"/>
              </w:rPr>
              <w:t>efforts for numerous biopharmaceutical companies. Ms. Potter previously</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served as Chief Operating Officer, and later, President of Commercial</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Operations of Genentech, Inc. during a pivotal period of the company’s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0"/>
              </w:rPr>
              <w:t>history. Under her leadership, Genentech achieved record sales and earnings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growth for nineteen of twenty consecutive quarters. During this time, she was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Co-Chair of the company’s Product Portfolio Committee that made all</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2"/>
              </w:rPr>
              <w:t>investment decisions for Genentech’s clinical development pipeline portfolio.</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Prior to Genentech, Ms. Potter was President of Bristol-Myers Squibb’s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3500-person U.S. Cardiovascular and Metabolic business. Earlier she served</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9"/>
              </w:rPr>
              <w:t>at Merck where she founded and launched Astra/Merck, Inc. that today</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operates as AstraZeneca.</w:t>
            </w:r>
          </w:p>
        </w:tc>
      </w:tr>
      <w:tr>
        <w:trPr>
          <w:trHeight w:val="458"/>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1"/>
              </w:rPr>
              <w:t>Ms. Potter serves on the boards of Myovant Sciences, Urovant Sciences and</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6"/>
              </w:rPr>
              <w:t>Liberty Mutual Holding Company. She previously served on the boards of</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Amazon, Medco Health Solutions, Inc., Express Scripts Holding Co.,</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Everyday Health, Inc., as well as numerous other public and private</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companies. Ms. Potter is a graduate of the University of Chicago.</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8"/>
              </w:rPr>
              <w:t>Ms. Potter’s years of experience in the biotechnology industry, including</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95"/>
              </w:rPr>
              <w:t>extensive commercial and operational experience leading pharmaceutical</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companies in bringing new therapies to market, provides her with the</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qualifications and skills to serve as a director.</w:t>
            </w:r>
          </w:p>
        </w:tc>
      </w:tr>
    </w:tbl>
    <w:p>
      <w:pPr>
        <w:spacing w:after="0" w:line="200" w:lineRule="exact"/>
        <w:rPr>
          <w:sz w:val="20"/>
          <w:szCs w:val="20"/>
          <w:color w:val="auto"/>
        </w:rPr>
      </w:pPr>
    </w:p>
    <w:p>
      <w:pPr>
        <w:spacing w:after="0" w:line="326" w:lineRule="exact"/>
        <w:rPr>
          <w:sz w:val="20"/>
          <w:szCs w:val="20"/>
          <w:color w:val="auto"/>
        </w:rPr>
      </w:pPr>
    </w:p>
    <w:p>
      <w:pPr>
        <w:ind w:left="300" w:right="1279" w:firstLine="360"/>
        <w:spacing w:after="0" w:line="277" w:lineRule="auto"/>
        <w:rPr>
          <w:sz w:val="20"/>
          <w:szCs w:val="20"/>
          <w:color w:val="auto"/>
        </w:rPr>
      </w:pPr>
      <w:r>
        <w:rPr>
          <w:rFonts w:ascii="Arial" w:cs="Arial" w:eastAsia="Arial" w:hAnsi="Arial"/>
          <w:sz w:val="18"/>
          <w:szCs w:val="18"/>
          <w:color w:val="auto"/>
        </w:rPr>
        <w:t>There are no family relationships among any of our directors or executive officers. See “Corporate Governance” below for additional information regarding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Our audit committee has appointed the firm of Ernst &amp; Young LLP, independent registered public accountants, to audit our financial statements for the year ending December 31, 2020. Ernst &amp; Young LLP has audited our financial statements since the fiscal year ended December 31, 2013.</w:t>
      </w:r>
    </w:p>
    <w:p>
      <w:pPr>
        <w:spacing w:after="0" w:line="7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2020.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73"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If this proposal does not receive the affirmative approval of a majority of the votes cast on the proposal, the audit committee would reconsider the appointment.</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years ended December 31, 2019 and 2018:</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2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18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41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$454,000</w:t>
            </w:r>
          </w:p>
        </w:tc>
        <w:tc>
          <w:tcPr>
            <w:tcW w:w="20" w:type="dxa"/>
            <w:vAlign w:val="bottom"/>
            <w:shd w:val="clear" w:color="auto" w:fill="CCEEFF"/>
          </w:tcPr>
          <w:p>
            <w:pPr>
              <w:spacing w:after="0"/>
              <w:rPr>
                <w:sz w:val="24"/>
                <w:szCs w:val="24"/>
                <w:color w:val="auto"/>
              </w:rPr>
            </w:pPr>
          </w:p>
        </w:tc>
      </w:tr>
      <w:tr>
        <w:trPr>
          <w:trHeight w:val="324"/>
        </w:trPr>
        <w:tc>
          <w:tcPr>
            <w:tcW w:w="418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324"/>
        </w:trPr>
        <w:tc>
          <w:tcPr>
            <w:tcW w:w="41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6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418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26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41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6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471,000</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454,000</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-1036320</wp:posOffset>
            </wp:positionV>
            <wp:extent cx="1714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-1036320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519" w:hanging="348"/>
        <w:spacing w:after="0" w:line="238"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provided by Ernst &amp; Young LLP in connection with the audit of our financial statements, review of our quarterly financial statements, and related services that are normally provided in connection with statutory and regulatory filings or engagements.</w:t>
      </w:r>
    </w:p>
    <w:p>
      <w:pPr>
        <w:spacing w:after="0" w:line="20" w:lineRule="exact"/>
        <w:rPr>
          <w:rFonts w:ascii="Arial" w:cs="Arial" w:eastAsia="Arial" w:hAnsi="Arial"/>
          <w:sz w:val="14"/>
          <w:szCs w:val="14"/>
          <w:color w:val="auto"/>
        </w:rPr>
      </w:pPr>
    </w:p>
    <w:p>
      <w:pPr>
        <w:ind w:left="640" w:right="41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Audit-Related Fees: Consist of fees for assurance and related services that are reasonably related to the performance of the audit or review of our financial statements, including, but not limited to, the review of registration statements.</w:t>
      </w:r>
    </w:p>
    <w:p>
      <w:pPr>
        <w:spacing w:after="0" w:line="11" w:lineRule="exact"/>
        <w:rPr>
          <w:rFonts w:ascii="Arial" w:cs="Arial" w:eastAsia="Arial" w:hAnsi="Arial"/>
          <w:sz w:val="14"/>
          <w:szCs w:val="14"/>
          <w:color w:val="auto"/>
        </w:rPr>
      </w:pPr>
    </w:p>
    <w:p>
      <w:pPr>
        <w:ind w:left="640" w:right="699" w:hanging="348"/>
        <w:spacing w:after="0" w:line="253"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Other Fees: Consist of the aggregate fees billed for any other products and services performed by the principal accountant.</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66"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OUR BOARD OF DIRECTORS UNANIMOUSLY RECOMMENDS A VOTE “FOR” RATIFICATION OF THE APPOINTMENT OF ERNST &amp; YOUNG LLP AS OUR INDEPENDENT REGISTERED PUBLIC ACCOUNTING FIRM FOR THE YEAR ENDING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3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70"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69"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As a result of this review, our board of directors determined that Dr. Coleman, Dr. Jeffs, Ms. Potter,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8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Ms. Potter, and Mr. Saad qualify as an independent director pursuant to Rule 10A-3.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positions of Chief Executive Officer and Chairman of the Board are both currently held by Dr. Tabuteau. Our board of directors has also appointed a Lead Director, Dr. Jeffs.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spacing w:after="0" w:line="68" w:lineRule="exact"/>
        <w:rPr>
          <w:sz w:val="20"/>
          <w:szCs w:val="20"/>
          <w:color w:val="auto"/>
        </w:rPr>
      </w:pPr>
    </w:p>
    <w:p>
      <w:pPr>
        <w:ind w:left="300" w:right="859" w:firstLine="360"/>
        <w:spacing w:after="0" w:line="286" w:lineRule="auto"/>
        <w:rPr>
          <w:sz w:val="20"/>
          <w:szCs w:val="20"/>
          <w:color w:val="auto"/>
        </w:rPr>
      </w:pPr>
      <w:r>
        <w:rPr>
          <w:rFonts w:ascii="Arial" w:cs="Arial" w:eastAsia="Arial" w:hAnsi="Arial"/>
          <w:sz w:val="17"/>
          <w:szCs w:val="17"/>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5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 As noted above, Ms. Potter has decided to not stand for re-election at the Annual Meeting, and therefore, effective as of the Annual Meeting, will no longer be a member of our board of directors or any of its committees.</w:t>
      </w:r>
    </w:p>
    <w:p>
      <w:pPr>
        <w:spacing w:after="0" w:line="70"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Dr. Coleman, Dr. Jeffs, Ms. Potter*, and Mr. Saad currently serve on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chaired by Mr. Saad. Our board of directors has 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2019. The audit committee’s responsibilities include:</w:t>
      </w:r>
    </w:p>
    <w:p>
      <w:pPr>
        <w:spacing w:after="0" w:line="73" w:lineRule="exact"/>
        <w:rPr>
          <w:sz w:val="20"/>
          <w:szCs w:val="20"/>
          <w:color w:val="auto"/>
        </w:rPr>
      </w:pPr>
    </w:p>
    <w:p>
      <w:pPr>
        <w:ind w:left="1000" w:right="39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overall audit plan with the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75" w:lineRule="exact"/>
        <w:rPr>
          <w:rFonts w:ascii="Arial" w:cs="Arial" w:eastAsia="Arial" w:hAnsi="Arial"/>
          <w:sz w:val="18"/>
          <w:szCs w:val="18"/>
          <w:color w:val="auto"/>
        </w:rPr>
      </w:pPr>
    </w:p>
    <w:p>
      <w:pPr>
        <w:ind w:left="1000" w:right="1019" w:hanging="348"/>
        <w:spacing w:after="0" w:line="30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40" w:lineRule="exact"/>
        <w:rPr>
          <w:rFonts w:ascii="Arial" w:cs="Arial" w:eastAsia="Arial" w:hAnsi="Arial"/>
          <w:sz w:val="16"/>
          <w:szCs w:val="16"/>
          <w:color w:val="auto"/>
        </w:rPr>
      </w:pPr>
    </w:p>
    <w:p>
      <w:pPr>
        <w:ind w:left="1000" w:right="39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117"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Dr. Coleman, Dr. Jeffs, Ms. Potter, and Mr. Saad currently serve on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which is chaired by Ms. Potter*. Our 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in person or by phone five times during the year ended December 31, 2019. The compensation committee’s responsibilities include:</w:t>
      </w:r>
    </w:p>
    <w:p>
      <w:pPr>
        <w:spacing w:after="0" w:line="84" w:lineRule="exact"/>
        <w:rPr>
          <w:sz w:val="20"/>
          <w:szCs w:val="20"/>
          <w:color w:val="auto"/>
        </w:rPr>
      </w:pPr>
    </w:p>
    <w:p>
      <w:pPr>
        <w:ind w:left="1000" w:right="3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annually reviewing and making recommendations to the board of directors with respect to corporate goals and objectives relevant to the compensation of our chief executive officer;</w:t>
      </w:r>
    </w:p>
    <w:p>
      <w:pPr>
        <w:spacing w:after="0" w:line="62"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of directors with respect to director compensation;</w:t>
      </w:r>
    </w:p>
    <w:p>
      <w:pPr>
        <w:spacing w:after="0" w:line="140" w:lineRule="exact"/>
        <w:rPr>
          <w:rFonts w:ascii="Arial" w:cs="Arial" w:eastAsia="Arial" w:hAnsi="Arial"/>
          <w:sz w:val="16"/>
          <w:szCs w:val="16"/>
          <w:color w:val="auto"/>
        </w:rPr>
      </w:pPr>
    </w:p>
    <w:p>
      <w:pPr>
        <w:ind w:left="1000" w:right="399" w:hanging="348"/>
        <w:spacing w:after="0" w:line="28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to be included in our annual proxy statement or Annual Report on Form 10-K, which we will be required to include at such time as we are determined to no longer qualify as an “emerging growth company”;</w:t>
      </w:r>
    </w:p>
    <w:p>
      <w:pPr>
        <w:spacing w:after="0" w:line="57"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discussing with the board of directors corporate succession plans for the chief executive officer and other key officers; and</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hiring third party compensation consultants to review and make recommendations on the compensation of directors, executive officers and other key officers.</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During the year ended December 31, 2019 and December 31, 2018, our compensation committee retained Frederick W. Cook &amp; Co., or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pacing w:after="0" w:line="76"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Dr. Coleman, Dr. Jeffs, Ms. Potter*, and Mr. Saad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 on the nominating and corporate governance 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2019. The nominating and corporate governance committee’s responsibilities include:</w:t>
      </w:r>
    </w:p>
    <w:p>
      <w:pPr>
        <w:spacing w:after="0" w:line="73" w:lineRule="exact"/>
        <w:rPr>
          <w:sz w:val="20"/>
          <w:szCs w:val="20"/>
          <w:color w:val="auto"/>
        </w:rPr>
      </w:pPr>
    </w:p>
    <w:p>
      <w:pPr>
        <w:ind w:left="1000" w:hanging="348"/>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128"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stockholders;</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 of director’s committees;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developing a mechanism by which violations of the code of business conduct and ethics can be reported in a confidential manner;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439" w:firstLine="360"/>
        <w:spacing w:after="0" w:line="259" w:lineRule="auto"/>
        <w:rPr>
          <w:sz w:val="20"/>
          <w:szCs w:val="20"/>
          <w:color w:val="auto"/>
        </w:rPr>
      </w:pPr>
      <w:r>
        <w:rPr>
          <w:rFonts w:ascii="Arial" w:cs="Arial" w:eastAsia="Arial" w:hAnsi="Arial"/>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 of Directors</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full board of directors met in person or by phone eleven times during the year ended December 31, 2019 and then also acted by written consent during the year as needed. No director attended fewer than 75% of the total number of meetings of the board of directors and of any committees of the board of directors of which he or she was a member during our year ended December 31, 2019.</w:t>
      </w:r>
    </w:p>
    <w:p>
      <w:pPr>
        <w:spacing w:after="0" w:line="79"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2019 annual meeting of stockholders attended the 2019 annual meeting of stockholders.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300" w:right="679" w:firstLine="360"/>
        <w:spacing w:after="0" w:line="301"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57"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sexual orientation, disability or any other basis proscribed by law.</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During our fiscal year ended December 31, 2019, our non-employee directors earned options to purchase shares of our common stock under our 2015 Omnibus Incentive Compensation Plan, which will be granted after the Annual Meeting. All members of the board of directors, with the exception of Ms. Potter, elected to receive options to purchase shares of our common stock in lieu of the fees earned in cash in 2019, which options were granted in March 2020. A non-employee director is a director who is not employed by us and who does not receive compensation from us (other than for services as a director) or have a business relationship with us that would require disclosure under certain SEC rules. Dr. Tabuteau, our Chief Executive Officer and Chairman of our board of directors, did not receive any compensation from us during our fiscal year ended December 31, 2019 for his service as a director and is not included in the table below.</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vMerge w:val="restart"/>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Fees Earned</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vMerge w:val="continue"/>
          </w:tcPr>
          <w:p>
            <w:pPr>
              <w:spacing w:after="0"/>
              <w:rPr>
                <w:sz w:val="21"/>
                <w:szCs w:val="21"/>
                <w:color w:val="auto"/>
              </w:rPr>
            </w:pPr>
          </w:p>
        </w:tc>
        <w:tc>
          <w:tcPr>
            <w:tcW w:w="7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6"/>
              </w:rPr>
              <w:t>in Cash</w:t>
            </w:r>
            <w:r>
              <w:rPr>
                <w:rFonts w:ascii="Arial" w:cs="Arial" w:eastAsia="Arial" w:hAnsi="Arial"/>
                <w:sz w:val="23"/>
                <w:szCs w:val="23"/>
                <w:b w:val="1"/>
                <w:bCs w:val="1"/>
                <w:color w:val="auto"/>
                <w:w w:val="86"/>
                <w:vertAlign w:val="superscript"/>
              </w:rPr>
              <w:t>(1)</w:t>
            </w:r>
          </w:p>
        </w:tc>
        <w:tc>
          <w:tcPr>
            <w:tcW w:w="3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6"/>
                <w:vertAlign w:val="subscript"/>
              </w:rPr>
              <w:t>Awards</w:t>
            </w:r>
            <w:r>
              <w:rPr>
                <w:rFonts w:ascii="Arial" w:cs="Arial" w:eastAsia="Arial" w:hAnsi="Arial"/>
                <w:sz w:val="12"/>
                <w:szCs w:val="12"/>
                <w:b w:val="1"/>
                <w:bCs w:val="1"/>
                <w:color w:val="auto"/>
                <w:w w:val="76"/>
              </w:rPr>
              <w:t>(2)(3)</w:t>
            </w:r>
          </w:p>
        </w:tc>
        <w:tc>
          <w:tcPr>
            <w:tcW w:w="3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Jeffs, Ph.D.</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$70,000</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line="331" w:lineRule="exact"/>
              <w:rPr>
                <w:sz w:val="20"/>
                <w:szCs w:val="20"/>
                <w:color w:val="auto"/>
              </w:rPr>
            </w:pPr>
            <w:r>
              <w:rPr>
                <w:rFonts w:ascii="Arial" w:cs="Arial" w:eastAsia="Arial" w:hAnsi="Arial"/>
                <w:sz w:val="18"/>
                <w:szCs w:val="18"/>
                <w:color w:val="auto"/>
                <w:w w:val="85"/>
              </w:rPr>
              <w:t>$206,310</w:t>
            </w:r>
            <w:r>
              <w:rPr>
                <w:rFonts w:ascii="Arial" w:cs="Arial" w:eastAsia="Arial" w:hAnsi="Arial"/>
                <w:sz w:val="29"/>
                <w:szCs w:val="29"/>
                <w:color w:val="auto"/>
                <w:w w:val="85"/>
                <w:vertAlign w:val="superscript"/>
              </w:rPr>
              <w:t>(4)</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$276,310</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Mark Coleman, M.D.</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$51,500</w:t>
            </w:r>
          </w:p>
        </w:tc>
        <w:tc>
          <w:tcPr>
            <w:tcW w:w="360" w:type="dxa"/>
            <w:vAlign w:val="bottom"/>
          </w:tcPr>
          <w:p>
            <w:pPr>
              <w:spacing w:after="0"/>
              <w:rPr>
                <w:sz w:val="24"/>
                <w:szCs w:val="24"/>
                <w:color w:val="auto"/>
              </w:rPr>
            </w:pPr>
          </w:p>
        </w:tc>
        <w:tc>
          <w:tcPr>
            <w:tcW w:w="860" w:type="dxa"/>
            <w:vAlign w:val="bottom"/>
          </w:tcPr>
          <w:p>
            <w:pPr>
              <w:jc w:val="center"/>
              <w:spacing w:after="0" w:line="324" w:lineRule="exact"/>
              <w:rPr>
                <w:sz w:val="20"/>
                <w:szCs w:val="20"/>
                <w:color w:val="auto"/>
              </w:rPr>
            </w:pPr>
            <w:r>
              <w:rPr>
                <w:rFonts w:ascii="Arial" w:cs="Arial" w:eastAsia="Arial" w:hAnsi="Arial"/>
                <w:sz w:val="18"/>
                <w:szCs w:val="18"/>
                <w:color w:val="auto"/>
                <w:w w:val="85"/>
              </w:rPr>
              <w:t>$206,310</w:t>
            </w:r>
            <w:r>
              <w:rPr>
                <w:rFonts w:ascii="Arial" w:cs="Arial" w:eastAsia="Arial" w:hAnsi="Arial"/>
                <w:sz w:val="29"/>
                <w:szCs w:val="29"/>
                <w:color w:val="auto"/>
                <w:w w:val="85"/>
                <w:vertAlign w:val="superscript"/>
              </w:rPr>
              <w:t>(5)</w:t>
            </w:r>
          </w:p>
        </w:tc>
        <w:tc>
          <w:tcPr>
            <w:tcW w:w="3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$257,810</w:t>
            </w:r>
          </w:p>
        </w:tc>
        <w:tc>
          <w:tcPr>
            <w:tcW w:w="0" w:type="dxa"/>
            <w:vAlign w:val="bottom"/>
          </w:tcPr>
          <w:p>
            <w:pPr>
              <w:spacing w:after="0"/>
              <w:rPr>
                <w:sz w:val="1"/>
                <w:szCs w:val="1"/>
                <w:color w:val="auto"/>
              </w:rPr>
            </w:pPr>
          </w:p>
        </w:tc>
      </w:tr>
      <w:tr>
        <w:trPr>
          <w:trHeight w:val="324"/>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Saad</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$59,000</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5"/>
              </w:rPr>
              <w:t>$206,310</w:t>
            </w:r>
            <w:r>
              <w:rPr>
                <w:rFonts w:ascii="Arial" w:cs="Arial" w:eastAsia="Arial" w:hAnsi="Arial"/>
                <w:sz w:val="29"/>
                <w:szCs w:val="29"/>
                <w:color w:val="auto"/>
                <w:w w:val="85"/>
                <w:vertAlign w:val="superscript"/>
              </w:rPr>
              <w:t>(6)</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$265,310</w:t>
            </w:r>
          </w:p>
        </w:tc>
        <w:tc>
          <w:tcPr>
            <w:tcW w:w="0" w:type="dxa"/>
            <w:vAlign w:val="bottom"/>
          </w:tcPr>
          <w:p>
            <w:pPr>
              <w:spacing w:after="0"/>
              <w:rPr>
                <w:sz w:val="1"/>
                <w:szCs w:val="1"/>
                <w:color w:val="auto"/>
              </w:rPr>
            </w:pPr>
          </w:p>
        </w:tc>
      </w:tr>
      <w:tr>
        <w:trPr>
          <w:trHeight w:val="420"/>
        </w:trPr>
        <w:tc>
          <w:tcPr>
            <w:tcW w:w="5400" w:type="dxa"/>
            <w:vAlign w:val="bottom"/>
            <w:gridSpan w:val="2"/>
          </w:tcPr>
          <w:p>
            <w:pPr>
              <w:spacing w:after="0"/>
              <w:rPr>
                <w:sz w:val="20"/>
                <w:szCs w:val="20"/>
                <w:color w:val="auto"/>
              </w:rPr>
            </w:pPr>
            <w:r>
              <w:rPr>
                <w:rFonts w:ascii="Arial" w:cs="Arial" w:eastAsia="Arial" w:hAnsi="Arial"/>
                <w:sz w:val="18"/>
                <w:szCs w:val="18"/>
                <w:color w:val="auto"/>
              </w:rPr>
              <w:t>Myrtle Potter</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$56,500</w:t>
            </w:r>
          </w:p>
        </w:tc>
        <w:tc>
          <w:tcPr>
            <w:tcW w:w="3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$206,310</w:t>
            </w:r>
            <w:r>
              <w:rPr>
                <w:rFonts w:ascii="Arial" w:cs="Arial" w:eastAsia="Arial" w:hAnsi="Arial"/>
                <w:sz w:val="29"/>
                <w:szCs w:val="29"/>
                <w:color w:val="auto"/>
                <w:w w:val="85"/>
                <w:vertAlign w:val="superscript"/>
              </w:rPr>
              <w:t>(7)</w:t>
            </w:r>
          </w:p>
        </w:tc>
        <w:tc>
          <w:tcPr>
            <w:tcW w:w="3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$262,810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-900430</wp:posOffset>
            </wp:positionV>
            <wp:extent cx="222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-900430</wp:posOffset>
            </wp:positionV>
            <wp:extent cx="222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-900430</wp:posOffset>
            </wp:positionV>
            <wp:extent cx="2228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08" w:lineRule="exact"/>
        <w:rPr>
          <w:sz w:val="20"/>
          <w:szCs w:val="20"/>
          <w:color w:val="auto"/>
        </w:rPr>
      </w:pPr>
    </w:p>
    <w:p>
      <w:pPr>
        <w:jc w:val="both"/>
        <w:ind w:left="640" w:right="499" w:hanging="348"/>
        <w:spacing w:after="0" w:line="23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members of the board of directors, other than Ms. Potter, have elected to receive options to purchase our common stock in lieu of the fees earned in cash in 2019. The options have an exercise price equal to the fair market value on the date of the grant. These grants were made in March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339" w:hanging="348"/>
        <w:spacing w:after="0" w:line="23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spacing w:after="0" w:line="21"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June 2019, each member of the board of directors received an annual option grant of 13,000 options for service as a board member, which options vest in full on the one-year anniversary of the date of grant.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aggregate number of option awards held by Dr. Jeffs as of December 31, 2019 is 73,186.</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aggregate number of option awards held by Dr. Coleman as of December 31, 2019 is 196,148.</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aggregate number of option awards held by Mr. Saad as of December 31, 2019 is 156,709.</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aggregate number of option awards held by Ms. Potter as of December 31, 2019 is 60,197.</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During our fiscal year ended December 31, 2019, each of our non-employee directors received the following cash compensation for board services, as applicable:</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Annual Compensation for Service as: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Dr. Jeffs</w:t>
            </w:r>
          </w:p>
        </w:tc>
        <w:tc>
          <w:tcPr>
            <w:tcW w:w="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Dr. Coleman</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Mr. Saad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Ms. Potter</w:t>
            </w:r>
          </w:p>
        </w:tc>
      </w:tr>
      <w:tr>
        <w:trPr>
          <w:trHeight w:val="53"/>
        </w:trPr>
        <w:tc>
          <w:tcPr>
            <w:tcW w:w="5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Board member: $35,000</w:t>
            </w:r>
          </w:p>
        </w:tc>
        <w:tc>
          <w:tcPr>
            <w:tcW w:w="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740" w:type="dxa"/>
            <w:vAlign w:val="bottom"/>
            <w:tcBorders>
              <w:bottom w:val="single" w:sz="8" w:color="CCEEFF"/>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5480" w:type="dxa"/>
            <w:vAlign w:val="bottom"/>
            <w:gridSpan w:val="2"/>
          </w:tcPr>
          <w:p>
            <w:pPr>
              <w:spacing w:after="0"/>
              <w:rPr>
                <w:sz w:val="20"/>
                <w:szCs w:val="20"/>
                <w:color w:val="auto"/>
              </w:rPr>
            </w:pPr>
            <w:r>
              <w:rPr>
                <w:rFonts w:ascii="Arial" w:cs="Arial" w:eastAsia="Arial" w:hAnsi="Arial"/>
                <w:sz w:val="18"/>
                <w:szCs w:val="18"/>
                <w:color w:val="auto"/>
              </w:rPr>
              <w:t>Lead Director: $15,000</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committee member: $7,500</w:t>
            </w:r>
          </w:p>
        </w:tc>
        <w:tc>
          <w:tcPr>
            <w:tcW w:w="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5480" w:type="dxa"/>
            <w:vAlign w:val="bottom"/>
            <w:gridSpan w:val="2"/>
          </w:tcPr>
          <w:p>
            <w:pPr>
              <w:spacing w:after="0"/>
              <w:rPr>
                <w:sz w:val="20"/>
                <w:szCs w:val="20"/>
                <w:color w:val="auto"/>
              </w:rPr>
            </w:pPr>
            <w:r>
              <w:rPr>
                <w:rFonts w:ascii="Arial" w:cs="Arial" w:eastAsia="Arial" w:hAnsi="Arial"/>
                <w:sz w:val="18"/>
                <w:szCs w:val="18"/>
                <w:color w:val="auto"/>
              </w:rPr>
              <w:t>Chairman of the audit committee: $15,000</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23"/>
                <w:szCs w:val="23"/>
                <w:color w:val="auto"/>
              </w:rPr>
            </w:pPr>
          </w:p>
        </w:tc>
      </w:tr>
      <w:tr>
        <w:trPr>
          <w:trHeight w:val="54"/>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 $5,000</w:t>
            </w:r>
          </w:p>
        </w:tc>
        <w:tc>
          <w:tcPr>
            <w:tcW w:w="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740" w:type="dxa"/>
            <w:vAlign w:val="bottom"/>
            <w:tcBorders>
              <w:bottom w:val="single" w:sz="8" w:color="CCEEFF"/>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5480" w:type="dxa"/>
            <w:vAlign w:val="bottom"/>
            <w:gridSpan w:val="2"/>
          </w:tcPr>
          <w:p>
            <w:pPr>
              <w:spacing w:after="0"/>
              <w:rPr>
                <w:sz w:val="20"/>
                <w:szCs w:val="20"/>
                <w:color w:val="auto"/>
              </w:rPr>
            </w:pPr>
            <w:r>
              <w:rPr>
                <w:rFonts w:ascii="Arial" w:cs="Arial" w:eastAsia="Arial" w:hAnsi="Arial"/>
                <w:sz w:val="18"/>
                <w:szCs w:val="18"/>
                <w:color w:val="auto"/>
              </w:rPr>
              <w:t>Chairman of the compensation committee: $10,000</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54"/>
        </w:trPr>
        <w:tc>
          <w:tcPr>
            <w:tcW w:w="5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 $4,000</w:t>
            </w: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X</w:t>
            </w:r>
          </w:p>
        </w:tc>
        <w:tc>
          <w:tcPr>
            <w:tcW w:w="740" w:type="dxa"/>
            <w:vAlign w:val="bottom"/>
            <w:tcBorders>
              <w:bottom w:val="single" w:sz="8" w:color="CCEEFF"/>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56"/>
        </w:trPr>
        <w:tc>
          <w:tcPr>
            <w:tcW w:w="5480" w:type="dxa"/>
            <w:vAlign w:val="bottom"/>
            <w:gridSpan w:val="2"/>
          </w:tcPr>
          <w:p>
            <w:pPr>
              <w:spacing w:after="0"/>
              <w:rPr>
                <w:sz w:val="20"/>
                <w:szCs w:val="20"/>
                <w:color w:val="auto"/>
              </w:rPr>
            </w:pPr>
            <w:r>
              <w:rPr>
                <w:rFonts w:ascii="Arial" w:cs="Arial" w:eastAsia="Arial" w:hAnsi="Arial"/>
                <w:sz w:val="18"/>
                <w:szCs w:val="18"/>
                <w:color w:val="auto"/>
              </w:rPr>
              <w:t>Chairman of the nominating and corporate governance committee:</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8"/>
        </w:trPr>
        <w:tc>
          <w:tcPr>
            <w:tcW w:w="5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263"/>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51,500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59,000</w:t>
            </w:r>
          </w:p>
        </w:tc>
        <w:tc>
          <w:tcPr>
            <w:tcW w:w="14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56,500</w:t>
            </w:r>
          </w:p>
        </w:tc>
      </w:tr>
      <w:tr>
        <w:trPr>
          <w:trHeight w:val="27"/>
        </w:trPr>
        <w:tc>
          <w:tcPr>
            <w:tcW w:w="5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-196215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-196215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-196215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-196215</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-2005330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-2005330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-2005330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-2005330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In addition, each of our non-employee directors receive an annual equity grant of 13,000 options per year for service as a member of the board of directors, and all new directors receive an initial equity grant of 26,000 options.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retainers are prorated for any portion of a year to which they apply for each non-employee director.</w:t>
      </w:r>
    </w:p>
    <w:p>
      <w:pPr>
        <w:spacing w:after="0" w:line="129" w:lineRule="exact"/>
        <w:rPr>
          <w:sz w:val="20"/>
          <w:szCs w:val="20"/>
          <w:color w:val="auto"/>
        </w:rPr>
      </w:pPr>
    </w:p>
    <w:p>
      <w:pPr>
        <w:jc w:val="both"/>
        <w:ind w:left="300" w:right="339" w:firstLine="360"/>
        <w:spacing w:after="0" w:line="291" w:lineRule="auto"/>
        <w:rPr>
          <w:sz w:val="20"/>
          <w:szCs w:val="20"/>
          <w:color w:val="auto"/>
        </w:rPr>
      </w:pPr>
      <w:r>
        <w:rPr>
          <w:rFonts w:ascii="Arial" w:cs="Arial" w:eastAsia="Arial" w:hAnsi="Arial"/>
          <w:sz w:val="16"/>
          <w:szCs w:val="16"/>
          <w:color w:val="auto"/>
        </w:rPr>
        <w:t>A non-employee director may elect to receive, in lieu of such cash compensation, options to purchase shares of our common stock, with an exercise price per share equal to the fair market value of our common stock on the date of such grant. Such options will be granted at the same time as all executive officer annual option grants, which will be on the close of business on the third trading day following the filing of our Annual Report on Form 10-K for each recently completed fiscal year. The annual equity grants to the directors will be made on the close of business on the date of the annual meeting. We will also continue to reimburse our non-employee directors for their reasonable out-of-pocket expenses incurred in attending board and committee meetings.</w:t>
      </w:r>
    </w:p>
    <w:p>
      <w:pPr>
        <w:spacing w:after="0" w:line="5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March 2020, all of our non-employee directors were granted options to purchase shares of our common stock in lieu of the fees earned in cash in 2019, with the exception of Ms. Potter, who elected to receive her fees earned in cash. Such options were granted at an exercise price equal to $45.14 and were immediately vested and exercisable.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79"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amended and restated bylaws provide that:</w:t>
      </w:r>
    </w:p>
    <w:p>
      <w:pPr>
        <w:spacing w:after="0" w:line="117" w:lineRule="exact"/>
        <w:rPr>
          <w:sz w:val="20"/>
          <w:szCs w:val="20"/>
          <w:color w:val="auto"/>
        </w:rPr>
      </w:pPr>
    </w:p>
    <w:p>
      <w:pPr>
        <w:ind w:left="1000" w:right="35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and</w:t>
      </w:r>
    </w:p>
    <w:p>
      <w:pPr>
        <w:spacing w:after="0" w:line="62"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expenses, including attorneys’ fees, to our directors and, in the discretion of our board of directors, to our officers and certain employees, in connection with legal proceedings, subject to limited exceptions.</w:t>
      </w:r>
    </w:p>
    <w:p>
      <w:pPr>
        <w:spacing w:after="0" w:line="76"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69"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&amp; KEY PERSONNEL</w:t>
      </w:r>
    </w:p>
    <w:p>
      <w:pPr>
        <w:spacing w:after="0" w:line="12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following table provides information concerning our executive officers and key personnel as of the Record Date:</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5000" w:type="dxa"/>
            <w:vAlign w:val="bottom"/>
          </w:tcPr>
          <w:p>
            <w:pPr>
              <w:ind w:left="22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r>
        <w:trPr>
          <w:trHeight w:val="311"/>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4"/>
                <w:szCs w:val="24"/>
                <w:color w:val="auto"/>
              </w:rPr>
            </w:pP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color w:val="auto"/>
              </w:rPr>
              <w:t>Herriot Tabuteau, M.D.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Executive Officer, President, and Chairman of the Board</w:t>
            </w: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30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Nick Pizzie, C.P.A., M.B.A.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color w:val="auto"/>
              </w:rPr>
              <w:t>David Marek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30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Jacobson, M.A.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Personnel</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tcPr>
          <w:p>
            <w:pPr>
              <w:spacing w:after="0"/>
              <w:rPr>
                <w:sz w:val="23"/>
                <w:szCs w:val="23"/>
                <w:color w:val="auto"/>
              </w:rPr>
            </w:pPr>
          </w:p>
        </w:tc>
      </w:tr>
      <w:tr>
        <w:trPr>
          <w:trHeight w:val="54"/>
        </w:trPr>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30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Cedric O’Gorman, M.D., M.B.A.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Senior Vice President, Clinical Development and Medical Affairs</w:t>
            </w:r>
          </w:p>
        </w:tc>
      </w:tr>
      <w:tr>
        <w:trPr>
          <w:trHeight w:val="270"/>
        </w:trPr>
        <w:tc>
          <w:tcPr>
            <w:tcW w:w="2900" w:type="dxa"/>
            <w:vAlign w:val="bottom"/>
            <w:gridSpan w:val="2"/>
          </w:tcPr>
          <w:p>
            <w:pPr>
              <w:spacing w:after="0"/>
              <w:rPr>
                <w:sz w:val="20"/>
                <w:szCs w:val="20"/>
                <w:color w:val="auto"/>
              </w:rPr>
            </w:pPr>
            <w:r>
              <w:rPr>
                <w:rFonts w:ascii="Arial" w:cs="Arial" w:eastAsia="Arial" w:hAnsi="Arial"/>
                <w:sz w:val="18"/>
                <w:szCs w:val="18"/>
                <w:color w:val="auto"/>
              </w:rPr>
              <w:t>Amanda Jones, Pharm.D.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Senior Vice President, Clinical Research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-1628140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-1628140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i w:val="1"/>
          <w:iCs w:val="1"/>
          <w:color w:val="auto"/>
        </w:rPr>
        <w:t xml:space="preserve">Herriot Tabuteau, M.D. </w:t>
      </w:r>
      <w:r>
        <w:rPr>
          <w:rFonts w:ascii="Arial" w:cs="Arial" w:eastAsia="Arial" w:hAnsi="Arial"/>
          <w:sz w:val="18"/>
          <w:szCs w:val="18"/>
          <w:color w:val="auto"/>
        </w:rPr>
        <w:t>Please see Dr. Tabuteau’s biography in this proxy statement under the section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“Incumbent Class III Directors Whose Terms Expire in 2021.”</w:t>
      </w:r>
    </w:p>
    <w:p>
      <w:pPr>
        <w:spacing w:after="0" w:line="62"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i w:val="1"/>
          <w:iCs w:val="1"/>
          <w:color w:val="auto"/>
        </w:rPr>
        <w:t xml:space="preserve">Nick Pizzie, C.P.A., M.B.A. </w:t>
      </w:r>
      <w:r>
        <w:rPr>
          <w:rFonts w:ascii="Arial" w:cs="Arial" w:eastAsia="Arial" w:hAnsi="Arial"/>
          <w:sz w:val="18"/>
          <w:szCs w:val="18"/>
          <w:color w:val="auto"/>
        </w:rPr>
        <w:t>Mr. Pizzie has served as our Chief Financial Officer since May 2018.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Axsome, from May 2013 to May 2018, Mr. Pizzie 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where he served as staff auditor. He earned his Bachelor of Science in Accounting, Bachelor of Arts in Economics, and Master of Business Administration in Finance, and Supply Chain Logistics, from Rutgers University.</w:t>
      </w:r>
    </w:p>
    <w:p>
      <w:pPr>
        <w:spacing w:after="0" w:line="87" w:lineRule="exact"/>
        <w:rPr>
          <w:sz w:val="20"/>
          <w:szCs w:val="20"/>
          <w:color w:val="auto"/>
        </w:rPr>
      </w:pPr>
    </w:p>
    <w:p>
      <w:pPr>
        <w:ind w:left="300" w:right="459" w:firstLine="360"/>
        <w:spacing w:after="0" w:line="284" w:lineRule="auto"/>
        <w:rPr>
          <w:sz w:val="20"/>
          <w:szCs w:val="20"/>
          <w:color w:val="auto"/>
        </w:rPr>
      </w:pPr>
      <w:r>
        <w:rPr>
          <w:rFonts w:ascii="Arial" w:cs="Arial" w:eastAsia="Arial" w:hAnsi="Arial"/>
          <w:sz w:val="16"/>
          <w:szCs w:val="16"/>
          <w:i w:val="1"/>
          <w:iCs w:val="1"/>
          <w:color w:val="auto"/>
        </w:rPr>
        <w:t xml:space="preserve">David Marek. </w:t>
      </w:r>
      <w:r>
        <w:rPr>
          <w:rFonts w:ascii="Arial" w:cs="Arial" w:eastAsia="Arial" w:hAnsi="Arial"/>
          <w:sz w:val="16"/>
          <w:szCs w:val="16"/>
          <w:color w:val="auto"/>
        </w:rPr>
        <w:t>Mr. Marek has served as our Chief Commercial Officer since September 2019.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Axsome, from June 2017 to August 2019, Mr. Marek held the position of Vice President, and General Manager of Amgen’s Neuroscience business unit. At Amgen, Mr. Marek led the U.S. commercialization strategy and launch of Aimovig™ for migraine prevention. Prior to heading the Neuroscience business unit, he was Vice President of Marketing of Amgen’s U.S. Inflammation and Nephrology business from June 2015 to June 2017. Before Amgen, Mr. Marek served as Executive Vice President, Consumer Services, and Commercial Strategy Officer of WebMD. Prior to that position, Mr. Marek was the Managing Director of Saatchi &amp; Saatchi Healthcare Advertising.</w:t>
      </w:r>
    </w:p>
    <w:p>
      <w:pPr>
        <w:spacing w:after="0" w:line="2" w:lineRule="exact"/>
        <w:rPr>
          <w:sz w:val="20"/>
          <w:szCs w:val="20"/>
          <w:color w:val="auto"/>
        </w:rPr>
      </w:pPr>
    </w:p>
    <w:p>
      <w:pPr>
        <w:ind w:left="300" w:right="659"/>
        <w:spacing w:after="0" w:line="255" w:lineRule="auto"/>
        <w:rPr>
          <w:sz w:val="20"/>
          <w:szCs w:val="20"/>
          <w:color w:val="auto"/>
        </w:rPr>
      </w:pPr>
      <w:r>
        <w:rPr>
          <w:rFonts w:ascii="Arial" w:cs="Arial" w:eastAsia="Arial" w:hAnsi="Arial"/>
          <w:sz w:val="18"/>
          <w:szCs w:val="18"/>
          <w:color w:val="auto"/>
        </w:rPr>
        <w:t>Mr. Marek began his career at Eli Lilly and Company, followed by AstraZeneca, where he served in a variety of marketing and sales roles of increasing responsibility. He earned his Bachelor of Arts degree in Business Administration from Washington State University.</w:t>
      </w:r>
    </w:p>
    <w:p>
      <w:pPr>
        <w:spacing w:after="0" w:line="82" w:lineRule="exact"/>
        <w:rPr>
          <w:sz w:val="20"/>
          <w:szCs w:val="20"/>
          <w:color w:val="auto"/>
        </w:rPr>
      </w:pPr>
    </w:p>
    <w:p>
      <w:pPr>
        <w:ind w:left="300" w:right="799" w:firstLine="360"/>
        <w:spacing w:after="0" w:line="287" w:lineRule="auto"/>
        <w:rPr>
          <w:sz w:val="20"/>
          <w:szCs w:val="20"/>
          <w:color w:val="auto"/>
        </w:rPr>
      </w:pPr>
      <w:r>
        <w:rPr>
          <w:rFonts w:ascii="Arial" w:cs="Arial" w:eastAsia="Arial" w:hAnsi="Arial"/>
          <w:sz w:val="16"/>
          <w:szCs w:val="16"/>
          <w:i w:val="1"/>
          <w:iCs w:val="1"/>
          <w:color w:val="auto"/>
        </w:rPr>
        <w:t xml:space="preserve">Mark Jacobson, M.A. </w:t>
      </w:r>
      <w:r>
        <w:rPr>
          <w:rFonts w:ascii="Arial" w:cs="Arial" w:eastAsia="Arial" w:hAnsi="Arial"/>
          <w:sz w:val="16"/>
          <w:szCs w:val="16"/>
          <w:color w:val="auto"/>
        </w:rPr>
        <w:t>Mr. Jacobson has served as our Chief Operating Officer since March 2020.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serving as our Chief Operating Officer, Mr. Jacobson served as our Senior Vice President, Operations since September 2017 and has been a member of our company since April 2014. Prior to joining our company,</w:t>
      </w:r>
    </w:p>
    <w:p>
      <w:pPr>
        <w:spacing w:after="0" w:line="2"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Personnel</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i w:val="1"/>
          <w:iCs w:val="1"/>
          <w:color w:val="auto"/>
        </w:rPr>
        <w:t xml:space="preserve">Cedric O’Gorman, M.D., M.B.A. </w:t>
      </w:r>
      <w:r>
        <w:rPr>
          <w:rFonts w:ascii="Arial" w:cs="Arial" w:eastAsia="Arial" w:hAnsi="Arial"/>
          <w:sz w:val="16"/>
          <w:szCs w:val="16"/>
          <w:color w:val="auto"/>
        </w:rPr>
        <w:t>Dr. O’Gorman has served as our Senior Vice President, Clinical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Medical Affairs since September 2017. Prior to joining us, Dr. O’Gorman was the Vice President of Medical Affairs at Intra-Cellular Therapies since December 2014. Before that, Dr. O’Gorman was the U.S. medical lead for psychiatry at Genentech/Roche. Prior to Genentech/Roche, Dr. O’Gorman spent five years at Pfizer representing medical affairs on several branded neuroscience products including Geodon for schizophrenia and bipolar disorder, and Pristiq for major depressive disorder. Dr. O’Gorman received his medical degree from the National University of Ireland, in Galway, Ireland, trained at the Institute of Psychiatry, in London, England, and earned his Master of Business Administration from the New York University Stern School of Business.</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i w:val="1"/>
          <w:iCs w:val="1"/>
          <w:color w:val="auto"/>
        </w:rPr>
        <w:t xml:space="preserve">Amanda Jones, Pharm.D. </w:t>
      </w:r>
      <w:r>
        <w:rPr>
          <w:rFonts w:ascii="Arial" w:cs="Arial" w:eastAsia="Arial" w:hAnsi="Arial"/>
          <w:sz w:val="17"/>
          <w:szCs w:val="17"/>
          <w:color w:val="auto"/>
        </w:rPr>
        <w:t>Dr. Jones has served as our Senior Vice President, Clinical Research since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has been a member of the Axsome team since June 2015. Prior to joining Axsome, she had varying roles of increasing responsibility in clinical research &amp; development at Salix Pharmaceuticals and United Therapeutics. Dr. Jones earned her Doctor of Pharmacy degree from and completed a post-doctoral fellowship in clinical research and drug development at the University of North Carolina Eshelman School of Pharmacy. She earned her Bachelor of Science in Biochemistry from Florida State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Executive Compensation Program</w:t>
      </w:r>
    </w:p>
    <w:p>
      <w:pPr>
        <w:spacing w:after="0" w:line="121" w:lineRule="exact"/>
        <w:rPr>
          <w:sz w:val="20"/>
          <w:szCs w:val="20"/>
          <w:color w:val="auto"/>
        </w:rPr>
      </w:pPr>
    </w:p>
    <w:p>
      <w:pPr>
        <w:ind w:left="300" w:right="559" w:firstLine="360"/>
        <w:spacing w:after="0" w:line="311" w:lineRule="auto"/>
        <w:rPr>
          <w:sz w:val="20"/>
          <w:szCs w:val="20"/>
          <w:color w:val="auto"/>
        </w:rPr>
      </w:pPr>
      <w:r>
        <w:rPr>
          <w:rFonts w:ascii="Arial" w:cs="Arial" w:eastAsia="Arial" w:hAnsi="Arial"/>
          <w:sz w:val="16"/>
          <w:szCs w:val="16"/>
          <w:color w:val="auto"/>
        </w:rPr>
        <w:t>This section explains the objectives of our named executive officer (“NEO”) compensation program, the compensation decisions we made with respect to compensation for our fiscal year ended December 31, 2019, and the factors we considered in making those decisions. The named executive officers for fiscal year 2019 include:</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r>
      <w:tr>
        <w:trPr>
          <w:trHeight w:val="277"/>
        </w:trPr>
        <w:tc>
          <w:tcPr>
            <w:tcW w:w="2360" w:type="dxa"/>
            <w:vAlign w:val="bottom"/>
            <w:gridSpan w:val="2"/>
          </w:tcPr>
          <w:p>
            <w:pPr>
              <w:spacing w:after="0"/>
              <w:rPr>
                <w:sz w:val="20"/>
                <w:szCs w:val="20"/>
                <w:color w:val="auto"/>
              </w:rPr>
            </w:pPr>
            <w:r>
              <w:rPr>
                <w:rFonts w:ascii="Arial" w:cs="Arial" w:eastAsia="Arial" w:hAnsi="Arial"/>
                <w:sz w:val="18"/>
                <w:szCs w:val="18"/>
                <w:color w:val="auto"/>
              </w:rPr>
              <w:t>Herriot Tabuteau, M.D.</w:t>
            </w:r>
          </w:p>
        </w:tc>
        <w:tc>
          <w:tcPr>
            <w:tcW w:w="6060" w:type="dxa"/>
            <w:vAlign w:val="bottom"/>
          </w:tcPr>
          <w:p>
            <w:pPr>
              <w:spacing w:after="0"/>
              <w:rPr>
                <w:sz w:val="20"/>
                <w:szCs w:val="20"/>
                <w:color w:val="auto"/>
              </w:rPr>
            </w:pPr>
            <w:r>
              <w:rPr>
                <w:rFonts w:ascii="Arial" w:cs="Arial" w:eastAsia="Arial" w:hAnsi="Arial"/>
                <w:sz w:val="18"/>
                <w:szCs w:val="18"/>
                <w:color w:val="auto"/>
              </w:rPr>
              <w:t>Chief Executive Officer and Chair of the Board</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6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David Marek</w:t>
            </w:r>
          </w:p>
        </w:tc>
        <w:tc>
          <w:tcPr>
            <w:tcW w:w="6060" w:type="dxa"/>
            <w:vAlign w:val="bottom"/>
          </w:tcPr>
          <w:p>
            <w:pPr>
              <w:spacing w:after="0"/>
              <w:rPr>
                <w:sz w:val="20"/>
                <w:szCs w:val="20"/>
                <w:color w:val="auto"/>
              </w:rPr>
            </w:pPr>
            <w:r>
              <w:rPr>
                <w:rFonts w:ascii="Arial" w:cs="Arial" w:eastAsia="Arial" w:hAnsi="Arial"/>
                <w:sz w:val="18"/>
                <w:szCs w:val="18"/>
                <w:color w:val="auto"/>
              </w:rPr>
              <w:t>Chief Commercial Officer</w:t>
            </w:r>
          </w:p>
        </w:tc>
      </w:tr>
    </w:tbl>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Our core CNS product candidate portfolio includes five clinical-stage candidates, AXS-05, AXS-07, AXS-09, AXS-12, and AXS-14. We are developing AXS-05 for major depressive disorder, or MDD, treatment resistant depression, or TRD, Alzheimer's disease, or AD agitation, and for smoking cessation treatment. We are developing AXS-07 for the acute treatment of migraine. We are developing AXS-12 for the treatment of narcolepsy. We are also developing AXS-14 for the treatment of fibromyalgia. We plan to submit a New Drug Application, or NDA, for AXS-05 in the treatment of MDD and an NDA for AXS-07 in the Acute Treatment of Migraine, both in the second half of 2020.</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achieved a number of major milestones in 2019, including the following:</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AXS-05</w:t>
      </w:r>
    </w:p>
    <w:p>
      <w:pPr>
        <w:spacing w:after="0" w:line="121" w:lineRule="exact"/>
        <w:rPr>
          <w:sz w:val="20"/>
          <w:szCs w:val="20"/>
          <w:color w:val="auto"/>
        </w:rPr>
      </w:pPr>
    </w:p>
    <w:p>
      <w:pPr>
        <w:ind w:left="1000" w:right="43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announced that AXS-05 met the prespecified primary endpoint and significantly improved symptoms of depression in the ASCEND study.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received FDA Breakthrough Therapy designation for AXS-05 for the treatment of MDD.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initiated, completed, and reported results for the GEMINI Phase 3 trial in MDD in which AXS-05 met the primary endpoint and significantly improved symptoms of depression.</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AXS-07</w:t>
      </w:r>
    </w:p>
    <w:p>
      <w:pPr>
        <w:spacing w:after="0" w:line="121" w:lineRule="exact"/>
        <w:rPr>
          <w:sz w:val="20"/>
          <w:szCs w:val="20"/>
          <w:color w:val="auto"/>
        </w:rPr>
      </w:pPr>
    </w:p>
    <w:p>
      <w:pPr>
        <w:ind w:left="1000" w:right="37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reached agreement with the FDA under a Special Protocol Assessment, or SPA, for the design, endpoints, and statistical approach of the MOMENTUM Phase 3 trial of AXS-07 in the acute treatment of migraine.</w:t>
      </w:r>
    </w:p>
    <w:p>
      <w:pPr>
        <w:spacing w:after="0" w:line="75"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initiated, completed, and reported results for the MOMENTUM Phase 3 trial in the acute treatment of migraine in which AXS-07 met the co-primary and key secondary endpoints and significantly improved migraine symptoms.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initiated the INTERCEPT Phase 3 trial of AXS-07 in the early treatment of migraine.</w:t>
      </w: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AXS-12</w:t>
      </w:r>
    </w:p>
    <w:p>
      <w:pPr>
        <w:spacing w:after="0" w:line="121" w:lineRule="exact"/>
        <w:rPr>
          <w:sz w:val="20"/>
          <w:szCs w:val="20"/>
          <w:color w:val="auto"/>
        </w:rPr>
      </w:pPr>
    </w:p>
    <w:p>
      <w:pPr>
        <w:ind w:left="1000" w:right="37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initiated, completed, and reported results of the CONCERT Phase 2 trial in narcolepsy in which AXS-12 met the primary endpoint and improved narcolepsy symptoms.</w:t>
      </w:r>
    </w:p>
    <w:p>
      <w:pPr>
        <w:spacing w:after="0" w:line="62"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January 2020, we entered into an exclusive license agreement with Pfizer Inc. for Pfizer's clinical and nonclinical data, and intellectual property for reboxetine, the active pharmaceutical ingredient in AXS-12.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Impact on Shareholder Value Creation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business performance in 2019 has resulted in significant share price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234950</wp:posOffset>
            </wp:positionV>
            <wp:extent cx="4877435" cy="384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7743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Policies and Practices at a Glance</w:t>
      </w:r>
    </w:p>
    <w:p>
      <w:pPr>
        <w:spacing w:after="0" w:line="72" w:lineRule="exact"/>
        <w:rPr>
          <w:sz w:val="20"/>
          <w:szCs w:val="20"/>
          <w:color w:val="auto"/>
        </w:rPr>
      </w:pPr>
    </w:p>
    <w:p>
      <w:pPr>
        <w:jc w:val="right"/>
        <w:ind w:right="1759"/>
        <w:spacing w:after="0"/>
        <w:tabs>
          <w:tab w:leader="none" w:pos="1080" w:val="left"/>
        </w:tabs>
        <w:rPr>
          <w:sz w:val="20"/>
          <w:szCs w:val="20"/>
          <w:color w:val="auto"/>
        </w:rPr>
      </w:pPr>
      <w:r>
        <w:rPr>
          <w:rFonts w:ascii="Arial" w:cs="Arial" w:eastAsia="Arial" w:hAnsi="Arial"/>
          <w:sz w:val="14"/>
          <w:szCs w:val="14"/>
          <w:b w:val="1"/>
          <w:bCs w:val="1"/>
          <w:color w:val="auto"/>
        </w:rPr>
        <w:t>What we do</w:t>
      </w:r>
      <w:r>
        <w:rPr>
          <w:sz w:val="20"/>
          <w:szCs w:val="20"/>
          <w:color w:val="auto"/>
        </w:rPr>
        <w:tab/>
      </w: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7" w:lineRule="exact"/>
        <w:rPr>
          <w:sz w:val="20"/>
          <w:szCs w:val="20"/>
          <w:color w:val="auto"/>
        </w:rPr>
      </w:pPr>
    </w:p>
    <w:p>
      <w:pPr>
        <w:ind w:left="820" w:hanging="524"/>
        <w:spacing w:after="0" w:line="275" w:lineRule="auto"/>
        <w:tabs>
          <w:tab w:leader="none" w:pos="820" w:val="left"/>
        </w:tabs>
        <w:numPr>
          <w:ilvl w:val="0"/>
          <w:numId w:val="52"/>
        </w:numPr>
        <w:rPr>
          <w:rFonts w:ascii="MS PGothic" w:cs="MS PGothic" w:eastAsia="MS PGothic" w:hAnsi="MS PGothic"/>
          <w:sz w:val="17"/>
          <w:szCs w:val="17"/>
          <w:color w:val="auto"/>
        </w:rPr>
      </w:pPr>
      <w:r>
        <w:rPr>
          <w:rFonts w:ascii="Arial" w:cs="Arial" w:eastAsia="Arial" w:hAnsi="Arial"/>
          <w:sz w:val="17"/>
          <w:szCs w:val="17"/>
          <w:color w:val="auto"/>
        </w:rPr>
        <w:t>Practice pay-for-performance, under which a significant percentage of our named executive officer compensation is at-risk and may not be realized if corporate and individual performance goals are not achieved</w:t>
      </w:r>
    </w:p>
    <w:p>
      <w:pPr>
        <w:spacing w:after="0" w:line="41" w:lineRule="exact"/>
        <w:rPr>
          <w:rFonts w:ascii="MS PGothic" w:cs="MS PGothic" w:eastAsia="MS PGothic" w:hAnsi="MS PGothic"/>
          <w:sz w:val="17"/>
          <w:szCs w:val="17"/>
          <w:color w:val="auto"/>
        </w:rPr>
      </w:pPr>
    </w:p>
    <w:p>
      <w:pPr>
        <w:ind w:left="820" w:hanging="524"/>
        <w:spacing w:after="0"/>
        <w:tabs>
          <w:tab w:leader="none" w:pos="82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Set challenging incentive plan goals</w:t>
      </w:r>
    </w:p>
    <w:p>
      <w:pPr>
        <w:spacing w:after="0" w:line="200" w:lineRule="exact"/>
        <w:rPr>
          <w:rFonts w:ascii="MS PGothic" w:cs="MS PGothic" w:eastAsia="MS PGothic" w:hAnsi="MS PGothic"/>
          <w:sz w:val="18"/>
          <w:szCs w:val="18"/>
          <w:color w:val="auto"/>
        </w:rPr>
      </w:pPr>
    </w:p>
    <w:p>
      <w:pPr>
        <w:spacing w:after="0" w:line="322" w:lineRule="exact"/>
        <w:rPr>
          <w:rFonts w:ascii="MS PGothic" w:cs="MS PGothic" w:eastAsia="MS PGothic" w:hAnsi="MS PGothic"/>
          <w:sz w:val="18"/>
          <w:szCs w:val="18"/>
          <w:color w:val="auto"/>
        </w:rPr>
      </w:pPr>
    </w:p>
    <w:p>
      <w:pPr>
        <w:ind w:left="820" w:right="280" w:hanging="524"/>
        <w:spacing w:after="0" w:line="277" w:lineRule="auto"/>
        <w:tabs>
          <w:tab w:leader="none" w:pos="820" w:val="left"/>
        </w:tabs>
        <w:numPr>
          <w:ilvl w:val="0"/>
          <w:numId w:val="52"/>
        </w:numPr>
        <w:rPr>
          <w:rFonts w:ascii="MS PGothic" w:cs="MS PGothic" w:eastAsia="MS PGothic" w:hAnsi="MS PGothic"/>
          <w:sz w:val="18"/>
          <w:szCs w:val="18"/>
          <w:color w:val="auto"/>
        </w:rPr>
      </w:pPr>
      <w:r>
        <w:rPr>
          <w:rFonts w:ascii="Arial" w:cs="Arial" w:eastAsia="Arial" w:hAnsi="Arial"/>
          <w:sz w:val="18"/>
          <w:szCs w:val="18"/>
          <w:color w:val="auto"/>
        </w:rPr>
        <w:t>Maintain an industry-specific peer group for benchmarking compensation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327" w:right="959" w:hanging="327"/>
        <w:spacing w:after="0" w:line="277" w:lineRule="auto"/>
        <w:tabs>
          <w:tab w:leader="none" w:pos="3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Executives are prohibited from hedging or pledging our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327" w:right="739" w:hanging="327"/>
        <w:spacing w:after="0" w:line="263" w:lineRule="auto"/>
        <w:tabs>
          <w:tab w:leader="none" w:pos="3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Committee’s independent consultant performs no other work for the Company</w:t>
      </w:r>
    </w:p>
    <w:p>
      <w:pPr>
        <w:spacing w:after="0" w:line="48" w:lineRule="exact"/>
        <w:rPr>
          <w:rFonts w:ascii="Arial" w:cs="Arial" w:eastAsia="Arial" w:hAnsi="Arial"/>
          <w:sz w:val="18"/>
          <w:szCs w:val="18"/>
          <w:color w:val="auto"/>
        </w:rPr>
      </w:pPr>
    </w:p>
    <w:p>
      <w:pPr>
        <w:ind w:left="327" w:right="379" w:hanging="327"/>
        <w:spacing w:after="0" w:line="302" w:lineRule="auto"/>
        <w:tabs>
          <w:tab w:leader="none" w:pos="3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severance benefits can be triggered automatically upon a change in control (i.e. all change in control provisions are ‘‘double trigger”)</w:t>
      </w:r>
    </w:p>
    <w:p>
      <w:pPr>
        <w:spacing w:after="0" w:line="34" w:lineRule="exact"/>
        <w:rPr>
          <w:sz w:val="20"/>
          <w:szCs w:val="20"/>
          <w:color w:val="auto"/>
        </w:rPr>
      </w:pPr>
    </w:p>
    <w:p>
      <w:pPr>
        <w:sectPr>
          <w:pgSz w:w="11900" w:h="16838" w:orient="portrait"/>
          <w:cols w:equalWidth="0" w:num="2">
            <w:col w:w="4300" w:space="393"/>
            <w:col w:w="4326"/>
          </w:cols>
          <w:pgMar w:left="1440" w:top="265" w:right="1440" w:bottom="1440" w:gutter="0" w:footer="0" w:header="0"/>
          <w:type w:val="continuous"/>
        </w:sectPr>
      </w:pPr>
    </w:p>
    <w:p>
      <w:pPr>
        <w:ind w:left="820" w:right="380" w:hanging="524"/>
        <w:spacing w:after="0" w:line="277" w:lineRule="auto"/>
        <w:tabs>
          <w:tab w:leader="none" w:pos="82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Target named executive officer compensation based on market norms</w:t>
      </w:r>
    </w:p>
    <w:p>
      <w:pPr>
        <w:spacing w:after="0" w:line="35" w:lineRule="exact"/>
        <w:rPr>
          <w:rFonts w:ascii="MS PGothic" w:cs="MS PGothic" w:eastAsia="MS PGothic" w:hAnsi="MS PGothic"/>
          <w:sz w:val="18"/>
          <w:szCs w:val="18"/>
          <w:color w:val="auto"/>
        </w:rPr>
      </w:pPr>
    </w:p>
    <w:p>
      <w:pPr>
        <w:ind w:left="820" w:right="100" w:hanging="524"/>
        <w:spacing w:after="0" w:line="263" w:lineRule="auto"/>
        <w:tabs>
          <w:tab w:leader="none" w:pos="82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Offer market-competitive benefits for named executive officers that are consistent with the rest of our employees</w:t>
      </w:r>
    </w:p>
    <w:p>
      <w:pPr>
        <w:spacing w:after="0" w:line="48" w:lineRule="exact"/>
        <w:rPr>
          <w:rFonts w:ascii="MS PGothic" w:cs="MS PGothic" w:eastAsia="MS PGothic" w:hAnsi="MS PGothic"/>
          <w:sz w:val="18"/>
          <w:szCs w:val="18"/>
          <w:color w:val="auto"/>
        </w:rPr>
      </w:pPr>
    </w:p>
    <w:p>
      <w:pPr>
        <w:ind w:left="820" w:hanging="524"/>
        <w:spacing w:after="0" w:line="277" w:lineRule="auto"/>
        <w:tabs>
          <w:tab w:leader="none" w:pos="82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Do not guarantee annual bonus or guarantee salary increases</w:t>
      </w:r>
    </w:p>
    <w:p>
      <w:pPr>
        <w:spacing w:after="0" w:line="20" w:lineRule="exact"/>
        <w:rPr>
          <w:sz w:val="20"/>
          <w:szCs w:val="20"/>
          <w:color w:val="auto"/>
        </w:rPr>
      </w:pPr>
      <w:r>
        <w:rPr>
          <w:sz w:val="20"/>
          <w:szCs w:val="20"/>
          <w:color w:val="auto"/>
        </w:rPr>
        <w:br w:type="column"/>
      </w:r>
    </w:p>
    <w:p>
      <w:pPr>
        <w:ind w:left="327" w:right="399" w:hanging="327"/>
        <w:spacing w:after="0" w:line="277" w:lineRule="auto"/>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excise tax gross-ups for any change-in-control payments</w:t>
      </w:r>
    </w:p>
    <w:p>
      <w:pPr>
        <w:spacing w:after="0" w:line="35" w:lineRule="exact"/>
        <w:rPr>
          <w:rFonts w:ascii="Arial" w:cs="Arial" w:eastAsia="Arial" w:hAnsi="Arial"/>
          <w:sz w:val="18"/>
          <w:szCs w:val="18"/>
          <w:color w:val="auto"/>
        </w:rPr>
      </w:pPr>
    </w:p>
    <w:p>
      <w:pPr>
        <w:ind w:left="327" w:right="499" w:hanging="327"/>
        <w:spacing w:after="0" w:line="277" w:lineRule="auto"/>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Re-pricing of stock options is prohibited without shareholder approval</w:t>
      </w:r>
    </w:p>
    <w:p>
      <w:pPr>
        <w:spacing w:after="0" w:line="251" w:lineRule="exact"/>
        <w:rPr>
          <w:rFonts w:ascii="Arial" w:cs="Arial" w:eastAsia="Arial" w:hAnsi="Arial"/>
          <w:sz w:val="18"/>
          <w:szCs w:val="18"/>
          <w:color w:val="auto"/>
        </w:rPr>
      </w:pPr>
    </w:p>
    <w:p>
      <w:pPr>
        <w:ind w:left="327" w:right="519" w:hanging="327"/>
        <w:spacing w:after="0" w:line="263" w:lineRule="auto"/>
        <w:tabs>
          <w:tab w:leader="none" w:pos="3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excessive personal perquisites, such as automobile leases, country club memberships or personal use of aircraft</w:t>
      </w:r>
    </w:p>
    <w:p>
      <w:pPr>
        <w:spacing w:after="0" w:line="16" w:lineRule="exact"/>
        <w:rPr>
          <w:sz w:val="20"/>
          <w:szCs w:val="20"/>
          <w:color w:val="auto"/>
        </w:rPr>
      </w:pPr>
    </w:p>
    <w:p>
      <w:pPr>
        <w:sectPr>
          <w:pgSz w:w="11900" w:h="16838" w:orient="portrait"/>
          <w:cols w:equalWidth="0" w:num="2">
            <w:col w:w="4480" w:space="213"/>
            <w:col w:w="4326"/>
          </w:cols>
          <w:pgMar w:left="1440" w:top="265" w:right="1440" w:bottom="1440" w:gutter="0" w:footer="0" w:header="0"/>
          <w:type w:val="continuous"/>
        </w:sectPr>
      </w:pPr>
    </w:p>
    <w:p>
      <w:pPr>
        <w:ind w:left="300"/>
        <w:spacing w:after="0"/>
        <w:tabs>
          <w:tab w:leader="none" w:pos="800" w:val="left"/>
          <w:tab w:leader="none" w:pos="4680" w:val="left"/>
          <w:tab w:leader="none" w:pos="50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Have a pre-established grant date practice for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supplemental executive retirement plans</w:t>
      </w:r>
    </w:p>
    <w:p>
      <w:pPr>
        <w:spacing w:after="0" w:line="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approving executive officers’ equity awards</w:t>
      </w:r>
    </w:p>
    <w:p>
      <w:pPr>
        <w:spacing w:after="0" w:line="74" w:lineRule="exact"/>
        <w:rPr>
          <w:sz w:val="20"/>
          <w:szCs w:val="20"/>
          <w:color w:val="auto"/>
        </w:rPr>
      </w:pPr>
    </w:p>
    <w:p>
      <w:pPr>
        <w:ind w:left="820" w:right="5319" w:hanging="524"/>
        <w:spacing w:after="0" w:line="277" w:lineRule="auto"/>
        <w:tabs>
          <w:tab w:leader="none" w:pos="8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Maintain an independent Compensation Committee</w:t>
      </w:r>
    </w:p>
    <w:p>
      <w:pPr>
        <w:spacing w:after="0" w:line="35" w:lineRule="exact"/>
        <w:rPr>
          <w:rFonts w:ascii="MS PGothic" w:cs="MS PGothic" w:eastAsia="MS PGothic" w:hAnsi="MS PGothic"/>
          <w:sz w:val="18"/>
          <w:szCs w:val="18"/>
          <w:color w:val="auto"/>
        </w:rPr>
      </w:pPr>
    </w:p>
    <w:p>
      <w:pPr>
        <w:ind w:left="820" w:right="4519" w:hanging="524"/>
        <w:spacing w:after="0" w:line="277" w:lineRule="auto"/>
        <w:tabs>
          <w:tab w:leader="none" w:pos="8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Consult with an independent compensation advisor on compensation levels and practices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 compensation program is designed principally to:</w:t>
      </w:r>
    </w:p>
    <w:p>
      <w:pPr>
        <w:spacing w:after="0" w:line="117"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NEOs;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correlate annual cash bonuses to the achievement of operational and financial objectives; and</w:t>
      </w:r>
    </w:p>
    <w:p>
      <w:pPr>
        <w:spacing w:after="0" w:line="117"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our NEOs with appropriate long-term incentives that directly correlate to the enhancement of stockholder value, as well as facilitate executive retention.</w:t>
      </w:r>
    </w:p>
    <w:p>
      <w:pPr>
        <w:spacing w:after="0" w:line="62"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To achieve these objectives, we establish (i) annual base salaries at levels that we believe are competitive with base salaries of executive officers in other comparable publicly-held biopharmaceutical companies, (ii) year-end annual cash bonuses based in part on the achievement of key operational and financial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Roles and Responsibilities</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Compensation Committee has engaged Frederic W. Cook &amp; Co., Inc. (“FW Cook”) as its independent compensation consultant. The Compensation Committee, FW Cook, and our CEO participated in a collaborative process to determine the compensation that our NEOs earned in 2019 (with the exception of our CEO’s compensation, which was evaluated solely by the Compensation Committee, based upon the recommendation of FW Cook):</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Responsible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11055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24" w:lineRule="exact"/>
        <w:rPr>
          <w:sz w:val="20"/>
          <w:szCs w:val="20"/>
          <w:color w:val="auto"/>
        </w:rPr>
      </w:pPr>
    </w:p>
    <w:p>
      <w:pPr>
        <w:ind w:left="300"/>
        <w:spacing w:after="0" w:line="295" w:lineRule="auto"/>
        <w:rPr>
          <w:sz w:val="20"/>
          <w:szCs w:val="20"/>
          <w:color w:val="auto"/>
        </w:rPr>
      </w:pPr>
      <w:r>
        <w:rPr>
          <w:rFonts w:ascii="Arial" w:cs="Arial" w:eastAsia="Arial" w:hAnsi="Arial"/>
          <w:sz w:val="16"/>
          <w:szCs w:val="16"/>
          <w:color w:val="auto"/>
        </w:rPr>
        <w:t>Compensation Committee (Composed solely of independent, non-employee Directors and reports to the Board)</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line="312" w:lineRule="auto"/>
        <w:rPr>
          <w:sz w:val="20"/>
          <w:szCs w:val="20"/>
          <w:color w:val="auto"/>
        </w:rPr>
      </w:pPr>
      <w:r>
        <w:rPr>
          <w:rFonts w:ascii="Arial" w:cs="Arial" w:eastAsia="Arial" w:hAnsi="Arial"/>
          <w:sz w:val="16"/>
          <w:szCs w:val="16"/>
          <w:color w:val="auto"/>
        </w:rPr>
        <w:t>Independent Consultant to the Compensation Committee</w:t>
      </w:r>
      <w:r>
        <w:rPr>
          <w:rFonts w:ascii="Arial" w:cs="Arial" w:eastAsia="Arial" w:hAnsi="Arial"/>
          <w:sz w:val="26"/>
          <w:szCs w:val="26"/>
          <w:color w:val="auto"/>
          <w:vertAlign w:val="superscript"/>
        </w:rPr>
        <w:t>2</w:t>
      </w:r>
      <w:r>
        <w:rPr>
          <w:rFonts w:ascii="Arial" w:cs="Arial" w:eastAsia="Arial" w:hAnsi="Arial"/>
          <w:sz w:val="16"/>
          <w:szCs w:val="16"/>
          <w:color w:val="auto"/>
        </w:rPr>
        <w:t>(FW Cook)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Executive Officers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02"/>
        <w:spacing w:after="0"/>
        <w:rPr>
          <w:sz w:val="20"/>
          <w:szCs w:val="20"/>
          <w:color w:val="auto"/>
        </w:rPr>
      </w:pPr>
      <w:r>
        <w:rPr>
          <w:rFonts w:ascii="Arial" w:cs="Arial" w:eastAsia="Arial" w:hAnsi="Arial"/>
          <w:sz w:val="14"/>
          <w:szCs w:val="14"/>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41230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124" w:lineRule="exact"/>
        <w:rPr>
          <w:sz w:val="20"/>
          <w:szCs w:val="20"/>
          <w:color w:val="auto"/>
        </w:rPr>
      </w:pPr>
    </w:p>
    <w:p>
      <w:pPr>
        <w:ind w:left="278" w:right="619" w:hanging="278"/>
        <w:spacing w:after="0" w:line="263"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Oversees the executive compensation program, policies, and practices, taking into account business goals and strategies, legal and regulatory developments, and evolving best practices;</w:t>
      </w:r>
    </w:p>
    <w:p>
      <w:pPr>
        <w:spacing w:after="0" w:line="48" w:lineRule="exact"/>
        <w:rPr>
          <w:rFonts w:ascii="Arial" w:cs="Arial" w:eastAsia="Arial" w:hAnsi="Arial"/>
          <w:sz w:val="18"/>
          <w:szCs w:val="18"/>
          <w:color w:val="auto"/>
        </w:rPr>
      </w:pPr>
    </w:p>
    <w:p>
      <w:pPr>
        <w:ind w:left="278" w:hanging="278"/>
        <w:spacing w:after="0"/>
        <w:tabs>
          <w:tab w:leader="none" w:pos="2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Approves performance goals for purposes of compensation decisions for the NEOs;</w:t>
      </w:r>
    </w:p>
    <w:p>
      <w:pPr>
        <w:spacing w:after="0" w:line="113" w:lineRule="exact"/>
        <w:rPr>
          <w:rFonts w:ascii="Arial" w:cs="Arial" w:eastAsia="Arial" w:hAnsi="Arial"/>
          <w:sz w:val="16"/>
          <w:szCs w:val="16"/>
          <w:color w:val="auto"/>
        </w:rPr>
      </w:pPr>
    </w:p>
    <w:p>
      <w:pPr>
        <w:ind w:left="278" w:right="339" w:hanging="278"/>
        <w:spacing w:after="0" w:line="277"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Conducts an annual evaluation of the CEO’s performance in consultation with the full Board and determines his compensation;</w:t>
      </w:r>
    </w:p>
    <w:p>
      <w:pPr>
        <w:spacing w:after="0" w:line="35" w:lineRule="exact"/>
        <w:rPr>
          <w:rFonts w:ascii="Arial" w:cs="Arial" w:eastAsia="Arial" w:hAnsi="Arial"/>
          <w:sz w:val="18"/>
          <w:szCs w:val="18"/>
          <w:color w:val="auto"/>
        </w:rPr>
      </w:pPr>
    </w:p>
    <w:p>
      <w:pPr>
        <w:ind w:left="278" w:right="559" w:hanging="278"/>
        <w:spacing w:after="0" w:line="334" w:lineRule="auto"/>
        <w:tabs>
          <w:tab w:leader="none" w:pos="2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Reviews and approves the CEO’s recommendations for compensation for the other NEOs and senior executives, making changes when deemed appropriate;</w:t>
      </w:r>
    </w:p>
    <w:p>
      <w:pPr>
        <w:ind w:left="278" w:hanging="278"/>
        <w:spacing w:after="0"/>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Approves all changes to the composition of the peer group; and</w:t>
      </w:r>
    </w:p>
    <w:p>
      <w:pPr>
        <w:spacing w:after="0" w:line="90" w:lineRule="exact"/>
        <w:rPr>
          <w:rFonts w:ascii="Arial" w:cs="Arial" w:eastAsia="Arial" w:hAnsi="Arial"/>
          <w:sz w:val="18"/>
          <w:szCs w:val="18"/>
          <w:color w:val="auto"/>
        </w:rPr>
      </w:pPr>
    </w:p>
    <w:p>
      <w:pPr>
        <w:ind w:left="278" w:right="1099" w:hanging="278"/>
        <w:spacing w:after="0" w:line="277"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Reviews and makes recommendations to the Board with respect to Director compensation.</w:t>
      </w:r>
    </w:p>
    <w:p>
      <w:pPr>
        <w:spacing w:after="0" w:line="332" w:lineRule="exact"/>
        <w:rPr>
          <w:rFonts w:ascii="Arial" w:cs="Arial" w:eastAsia="Arial" w:hAnsi="Arial"/>
          <w:sz w:val="18"/>
          <w:szCs w:val="18"/>
          <w:color w:val="auto"/>
        </w:rPr>
      </w:pPr>
    </w:p>
    <w:p>
      <w:pPr>
        <w:ind w:left="278" w:right="479" w:hanging="278"/>
        <w:spacing w:after="0" w:line="259"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spacing w:after="0" w:line="51" w:lineRule="exact"/>
        <w:rPr>
          <w:rFonts w:ascii="Arial" w:cs="Arial" w:eastAsia="Arial" w:hAnsi="Arial"/>
          <w:sz w:val="18"/>
          <w:szCs w:val="18"/>
          <w:color w:val="auto"/>
        </w:rPr>
      </w:pPr>
    </w:p>
    <w:p>
      <w:pPr>
        <w:jc w:val="both"/>
        <w:ind w:left="278" w:right="459" w:hanging="278"/>
        <w:spacing w:after="0" w:line="263"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Recommends a relevant group of peer companies and appropriate sources of survey data against which to compare the competitiveness and structure of CEO, executive, and Director compensation;</w:t>
      </w:r>
    </w:p>
    <w:p>
      <w:pPr>
        <w:spacing w:after="0" w:line="48" w:lineRule="exact"/>
        <w:rPr>
          <w:rFonts w:ascii="Arial" w:cs="Arial" w:eastAsia="Arial" w:hAnsi="Arial"/>
          <w:sz w:val="18"/>
          <w:szCs w:val="18"/>
          <w:color w:val="auto"/>
        </w:rPr>
      </w:pPr>
    </w:p>
    <w:p>
      <w:pPr>
        <w:ind w:left="278" w:right="559" w:hanging="278"/>
        <w:spacing w:after="0" w:line="263"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Analyzes peer companies’ CEO, executive, and Director compensation annually to assist the Compensation Committee in determining the appropriateness and competitiveness of compensation;</w:t>
      </w:r>
    </w:p>
    <w:p>
      <w:pPr>
        <w:spacing w:after="0" w:line="48" w:lineRule="exact"/>
        <w:rPr>
          <w:rFonts w:ascii="Arial" w:cs="Arial" w:eastAsia="Arial" w:hAnsi="Arial"/>
          <w:sz w:val="18"/>
          <w:szCs w:val="18"/>
          <w:color w:val="auto"/>
        </w:rPr>
      </w:pPr>
    </w:p>
    <w:p>
      <w:pPr>
        <w:ind w:left="278" w:right="799" w:hanging="278"/>
        <w:spacing w:after="0" w:line="277"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Reviews and advises on any proposed changes to CEO, executive, and Director compensation program design;</w:t>
      </w:r>
    </w:p>
    <w:p>
      <w:pPr>
        <w:spacing w:after="0" w:line="35" w:lineRule="exact"/>
        <w:rPr>
          <w:rFonts w:ascii="Arial" w:cs="Arial" w:eastAsia="Arial" w:hAnsi="Arial"/>
          <w:sz w:val="18"/>
          <w:szCs w:val="18"/>
          <w:color w:val="auto"/>
        </w:rPr>
      </w:pPr>
    </w:p>
    <w:p>
      <w:pPr>
        <w:ind w:left="278" w:hanging="278"/>
        <w:spacing w:after="0"/>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Reviews and assists with compensation disclosure materials; and</w:t>
      </w:r>
    </w:p>
    <w:p>
      <w:pPr>
        <w:spacing w:after="0" w:line="90" w:lineRule="exact"/>
        <w:rPr>
          <w:rFonts w:ascii="Arial" w:cs="Arial" w:eastAsia="Arial" w:hAnsi="Arial"/>
          <w:sz w:val="18"/>
          <w:szCs w:val="18"/>
          <w:color w:val="auto"/>
        </w:rPr>
      </w:pPr>
    </w:p>
    <w:p>
      <w:pPr>
        <w:ind w:left="278" w:right="439" w:hanging="278"/>
        <w:spacing w:after="0" w:line="277"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Provides specific analysis and advice periodically as requested by the Compensation Committee.</w:t>
      </w:r>
    </w:p>
    <w:p>
      <w:pPr>
        <w:spacing w:after="0" w:line="332" w:lineRule="exact"/>
        <w:rPr>
          <w:rFonts w:ascii="Arial" w:cs="Arial" w:eastAsia="Arial" w:hAnsi="Arial"/>
          <w:sz w:val="18"/>
          <w:szCs w:val="18"/>
          <w:color w:val="auto"/>
        </w:rPr>
      </w:pPr>
    </w:p>
    <w:p>
      <w:pPr>
        <w:jc w:val="both"/>
        <w:ind w:left="278" w:right="419" w:hanging="278"/>
        <w:spacing w:after="0" w:line="356" w:lineRule="auto"/>
        <w:tabs>
          <w:tab w:leader="none" w:pos="27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CEO recommends to the Compensation Committee annual compensation for the other NEOs and senior executives based on his assessment of their performance; and</w:t>
      </w:r>
    </w:p>
    <w:p>
      <w:pPr>
        <w:spacing w:after="0" w:line="1" w:lineRule="exact"/>
        <w:rPr>
          <w:rFonts w:ascii="Arial" w:cs="Arial" w:eastAsia="Arial" w:hAnsi="Arial"/>
          <w:sz w:val="15"/>
          <w:szCs w:val="15"/>
          <w:color w:val="auto"/>
        </w:rPr>
      </w:pPr>
    </w:p>
    <w:p>
      <w:pPr>
        <w:ind w:left="278" w:right="439" w:hanging="278"/>
        <w:spacing w:after="0" w:line="263" w:lineRule="auto"/>
        <w:tabs>
          <w:tab w:leader="none" w:pos="2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CEO works with the Compensation Committee Chair to set agendas, prepare materials for Compensation Committee meetings, and generally attends meetings, as appropriate.</w:t>
      </w:r>
    </w:p>
    <w:p>
      <w:pPr>
        <w:spacing w:after="0" w:line="200" w:lineRule="exact"/>
        <w:rPr>
          <w:sz w:val="20"/>
          <w:szCs w:val="20"/>
          <w:color w:val="auto"/>
        </w:rPr>
      </w:pPr>
    </w:p>
    <w:p>
      <w:pPr>
        <w:sectPr>
          <w:pgSz w:w="11900" w:h="16838" w:orient="portrait"/>
          <w:cols w:equalWidth="0" w:num="2">
            <w:col w:w="2000" w:space="222"/>
            <w:col w:w="6797"/>
          </w:cols>
          <w:pgMar w:left="1440" w:top="265" w:right="1440" w:bottom="1440" w:gutter="0" w:footer="0" w:header="0"/>
          <w:type w:val="continuous"/>
        </w:sectPr>
      </w:pPr>
    </w:p>
    <w:p>
      <w:pPr>
        <w:spacing w:after="0" w:line="146" w:lineRule="exact"/>
        <w:rPr>
          <w:sz w:val="20"/>
          <w:szCs w:val="20"/>
          <w:color w:val="auto"/>
        </w:rPr>
      </w:pPr>
    </w:p>
    <w:p>
      <w:pPr>
        <w:ind w:left="2220" w:right="519"/>
        <w:spacing w:after="0" w:line="301" w:lineRule="auto"/>
        <w:rPr>
          <w:sz w:val="20"/>
          <w:szCs w:val="20"/>
          <w:color w:val="auto"/>
        </w:rPr>
      </w:pPr>
      <w:r>
        <w:rPr>
          <w:rFonts w:ascii="Arial" w:cs="Arial" w:eastAsia="Arial" w:hAnsi="Arial"/>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74295</wp:posOffset>
            </wp:positionV>
            <wp:extent cx="8229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46" w:lineRule="exact"/>
        <w:rPr>
          <w:sz w:val="20"/>
          <w:szCs w:val="20"/>
          <w:color w:val="auto"/>
        </w:rPr>
      </w:pPr>
    </w:p>
    <w:p>
      <w:pPr>
        <w:ind w:left="640" w:right="659" w:hanging="348"/>
        <w:spacing w:after="0" w:line="253"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Our Board of Directors has determined that each member of our Compensation Committee is “independent” as that term is defined by applicable Nasdaq rules and is a “non-employee” director as defined under Section 16 of the Exchange Act.</w:t>
      </w:r>
    </w:p>
    <w:p>
      <w:pPr>
        <w:spacing w:after="0" w:line="12" w:lineRule="exact"/>
        <w:rPr>
          <w:sz w:val="20"/>
          <w:szCs w:val="20"/>
          <w:color w:val="auto"/>
        </w:rPr>
      </w:pPr>
    </w:p>
    <w:p>
      <w:pPr>
        <w:ind w:left="640" w:right="339" w:hanging="348"/>
        <w:spacing w:after="0" w:line="229"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During 2019,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the Company and the services performed by FW Cook and the individual compensation advisors employed by FW Cook raised no conflicts of interest.</w:t>
      </w:r>
    </w:p>
    <w:p>
      <w:pPr>
        <w:sectPr>
          <w:pgSz w:w="11900" w:h="16838" w:orient="portrait"/>
          <w:cols w:equalWidth="0" w:num="1">
            <w:col w:w="9019"/>
          </w:cols>
          <w:pgMar w:left="1440" w:top="265" w:right="1440" w:bottom="1440"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Peer and Industry Data</w:t>
      </w:r>
    </w:p>
    <w:p>
      <w:pPr>
        <w:spacing w:after="0" w:line="121"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70"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For purposes of compensation for 2019,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14 peer companies used to establish 2019 compensation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Adamas Pharmaceuticals,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Atara Biotherapeutics,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Biohaven Pharmaceutical Hld. Co.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Brainstorm Cell Therapeutics Inc.</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Concert Pharmaceuticals,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Edge Therapeutics,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Flex Pharma, Inc.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Intra-Cellular Therapies,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Marinus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Minerva Neurosciences,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Neurotrope,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Ovid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Tetraphase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Trevena, Inc.</w:t>
      </w:r>
    </w:p>
    <w:p>
      <w:pPr>
        <w:spacing w:after="0" w:line="103"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300" w:right="559" w:firstLine="360"/>
        <w:spacing w:after="0" w:line="263" w:lineRule="auto"/>
        <w:rPr>
          <w:sz w:val="20"/>
          <w:szCs w:val="20"/>
          <w:color w:val="auto"/>
        </w:rPr>
      </w:pPr>
      <w:r>
        <w:rPr>
          <w:rFonts w:ascii="Arial" w:cs="Arial" w:eastAsia="Arial" w:hAnsi="Arial"/>
          <w:sz w:val="18"/>
          <w:szCs w:val="18"/>
          <w:color w:val="auto"/>
        </w:rPr>
        <w:t>In light of our growth during 2019, the Compensation Committee reviewed the peer group for continued appropriateness to inform 2020 compensation decisions. In August 2019, the Compensation Committee approved the companies below as the basis for its competitive review:</w:t>
      </w:r>
    </w:p>
    <w:p>
      <w:pPr>
        <w:sectPr>
          <w:pgSz w:w="11900" w:h="16838" w:orient="portrait"/>
          <w:cols w:equalWidth="0" w:num="1">
            <w:col w:w="9019"/>
          </w:cols>
          <w:pgMar w:left="1440" w:top="265" w:right="1440" w:bottom="1440" w:gutter="0" w:footer="0" w:header="0"/>
          <w:type w:val="continuous"/>
        </w:sectPr>
      </w:pP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Alder BioPharmaceuticals,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Biohaven Pharmaceutical Hld. Co.Homology Medicines,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Intra-Cellular Therapies,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Krystal Biotech,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MeiraGTx Holdings plc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Omeros Corporation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Principia Biopharma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 Pharmaceuticals, Inc.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Supernus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uniQure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Vanda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Voyager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Zogenix, Inc.</w:t>
      </w:r>
    </w:p>
    <w:p>
      <w:pPr>
        <w:spacing w:after="0" w:line="75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ind w:left="300" w:right="299" w:firstLine="360"/>
        <w:spacing w:after="0" w:line="277" w:lineRule="auto"/>
        <w:rPr>
          <w:sz w:val="20"/>
          <w:szCs w:val="20"/>
          <w:color w:val="auto"/>
        </w:rPr>
      </w:pPr>
      <w:r>
        <w:rPr>
          <w:rFonts w:ascii="Arial" w:cs="Arial" w:eastAsia="Arial" w:hAnsi="Arial"/>
          <w:sz w:val="18"/>
          <w:szCs w:val="18"/>
          <w:color w:val="auto"/>
        </w:rPr>
        <w:t>The Compensation Committee intends to maintain its practice of reviewing the peer group on an annual basis to ensure it continues to appropriately represent our competitive market for executive talent.</w:t>
      </w:r>
    </w:p>
    <w:p>
      <w:pPr>
        <w:spacing w:after="0" w:line="62"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As part of our compensation benchmarking process, we supplement our peer group data with industry- and size-specific survey data representing companies similar to Axsome in size and business model.</w:t>
      </w:r>
    </w:p>
    <w:p>
      <w:pPr>
        <w:spacing w:after="0" w:line="16"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Our Compensation Committee and our Board of Directors use market data as one means of evaluating and establishing executive pay. 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Elements of NEO Compensation</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its review of base salaries for executives, the Compensation Committee primarily considers:</w:t>
      </w:r>
    </w:p>
    <w:p>
      <w:pPr>
        <w:spacing w:after="0" w:line="117"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internal review of the NEO’s compensation, both individually and relative to other NEOs; and</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 salaries paid by comparable companies in the biopharmaceutical industry that have a similar business and financial profile.</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Salary levels are considered annually as part of our Company’s performance review process. Merit-based increases to salaries are based on management’s assessment of the individual’s performance, the recommendations made by the Chief Executive Officer to the Compensation Committee, and the comparative compensation at peer companies.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base salary for each of our NEOs for our fiscal year ended December 31, 2019, is listed in the table below:</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Base</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Base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 ($)</w:t>
            </w: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Salary ($)   % Increase</w:t>
            </w:r>
          </w:p>
        </w:tc>
        <w:tc>
          <w:tcPr>
            <w:tcW w:w="0" w:type="dxa"/>
            <w:vAlign w:val="bottom"/>
          </w:tcPr>
          <w:p>
            <w:pPr>
              <w:spacing w:after="0"/>
              <w:rPr>
                <w:sz w:val="1"/>
                <w:szCs w:val="1"/>
                <w:color w:val="auto"/>
              </w:rPr>
            </w:pPr>
          </w:p>
        </w:tc>
      </w:tr>
      <w:tr>
        <w:trPr>
          <w:trHeight w:val="53"/>
        </w:trPr>
        <w:tc>
          <w:tcPr>
            <w:tcW w:w="58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860" w:type="dxa"/>
            <w:vAlign w:val="bottom"/>
            <w:tcBorders>
              <w:bottom w:val="single" w:sz="8" w:color="CCEEFF"/>
            </w:tcBorders>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0"/>
              </w:rPr>
              <w:t>$435,000</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435,000</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Nick Pizzie, C.P.A., M.B.A.</w:t>
            </w:r>
          </w:p>
        </w:tc>
        <w:tc>
          <w:tcPr>
            <w:tcW w:w="860" w:type="dxa"/>
            <w:vAlign w:val="bottom"/>
            <w:gridSpan w:val="2"/>
          </w:tcPr>
          <w:p>
            <w:pPr>
              <w:jc w:val="center"/>
              <w:ind w:left="96"/>
              <w:spacing w:after="0"/>
              <w:rPr>
                <w:sz w:val="20"/>
                <w:szCs w:val="20"/>
                <w:color w:val="auto"/>
              </w:rPr>
            </w:pPr>
            <w:r>
              <w:rPr>
                <w:rFonts w:ascii="Arial" w:cs="Arial" w:eastAsia="Arial" w:hAnsi="Arial"/>
                <w:sz w:val="18"/>
                <w:szCs w:val="18"/>
                <w:color w:val="auto"/>
                <w:w w:val="90"/>
              </w:rPr>
              <w:t>$325,000</w:t>
            </w:r>
          </w:p>
        </w:tc>
        <w:tc>
          <w:tcPr>
            <w:tcW w:w="2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325,000</w:t>
            </w:r>
          </w:p>
        </w:tc>
        <w:tc>
          <w:tcPr>
            <w:tcW w:w="180" w:type="dxa"/>
            <w:vAlign w:val="bottom"/>
          </w:tcPr>
          <w:p>
            <w:pPr>
              <w:spacing w:after="0"/>
              <w:rPr>
                <w:sz w:val="23"/>
                <w:szCs w:val="23"/>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David Marek</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385,000</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-599440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-599440</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-599440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4"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In recognition of extraordinary growth and performance in 2019, in February 2020, the Compensation Committee approved base salary increases to remain appropriately competitive during a critical stage of growth and increased complexity. For 2020, salaries for Dr. Tabuteau and Mr. Pizzie were increased to $575,000 and $375,000, respectively. Mr. Marek’s salary was not adjusted given his September 2019 hire date.</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Cash Incentive Bonuses</w:t>
      </w:r>
    </w:p>
    <w:p>
      <w:pPr>
        <w:spacing w:after="0" w:line="12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w:t>
      </w:r>
    </w:p>
    <w:p>
      <w:pPr>
        <w:spacing w:after="0" w:line="80"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Historically, at its annual meeting during the first quarter of our fiscal year to consider NEO compensation, the Compensation Committee, in consultation with management, has established corporate goals for the new fiscal year for purposes of, among other things, making its recommendations regarding its annual bonus awards (and equity grants) for the new year to our NEOs and all employees.</w:t>
      </w:r>
    </w:p>
    <w:p>
      <w:pPr>
        <w:spacing w:after="0" w:line="79"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39" w:firstLine="360"/>
        <w:spacing w:after="0" w:line="287" w:lineRule="auto"/>
        <w:rPr>
          <w:sz w:val="20"/>
          <w:szCs w:val="20"/>
          <w:color w:val="auto"/>
        </w:rPr>
      </w:pPr>
      <w:r>
        <w:rPr>
          <w:rFonts w:ascii="Arial" w:cs="Arial" w:eastAsia="Arial" w:hAnsi="Arial"/>
          <w:sz w:val="16"/>
          <w:szCs w:val="16"/>
          <w:color w:val="auto"/>
        </w:rPr>
        <w:t>At the beginning of 2019, the Compensation Committee adopted corporate goals for the determination of cash bonuses to be paid for the 2019 fiscal year. Under the plan adopted by our Board of Directors, cash bonuses, if any, are paid to qualified participating officers and employees based upon (i) the achievement of corporate goals and</w:t>
      </w:r>
    </w:p>
    <w:p>
      <w:pPr>
        <w:spacing w:after="0" w:line="2" w:lineRule="exact"/>
        <w:rPr>
          <w:sz w:val="20"/>
          <w:szCs w:val="20"/>
          <w:color w:val="auto"/>
        </w:rPr>
      </w:pPr>
    </w:p>
    <w:p>
      <w:pPr>
        <w:ind w:left="300" w:right="379" w:hanging="8"/>
        <w:spacing w:after="0" w:line="277" w:lineRule="auto"/>
        <w:tabs>
          <w:tab w:leader="none" w:pos="5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review of personal performance. The corporate goals, and the weight assigned to each of the goals, applies to all officers and employees, including our NEOs. The corporate goals and objectives for the 2019 calendar year were based on meeting certain goals with respect to our operational performance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Approved Performance Measure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Weight</w:t>
            </w:r>
          </w:p>
        </w:tc>
      </w:tr>
      <w:tr>
        <w:trPr>
          <w:trHeight w:val="53"/>
        </w:trPr>
        <w:tc>
          <w:tcPr>
            <w:tcW w:w="75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311"/>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Progress of our clinical trials including initiation, enrollment, and receipt of results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940" w:type="dxa"/>
            <w:vAlign w:val="bottom"/>
            <w:gridSpan w:val="2"/>
          </w:tcPr>
          <w:p>
            <w:pPr>
              <w:spacing w:after="0"/>
              <w:rPr>
                <w:sz w:val="20"/>
                <w:szCs w:val="20"/>
                <w:color w:val="auto"/>
              </w:rPr>
            </w:pPr>
            <w:r>
              <w:rPr>
                <w:rFonts w:ascii="Arial" w:cs="Arial" w:eastAsia="Arial" w:hAnsi="Arial"/>
                <w:sz w:val="18"/>
                <w:szCs w:val="18"/>
                <w:color w:val="auto"/>
              </w:rPr>
              <w:t>Corporate, financial, business development, organizational, and investor relations goals</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
        </w:trPr>
        <w:tc>
          <w:tcPr>
            <w:tcW w:w="7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304"/>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Achievement of regulatory milestones and IP goals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940" w:type="dxa"/>
            <w:vAlign w:val="bottom"/>
            <w:gridSpan w:val="2"/>
          </w:tcPr>
          <w:p>
            <w:pPr>
              <w:spacing w:after="0"/>
              <w:rPr>
                <w:sz w:val="20"/>
                <w:szCs w:val="20"/>
                <w:color w:val="auto"/>
              </w:rPr>
            </w:pPr>
            <w:r>
              <w:rPr>
                <w:rFonts w:ascii="Arial" w:cs="Arial" w:eastAsia="Arial" w:hAnsi="Arial"/>
                <w:sz w:val="18"/>
                <w:szCs w:val="18"/>
                <w:color w:val="auto"/>
              </w:rPr>
              <w:t>CMC and non-clinical initiatives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-805180</wp:posOffset>
            </wp:positionV>
            <wp:extent cx="257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74"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Following the close of the fiscal year, the Compensation Committee evaluated corporate performance against the established goals and objectives and assessed individual performance of the NEOs. Based on its review of the Company’s remarkable performance and thoughtful deliberation around individual achievements, the Compensation Committee approved payouts at the maximum level (150% of target) in recognition of the Company’s exceptional stock price performance and significant clinical and regulatory achievements.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Realization /</w:t>
            </w: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2"/>
              </w:rPr>
              <w:t>Actual 2019</w:t>
            </w:r>
          </w:p>
        </w:tc>
        <w:tc>
          <w:tcPr>
            <w:tcW w:w="0" w:type="dxa"/>
            <w:vAlign w:val="bottom"/>
          </w:tcPr>
          <w:p>
            <w:pPr>
              <w:spacing w:after="0"/>
              <w:rPr>
                <w:sz w:val="1"/>
                <w:szCs w:val="1"/>
                <w:color w:val="auto"/>
              </w:rPr>
            </w:pPr>
          </w:p>
        </w:tc>
      </w:tr>
      <w:tr>
        <w:trPr>
          <w:trHeight w:val="148"/>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9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8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 Base Salary)</w:t>
            </w: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Payout (%)   Bonus ($)</w:t>
            </w:r>
          </w:p>
        </w:tc>
        <w:tc>
          <w:tcPr>
            <w:tcW w:w="0" w:type="dxa"/>
            <w:vAlign w:val="bottom"/>
          </w:tcPr>
          <w:p>
            <w:pPr>
              <w:spacing w:after="0"/>
              <w:rPr>
                <w:sz w:val="1"/>
                <w:szCs w:val="1"/>
                <w:color w:val="auto"/>
              </w:rPr>
            </w:pPr>
          </w:p>
        </w:tc>
      </w:tr>
      <w:tr>
        <w:trPr>
          <w:trHeight w:val="53"/>
        </w:trPr>
        <w:tc>
          <w:tcPr>
            <w:tcW w:w="5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2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$326,250</w:t>
            </w:r>
          </w:p>
        </w:tc>
        <w:tc>
          <w:tcPr>
            <w:tcW w:w="0" w:type="dxa"/>
            <w:vAlign w:val="bottom"/>
          </w:tcPr>
          <w:p>
            <w:pPr>
              <w:spacing w:after="0"/>
              <w:rPr>
                <w:sz w:val="1"/>
                <w:szCs w:val="1"/>
                <w:color w:val="auto"/>
              </w:rPr>
            </w:pPr>
          </w:p>
        </w:tc>
      </w:tr>
      <w:tr>
        <w:trPr>
          <w:trHeight w:val="270"/>
        </w:trPr>
        <w:tc>
          <w:tcPr>
            <w:tcW w:w="548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1200" w:type="dxa"/>
            <w:vAlign w:val="bottom"/>
          </w:tcPr>
          <w:p>
            <w:pPr>
              <w:jc w:val="right"/>
              <w:ind w:right="27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3"/>
              </w:rPr>
              <w:t>$195,000</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12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$231,000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-599440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-599440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-599440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Looking forward to fiscal 2020, in February 2020, the Compensation Committee approved a 2020 target bonus for Dr. Tabuteau of 60% of base salary. Other NEOs’ target bonuses are unchanged from 2019.</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Incentive Compensation</w:t>
      </w:r>
    </w:p>
    <w:p>
      <w:pPr>
        <w:spacing w:after="0" w:line="121" w:lineRule="exact"/>
        <w:rPr>
          <w:sz w:val="20"/>
          <w:szCs w:val="20"/>
          <w:color w:val="auto"/>
        </w:rPr>
      </w:pPr>
    </w:p>
    <w:p>
      <w:pPr>
        <w:ind w:left="300" w:right="439" w:firstLine="360"/>
        <w:spacing w:after="0" w:line="290" w:lineRule="auto"/>
        <w:rPr>
          <w:sz w:val="20"/>
          <w:szCs w:val="20"/>
          <w:color w:val="auto"/>
        </w:rPr>
      </w:pPr>
      <w:r>
        <w:rPr>
          <w:rFonts w:ascii="Arial" w:cs="Arial" w:eastAsia="Arial" w:hAnsi="Arial"/>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our 2015 Omnibus Incentive Plan to provide all of our employees, including our NEOs, with incentives to help align our employees’ interests with the interests of our stockholders and to enable them to participate in the long-term appreciation of our stockholder value. Additionally, equity awards provide an important retention tool for all employees, as the awards generally vest and become exercisable beginning three months following the grant date in equal quarterly installments over four years or based on the achievement of pre-determined performance objectives.</w:t>
      </w:r>
    </w:p>
    <w:p>
      <w:pPr>
        <w:spacing w:after="0" w:line="57"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16"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The determination of whether to grant equity, as well as the size of such grants, to our NEOs involves subjective assessments by the Compensation Committee and our Board of Directors and, with respect to NEOs other than himself, our Chief Executive Officer.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stock option grants to our NEOs, the Compensation Committee and our Board of Directors also considers publicly available data prepared by FW Cook at the request of the Compensation Committee from other similar companies identified by the Compensation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Unless otherwise agreed to by us with respect to a termination without “cause” or for “good reason,” vesting and exercise rights generally cease upon termination of employment, except in the case of death or disability in which case the option terminates upon the expiration of the one-year period after the participant ceases to provide services on account of death or disability. Prior to the exercise of an option, the holder has no rights as a stockholder with respect to the shares subject to such option, including voting rights or the right to receive dividends or dividend equivalents.</w:t>
      </w:r>
    </w:p>
    <w:p>
      <w:pPr>
        <w:spacing w:after="0" w:line="84"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Our Board of Directors has granted our Chief Executive Officer the authority to grant equity to non-executive employees upon joining our Company, and to make grants during each annual non-executive employee review cycle. Our Board of Directors has established specific limits around how much equity the Chief Executive Officer may distribute.</w:t>
      </w:r>
    </w:p>
    <w:p>
      <w:pPr>
        <w:spacing w:after="0" w:line="79"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It is our policy to award stock options at an exercise price equal to the closing price on the Nasdaq Global Market of our common stock on the date of the grant.</w:t>
      </w:r>
    </w:p>
    <w:p>
      <w:pPr>
        <w:spacing w:after="0" w:line="62"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8"/>
          <w:szCs w:val="18"/>
          <w:color w:val="auto"/>
        </w:rPr>
        <w:t>We have no program, practice, or plan to grant equity awards in coordination with the release of material nonpublic information. We also have not timed the release of material nonpublic information for the purpose of affecting the value of equity awards or other compensation, and we have no plan to do so. Generally, the Compensation Committee approves the grant of annual equity awards to our NEOs on the third trading day following the filing of our Annual Report on Form 10-K. Additionally, our option and RSU awards are subject to adjustment or recovery of equity awards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and shall be subject to any applicable clawback or recoupment policies, additional share trading policies, or other policies that may be implemented by the Board from time to time.</w:t>
      </w:r>
    </w:p>
    <w:p>
      <w:pPr>
        <w:spacing w:after="0" w:line="84"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Our Compensation Committee granted stock option awards on March 19, 2019 to the NEOs employed by the Company at that time. These options will vest in substantially equal quarterly installments such that the options will be fully vested on March 19, 2023. The exercise price of $12.95 per share of the options was the closing price of our common stock on March 19, 2019.</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Upon his hire on September 3, 2019, the Compensation Committee approved a new-hire stock option award to Mr. Marek to attract him to join our Company and stake him in Company equity to promote immediate alignment with shareholders. The exercise price of $24.28 per share of the options was the closing price of our common stock on September 3, 2019.</w:t>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Option Awards Granted</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New-Hire Option Award</w:t>
            </w:r>
          </w:p>
        </w:tc>
        <w:tc>
          <w:tcPr>
            <w:tcW w:w="0" w:type="dxa"/>
            <w:vAlign w:val="bottom"/>
          </w:tcPr>
          <w:p>
            <w:pPr>
              <w:spacing w:after="0"/>
              <w:rPr>
                <w:sz w:val="1"/>
                <w:szCs w:val="1"/>
                <w:color w:val="auto"/>
              </w:rPr>
            </w:pPr>
          </w:p>
        </w:tc>
      </w:tr>
      <w:tr>
        <w:trPr>
          <w:trHeight w:val="186"/>
        </w:trPr>
        <w:tc>
          <w:tcPr>
            <w:tcW w:w="5280" w:type="dxa"/>
            <w:vAlign w:val="bottom"/>
            <w:gridSpan w:val="2"/>
            <w:vMerge w:val="continue"/>
          </w:tcPr>
          <w:p>
            <w:pPr>
              <w:spacing w:after="0"/>
              <w:rPr>
                <w:sz w:val="16"/>
                <w:szCs w:val="16"/>
                <w:color w:val="auto"/>
              </w:rPr>
            </w:pPr>
          </w:p>
        </w:tc>
        <w:tc>
          <w:tcPr>
            <w:tcW w:w="1500" w:type="dxa"/>
            <w:vAlign w:val="bottom"/>
          </w:tcPr>
          <w:p>
            <w:pPr>
              <w:jc w:val="right"/>
              <w:ind w:right="437"/>
              <w:spacing w:after="0"/>
              <w:rPr>
                <w:sz w:val="20"/>
                <w:szCs w:val="20"/>
                <w:color w:val="auto"/>
              </w:rPr>
            </w:pPr>
            <w:r>
              <w:rPr>
                <w:rFonts w:ascii="Arial" w:cs="Arial" w:eastAsia="Arial" w:hAnsi="Arial"/>
                <w:sz w:val="14"/>
                <w:szCs w:val="14"/>
                <w:b w:val="1"/>
                <w:bCs w:val="1"/>
                <w:color w:val="auto"/>
              </w:rPr>
              <w:t>3/19/19</w:t>
            </w:r>
          </w:p>
        </w:tc>
        <w:tc>
          <w:tcPr>
            <w:tcW w:w="120" w:type="dxa"/>
            <w:vAlign w:val="bottom"/>
          </w:tcPr>
          <w:p>
            <w:pPr>
              <w:spacing w:after="0"/>
              <w:rPr>
                <w:sz w:val="16"/>
                <w:szCs w:val="16"/>
                <w:color w:val="auto"/>
              </w:rPr>
            </w:pPr>
          </w:p>
        </w:tc>
        <w:tc>
          <w:tcPr>
            <w:tcW w:w="1520" w:type="dxa"/>
            <w:vAlign w:val="bottom"/>
          </w:tcPr>
          <w:p>
            <w:pPr>
              <w:jc w:val="right"/>
              <w:ind w:right="217"/>
              <w:spacing w:after="0"/>
              <w:rPr>
                <w:sz w:val="20"/>
                <w:szCs w:val="20"/>
                <w:color w:val="auto"/>
              </w:rPr>
            </w:pPr>
            <w:r>
              <w:rPr>
                <w:rFonts w:ascii="Arial" w:cs="Arial" w:eastAsia="Arial" w:hAnsi="Arial"/>
                <w:sz w:val="14"/>
                <w:szCs w:val="14"/>
                <w:b w:val="1"/>
                <w:bCs w:val="1"/>
                <w:color w:val="auto"/>
              </w:rPr>
              <w:t>Granted 9/4/19</w:t>
            </w:r>
          </w:p>
        </w:tc>
        <w:tc>
          <w:tcPr>
            <w:tcW w:w="0" w:type="dxa"/>
            <w:vAlign w:val="bottom"/>
          </w:tcPr>
          <w:p>
            <w:pPr>
              <w:spacing w:after="0"/>
              <w:rPr>
                <w:sz w:val="1"/>
                <w:szCs w:val="1"/>
                <w:color w:val="auto"/>
              </w:rPr>
            </w:pPr>
          </w:p>
        </w:tc>
      </w:tr>
      <w:tr>
        <w:trPr>
          <w:trHeight w:val="39"/>
        </w:trPr>
        <w:tc>
          <w:tcPr>
            <w:tcW w:w="5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50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319,212</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75,102</w:t>
            </w:r>
          </w:p>
        </w:tc>
        <w:tc>
          <w:tcPr>
            <w:tcW w:w="120" w:type="dxa"/>
            <w:vAlign w:val="bottom"/>
          </w:tcPr>
          <w:p>
            <w:pPr>
              <w:spacing w:after="0"/>
              <w:rPr>
                <w:sz w:val="21"/>
                <w:szCs w:val="21"/>
                <w:color w:val="auto"/>
              </w:rPr>
            </w:pPr>
          </w:p>
        </w:tc>
        <w:tc>
          <w:tcPr>
            <w:tcW w:w="152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-522605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-522605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In October 2019, to further motivate and support the achievement of critical clinical and operational objectives to support our long-term growth and performance, the Compensation Committee awarded the NEOs performance-based stock options whose 4-year vesting was subject to acceleration upon achievement of pre-determined milestones. The accelerated vesting provision was to recognize the extraordinary amount of work required in the fourth quarter of 2019, which coincided with the end of the calendar year, mandating a significant amount of time and effort, including working through holidays, in order to accomplish the objectives by year end. For the NEOs, accelerated vesting applied to four equal tranches of the option award (25% each of total number of shares) based on achievement of predetermined clinical milestones prior to or on December 31, 2019. In addition to the clinical milestones, 25% of the Chief Financial Officer’s award could also accelerate and become exercisable if the Company completed a successful public financing on or prior to January 31, 2020 as determined by the Chief Executive Officer. The award will be fully vested and exercisable on December 30, 2023, unless the vesting schedule is accelerated as described above, and provided the NEO is employed by, or providing services to, the Company on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186"/>
        </w:trPr>
        <w:tc>
          <w:tcPr>
            <w:tcW w:w="6620" w:type="dxa"/>
            <w:vAlign w:val="bottom"/>
            <w:gridSpan w:val="2"/>
          </w:tcPr>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 Option Awards</w:t>
            </w:r>
          </w:p>
        </w:tc>
        <w:tc>
          <w:tcPr>
            <w:tcW w:w="0" w:type="dxa"/>
            <w:vAlign w:val="bottom"/>
          </w:tcPr>
          <w:p>
            <w:pPr>
              <w:spacing w:after="0"/>
              <w:rPr>
                <w:sz w:val="1"/>
                <w:szCs w:val="1"/>
                <w:color w:val="auto"/>
              </w:rPr>
            </w:pPr>
          </w:p>
        </w:tc>
      </w:tr>
      <w:tr>
        <w:trPr>
          <w:trHeight w:val="186"/>
        </w:trPr>
        <w:tc>
          <w:tcPr>
            <w:tcW w:w="662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Granted 10/10/19</w:t>
            </w:r>
          </w:p>
        </w:tc>
        <w:tc>
          <w:tcPr>
            <w:tcW w:w="0" w:type="dxa"/>
            <w:vAlign w:val="bottom"/>
          </w:tcPr>
          <w:p>
            <w:pPr>
              <w:spacing w:after="0"/>
              <w:rPr>
                <w:sz w:val="1"/>
                <w:szCs w:val="1"/>
                <w:color w:val="auto"/>
              </w:rPr>
            </w:pPr>
          </w:p>
        </w:tc>
      </w:tr>
      <w:tr>
        <w:trPr>
          <w:trHeight w:val="53"/>
        </w:trPr>
        <w:tc>
          <w:tcPr>
            <w:tcW w:w="6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68,837</w:t>
            </w:r>
          </w:p>
        </w:tc>
        <w:tc>
          <w:tcPr>
            <w:tcW w:w="0" w:type="dxa"/>
            <w:vAlign w:val="bottom"/>
          </w:tcPr>
          <w:p>
            <w:pPr>
              <w:spacing w:after="0"/>
              <w:rPr>
                <w:sz w:val="1"/>
                <w:szCs w:val="1"/>
                <w:color w:val="auto"/>
              </w:rPr>
            </w:pPr>
          </w:p>
        </w:tc>
      </w:tr>
      <w:tr>
        <w:trPr>
          <w:trHeight w:val="270"/>
        </w:trPr>
        <w:tc>
          <w:tcPr>
            <w:tcW w:w="662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25,813</w:t>
            </w:r>
          </w:p>
        </w:tc>
        <w:tc>
          <w:tcPr>
            <w:tcW w:w="0" w:type="dxa"/>
            <w:vAlign w:val="bottom"/>
          </w:tcPr>
          <w:p>
            <w:pPr>
              <w:spacing w:after="0"/>
              <w:rPr>
                <w:sz w:val="1"/>
                <w:szCs w:val="1"/>
                <w:color w:val="auto"/>
              </w:rPr>
            </w:pPr>
          </w:p>
        </w:tc>
      </w:tr>
      <w:tr>
        <w:trPr>
          <w:trHeight w:val="54"/>
        </w:trPr>
        <w:tc>
          <w:tcPr>
            <w:tcW w:w="6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-599440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left="300" w:right="519" w:firstLine="360"/>
        <w:spacing w:after="0" w:line="275" w:lineRule="auto"/>
        <w:rPr>
          <w:sz w:val="20"/>
          <w:szCs w:val="20"/>
          <w:color w:val="auto"/>
        </w:rPr>
      </w:pPr>
      <w:r>
        <w:rPr>
          <w:rFonts w:ascii="Arial" w:cs="Arial" w:eastAsia="Arial" w:hAnsi="Arial"/>
          <w:sz w:val="17"/>
          <w:szCs w:val="17"/>
          <w:color w:val="auto"/>
        </w:rPr>
        <w:t>The performance-based options were granted on October 10, 2019 with an exercise price based on that day’s closing price of $17.61 per share. As a result of significant effort and execution on the part of the NEOs and other employees, two of the four clinical milestones were determined to be achieved by December 31, 2019 resulting in 50% of the shares becoming fully vested and exercisable. The remaining shares of the award will vest quarterly in substantially equal installments over the remainder of the original vesting period.</w:t>
      </w:r>
    </w:p>
    <w:p>
      <w:pPr>
        <w:spacing w:after="0" w:line="68" w:lineRule="exact"/>
        <w:rPr>
          <w:sz w:val="20"/>
          <w:szCs w:val="20"/>
          <w:color w:val="auto"/>
        </w:rPr>
      </w:pPr>
    </w:p>
    <w:p>
      <w:pPr>
        <w:jc w:val="both"/>
        <w:ind w:left="300" w:right="359" w:firstLine="360"/>
        <w:spacing w:after="0" w:line="254" w:lineRule="auto"/>
        <w:rPr>
          <w:sz w:val="20"/>
          <w:szCs w:val="20"/>
          <w:color w:val="auto"/>
        </w:rPr>
      </w:pPr>
      <w:r>
        <w:rPr>
          <w:rFonts w:ascii="Arial" w:cs="Arial" w:eastAsia="Arial" w:hAnsi="Arial"/>
          <w:sz w:val="18"/>
          <w:szCs w:val="18"/>
          <w:color w:val="auto"/>
        </w:rPr>
        <w:t>For 2020, the Compensation Committee approved annual equity awards to our NEOs and other key personnel. To promote retention and provide a balanced portfolio of equity vehicles, as well as to better align with practices of companies with similar market caps to our size as of the time of approval, the Compensation Committee determined to award a portion of 2020 equity awards in the form of restricted stock units, or RSUs. The RSUs vest in four even annual increments beginning on the first anniversary of grant. These equity awards were granted on the third trading day following the filing of our Annual Report on Form 10-K, which was filed with the SEC on March 12, 2020. As such, the exercise price of $45.14 per share of the options was the closing price of our common stock on March 17, 2020.</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Stock Options Granted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RSUs Granted</w:t>
            </w:r>
          </w:p>
        </w:tc>
        <w:tc>
          <w:tcPr>
            <w:tcW w:w="0" w:type="dxa"/>
            <w:vAlign w:val="bottom"/>
          </w:tcPr>
          <w:p>
            <w:pPr>
              <w:spacing w:after="0"/>
              <w:rPr>
                <w:sz w:val="1"/>
                <w:szCs w:val="1"/>
                <w:color w:val="auto"/>
              </w:rPr>
            </w:pPr>
          </w:p>
        </w:tc>
      </w:tr>
      <w:tr>
        <w:trPr>
          <w:trHeight w:val="186"/>
        </w:trPr>
        <w:tc>
          <w:tcPr>
            <w:tcW w:w="586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3/17/20</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3/17/20</w:t>
            </w:r>
          </w:p>
        </w:tc>
        <w:tc>
          <w:tcPr>
            <w:tcW w:w="0" w:type="dxa"/>
            <w:vAlign w:val="bottom"/>
          </w:tcPr>
          <w:p>
            <w:pPr>
              <w:spacing w:after="0"/>
              <w:rPr>
                <w:sz w:val="1"/>
                <w:szCs w:val="1"/>
                <w:color w:val="auto"/>
              </w:rPr>
            </w:pPr>
          </w:p>
        </w:tc>
      </w:tr>
      <w:tr>
        <w:trPr>
          <w:trHeight w:val="53"/>
        </w:trPr>
        <w:tc>
          <w:tcPr>
            <w:tcW w:w="56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4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rPr>
              <w:t>168,776</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51,691</w:t>
            </w:r>
          </w:p>
        </w:tc>
        <w:tc>
          <w:tcPr>
            <w:tcW w:w="0" w:type="dxa"/>
            <w:vAlign w:val="bottom"/>
          </w:tcPr>
          <w:p>
            <w:pPr>
              <w:spacing w:after="0"/>
              <w:rPr>
                <w:sz w:val="1"/>
                <w:szCs w:val="1"/>
                <w:color w:val="auto"/>
              </w:rPr>
            </w:pP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1440" w:type="dxa"/>
            <w:vAlign w:val="bottom"/>
          </w:tcPr>
          <w:p>
            <w:pPr>
              <w:jc w:val="right"/>
              <w:ind w:right="357"/>
              <w:spacing w:after="0"/>
              <w:rPr>
                <w:sz w:val="20"/>
                <w:szCs w:val="20"/>
                <w:color w:val="auto"/>
              </w:rPr>
            </w:pPr>
            <w:r>
              <w:rPr>
                <w:rFonts w:ascii="Arial" w:cs="Arial" w:eastAsia="Arial" w:hAnsi="Arial"/>
                <w:sz w:val="18"/>
                <w:szCs w:val="18"/>
                <w:color w:val="auto"/>
              </w:rPr>
              <w:t>60,880</w:t>
            </w:r>
          </w:p>
        </w:tc>
        <w:tc>
          <w:tcPr>
            <w:tcW w:w="2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18,645</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14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53,984</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-599440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-599440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Aspects of Our Compensation Program</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Retirement Plans, Perquisites and Other Personal Benefits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and a 401(k) plan.</w:t>
      </w:r>
    </w:p>
    <w:p>
      <w:pPr>
        <w:spacing w:after="0" w:line="76"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Under the tax-qualified employee savings and retirement plan, our 401(k) plan, all eligible U.S. employees, including our named executive officers, may elect to defer a percentage of their eligible compensation in our 401(k) plan, subject to the annual IRS limit. We currently do not match 401 (k) contributions.</w:t>
      </w:r>
    </w:p>
    <w:p>
      <w:pPr>
        <w:spacing w:after="0" w:line="41"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We do not provide perquisites or other personal benefits to our named executive officers other than those that we provide to our employees. We do not provide any tax reimbursement payments (including “gross-ups”) on any personal benefits, except in the case of certain relocation benefits.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Severance Agreements</w:t>
      </w:r>
    </w:p>
    <w:p>
      <w:pPr>
        <w:spacing w:after="0" w:line="117"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We have entered into employment agreements with two of our named executive officers and, accordingly, these named executive officers have severance agreements in place with us. Our Chief Financial Officer, Nick Pizzie, has included in his employment agreement that in the event we terminate his employment without cause within 12 months of a Change in Control of the Company, he will be eligible to receive severance payments equal to six (6) months of his then existing base salary. Our Chief Commercial Officer, David Marek, has included in his employment agreement in the event we terminate his employment without cause, he will be eligible to receive severance payments equal to eight (8) months of his then existing base salary.</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Advisory Vote</w:t>
      </w:r>
    </w:p>
    <w:p>
      <w:pPr>
        <w:spacing w:after="0" w:line="121"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Because we are still an emerging growth company, we are not yet required to hold a non-binding advisory stockholder vote on the compensation program for our named executive officers. Due to the time elapsed since our initial public offering, we will no longer be an emerging growth company as of December 31, 2020, and therefore, expect our first non-binding advisory stockholder vote on the compensation program for our named executive officers will be held at next year’s annual meeting.</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Insider Trading Policy</w:t>
      </w:r>
    </w:p>
    <w:p>
      <w:pPr>
        <w:spacing w:after="0" w:line="12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Our insider trading policy prohibits short sales and derivative transactions of our stock by our named executive officers, directors and specified other employees, including short sales of our securities, including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named executive officers, directors and specified other employees from purchasing our securities on margin, borrowing against Company securities held in a margin account, or pledging our securities as collateral for a loan.</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Commitment to Corporate Responsibility</w:t>
      </w:r>
    </w:p>
    <w:p>
      <w:pPr>
        <w:spacing w:after="0" w:line="121"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Axsome’s corporate responsibility is fundamental to our long-term success. It is also now more than ever important to our stakeholders. We have a commitment to environmental, social and governance (“ESG”) issues. We continue to improve our environmental sustainability by, among other programs, complying with our local and state recycling programs. Further, we have a commitment to social issues, including the diversity of our board, management and employees. It starts at the top, where we have a diverse board and management team. Lastly, our corporate governance principles are focused on ethics and transparency. We will continue to focus on ESG issues during 2020.</w:t>
      </w: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During 2019, no member of the Compensation Committee served as one of our officers, former officers, or employees. During 2019, none of our named executive officers served as a member of the compensation committee of any other entity, one of whose executive officers served as a member of our Board of Directors or Compensation Committee, and none of our named executive officers served as a member of the Board of Directors of any other entity.</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300" w:right="499" w:firstLine="360"/>
        <w:spacing w:after="0" w:line="279" w:lineRule="auto"/>
        <w:rPr>
          <w:sz w:val="20"/>
          <w:szCs w:val="20"/>
          <w:color w:val="auto"/>
        </w:rPr>
      </w:pPr>
      <w:r>
        <w:rPr>
          <w:rFonts w:ascii="Arial" w:cs="Arial" w:eastAsia="Arial" w:hAnsi="Arial"/>
          <w:sz w:val="17"/>
          <w:szCs w:val="17"/>
          <w:color w:val="auto"/>
        </w:rPr>
        <w:t>The Compensation Committee of our Board of Directors has reviewed and discussed with management the section captioned “Executive Compensation – Compensation Discussion and Analysis” and, based on such review and discussions, the Compensation Committee recommended to our Board of Directors that this “Executive Compensation – Compensation Discussion and Analysis” be included in this Proxy Statement.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Myrtle Potter (Chair)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Mark Coleman, M.D.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Roger Jeffs, Ph.D.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Mark Saad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The following table provides information concerning the compensation paid to our Chief Executive Officer, Chief Financial Officer, and Chief Commercial Officer for the fiscal years ended December 31, 2019, December 31, 2018 and December 31, 2017. We refer to these individuals as our named executive officers (“NEOs”).</w:t>
      </w:r>
    </w:p>
    <w:p>
      <w:pPr>
        <w:spacing w:after="0" w:line="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Non-equity</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7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Awards</w:t>
            </w: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6"/>
                <w:szCs w:val="26"/>
                <w:b w:val="1"/>
                <w:bCs w:val="1"/>
                <w:color w:val="auto"/>
                <w:w w:val="86"/>
                <w:vertAlign w:val="subscript"/>
              </w:rPr>
              <w:t>($)</w:t>
            </w:r>
            <w:r>
              <w:rPr>
                <w:rFonts w:ascii="Arial" w:cs="Arial" w:eastAsia="Arial" w:hAnsi="Arial"/>
                <w:sz w:val="11"/>
                <w:szCs w:val="11"/>
                <w:b w:val="1"/>
                <w:bCs w:val="1"/>
                <w:color w:val="auto"/>
                <w:w w:val="86"/>
              </w:rPr>
              <w:t>(8)</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435,000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3,954,503</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9" w:lineRule="exact"/>
              <w:rPr>
                <w:sz w:val="20"/>
                <w:szCs w:val="20"/>
                <w:color w:val="auto"/>
              </w:rPr>
            </w:pPr>
            <w:r>
              <w:rPr>
                <w:rFonts w:ascii="Arial" w:cs="Arial" w:eastAsia="Arial" w:hAnsi="Arial"/>
                <w:sz w:val="17"/>
                <w:szCs w:val="17"/>
                <w:color w:val="auto"/>
              </w:rPr>
              <w:t>326,250</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4,715,754</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0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435,000</w:t>
            </w:r>
          </w:p>
        </w:tc>
        <w:tc>
          <w:tcPr>
            <w:tcW w:w="2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361,425</w:t>
            </w: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261,000</w:t>
            </w:r>
            <w:r>
              <w:rPr>
                <w:rFonts w:ascii="Arial" w:cs="Arial" w:eastAsia="Arial" w:hAnsi="Arial"/>
                <w:sz w:val="29"/>
                <w:szCs w:val="29"/>
                <w:color w:val="auto"/>
                <w:w w:val="99"/>
                <w:vertAlign w:val="superscript"/>
              </w:rPr>
              <w:t>(2)</w:t>
            </w:r>
          </w:p>
        </w:tc>
        <w:tc>
          <w:tcPr>
            <w:tcW w:w="3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1,057,425</w:t>
            </w:r>
          </w:p>
        </w:tc>
        <w:tc>
          <w:tcPr>
            <w:tcW w:w="0" w:type="dxa"/>
            <w:vAlign w:val="bottom"/>
          </w:tcPr>
          <w:p>
            <w:pPr>
              <w:spacing w:after="0"/>
              <w:rPr>
                <w:sz w:val="1"/>
                <w:szCs w:val="1"/>
                <w:color w:val="auto"/>
              </w:rPr>
            </w:pPr>
          </w:p>
        </w:tc>
      </w:tr>
      <w:tr>
        <w:trPr>
          <w:trHeight w:val="136"/>
        </w:trPr>
        <w:tc>
          <w:tcPr>
            <w:tcW w:w="2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i w:val="1"/>
                <w:iCs w:val="1"/>
                <w:color w:val="auto"/>
              </w:rPr>
              <w:t>Chairman of the Board</w:t>
            </w:r>
          </w:p>
        </w:tc>
        <w:tc>
          <w:tcPr>
            <w:tcW w:w="14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10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435,000</w:t>
            </w:r>
          </w:p>
        </w:tc>
        <w:tc>
          <w:tcPr>
            <w:tcW w:w="26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488,252</w:t>
            </w:r>
          </w:p>
        </w:tc>
        <w:tc>
          <w:tcPr>
            <w:tcW w:w="2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line="296" w:lineRule="exact"/>
              <w:rPr>
                <w:sz w:val="20"/>
                <w:szCs w:val="20"/>
                <w:color w:val="auto"/>
              </w:rPr>
            </w:pPr>
            <w:r>
              <w:rPr>
                <w:rFonts w:ascii="Arial" w:cs="Arial" w:eastAsia="Arial" w:hAnsi="Arial"/>
                <w:sz w:val="18"/>
                <w:szCs w:val="18"/>
                <w:color w:val="auto"/>
                <w:w w:val="99"/>
              </w:rPr>
              <w:t>200,100</w:t>
            </w:r>
            <w:r>
              <w:rPr>
                <w:rFonts w:ascii="Arial" w:cs="Arial" w:eastAsia="Arial" w:hAnsi="Arial"/>
                <w:sz w:val="29"/>
                <w:szCs w:val="29"/>
                <w:color w:val="auto"/>
                <w:w w:val="99"/>
                <w:vertAlign w:val="superscript"/>
              </w:rPr>
              <w:t>(3)</w:t>
            </w:r>
          </w:p>
        </w:tc>
        <w:tc>
          <w:tcPr>
            <w:tcW w:w="30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1,123,352</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52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325,000</w:t>
            </w:r>
          </w:p>
        </w:tc>
        <w:tc>
          <w:tcPr>
            <w:tcW w:w="26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w w:val="99"/>
              </w:rPr>
              <w:t>1,049,837</w:t>
            </w:r>
          </w:p>
        </w:tc>
        <w:tc>
          <w:tcPr>
            <w:tcW w:w="280" w:type="dxa"/>
            <w:vAlign w:val="bottom"/>
          </w:tcPr>
          <w:p>
            <w:pPr>
              <w:spacing w:after="0"/>
              <w:rPr>
                <w:sz w:val="21"/>
                <w:szCs w:val="21"/>
                <w:color w:val="auto"/>
              </w:rPr>
            </w:pPr>
          </w:p>
        </w:tc>
        <w:tc>
          <w:tcPr>
            <w:tcW w:w="900" w:type="dxa"/>
            <w:vAlign w:val="bottom"/>
          </w:tcPr>
          <w:p>
            <w:pPr>
              <w:jc w:val="right"/>
              <w:spacing w:after="0" w:line="242" w:lineRule="exact"/>
              <w:rPr>
                <w:sz w:val="20"/>
                <w:szCs w:val="20"/>
                <w:color w:val="auto"/>
              </w:rPr>
            </w:pPr>
            <w:r>
              <w:rPr>
                <w:rFonts w:ascii="Arial" w:cs="Arial" w:eastAsia="Arial" w:hAnsi="Arial"/>
                <w:sz w:val="17"/>
                <w:szCs w:val="17"/>
                <w:color w:val="auto"/>
              </w:rPr>
              <w:t>195,000</w:t>
            </w:r>
            <w:r>
              <w:rPr>
                <w:rFonts w:ascii="Arial" w:cs="Arial" w:eastAsia="Arial" w:hAnsi="Arial"/>
                <w:sz w:val="28"/>
                <w:szCs w:val="28"/>
                <w:color w:val="auto"/>
                <w:vertAlign w:val="superscript"/>
              </w:rPr>
              <w:t>(1)</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1,569,838</w:t>
            </w:r>
          </w:p>
        </w:tc>
        <w:tc>
          <w:tcPr>
            <w:tcW w:w="0" w:type="dxa"/>
            <w:vAlign w:val="bottom"/>
          </w:tcPr>
          <w:p>
            <w:pPr>
              <w:spacing w:after="0"/>
              <w:rPr>
                <w:sz w:val="1"/>
                <w:szCs w:val="1"/>
                <w:color w:val="auto"/>
              </w:rPr>
            </w:pPr>
          </w:p>
        </w:tc>
      </w:tr>
      <w:tr>
        <w:trPr>
          <w:trHeight w:val="230"/>
        </w:trPr>
        <w:tc>
          <w:tcPr>
            <w:tcW w:w="25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vMerge w:val="restart"/>
          </w:tcPr>
          <w:p>
            <w:pPr>
              <w:ind w:left="260"/>
              <w:spacing w:after="0"/>
              <w:rPr>
                <w:sz w:val="20"/>
                <w:szCs w:val="20"/>
                <w:color w:val="auto"/>
              </w:rPr>
            </w:pPr>
            <w:r>
              <w:rPr>
                <w:rFonts w:ascii="Arial" w:cs="Arial" w:eastAsia="Arial" w:hAnsi="Arial"/>
                <w:sz w:val="18"/>
                <w:szCs w:val="18"/>
                <w:color w:val="auto"/>
                <w:w w:val="85"/>
              </w:rPr>
              <w:t>203,125</w:t>
            </w:r>
            <w:r>
              <w:rPr>
                <w:rFonts w:ascii="Arial" w:cs="Arial" w:eastAsia="Arial" w:hAnsi="Arial"/>
                <w:sz w:val="29"/>
                <w:szCs w:val="29"/>
                <w:color w:val="auto"/>
                <w:w w:val="85"/>
                <w:vertAlign w:val="superscript"/>
              </w:rPr>
              <w:t>(4)</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15,000</w:t>
            </w:r>
            <w:r>
              <w:rPr>
                <w:rFonts w:ascii="Arial" w:cs="Arial" w:eastAsia="Arial" w:hAnsi="Arial"/>
                <w:sz w:val="29"/>
                <w:szCs w:val="29"/>
                <w:color w:val="auto"/>
                <w:vertAlign w:val="superscript"/>
              </w:rPr>
              <w:t>(5)</w:t>
            </w:r>
          </w:p>
        </w:tc>
        <w:tc>
          <w:tcPr>
            <w:tcW w:w="280" w:type="dxa"/>
            <w:vAlign w:val="bottom"/>
          </w:tcPr>
          <w:p>
            <w:pPr>
              <w:spacing w:after="0"/>
              <w:rPr>
                <w:sz w:val="20"/>
                <w:szCs w:val="20"/>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8"/>
                <w:szCs w:val="18"/>
                <w:color w:val="auto"/>
              </w:rPr>
              <w:t>313,856</w:t>
            </w:r>
          </w:p>
        </w:tc>
        <w:tc>
          <w:tcPr>
            <w:tcW w:w="2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156,000</w:t>
            </w:r>
            <w:r>
              <w:rPr>
                <w:rFonts w:ascii="Arial" w:cs="Arial" w:eastAsia="Arial" w:hAnsi="Arial"/>
                <w:sz w:val="29"/>
                <w:szCs w:val="29"/>
                <w:color w:val="auto"/>
                <w:w w:val="99"/>
                <w:vertAlign w:val="superscript"/>
              </w:rPr>
              <w:t>(2)</w:t>
            </w:r>
          </w:p>
        </w:tc>
        <w:tc>
          <w:tcPr>
            <w:tcW w:w="30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687,981</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40" w:type="dxa"/>
            <w:vAlign w:val="bottom"/>
            <w:gridSpan w:val="2"/>
            <w:shd w:val="clear" w:color="auto" w:fill="CCEEFF"/>
          </w:tcPr>
          <w:p>
            <w:pPr>
              <w:ind w:left="260"/>
              <w:spacing w:after="0" w:line="242" w:lineRule="exact"/>
              <w:rPr>
                <w:sz w:val="20"/>
                <w:szCs w:val="20"/>
                <w:color w:val="auto"/>
              </w:rPr>
            </w:pPr>
            <w:r>
              <w:rPr>
                <w:rFonts w:ascii="Arial" w:cs="Arial" w:eastAsia="Arial" w:hAnsi="Arial"/>
                <w:sz w:val="17"/>
                <w:szCs w:val="17"/>
                <w:color w:val="auto"/>
                <w:w w:val="90"/>
              </w:rPr>
              <w:t>128,333</w:t>
            </w:r>
            <w:r>
              <w:rPr>
                <w:rFonts w:ascii="Arial" w:cs="Arial" w:eastAsia="Arial" w:hAnsi="Arial"/>
                <w:sz w:val="28"/>
                <w:szCs w:val="28"/>
                <w:color w:val="auto"/>
                <w:w w:val="90"/>
                <w:vertAlign w:val="superscript"/>
              </w:rPr>
              <w:t>(6)</w:t>
            </w:r>
          </w:p>
        </w:tc>
        <w:tc>
          <w:tcPr>
            <w:tcW w:w="940" w:type="dxa"/>
            <w:vAlign w:val="bottom"/>
            <w:gridSpan w:val="2"/>
            <w:shd w:val="clear" w:color="auto" w:fill="CCEEFF"/>
          </w:tcPr>
          <w:p>
            <w:pPr>
              <w:jc w:val="right"/>
              <w:spacing w:after="0" w:line="242" w:lineRule="exact"/>
              <w:rPr>
                <w:sz w:val="20"/>
                <w:szCs w:val="20"/>
                <w:color w:val="auto"/>
              </w:rPr>
            </w:pPr>
            <w:r>
              <w:rPr>
                <w:rFonts w:ascii="Arial" w:cs="Arial" w:eastAsia="Arial" w:hAnsi="Arial"/>
                <w:sz w:val="17"/>
                <w:szCs w:val="17"/>
                <w:color w:val="auto"/>
              </w:rPr>
              <w:t>65,000</w:t>
            </w:r>
            <w:r>
              <w:rPr>
                <w:rFonts w:ascii="Arial" w:cs="Arial" w:eastAsia="Arial" w:hAnsi="Arial"/>
                <w:sz w:val="28"/>
                <w:szCs w:val="28"/>
                <w:color w:val="auto"/>
                <w:vertAlign w:val="superscript"/>
              </w:rPr>
              <w:t>(7)</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2,545,597</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2" w:lineRule="exact"/>
              <w:rPr>
                <w:sz w:val="20"/>
                <w:szCs w:val="20"/>
                <w:color w:val="auto"/>
              </w:rPr>
            </w:pPr>
            <w:r>
              <w:rPr>
                <w:rFonts w:ascii="Arial" w:cs="Arial" w:eastAsia="Arial" w:hAnsi="Arial"/>
                <w:sz w:val="17"/>
                <w:szCs w:val="17"/>
                <w:color w:val="auto"/>
              </w:rPr>
              <w:t>231,000</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2,969,931</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Commercial Officer</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-1259205</wp:posOffset>
            </wp:positionV>
            <wp:extent cx="1885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-1259205</wp:posOffset>
            </wp:positionV>
            <wp:extent cx="1803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-1259205</wp:posOffset>
            </wp:positionV>
            <wp:extent cx="171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-1259205</wp:posOffset>
            </wp:positionV>
            <wp:extent cx="171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-1259205</wp:posOffset>
            </wp:positionV>
            <wp:extent cx="171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-1259205</wp:posOffset>
            </wp:positionV>
            <wp:extent cx="171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bonus awarded as a result of performance in the 2019 fiscal year paid in March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bonus awarded as a result of performance in the 2018 fiscal year paid in March 2019.</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bonus awarded as a result of performance in the 2017 fiscal year paid in March 2018.</w:t>
      </w:r>
    </w:p>
    <w:p>
      <w:pPr>
        <w:spacing w:after="0" w:line="4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Pizzie’s employment commenced on May 16, 2018, at which time he became an executive officer. The amount reported represents the pro rata portion of Mr. Pizzie’s salary from May 16, 2018 through December 31, 2018.</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one-time payment to Mr. Pizzie as a signing bonus in May 2018.</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Marek’s employment commenced on September 3, 2019, at which time he became an executive officer. The amount reported represents the pro rata portion of Mr. Marek’s salary from September 3, 2019 through December 31, 2019.</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 one-time payment to Mr. Marek as a signing bonus in October 2019.</w:t>
      </w:r>
    </w:p>
    <w:p>
      <w:pPr>
        <w:spacing w:after="0" w:line="41" w:lineRule="exact"/>
        <w:rPr>
          <w:rFonts w:ascii="Arial" w:cs="Arial" w:eastAsia="Arial" w:hAnsi="Arial"/>
          <w:sz w:val="14"/>
          <w:szCs w:val="14"/>
          <w:color w:val="auto"/>
        </w:rPr>
      </w:pPr>
    </w:p>
    <w:p>
      <w:pPr>
        <w:ind w:left="640" w:right="339" w:hanging="348"/>
        <w:spacing w:after="0" w:line="231" w:lineRule="auto"/>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option awards granted computed in accordance with Financial Accounting Standard Board Accounting Codification Topic 718 for stock-based compensation transactions (ASC 718).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2019 Grants of Plan-Based Awards</w:t>
      </w:r>
    </w:p>
    <w:p>
      <w:pPr>
        <w:spacing w:after="0" w:line="121" w:lineRule="exact"/>
        <w:rPr>
          <w:sz w:val="20"/>
          <w:szCs w:val="20"/>
          <w:color w:val="auto"/>
        </w:rPr>
      </w:pPr>
    </w:p>
    <w:p>
      <w:pPr>
        <w:ind w:left="300" w:right="759" w:firstLine="360"/>
        <w:spacing w:after="0" w:line="277" w:lineRule="auto"/>
        <w:rPr>
          <w:sz w:val="20"/>
          <w:szCs w:val="20"/>
          <w:color w:val="auto"/>
        </w:rPr>
      </w:pPr>
      <w:r>
        <w:rPr>
          <w:rFonts w:ascii="Arial" w:cs="Arial" w:eastAsia="Arial" w:hAnsi="Arial"/>
          <w:sz w:val="18"/>
          <w:szCs w:val="18"/>
          <w:color w:val="auto"/>
        </w:rPr>
        <w:t>In 2019, we granted the following stock options to our named executive officers under our 2015 Omnibus Incentive Compensation Plan (the “2015 Plan”):</w:t>
      </w:r>
    </w:p>
    <w:p>
      <w:pPr>
        <w:spacing w:after="0" w:line="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 of</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 Stock and</w:t>
            </w:r>
          </w:p>
        </w:tc>
        <w:tc>
          <w:tcPr>
            <w:tcW w:w="0" w:type="dxa"/>
            <w:vAlign w:val="bottom"/>
          </w:tcPr>
          <w:p>
            <w:pPr>
              <w:spacing w:after="0"/>
              <w:rPr>
                <w:sz w:val="1"/>
                <w:szCs w:val="1"/>
                <w:color w:val="auto"/>
              </w:rPr>
            </w:pPr>
          </w:p>
        </w:tc>
      </w:tr>
      <w:tr>
        <w:trPr>
          <w:trHeight w:val="145"/>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2"/>
                <w:szCs w:val="12"/>
                <w:color w:val="auto"/>
              </w:rPr>
            </w:pPr>
          </w:p>
        </w:tc>
        <w:tc>
          <w:tcPr>
            <w:tcW w:w="11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6"/>
              </w:rPr>
              <w:t>Options</w:t>
            </w:r>
            <w:r>
              <w:rPr>
                <w:rFonts w:ascii="Arial" w:cs="Arial" w:eastAsia="Arial" w:hAnsi="Arial"/>
                <w:sz w:val="23"/>
                <w:szCs w:val="23"/>
                <w:b w:val="1"/>
                <w:bCs w:val="1"/>
                <w:color w:val="auto"/>
                <w:w w:val="86"/>
                <w:vertAlign w:val="superscript"/>
              </w:rPr>
              <w:t>(1)</w:t>
            </w: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($/Share)</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4"/>
              <w:spacing w:after="0" w:line="229"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0" w:type="dxa"/>
            <w:vAlign w:val="bottom"/>
          </w:tcPr>
          <w:p>
            <w:pPr>
              <w:spacing w:after="0"/>
              <w:rPr>
                <w:sz w:val="1"/>
                <w:szCs w:val="1"/>
                <w:color w:val="auto"/>
              </w:rPr>
            </w:pPr>
          </w:p>
        </w:tc>
      </w:tr>
      <w:tr>
        <w:trPr>
          <w:trHeight w:val="30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3/19/2019</w:t>
            </w:r>
          </w:p>
        </w:tc>
        <w:tc>
          <w:tcPr>
            <w:tcW w:w="1120" w:type="dxa"/>
            <w:vAlign w:val="bottom"/>
            <w:gridSpan w:val="2"/>
            <w:shd w:val="clear" w:color="auto" w:fill="CCEEFF"/>
          </w:tcPr>
          <w:p>
            <w:pPr>
              <w:jc w:val="right"/>
              <w:spacing w:after="0" w:line="303" w:lineRule="exact"/>
              <w:rPr>
                <w:sz w:val="20"/>
                <w:szCs w:val="20"/>
                <w:color w:val="auto"/>
              </w:rPr>
            </w:pPr>
            <w:r>
              <w:rPr>
                <w:rFonts w:ascii="Arial" w:cs="Arial" w:eastAsia="Arial" w:hAnsi="Arial"/>
                <w:sz w:val="18"/>
                <w:szCs w:val="18"/>
                <w:color w:val="auto"/>
              </w:rPr>
              <w:t>319,212</w:t>
            </w:r>
            <w:r>
              <w:rPr>
                <w:rFonts w:ascii="Arial" w:cs="Arial" w:eastAsia="Arial" w:hAnsi="Arial"/>
                <w:sz w:val="29"/>
                <w:szCs w:val="29"/>
                <w:color w:val="auto"/>
                <w:vertAlign w:val="superscript"/>
              </w:rPr>
              <w:t>(3)</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$12.95</w:t>
            </w:r>
          </w:p>
        </w:tc>
        <w:tc>
          <w:tcPr>
            <w:tcW w:w="3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5"/>
              </w:rPr>
              <w:t>$3,099,548</w:t>
            </w:r>
          </w:p>
        </w:tc>
        <w:tc>
          <w:tcPr>
            <w:tcW w:w="0" w:type="dxa"/>
            <w:vAlign w:val="bottom"/>
          </w:tcPr>
          <w:p>
            <w:pPr>
              <w:spacing w:after="0"/>
              <w:rPr>
                <w:sz w:val="1"/>
                <w:szCs w:val="1"/>
                <w:color w:val="auto"/>
              </w:rPr>
            </w:pPr>
          </w:p>
        </w:tc>
      </w:tr>
      <w:tr>
        <w:trPr>
          <w:trHeight w:val="297"/>
        </w:trPr>
        <w:tc>
          <w:tcPr>
            <w:tcW w:w="38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10/10/2019</w:t>
            </w:r>
          </w:p>
        </w:tc>
        <w:tc>
          <w:tcPr>
            <w:tcW w:w="1120" w:type="dxa"/>
            <w:vAlign w:val="bottom"/>
            <w:gridSpan w:val="2"/>
            <w:shd w:val="clear" w:color="auto" w:fill="CCEEFF"/>
          </w:tcPr>
          <w:p>
            <w:pPr>
              <w:jc w:val="right"/>
              <w:spacing w:after="0" w:line="296" w:lineRule="exact"/>
              <w:rPr>
                <w:sz w:val="20"/>
                <w:szCs w:val="20"/>
                <w:color w:val="auto"/>
              </w:rPr>
            </w:pPr>
            <w:r>
              <w:rPr>
                <w:rFonts w:ascii="Arial" w:cs="Arial" w:eastAsia="Arial" w:hAnsi="Arial"/>
                <w:sz w:val="18"/>
                <w:szCs w:val="18"/>
                <w:color w:val="auto"/>
              </w:rPr>
              <w:t>68,837</w:t>
            </w:r>
            <w:r>
              <w:rPr>
                <w:rFonts w:ascii="Arial" w:cs="Arial" w:eastAsia="Arial" w:hAnsi="Arial"/>
                <w:sz w:val="29"/>
                <w:szCs w:val="29"/>
                <w:color w:val="auto"/>
                <w:vertAlign w:val="superscript"/>
              </w:rPr>
              <w:t>(4)</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$17.61</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854,955</w:t>
            </w:r>
          </w:p>
        </w:tc>
        <w:tc>
          <w:tcPr>
            <w:tcW w:w="0" w:type="dxa"/>
            <w:vAlign w:val="bottom"/>
          </w:tcPr>
          <w:p>
            <w:pPr>
              <w:spacing w:after="0"/>
              <w:rPr>
                <w:sz w:val="1"/>
                <w:szCs w:val="1"/>
                <w:color w:val="auto"/>
              </w:rPr>
            </w:pPr>
          </w:p>
        </w:tc>
      </w:tr>
      <w:tr>
        <w:trPr>
          <w:trHeight w:val="313"/>
        </w:trPr>
        <w:tc>
          <w:tcPr>
            <w:tcW w:w="3880" w:type="dxa"/>
            <w:vAlign w:val="bottom"/>
          </w:tcPr>
          <w:p>
            <w:pPr>
              <w:spacing w:after="0"/>
              <w:rPr>
                <w:sz w:val="20"/>
                <w:szCs w:val="20"/>
                <w:color w:val="auto"/>
              </w:rPr>
            </w:pPr>
            <w:r>
              <w:rPr>
                <w:rFonts w:ascii="Arial" w:cs="Arial" w:eastAsia="Arial" w:hAnsi="Arial"/>
                <w:sz w:val="18"/>
                <w:szCs w:val="18"/>
                <w:color w:val="auto"/>
              </w:rPr>
              <w:t>Nick Pizzie, C.P.A., M.B.A.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3/19/2019</w:t>
            </w:r>
          </w:p>
        </w:tc>
        <w:tc>
          <w:tcPr>
            <w:tcW w:w="1120" w:type="dxa"/>
            <w:vAlign w:val="bottom"/>
            <w:gridSpan w:val="2"/>
          </w:tcPr>
          <w:p>
            <w:pPr>
              <w:jc w:val="right"/>
              <w:spacing w:after="0" w:line="313" w:lineRule="exact"/>
              <w:rPr>
                <w:sz w:val="20"/>
                <w:szCs w:val="20"/>
                <w:color w:val="auto"/>
              </w:rPr>
            </w:pPr>
            <w:r>
              <w:rPr>
                <w:rFonts w:ascii="Arial" w:cs="Arial" w:eastAsia="Arial" w:hAnsi="Arial"/>
                <w:sz w:val="18"/>
                <w:szCs w:val="18"/>
                <w:color w:val="auto"/>
              </w:rPr>
              <w:t>75,102</w:t>
            </w:r>
            <w:r>
              <w:rPr>
                <w:rFonts w:ascii="Arial" w:cs="Arial" w:eastAsia="Arial" w:hAnsi="Arial"/>
                <w:sz w:val="29"/>
                <w:szCs w:val="29"/>
                <w:color w:val="auto"/>
                <w:vertAlign w:val="superscript"/>
              </w:rPr>
              <w:t>(3)</w:t>
            </w:r>
          </w:p>
        </w:tc>
        <w:tc>
          <w:tcPr>
            <w:tcW w:w="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$12.95</w:t>
            </w:r>
          </w:p>
        </w:tc>
        <w:tc>
          <w:tcPr>
            <w:tcW w:w="3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729,240</w:t>
            </w:r>
          </w:p>
        </w:tc>
        <w:tc>
          <w:tcPr>
            <w:tcW w:w="0" w:type="dxa"/>
            <w:vAlign w:val="bottom"/>
          </w:tcPr>
          <w:p>
            <w:pPr>
              <w:spacing w:after="0"/>
              <w:rPr>
                <w:sz w:val="1"/>
                <w:szCs w:val="1"/>
                <w:color w:val="auto"/>
              </w:rPr>
            </w:pPr>
          </w:p>
        </w:tc>
      </w:tr>
      <w:tr>
        <w:trPr>
          <w:trHeight w:val="281"/>
        </w:trPr>
        <w:tc>
          <w:tcPr>
            <w:tcW w:w="38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10/10/2019</w:t>
            </w:r>
          </w:p>
        </w:tc>
        <w:tc>
          <w:tcPr>
            <w:tcW w:w="1120" w:type="dxa"/>
            <w:vAlign w:val="bottom"/>
            <w:gridSpan w:val="2"/>
          </w:tcPr>
          <w:p>
            <w:pPr>
              <w:jc w:val="right"/>
              <w:spacing w:after="0" w:line="280" w:lineRule="exact"/>
              <w:rPr>
                <w:sz w:val="20"/>
                <w:szCs w:val="20"/>
                <w:color w:val="auto"/>
              </w:rPr>
            </w:pPr>
            <w:r>
              <w:rPr>
                <w:rFonts w:ascii="Arial" w:cs="Arial" w:eastAsia="Arial" w:hAnsi="Arial"/>
                <w:sz w:val="18"/>
                <w:szCs w:val="18"/>
                <w:color w:val="auto"/>
              </w:rPr>
              <w:t>25,813</w:t>
            </w:r>
            <w:r>
              <w:rPr>
                <w:rFonts w:ascii="Arial" w:cs="Arial" w:eastAsia="Arial" w:hAnsi="Arial"/>
                <w:sz w:val="29"/>
                <w:szCs w:val="29"/>
                <w:color w:val="auto"/>
                <w:vertAlign w:val="superscript"/>
              </w:rPr>
              <w:t>(4)</w:t>
            </w:r>
          </w:p>
        </w:tc>
        <w:tc>
          <w:tcPr>
            <w:tcW w:w="3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$17.61</w:t>
            </w:r>
          </w:p>
        </w:tc>
        <w:tc>
          <w:tcPr>
            <w:tcW w:w="34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320,597</w:t>
            </w:r>
          </w:p>
        </w:tc>
        <w:tc>
          <w:tcPr>
            <w:tcW w:w="0" w:type="dxa"/>
            <w:vAlign w:val="bottom"/>
          </w:tcPr>
          <w:p>
            <w:pPr>
              <w:spacing w:after="0"/>
              <w:rPr>
                <w:sz w:val="1"/>
                <w:szCs w:val="1"/>
                <w:color w:val="auto"/>
              </w:rPr>
            </w:pPr>
          </w:p>
        </w:tc>
      </w:tr>
      <w:tr>
        <w:trPr>
          <w:trHeight w:val="29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David Marek</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9/4/2019</w:t>
            </w:r>
          </w:p>
        </w:tc>
        <w:tc>
          <w:tcPr>
            <w:tcW w:w="1120" w:type="dxa"/>
            <w:vAlign w:val="bottom"/>
            <w:gridSpan w:val="2"/>
            <w:shd w:val="clear" w:color="auto" w:fill="CCEEFF"/>
          </w:tcPr>
          <w:p>
            <w:pPr>
              <w:jc w:val="right"/>
              <w:spacing w:after="0" w:line="296" w:lineRule="exact"/>
              <w:rPr>
                <w:sz w:val="20"/>
                <w:szCs w:val="20"/>
                <w:color w:val="auto"/>
              </w:rPr>
            </w:pPr>
            <w:r>
              <w:rPr>
                <w:rFonts w:ascii="Arial" w:cs="Arial" w:eastAsia="Arial" w:hAnsi="Arial"/>
                <w:sz w:val="18"/>
                <w:szCs w:val="18"/>
                <w:color w:val="auto"/>
              </w:rPr>
              <w:t>125,000</w:t>
            </w:r>
            <w:r>
              <w:rPr>
                <w:rFonts w:ascii="Arial" w:cs="Arial" w:eastAsia="Arial" w:hAnsi="Arial"/>
                <w:sz w:val="29"/>
                <w:szCs w:val="29"/>
                <w:color w:val="auto"/>
                <w:vertAlign w:val="superscript"/>
              </w:rPr>
              <w:t>(5)</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$24.28</w:t>
            </w:r>
          </w:p>
        </w:tc>
        <w:tc>
          <w:tcPr>
            <w:tcW w:w="3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w w:val="95"/>
              </w:rPr>
              <w:t>$2,225,000</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10/10/2019</w:t>
            </w:r>
          </w:p>
        </w:tc>
        <w:tc>
          <w:tcPr>
            <w:tcW w:w="11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8"/>
                <w:szCs w:val="18"/>
                <w:color w:val="auto"/>
              </w:rPr>
              <w:t>25,813</w:t>
            </w:r>
            <w:r>
              <w:rPr>
                <w:rFonts w:ascii="Arial" w:cs="Arial" w:eastAsia="Arial" w:hAnsi="Arial"/>
                <w:sz w:val="29"/>
                <w:szCs w:val="29"/>
                <w:color w:val="auto"/>
                <w:vertAlign w:val="superscript"/>
              </w:rPr>
              <w:t>(4)</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$17.61</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320,597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-1122045</wp:posOffset>
            </wp:positionV>
            <wp:extent cx="2228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-1122045</wp:posOffset>
            </wp:positionV>
            <wp:extent cx="2228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-1122045</wp:posOffset>
            </wp:positionV>
            <wp:extent cx="222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-1122045</wp:posOffset>
            </wp:positionV>
            <wp:extent cx="222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shares of our common stock underlying options awarded, each of which vest over time.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fair value of each equity award on the date of grant, as computed in accordance with FASB ASC 718.</w:t>
      </w:r>
    </w:p>
    <w:p>
      <w:pPr>
        <w:spacing w:after="0" w:line="41" w:lineRule="exact"/>
        <w:rPr>
          <w:rFonts w:ascii="Arial" w:cs="Arial" w:eastAsia="Arial" w:hAnsi="Arial"/>
          <w:sz w:val="14"/>
          <w:szCs w:val="14"/>
          <w:color w:val="auto"/>
        </w:rPr>
      </w:pPr>
    </w:p>
    <w:p>
      <w:pPr>
        <w:ind w:left="640" w:right="419" w:hanging="348"/>
        <w:spacing w:after="0" w:line="253"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option awards vest in substantially equal quarterly installments over four years such that the options will be fully vested on March 19, 2023.</w:t>
      </w:r>
    </w:p>
    <w:p>
      <w:pPr>
        <w:spacing w:after="0" w:line="11" w:lineRule="exact"/>
        <w:rPr>
          <w:rFonts w:ascii="Arial" w:cs="Arial" w:eastAsia="Arial" w:hAnsi="Arial"/>
          <w:sz w:val="14"/>
          <w:szCs w:val="14"/>
          <w:color w:val="auto"/>
        </w:rPr>
      </w:pPr>
    </w:p>
    <w:p>
      <w:pPr>
        <w:ind w:left="640" w:right="339" w:hanging="348"/>
        <w:spacing w:after="0" w:line="229"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 performance-based option awards. Accelerated vesting applied to four equal tranches of the option award (25% each of total number of shares) based on achievement of predetermined clinical milestones prior to or on December 31, 2019. In addition to the clinical milestones, 25% of Mr. Pizzie’s award could also accelerate and become exercisable if the Company completed a successful public financing on or prior to January 31, 2020 as determined by the Chief Executive Officer. The option awards will be fully vested and exercisable on December 30, 2023, unless the vesting schedule is accelerated as described above, and provided the NEO is employed by, or providing services to, the Company on such date.</w:t>
      </w:r>
    </w:p>
    <w:p>
      <w:pPr>
        <w:spacing w:after="0" w:line="23" w:lineRule="exact"/>
        <w:rPr>
          <w:rFonts w:ascii="Arial" w:cs="Arial" w:eastAsia="Arial" w:hAnsi="Arial"/>
          <w:sz w:val="14"/>
          <w:szCs w:val="14"/>
          <w:color w:val="auto"/>
        </w:rPr>
      </w:pPr>
    </w:p>
    <w:p>
      <w:pPr>
        <w:ind w:left="640" w:right="719" w:hanging="348"/>
        <w:spacing w:after="0" w:line="253"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a one-time new hire grant. The option awards vest 25% on the one year anniversary of the date of grant and 75% in equal increments on a quarterly basis for three years thereafter.</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12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following table sets forth information regarding each outstanding and unexercised option held by each of our NEOs as of December 31, 2019. The number of shares subject to each award and, where applicable, the exercise price per share, reflect all changes as a result of our capitalization adjustments.</w:t>
      </w:r>
    </w:p>
    <w:p>
      <w:pPr>
        <w:spacing w:after="0" w:line="76"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vesting and exercisability schedule applicable to each outstanding award is described in the footnotes to the table below.</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3"/>
          </w:tcPr>
          <w:p>
            <w:pPr>
              <w:ind w:left="1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5"/>
              </w:rPr>
              <w:t>Securities</w:t>
            </w:r>
          </w:p>
        </w:tc>
        <w:tc>
          <w:tcPr>
            <w:tcW w:w="3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6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3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8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30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5/27/2016</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458,502</w:t>
            </w:r>
          </w:p>
        </w:tc>
        <w:tc>
          <w:tcPr>
            <w:tcW w:w="1200" w:type="dxa"/>
            <w:vAlign w:val="bottom"/>
            <w:gridSpan w:val="2"/>
            <w:shd w:val="clear" w:color="auto" w:fill="CCEEFF"/>
          </w:tcPr>
          <w:p>
            <w:pPr>
              <w:jc w:val="right"/>
              <w:spacing w:after="0" w:line="331" w:lineRule="exact"/>
              <w:rPr>
                <w:sz w:val="20"/>
                <w:szCs w:val="20"/>
                <w:color w:val="auto"/>
              </w:rPr>
            </w:pPr>
            <w:r>
              <w:rPr>
                <w:rFonts w:ascii="Arial" w:cs="Arial" w:eastAsia="Arial" w:hAnsi="Arial"/>
                <w:sz w:val="18"/>
                <w:szCs w:val="18"/>
                <w:color w:val="auto"/>
              </w:rPr>
              <w:t>65,498</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$ 8.02</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5/26/2026</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3/15/2017</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102,440</w:t>
            </w:r>
          </w:p>
        </w:tc>
        <w:tc>
          <w:tcPr>
            <w:tcW w:w="120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46,560</w:t>
            </w:r>
            <w:r>
              <w:rPr>
                <w:rFonts w:ascii="Arial" w:cs="Arial" w:eastAsia="Arial" w:hAnsi="Arial"/>
                <w:sz w:val="29"/>
                <w:szCs w:val="29"/>
                <w:color w:val="auto"/>
                <w:vertAlign w:val="superscript"/>
              </w:rPr>
              <w:t>(2)</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$ 4.95</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3/14/2027</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3/12/2018</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82,089</w:t>
            </w:r>
          </w:p>
        </w:tc>
        <w:tc>
          <w:tcPr>
            <w:tcW w:w="120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105,539</w:t>
            </w:r>
            <w:r>
              <w:rPr>
                <w:rFonts w:ascii="Arial" w:cs="Arial" w:eastAsia="Arial" w:hAnsi="Arial"/>
                <w:sz w:val="29"/>
                <w:szCs w:val="29"/>
                <w:color w:val="auto"/>
                <w:vertAlign w:val="superscript"/>
              </w:rPr>
              <w:t>(3)</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$ 2.85</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3/11/2028</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3/19/2019</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59,853</w:t>
            </w:r>
          </w:p>
        </w:tc>
        <w:tc>
          <w:tcPr>
            <w:tcW w:w="120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259,359</w:t>
            </w:r>
            <w:r>
              <w:rPr>
                <w:rFonts w:ascii="Arial" w:cs="Arial" w:eastAsia="Arial" w:hAnsi="Arial"/>
                <w:sz w:val="29"/>
                <w:szCs w:val="29"/>
                <w:color w:val="auto"/>
                <w:vertAlign w:val="superscript"/>
              </w:rPr>
              <w:t>(4)</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$12.95</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3/18/2029</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10/10/2019</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34,419</w:t>
            </w:r>
          </w:p>
        </w:tc>
        <w:tc>
          <w:tcPr>
            <w:tcW w:w="120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34,418</w:t>
            </w:r>
            <w:r>
              <w:rPr>
                <w:rFonts w:ascii="Arial" w:cs="Arial" w:eastAsia="Arial" w:hAnsi="Arial"/>
                <w:sz w:val="29"/>
                <w:szCs w:val="29"/>
                <w:color w:val="auto"/>
                <w:vertAlign w:val="superscript"/>
              </w:rPr>
              <w:t>(5)</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$17.61</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10/9/2029</w:t>
            </w:r>
          </w:p>
        </w:tc>
        <w:tc>
          <w:tcPr>
            <w:tcW w:w="0" w:type="dxa"/>
            <w:vAlign w:val="bottom"/>
          </w:tcPr>
          <w:p>
            <w:pPr>
              <w:spacing w:after="0"/>
              <w:rPr>
                <w:sz w:val="1"/>
                <w:szCs w:val="1"/>
                <w:color w:val="auto"/>
              </w:rPr>
            </w:pPr>
          </w:p>
        </w:tc>
      </w:tr>
      <w:tr>
        <w:trPr>
          <w:trHeight w:val="354"/>
        </w:trPr>
        <w:tc>
          <w:tcPr>
            <w:tcW w:w="320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5/16/2018</w:t>
            </w: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49,500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82,500</w:t>
            </w:r>
            <w:r>
              <w:rPr>
                <w:rFonts w:ascii="Arial" w:cs="Arial" w:eastAsia="Arial" w:hAnsi="Arial"/>
                <w:sz w:val="29"/>
                <w:szCs w:val="29"/>
                <w:color w:val="auto"/>
                <w:vertAlign w:val="superscript"/>
              </w:rPr>
              <w:t>(6)</w:t>
            </w:r>
          </w:p>
        </w:tc>
        <w:tc>
          <w:tcPr>
            <w:tcW w:w="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95"/>
              </w:rPr>
              <w:t>$ 3.50</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5/15/2028</w:t>
            </w:r>
          </w:p>
        </w:tc>
        <w:tc>
          <w:tcPr>
            <w:tcW w:w="0" w:type="dxa"/>
            <w:vAlign w:val="bottom"/>
          </w:tcPr>
          <w:p>
            <w:pPr>
              <w:spacing w:after="0"/>
              <w:rPr>
                <w:sz w:val="1"/>
                <w:szCs w:val="1"/>
                <w:color w:val="auto"/>
              </w:rPr>
            </w:pPr>
          </w:p>
        </w:tc>
      </w:tr>
      <w:tr>
        <w:trPr>
          <w:trHeight w:val="324"/>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3/19/2019</w:t>
            </w: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14,082</w:t>
            </w:r>
          </w:p>
        </w:tc>
        <w:tc>
          <w:tcPr>
            <w:tcW w:w="120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61,020</w:t>
            </w:r>
            <w:r>
              <w:rPr>
                <w:rFonts w:ascii="Arial" w:cs="Arial" w:eastAsia="Arial" w:hAnsi="Arial"/>
                <w:sz w:val="29"/>
                <w:szCs w:val="29"/>
                <w:color w:val="auto"/>
                <w:vertAlign w:val="superscript"/>
              </w:rPr>
              <w:t>(4)</w:t>
            </w:r>
          </w:p>
        </w:tc>
        <w:tc>
          <w:tcPr>
            <w:tcW w:w="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7"/>
              </w:rPr>
              <w:t>$12.95</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3/18/2029</w:t>
            </w:r>
          </w:p>
        </w:tc>
        <w:tc>
          <w:tcPr>
            <w:tcW w:w="0" w:type="dxa"/>
            <w:vAlign w:val="bottom"/>
          </w:tcPr>
          <w:p>
            <w:pPr>
              <w:spacing w:after="0"/>
              <w:rPr>
                <w:sz w:val="1"/>
                <w:szCs w:val="1"/>
                <w:color w:val="auto"/>
              </w:rPr>
            </w:pPr>
          </w:p>
        </w:tc>
      </w:tr>
      <w:tr>
        <w:trPr>
          <w:trHeight w:val="294"/>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10/10/2019</w:t>
            </w: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12,907</w:t>
            </w:r>
          </w:p>
        </w:tc>
        <w:tc>
          <w:tcPr>
            <w:tcW w:w="1200" w:type="dxa"/>
            <w:vAlign w:val="bottom"/>
            <w:gridSpan w:val="2"/>
          </w:tcPr>
          <w:p>
            <w:pPr>
              <w:jc w:val="right"/>
              <w:spacing w:after="0" w:line="294" w:lineRule="exact"/>
              <w:rPr>
                <w:sz w:val="20"/>
                <w:szCs w:val="20"/>
                <w:color w:val="auto"/>
              </w:rPr>
            </w:pPr>
            <w:r>
              <w:rPr>
                <w:rFonts w:ascii="Arial" w:cs="Arial" w:eastAsia="Arial" w:hAnsi="Arial"/>
                <w:sz w:val="18"/>
                <w:szCs w:val="18"/>
                <w:color w:val="auto"/>
              </w:rPr>
              <w:t>12,906</w:t>
            </w:r>
            <w:r>
              <w:rPr>
                <w:rFonts w:ascii="Arial" w:cs="Arial" w:eastAsia="Arial" w:hAnsi="Arial"/>
                <w:sz w:val="29"/>
                <w:szCs w:val="29"/>
                <w:color w:val="auto"/>
                <w:vertAlign w:val="superscript"/>
              </w:rPr>
              <w:t>(5)</w:t>
            </w:r>
          </w:p>
        </w:tc>
        <w:tc>
          <w:tcPr>
            <w:tcW w:w="3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7"/>
              </w:rPr>
              <w:t>$17.61</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10/9/2029</w:t>
            </w:r>
          </w:p>
        </w:tc>
        <w:tc>
          <w:tcPr>
            <w:tcW w:w="0" w:type="dxa"/>
            <w:vAlign w:val="bottom"/>
          </w:tcPr>
          <w:p>
            <w:pPr>
              <w:spacing w:after="0"/>
              <w:rPr>
                <w:sz w:val="1"/>
                <w:szCs w:val="1"/>
                <w:color w:val="auto"/>
              </w:rPr>
            </w:pPr>
          </w:p>
        </w:tc>
      </w:tr>
      <w:tr>
        <w:trPr>
          <w:trHeight w:val="324"/>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9/3/2019</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125,000</w:t>
            </w:r>
            <w:r>
              <w:rPr>
                <w:rFonts w:ascii="Arial" w:cs="Arial" w:eastAsia="Arial" w:hAnsi="Arial"/>
                <w:sz w:val="29"/>
                <w:szCs w:val="29"/>
                <w:color w:val="auto"/>
                <w:vertAlign w:val="superscript"/>
              </w:rPr>
              <w:t>(7)</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$24.28</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9/2/2029</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10/10/2019</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12,907</w:t>
            </w:r>
          </w:p>
        </w:tc>
        <w:tc>
          <w:tcPr>
            <w:tcW w:w="120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12,906</w:t>
            </w:r>
            <w:r>
              <w:rPr>
                <w:rFonts w:ascii="Arial" w:cs="Arial" w:eastAsia="Arial" w:hAnsi="Arial"/>
                <w:sz w:val="29"/>
                <w:szCs w:val="29"/>
                <w:color w:val="auto"/>
                <w:vertAlign w:val="superscript"/>
              </w:rPr>
              <w:t>(5)</w:t>
            </w: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$17.61</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-2039620</wp:posOffset>
            </wp:positionV>
            <wp:extent cx="2057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-2039620</wp:posOffset>
            </wp:positionV>
            <wp:extent cx="2057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-2039620</wp:posOffset>
            </wp:positionV>
            <wp:extent cx="2057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-2039620</wp:posOffset>
            </wp:positionV>
            <wp:extent cx="2057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-2039620</wp:posOffset>
            </wp:positionV>
            <wp:extent cx="2057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379" w:hanging="348"/>
        <w:spacing w:after="0" w:line="253"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unexercisable options will vest and become exercisable in equal installments on a quarterly basis through May 27, 2020, provided that the executive continues to provide services to us through the applicable dates.</w:t>
      </w:r>
    </w:p>
    <w:p>
      <w:pPr>
        <w:spacing w:after="0" w:line="11" w:lineRule="exact"/>
        <w:rPr>
          <w:rFonts w:ascii="Arial" w:cs="Arial" w:eastAsia="Arial" w:hAnsi="Arial"/>
          <w:sz w:val="14"/>
          <w:szCs w:val="14"/>
          <w:color w:val="auto"/>
        </w:rPr>
      </w:pPr>
    </w:p>
    <w:p>
      <w:pPr>
        <w:ind w:left="640" w:right="579" w:hanging="348"/>
        <w:spacing w:after="0" w:line="28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15, 2021, provided that the executive continues to provide services to us through the applicable dates.</w:t>
      </w:r>
    </w:p>
    <w:p>
      <w:pPr>
        <w:ind w:left="640" w:right="579" w:hanging="348"/>
        <w:spacing w:after="0" w:line="28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12, 2022, provided that the executive continues to provide services to us through the applicable dates.</w:t>
      </w:r>
    </w:p>
    <w:p>
      <w:pPr>
        <w:ind w:left="640" w:right="579" w:hanging="348"/>
        <w:spacing w:after="0" w:line="28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March 19, 2023, provided that the executive continues to provide services to us through the applicable dates.</w:t>
      </w:r>
    </w:p>
    <w:p>
      <w:pPr>
        <w:ind w:left="640" w:right="579" w:hanging="348"/>
        <w:spacing w:after="0" w:line="28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December 30, 2023, provided that the executive continues to provide services to us through the applicable dates.</w:t>
      </w:r>
    </w:p>
    <w:p>
      <w:pPr>
        <w:ind w:left="640" w:right="579" w:hanging="348"/>
        <w:spacing w:after="0" w:line="281" w:lineRule="auto"/>
        <w:tabs>
          <w:tab w:leader="none" w:pos="6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unexercisable options will vest and become exercisable in equal quarterly installments over four years such that the options will be fully vested on May 16, 2022, provided that the executive continues to provide services to us through the applicable dates.</w:t>
      </w:r>
    </w:p>
    <w:p>
      <w:pPr>
        <w:ind w:left="640" w:right="559" w:hanging="348"/>
        <w:spacing w:after="0" w:line="238"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unexercisable options will vest over a four-year period as follows: 25% of the options will vest on the first anniversary of the Grant Date, and the remaining 75% of the options in equal increments thereafter each quarter of the remaining three years, provided that the executive continues to provide services to us through the applicable dates.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2019 Option Exercises and Stock Vested</w:t>
      </w:r>
    </w:p>
    <w:p>
      <w:pPr>
        <w:spacing w:after="0" w:line="12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following table contains information for our NEOs concerning the option awards that were exercised and restricted stock units that vested during the year ended December 31, 2019:</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vMerge w:val="restart"/>
          </w:tcPr>
          <w:p>
            <w:pPr>
              <w:jc w:val="center"/>
              <w:ind w:left="99"/>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jc w:val="center"/>
              <w:ind w:left="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6"/>
        </w:trPr>
        <w:tc>
          <w:tcPr>
            <w:tcW w:w="4480" w:type="dxa"/>
            <w:vAlign w:val="bottom"/>
            <w:gridSpan w:val="2"/>
            <w:vMerge w:val="continue"/>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on Vesting</w:t>
            </w:r>
          </w:p>
        </w:tc>
        <w:tc>
          <w:tcPr>
            <w:tcW w:w="540" w:type="dxa"/>
            <w:vAlign w:val="bottom"/>
          </w:tcPr>
          <w:p>
            <w:pPr>
              <w:jc w:val="center"/>
              <w:ind w:left="1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22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-599440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-599440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-599440</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-599440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 options were exercised during the year ended December 31, 2019.</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 stock awards vested during the year ended December 31, 2019.</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Termination/Change of Control and Employment Agreements</w:t>
      </w:r>
    </w:p>
    <w:p>
      <w:pPr>
        <w:spacing w:after="0" w:line="121"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2019. The closing price per share of our common stock on the Nasdaq Global Market on December 31, 2019 was $103.36.</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Termination Without Cause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in Connection with</w:t>
            </w:r>
          </w:p>
        </w:tc>
        <w:tc>
          <w:tcPr>
            <w:tcW w:w="140" w:type="dxa"/>
            <w:vAlign w:val="bottom"/>
          </w:tcPr>
          <w:p>
            <w:pPr>
              <w:spacing w:after="0"/>
              <w:rPr>
                <w:sz w:val="12"/>
                <w:szCs w:val="12"/>
                <w:color w:val="auto"/>
              </w:rPr>
            </w:pPr>
          </w:p>
        </w:tc>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Termination Without Cause</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Change in Control</w:t>
            </w:r>
          </w:p>
        </w:tc>
        <w:tc>
          <w:tcPr>
            <w:tcW w:w="1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Salary and</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Salary 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Bonus</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4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Bonus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0" w:type="dxa"/>
            <w:vAlign w:val="bottom"/>
          </w:tcPr>
          <w:p>
            <w:pPr>
              <w:spacing w:after="0"/>
              <w:rPr>
                <w:sz w:val="1"/>
                <w:szCs w:val="1"/>
                <w:color w:val="auto"/>
              </w:rPr>
            </w:pPr>
          </w:p>
        </w:tc>
      </w:tr>
      <w:tr>
        <w:trPr>
          <w:trHeight w:val="186"/>
        </w:trPr>
        <w:tc>
          <w:tcPr>
            <w:tcW w:w="3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87"/>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(1)</w:t>
            </w:r>
          </w:p>
        </w:tc>
        <w:tc>
          <w:tcPr>
            <w:tcW w:w="1100" w:type="dxa"/>
            <w:vAlign w:val="bottom"/>
            <w:shd w:val="clear" w:color="auto" w:fill="CCEEFF"/>
          </w:tcPr>
          <w:p>
            <w:pPr>
              <w:jc w:val="center"/>
              <w:spacing w:after="0" w:line="331" w:lineRule="exact"/>
              <w:rPr>
                <w:sz w:val="20"/>
                <w:szCs w:val="20"/>
                <w:color w:val="auto"/>
              </w:rPr>
            </w:pPr>
            <w:r>
              <w:rPr>
                <w:rFonts w:ascii="Arial" w:cs="Arial" w:eastAsia="Arial" w:hAnsi="Arial"/>
                <w:sz w:val="18"/>
                <w:szCs w:val="18"/>
                <w:color w:val="auto"/>
                <w:w w:val="87"/>
              </w:rPr>
              <w:t>$47,834,265</w:t>
            </w:r>
            <w:r>
              <w:rPr>
                <w:rFonts w:ascii="Arial" w:cs="Arial" w:eastAsia="Arial" w:hAnsi="Arial"/>
                <w:sz w:val="29"/>
                <w:szCs w:val="29"/>
                <w:color w:val="auto"/>
                <w:w w:val="87"/>
                <w:vertAlign w:val="superscript"/>
              </w:rPr>
              <w:t>(2)</w:t>
            </w: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(1)</w:t>
            </w:r>
          </w:p>
        </w:tc>
        <w:tc>
          <w:tcPr>
            <w:tcW w:w="860" w:type="dxa"/>
            <w:vAlign w:val="bottom"/>
            <w:shd w:val="clear" w:color="auto" w:fill="CCEEFF"/>
          </w:tcPr>
          <w:p>
            <w:pPr>
              <w:ind w:left="280"/>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color w:val="auto"/>
              </w:rPr>
              <w:t>Nick Pizzie, C.P.A., M.B.A.</w:t>
            </w:r>
          </w:p>
        </w:tc>
        <w:tc>
          <w:tcPr>
            <w:tcW w:w="880" w:type="dxa"/>
            <w:vAlign w:val="bottom"/>
            <w:gridSpan w:val="2"/>
          </w:tcPr>
          <w:p>
            <w:pPr>
              <w:jc w:val="right"/>
              <w:spacing w:after="0" w:line="324" w:lineRule="exact"/>
              <w:rPr>
                <w:sz w:val="20"/>
                <w:szCs w:val="20"/>
                <w:color w:val="auto"/>
              </w:rPr>
            </w:pPr>
            <w:r>
              <w:rPr>
                <w:rFonts w:ascii="Arial" w:cs="Arial" w:eastAsia="Arial" w:hAnsi="Arial"/>
                <w:sz w:val="18"/>
                <w:szCs w:val="18"/>
                <w:color w:val="auto"/>
                <w:w w:val="85"/>
              </w:rPr>
              <w:t>$162,500</w:t>
            </w:r>
            <w:r>
              <w:rPr>
                <w:rFonts w:ascii="Arial" w:cs="Arial" w:eastAsia="Arial" w:hAnsi="Arial"/>
                <w:sz w:val="29"/>
                <w:szCs w:val="29"/>
                <w:color w:val="auto"/>
                <w:w w:val="85"/>
                <w:vertAlign w:val="superscript"/>
              </w:rPr>
              <w:t>(3)</w:t>
            </w:r>
          </w:p>
        </w:tc>
        <w:tc>
          <w:tcPr>
            <w:tcW w:w="260" w:type="dxa"/>
            <w:vAlign w:val="bottom"/>
          </w:tcPr>
          <w:p>
            <w:pPr>
              <w:spacing w:after="0"/>
              <w:rPr>
                <w:sz w:val="24"/>
                <w:szCs w:val="24"/>
                <w:color w:val="auto"/>
              </w:rPr>
            </w:pPr>
          </w:p>
        </w:tc>
        <w:tc>
          <w:tcPr>
            <w:tcW w:w="1100" w:type="dxa"/>
            <w:vAlign w:val="bottom"/>
          </w:tcPr>
          <w:p>
            <w:pPr>
              <w:jc w:val="center"/>
              <w:spacing w:after="0" w:line="324" w:lineRule="exact"/>
              <w:rPr>
                <w:sz w:val="20"/>
                <w:szCs w:val="20"/>
                <w:color w:val="auto"/>
              </w:rPr>
            </w:pPr>
            <w:r>
              <w:rPr>
                <w:rFonts w:ascii="Arial" w:cs="Arial" w:eastAsia="Arial" w:hAnsi="Arial"/>
                <w:sz w:val="18"/>
                <w:szCs w:val="18"/>
                <w:color w:val="auto"/>
                <w:w w:val="87"/>
              </w:rPr>
              <w:t>$14,861,958</w:t>
            </w:r>
            <w:r>
              <w:rPr>
                <w:rFonts w:ascii="Arial" w:cs="Arial" w:eastAsia="Arial" w:hAnsi="Arial"/>
                <w:sz w:val="29"/>
                <w:szCs w:val="29"/>
                <w:color w:val="auto"/>
                <w:w w:val="87"/>
                <w:vertAlign w:val="superscript"/>
              </w:rPr>
              <w:t>(2)</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860" w:type="dxa"/>
            <w:vAlign w:val="bottom"/>
          </w:tcPr>
          <w:p>
            <w:pPr>
              <w:ind w:left="28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Marek</w:t>
            </w:r>
          </w:p>
        </w:tc>
        <w:tc>
          <w:tcPr>
            <w:tcW w:w="88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w w:val="85"/>
              </w:rPr>
              <w:t>$256,667</w:t>
            </w:r>
            <w:r>
              <w:rPr>
                <w:rFonts w:ascii="Arial" w:cs="Arial" w:eastAsia="Arial" w:hAnsi="Arial"/>
                <w:sz w:val="29"/>
                <w:szCs w:val="29"/>
                <w:color w:val="auto"/>
                <w:w w:val="85"/>
                <w:vertAlign w:val="superscript"/>
              </w:rPr>
              <w:t>(4)</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7"/>
              </w:rPr>
              <w:t>$10,991,690</w:t>
            </w:r>
            <w:r>
              <w:rPr>
                <w:rFonts w:ascii="Arial" w:cs="Arial" w:eastAsia="Arial" w:hAnsi="Arial"/>
                <w:sz w:val="29"/>
                <w:szCs w:val="29"/>
                <w:color w:val="auto"/>
                <w:w w:val="87"/>
                <w:vertAlign w:val="superscript"/>
              </w:rPr>
              <w:t>(2)</w:t>
            </w: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w w:val="87"/>
              </w:rPr>
              <w:t>$256,667</w:t>
            </w:r>
            <w:r>
              <w:rPr>
                <w:rFonts w:ascii="Arial" w:cs="Arial" w:eastAsia="Arial" w:hAnsi="Arial"/>
                <w:sz w:val="29"/>
                <w:szCs w:val="29"/>
                <w:color w:val="auto"/>
                <w:w w:val="87"/>
                <w:vertAlign w:val="superscript"/>
              </w:rPr>
              <w:t>(4)</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ind w:lef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-599440</wp:posOffset>
            </wp:positionV>
            <wp:extent cx="1885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-599440</wp:posOffset>
            </wp:positionV>
            <wp:extent cx="1714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-599440</wp:posOffset>
            </wp:positionV>
            <wp:extent cx="1714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-599440</wp:posOffset>
            </wp:positionV>
            <wp:extent cx="1714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Dr. Tabuteau will not receive any severance payments upon an involuntary termination without cause, including a termination in connection with a change of control.</w:t>
      </w:r>
    </w:p>
    <w:p>
      <w:pPr>
        <w:spacing w:after="0" w:line="11" w:lineRule="exact"/>
        <w:rPr>
          <w:rFonts w:ascii="Arial" w:cs="Arial" w:eastAsia="Arial" w:hAnsi="Arial"/>
          <w:sz w:val="14"/>
          <w:szCs w:val="14"/>
          <w:color w:val="auto"/>
        </w:rPr>
      </w:pPr>
    </w:p>
    <w:p>
      <w:pPr>
        <w:ind w:left="640" w:right="499" w:hanging="348"/>
        <w:spacing w:after="0" w:line="281" w:lineRule="auto"/>
        <w:tabs>
          <w:tab w:leader="none" w:pos="6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2015 Plan includes a double-trigger provision, whereby the unvested portion of each NEO's outstanding equity awards shall become immediately vested and exercisable upon such NEO’s termination without cause in connection with a Change in Control.</w:t>
      </w:r>
    </w:p>
    <w:p>
      <w:pPr>
        <w:ind w:left="640" w:hanging="348"/>
        <w:spacing w:after="0"/>
        <w:tabs>
          <w:tab w:leader="none" w:pos="6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Pizzie’s employment agreement includes a double-trigger provision, whereby Mr. Pizzie will receive a severance payment equal to six</w:t>
      </w:r>
    </w:p>
    <w:p>
      <w:pPr>
        <w:spacing w:after="0" w:line="11"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4"/>
          <w:szCs w:val="14"/>
          <w:color w:val="auto"/>
        </w:rPr>
        <w:t>(6) months of his then-base salary for termination without cause in connection with a Change in Control.</w:t>
      </w:r>
    </w:p>
    <w:p>
      <w:pPr>
        <w:spacing w:after="0" w:line="29" w:lineRule="exact"/>
        <w:rPr>
          <w:rFonts w:ascii="Arial" w:cs="Arial" w:eastAsia="Arial" w:hAnsi="Arial"/>
          <w:sz w:val="13"/>
          <w:szCs w:val="13"/>
          <w:color w:val="auto"/>
        </w:rPr>
      </w:pPr>
    </w:p>
    <w:p>
      <w:pPr>
        <w:ind w:left="640" w:right="439" w:hanging="348"/>
        <w:spacing w:after="0" w:line="23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Marek’s employment agreement contains a single-trigger provision, whereby Mr. Marek will receive a severance payment equal to eight (8) months of his then-base salary for termination without cause, regardless of whether such termination occurs in connection with a Change in Control.</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Chief Executive Officer Pay Ratio</w:t>
      </w:r>
    </w:p>
    <w:p>
      <w:pPr>
        <w:spacing w:after="0" w:line="121" w:lineRule="exact"/>
        <w:rPr>
          <w:sz w:val="20"/>
          <w:szCs w:val="20"/>
          <w:color w:val="auto"/>
        </w:rPr>
      </w:pPr>
    </w:p>
    <w:p>
      <w:pPr>
        <w:ind w:left="300" w:right="419" w:firstLine="360"/>
        <w:spacing w:after="0" w:line="272" w:lineRule="auto"/>
        <w:rPr>
          <w:sz w:val="20"/>
          <w:szCs w:val="20"/>
          <w:color w:val="auto"/>
        </w:rPr>
      </w:pPr>
      <w:r>
        <w:rPr>
          <w:rFonts w:ascii="Arial" w:cs="Arial" w:eastAsia="Arial" w:hAnsi="Arial"/>
          <w:sz w:val="17"/>
          <w:szCs w:val="17"/>
          <w:color w:val="auto"/>
        </w:rPr>
        <w:t>As a result of the recently adopted rules under the Dodd-Frank Act, SEC rules now require companies to disclose the ratio of the total annual compensation of the principal executive officer to the median employee’s total annual compensation. We identified the median employee by examining the 2019 total annual compensation for all individuals, excluding our Chief Executive Officer, who were employed by us on December 31, 2019. We included all employees. For all employees, we examined total cash compensation, which included base salary and cash incentive compensation plan payments. We annualized the compensation of all permanent employees who were not employed by us for all of 2019.</w:t>
      </w:r>
    </w:p>
    <w:p>
      <w:pPr>
        <w:spacing w:after="0" w:line="69"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After identifying the median employee based on total cash compensation, we calculated annual total compensation for that employee using the same methodology we use for our named executive officers as set forth in the summary compensation table above. The total annual compensation of the median employee for 2019 was $166,021. The total annual compensation for our Chief Executive Officer for 2019 was $4,715,754. The ratio of Chief Executive Officer total annual compensation to the median employee total annual compensation for 2019 was approximately 28 to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the Record Date for:</w:t>
      </w:r>
    </w:p>
    <w:p>
      <w:pPr>
        <w:spacing w:after="0" w:line="62"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NEOs;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our NEOs and directors as a group;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persons known by us to beneficially own more than 5% of our common stock.</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9"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Applicable percentage ownership is based on 37,075,422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200 Broadway,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New York, New York 10038.</w:t>
      </w:r>
    </w:p>
    <w:tbl>
      <w:tblPr>
        <w:tblLayout w:type="fixed"/>
        <w:tblInd w:w="300" w:type="dxa"/>
        <w:tblCellMar>
          <w:top w:w="0" w:type="dxa"/>
          <w:left w:w="0" w:type="dxa"/>
          <w:bottom w:w="0" w:type="dxa"/>
          <w:right w:w="0" w:type="dxa"/>
        </w:tblCellMar>
      </w:tblPr>
      <w:tr>
        <w:trPr>
          <w:trHeight w:val="154"/>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360" w:type="dxa"/>
            <w:vAlign w:val="bottom"/>
            <w:vMerge w:val="restart"/>
          </w:tcPr>
          <w:p>
            <w:pPr>
              <w:spacing w:after="0"/>
              <w:rPr>
                <w:sz w:val="13"/>
                <w:szCs w:val="13"/>
                <w:color w:val="auto"/>
              </w:rPr>
            </w:pPr>
          </w:p>
        </w:tc>
        <w:tc>
          <w:tcPr>
            <w:tcW w:w="15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Number of Shares</w:t>
            </w: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Beneficially Owned</w:t>
            </w:r>
          </w:p>
        </w:tc>
        <w:tc>
          <w:tcPr>
            <w:tcW w:w="3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311"/>
        </w:trPr>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Antecip Capital LLC</w:t>
            </w:r>
            <w:r>
              <w:rPr>
                <w:rFonts w:ascii="Arial" w:cs="Arial" w:eastAsia="Arial" w:hAnsi="Arial"/>
                <w:sz w:val="29"/>
                <w:szCs w:val="29"/>
                <w:color w:val="auto"/>
                <w:vertAlign w:val="superscript"/>
              </w:rPr>
              <w:t>(2)</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7,344,500</w:t>
            </w:r>
          </w:p>
        </w:tc>
        <w:tc>
          <w:tcPr>
            <w:tcW w:w="3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324"/>
        </w:trPr>
        <w:tc>
          <w:tcPr>
            <w:tcW w:w="55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Venrock Healthcare Capital Partners II, L.P.</w:t>
            </w:r>
            <w:r>
              <w:rPr>
                <w:rFonts w:ascii="Arial" w:cs="Arial" w:eastAsia="Arial" w:hAnsi="Arial"/>
                <w:sz w:val="29"/>
                <w:szCs w:val="29"/>
                <w:color w:val="auto"/>
                <w:vertAlign w:val="superscript"/>
              </w:rPr>
              <w:t>(3)</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2,333,975</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2,118,436</w:t>
            </w:r>
          </w:p>
        </w:tc>
        <w:tc>
          <w:tcPr>
            <w:tcW w:w="3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Herriot Tabuteau, M.D.</w:t>
            </w:r>
            <w:r>
              <w:rPr>
                <w:rFonts w:ascii="Arial" w:cs="Arial" w:eastAsia="Arial" w:hAnsi="Arial"/>
                <w:sz w:val="29"/>
                <w:szCs w:val="29"/>
                <w:color w:val="auto"/>
                <w:vertAlign w:val="superscript"/>
              </w:rPr>
              <w:t>(5)</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8,197,672</w:t>
            </w:r>
          </w:p>
        </w:tc>
        <w:tc>
          <w:tcPr>
            <w:tcW w:w="3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24"/>
        </w:trPr>
        <w:tc>
          <w:tcPr>
            <w:tcW w:w="55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Nick Pizzie, C.P.A., M.B.A.</w:t>
            </w:r>
            <w:r>
              <w:rPr>
                <w:rFonts w:ascii="Arial" w:cs="Arial" w:eastAsia="Arial" w:hAnsi="Arial"/>
                <w:sz w:val="29"/>
                <w:szCs w:val="29"/>
                <w:color w:val="auto"/>
                <w:vertAlign w:val="superscript"/>
              </w:rPr>
              <w:t>(6)</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138,990</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David Marek</w:t>
            </w:r>
            <w:r>
              <w:rPr>
                <w:rFonts w:ascii="Arial" w:cs="Arial" w:eastAsia="Arial" w:hAnsi="Arial"/>
                <w:sz w:val="29"/>
                <w:szCs w:val="29"/>
                <w:color w:val="auto"/>
                <w:vertAlign w:val="superscript"/>
              </w:rPr>
              <w:t>(7)</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13,714</w:t>
            </w:r>
          </w:p>
        </w:tc>
        <w:tc>
          <w:tcPr>
            <w:tcW w:w="340" w:type="dxa"/>
            <w:vAlign w:val="bottom"/>
          </w:tcPr>
          <w:p>
            <w:pPr>
              <w:spacing w:after="0"/>
              <w:rPr>
                <w:sz w:val="24"/>
                <w:szCs w:val="24"/>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Roger Jeffs, Ph.D.</w:t>
            </w:r>
            <w:r>
              <w:rPr>
                <w:rFonts w:ascii="Arial" w:cs="Arial" w:eastAsia="Arial" w:hAnsi="Arial"/>
                <w:sz w:val="29"/>
                <w:szCs w:val="29"/>
                <w:color w:val="auto"/>
                <w:vertAlign w:val="superscript"/>
              </w:rPr>
              <w:t>(8)</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181,214</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Mark Coleman, M.D.</w:t>
            </w:r>
            <w:r>
              <w:rPr>
                <w:rFonts w:ascii="Arial" w:cs="Arial" w:eastAsia="Arial" w:hAnsi="Arial"/>
                <w:sz w:val="29"/>
                <w:szCs w:val="29"/>
                <w:color w:val="auto"/>
                <w:vertAlign w:val="superscript"/>
              </w:rPr>
              <w:t>(9)</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873,404</w:t>
            </w:r>
          </w:p>
        </w:tc>
        <w:tc>
          <w:tcPr>
            <w:tcW w:w="3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55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Mark Saad</w:t>
            </w:r>
            <w:r>
              <w:rPr>
                <w:rFonts w:ascii="Arial" w:cs="Arial" w:eastAsia="Arial" w:hAnsi="Arial"/>
                <w:sz w:val="29"/>
                <w:szCs w:val="29"/>
                <w:color w:val="auto"/>
                <w:vertAlign w:val="superscript"/>
              </w:rPr>
              <w:t>(10)</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167,500</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line="324" w:lineRule="exact"/>
              <w:rPr>
                <w:sz w:val="20"/>
                <w:szCs w:val="20"/>
                <w:color w:val="auto"/>
              </w:rPr>
            </w:pPr>
            <w:r>
              <w:rPr>
                <w:rFonts w:ascii="Arial" w:cs="Arial" w:eastAsia="Arial" w:hAnsi="Arial"/>
                <w:sz w:val="18"/>
                <w:szCs w:val="18"/>
                <w:color w:val="auto"/>
              </w:rPr>
              <w:t>Myrtle Potter</w:t>
            </w:r>
            <w:r>
              <w:rPr>
                <w:rFonts w:ascii="Arial" w:cs="Arial" w:eastAsia="Arial" w:hAnsi="Arial"/>
                <w:sz w:val="29"/>
                <w:szCs w:val="29"/>
                <w:color w:val="auto"/>
                <w:vertAlign w:val="superscript"/>
              </w:rPr>
              <w:t>(11)</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60,197</w:t>
            </w:r>
          </w:p>
        </w:tc>
        <w:tc>
          <w:tcPr>
            <w:tcW w:w="340" w:type="dxa"/>
            <w:vAlign w:val="bottom"/>
          </w:tcPr>
          <w:p>
            <w:pPr>
              <w:spacing w:after="0"/>
              <w:rPr>
                <w:sz w:val="24"/>
                <w:szCs w:val="24"/>
                <w:color w:val="auto"/>
              </w:rPr>
            </w:pPr>
          </w:p>
        </w:tc>
        <w:tc>
          <w:tcPr>
            <w:tcW w:w="13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NEOs and directors as a group (7 persons)</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9,632,691</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-2656840</wp:posOffset>
            </wp:positionV>
            <wp:extent cx="2228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-2656840</wp:posOffset>
            </wp:positionV>
            <wp:extent cx="222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42" w:lineRule="exact"/>
        <w:rPr>
          <w:sz w:val="20"/>
          <w:szCs w:val="20"/>
          <w:color w:val="auto"/>
        </w:rPr>
      </w:pPr>
    </w:p>
    <w:p>
      <w:pPr>
        <w:ind w:left="640" w:right="439" w:hanging="348"/>
        <w:spacing w:after="0" w:line="23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22" w:lineRule="exact"/>
        <w:rPr>
          <w:rFonts w:ascii="Arial" w:cs="Arial" w:eastAsia="Arial" w:hAnsi="Arial"/>
          <w:sz w:val="14"/>
          <w:szCs w:val="14"/>
          <w:color w:val="auto"/>
        </w:rPr>
      </w:pPr>
    </w:p>
    <w:p>
      <w:pPr>
        <w:ind w:left="640" w:right="379" w:hanging="348"/>
        <w:spacing w:after="0" w:line="25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principal address of Antecip Capital LLC is 630 5th Avenue, Suite 2000, New York, NY 10111. Dr. Tabuteau is the managing member of Antecip Capital LLC and exercises sole dispositive and voting power over these shares.</w:t>
      </w:r>
    </w:p>
    <w:p>
      <w:pPr>
        <w:spacing w:after="0" w:line="11" w:lineRule="exact"/>
        <w:rPr>
          <w:rFonts w:ascii="Arial" w:cs="Arial" w:eastAsia="Arial" w:hAnsi="Arial"/>
          <w:sz w:val="14"/>
          <w:szCs w:val="14"/>
          <w:color w:val="auto"/>
        </w:rPr>
      </w:pPr>
    </w:p>
    <w:p>
      <w:pPr>
        <w:ind w:left="640" w:right="379" w:hanging="348"/>
        <w:spacing w:after="0" w:line="245"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information disclosed in a Schedule 13G/A filed with the SEC on February 14, 2020 by Venrock Healthcare Capital Partners II, L.P. (“Venrock”), according to which Venrock holds shared voting and dispositive power over 2,333,975 shares of our common stock, as follows: (i) 559,326 shares are owned directly by Venrock, (ii) 226,655 shares are owned directly by VHCP Co-Investment Holdings II, LLC, (iii) 1,407,363 shares are owned directly by Venrock Healthcare Capital Partners III, L.P. and (iv) 140,631 shares are owned directly by VHCP Co-Investment Holdings III, LLC. VHCP Management II, LLC is the general partner of Venrock and the manager of VHCP Co-Investment Holdings II, LLC. VHCP Management III, LLC is the general partner of Venrock Healthcare Capital Partners III, L.P. and the manager of VHCP Co-Investment Holdings III, LLC. Nimish Shah and Bong Koh are the voting members of VHCP Management II, LLC and VHCP Management III, LLC. The Principal address of Venrock is 7 Bryant Park, 23rd Floor, New York, NY 10018.</w:t>
      </w:r>
    </w:p>
    <w:p>
      <w:pPr>
        <w:spacing w:after="0" w:line="21" w:lineRule="exact"/>
        <w:rPr>
          <w:rFonts w:ascii="Arial" w:cs="Arial" w:eastAsia="Arial" w:hAnsi="Arial"/>
          <w:sz w:val="13"/>
          <w:szCs w:val="13"/>
          <w:color w:val="auto"/>
        </w:rPr>
      </w:pPr>
    </w:p>
    <w:p>
      <w:pPr>
        <w:ind w:left="640" w:right="319" w:hanging="348"/>
        <w:spacing w:after="0" w:line="264"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information disclosed in a Schedule 13G filed with the SEC on February 7, 2020 by BlackRock, Inc. (“BlackRock”), according to which BlackRock beneficially owns 2,118,436 shares of our common stock, with sole voting power over 2,118,436 shares and sole dispositive power over 2,118,436 shares. The registered holders of the referenced shares are funds and accounts under</w:t>
      </w:r>
    </w:p>
    <w:p>
      <w:pPr>
        <w:sectPr>
          <w:pgSz w:w="11900" w:h="16838" w:orient="portrait"/>
          <w:cols w:equalWidth="0" w:num="1">
            <w:col w:w="9019"/>
          </w:cols>
          <w:pgMar w:left="1440" w:top="265"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659"/>
        <w:spacing w:after="0" w:line="253" w:lineRule="auto"/>
        <w:rPr>
          <w:sz w:val="20"/>
          <w:szCs w:val="20"/>
          <w:color w:val="auto"/>
        </w:rPr>
      </w:pPr>
      <w:r>
        <w:rPr>
          <w:rFonts w:ascii="Arial" w:cs="Arial" w:eastAsia="Arial" w:hAnsi="Arial"/>
          <w:sz w:val="14"/>
          <w:szCs w:val="14"/>
          <w:color w:val="auto"/>
        </w:rPr>
        <w:t>management by investment adviser subsidiaries of BlackRock. BlackRock is the ultimate parent holding company of such investment adviser entities. The principal address of BlackRock is 55 East 52nd Street, New York, NY 10055.</w:t>
      </w:r>
    </w:p>
    <w:p>
      <w:pPr>
        <w:spacing w:after="0" w:line="12" w:lineRule="exact"/>
        <w:rPr>
          <w:sz w:val="20"/>
          <w:szCs w:val="20"/>
          <w:color w:val="auto"/>
        </w:rPr>
      </w:pPr>
    </w:p>
    <w:p>
      <w:pPr>
        <w:ind w:left="640" w:right="319" w:hanging="348"/>
        <w:spacing w:after="0" w:line="264" w:lineRule="auto"/>
        <w:tabs>
          <w:tab w:leader="none" w:pos="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(a) 7,229 shares of common stock owned by Dr. Tabuteau; (b) 845,943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w:t>
      </w:r>
    </w:p>
    <w:p>
      <w:pPr>
        <w:spacing w:after="0" w:line="6" w:lineRule="exact"/>
        <w:rPr>
          <w:rFonts w:ascii="Arial" w:cs="Arial" w:eastAsia="Arial" w:hAnsi="Arial"/>
          <w:sz w:val="13"/>
          <w:szCs w:val="13"/>
          <w:color w:val="auto"/>
        </w:rPr>
      </w:pPr>
    </w:p>
    <w:p>
      <w:pPr>
        <w:ind w:left="640" w:right="419" w:hanging="348"/>
        <w:spacing w:after="0" w:line="233"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40,440 shares of common stock owned by Mr. Pizzie; (b) 60 shares of common stock that may be deemed to be indirectly beneficially owned by Mr. Pizzie as custodian for his son’s UTMA account and (c) 98,490 shares of common stock that Mr. Pizzie has the right to acquire from us within 60 days of the Record Date. Mr. Pizzie disclaims beneficial ownership of the 60 shares of common stock held in his son’s UTMA account.</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13,714 shares of common stock that Mr. Marek has the right to acquire from us within 60 days of the Record Date.</w:t>
      </w:r>
    </w:p>
    <w:p>
      <w:pPr>
        <w:spacing w:after="0" w:line="41"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163,718 shares of common stock owned by Dr. Jeffs and (b) 17,496 shares of common stock that Dr. Jeffs has the right to acquire from us within 60 days of the Record Date.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(a) 668,848 shares of common stock owned by Dr. Coleman; (b) 5,100 shares of common stock owned by an entity of which</w:t>
      </w:r>
    </w:p>
    <w:p>
      <w:pPr>
        <w:spacing w:after="0" w:line="11" w:lineRule="exact"/>
        <w:rPr>
          <w:rFonts w:ascii="Arial" w:cs="Arial" w:eastAsia="Arial" w:hAnsi="Arial"/>
          <w:sz w:val="13"/>
          <w:szCs w:val="13"/>
          <w:color w:val="auto"/>
        </w:rPr>
      </w:pPr>
    </w:p>
    <w:p>
      <w:pPr>
        <w:ind w:left="640" w:right="379"/>
        <w:spacing w:after="0" w:line="237" w:lineRule="auto"/>
        <w:rPr>
          <w:rFonts w:ascii="Arial" w:cs="Arial" w:eastAsia="Arial" w:hAnsi="Arial"/>
          <w:sz w:val="13"/>
          <w:szCs w:val="13"/>
          <w:color w:val="auto"/>
        </w:rPr>
      </w:pPr>
      <w:r>
        <w:rPr>
          <w:rFonts w:ascii="Arial" w:cs="Arial" w:eastAsia="Arial" w:hAnsi="Arial"/>
          <w:sz w:val="14"/>
          <w:szCs w:val="14"/>
          <w:color w:val="auto"/>
        </w:rPr>
        <w:t>Dr. Coleman has sole voting and dispositive power and (c) 199,456 shares of common stock that Dr. Coleman has the right to acquire from us within 60 days of the Record Date.</w:t>
      </w:r>
    </w:p>
    <w:p>
      <w:pPr>
        <w:spacing w:after="0" w:line="21" w:lineRule="exact"/>
        <w:rPr>
          <w:rFonts w:ascii="Arial" w:cs="Arial" w:eastAsia="Arial" w:hAnsi="Arial"/>
          <w:sz w:val="13"/>
          <w:szCs w:val="13"/>
          <w:color w:val="auto"/>
        </w:rPr>
      </w:pPr>
    </w:p>
    <w:p>
      <w:pPr>
        <w:ind w:left="640" w:right="659" w:hanging="348"/>
        <w:spacing w:after="0" w:line="253" w:lineRule="auto"/>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(a) 7,002 shares of common stock owned by Mr. Saad and (b) 160,498 shares of common stock that Mr. Saad has the right to acquire from us within 60 days of the Record Date.</w:t>
      </w:r>
    </w:p>
    <w:p>
      <w:pPr>
        <w:spacing w:after="0" w:line="11" w:lineRule="exact"/>
        <w:rPr>
          <w:rFonts w:ascii="Arial" w:cs="Arial" w:eastAsia="Arial" w:hAnsi="Arial"/>
          <w:sz w:val="14"/>
          <w:szCs w:val="14"/>
          <w:color w:val="auto"/>
        </w:rPr>
      </w:pPr>
    </w:p>
    <w:p>
      <w:pPr>
        <w:ind w:left="640" w:right="499" w:hanging="348"/>
        <w:spacing w:after="0" w:line="290" w:lineRule="auto"/>
        <w:tabs>
          <w:tab w:leader="none" w:pos="6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Includes 60,197 shares of common stock that Ms. Potter has the right to acquire from us within 60 days of the Record Date. As disclosed above, on April 19, 2020, Ms. Potter notified our board of directors of her decision to not stand for re-election at the Annual Meeting.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gridSpan w:val="10"/>
          </w:tcPr>
          <w:p>
            <w:pPr>
              <w:ind w:left="640"/>
              <w:spacing w:after="0"/>
              <w:rPr>
                <w:sz w:val="20"/>
                <w:szCs w:val="20"/>
                <w:color w:val="auto"/>
              </w:rPr>
            </w:pPr>
            <w:r>
              <w:rPr>
                <w:rFonts w:ascii="Arial" w:cs="Arial" w:eastAsia="Arial" w:hAnsi="Arial"/>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4"/>
          </w:tcPr>
          <w:p>
            <w:pPr>
              <w:jc w:val="center"/>
              <w:ind w:right="15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2"/>
                <w:szCs w:val="12"/>
                <w:color w:val="auto"/>
              </w:rPr>
            </w:pPr>
          </w:p>
        </w:tc>
        <w:tc>
          <w:tcPr>
            <w:tcW w:w="2240" w:type="dxa"/>
            <w:vAlign w:val="bottom"/>
            <w:gridSpan w:val="4"/>
          </w:tcPr>
          <w:p>
            <w:pPr>
              <w:jc w:val="center"/>
              <w:ind w:right="15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440" w:type="dxa"/>
            <w:vAlign w:val="bottom"/>
            <w:gridSpan w:val="2"/>
            <w:vMerge w:val="continue"/>
          </w:tcPr>
          <w:p>
            <w:pPr>
              <w:spacing w:after="0"/>
              <w:rPr>
                <w:sz w:val="12"/>
                <w:szCs w:val="12"/>
                <w:color w:val="auto"/>
              </w:rPr>
            </w:pPr>
          </w:p>
        </w:tc>
        <w:tc>
          <w:tcPr>
            <w:tcW w:w="24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460" w:type="dxa"/>
            <w:vAlign w:val="bottom"/>
            <w:gridSpan w:val="5"/>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4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460" w:type="dxa"/>
            <w:vAlign w:val="bottom"/>
            <w:gridSpan w:val="5"/>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options,</w:t>
            </w: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options,</w:t>
            </w:r>
          </w:p>
        </w:tc>
        <w:tc>
          <w:tcPr>
            <w:tcW w:w="2460" w:type="dxa"/>
            <w:vAlign w:val="bottom"/>
            <w:gridSpan w:val="5"/>
          </w:tcPr>
          <w:p>
            <w:pPr>
              <w:jc w:val="center"/>
              <w:ind w:right="13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8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460" w:type="dxa"/>
            <w:vAlign w:val="bottom"/>
            <w:gridSpan w:val="5"/>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rights</w:t>
            </w: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rights</w:t>
            </w:r>
          </w:p>
        </w:tc>
        <w:tc>
          <w:tcPr>
            <w:tcW w:w="24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9"/>
                <w:szCs w:val="19"/>
                <w:color w:val="auto"/>
              </w:rPr>
            </w:pPr>
          </w:p>
        </w:tc>
        <w:tc>
          <w:tcPr>
            <w:tcW w:w="2240" w:type="dxa"/>
            <w:vAlign w:val="bottom"/>
            <w:gridSpan w:val="4"/>
          </w:tcPr>
          <w:p>
            <w:pPr>
              <w:jc w:val="center"/>
              <w:ind w:right="15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Equity compensation plans approved by security holders</w:t>
            </w:r>
          </w:p>
        </w:tc>
        <w:tc>
          <w:tcPr>
            <w:tcW w:w="1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3,450,179</w:t>
            </w: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8"/>
                <w:szCs w:val="18"/>
                <w:color w:val="auto"/>
              </w:rPr>
              <w:t>$10.19</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3,387,596</w:t>
            </w:r>
          </w:p>
        </w:tc>
        <w:tc>
          <w:tcPr>
            <w:tcW w:w="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Equity compensation plans not approved by security</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holders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243"/>
              <w:spacing w:after="0"/>
              <w:rPr>
                <w:sz w:val="20"/>
                <w:szCs w:val="20"/>
                <w:color w:val="auto"/>
              </w:rPr>
            </w:pPr>
            <w:r>
              <w:rPr>
                <w:rFonts w:ascii="Arial" w:cs="Arial" w:eastAsia="Arial" w:hAnsi="Arial"/>
                <w:sz w:val="18"/>
                <w:szCs w:val="18"/>
                <w:color w:val="auto"/>
              </w:rPr>
              <w:t>6.06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right"/>
              <w:ind w:righ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3,458,447</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3"/>
              <w:spacing w:after="0"/>
              <w:rPr>
                <w:sz w:val="20"/>
                <w:szCs w:val="20"/>
                <w:color w:val="auto"/>
              </w:rPr>
            </w:pPr>
            <w:r>
              <w:rPr>
                <w:rFonts w:ascii="Arial" w:cs="Arial" w:eastAsia="Arial" w:hAnsi="Arial"/>
                <w:sz w:val="18"/>
                <w:szCs w:val="18"/>
                <w:color w:val="auto"/>
              </w:rPr>
              <w:t>$10.19</w:t>
            </w:r>
          </w:p>
        </w:tc>
        <w:tc>
          <w:tcPr>
            <w:tcW w:w="3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3,387,596</w:t>
            </w:r>
          </w:p>
        </w:tc>
        <w:tc>
          <w:tcPr>
            <w:tcW w:w="2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4"/>
                <w:szCs w:val="24"/>
                <w:color w:val="auto"/>
              </w:rPr>
            </w:pPr>
          </w:p>
        </w:tc>
        <w:tc>
          <w:tcPr>
            <w:tcW w:w="41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9"/>
              </w:rPr>
              <w:t>38</w:t>
            </w: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The following is a description of transactions since January 1, 2018, in which we were a party and the amount involved exceeded or will exceed $120,000 or 1% of the average of our total assets at year-end for the last two completed fiscal years,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“Executive Compensation.”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21"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53" w:lineRule="exact"/>
        <w:rPr>
          <w:sz w:val="20"/>
          <w:szCs w:val="20"/>
          <w:color w:val="auto"/>
        </w:rPr>
      </w:pPr>
    </w:p>
    <w:p>
      <w:pPr>
        <w:jc w:val="both"/>
        <w:ind w:left="300" w:right="639" w:firstLine="360"/>
        <w:spacing w:after="0" w:line="311" w:lineRule="auto"/>
        <w:rPr>
          <w:sz w:val="20"/>
          <w:szCs w:val="20"/>
          <w:color w:val="auto"/>
        </w:rPr>
      </w:pPr>
      <w:r>
        <w:rPr>
          <w:rFonts w:ascii="Arial" w:cs="Arial" w:eastAsia="Arial" w:hAnsi="Arial"/>
          <w:sz w:val="16"/>
          <w:szCs w:val="16"/>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41"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related party’s interest in the transaction;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approximate dollar value of the transaction;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we could have reached with an unrelated third party;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purpose and potential benefit to us of the transaction.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79"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2019, all Section 16(a) filing requirements were satisfied in a timely manner.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300" w:right="639" w:firstLine="360"/>
        <w:spacing w:after="0" w:line="259" w:lineRule="auto"/>
        <w:rPr>
          <w:sz w:val="20"/>
          <w:szCs w:val="20"/>
          <w:color w:val="auto"/>
        </w:rPr>
      </w:pPr>
      <w:r>
        <w:rPr>
          <w:rFonts w:ascii="Arial" w:cs="Arial" w:eastAsia="Arial" w:hAnsi="Arial"/>
          <w:sz w:val="18"/>
          <w:szCs w:val="18"/>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Audit Committee</w:t>
      </w:r>
    </w:p>
    <w:p>
      <w:pPr>
        <w:spacing w:after="0" w:line="12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59"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Review of Audited Financial Statements for the Year Ended December 31, 2019</w:t>
      </w:r>
    </w:p>
    <w:p>
      <w:pPr>
        <w:spacing w:after="0" w:line="121"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audit committee has reviewed and discussed with Axsome’s management and Ernst &amp; Young LLP the audited consolidated financial statements of Axsome Therapeutics, Inc. for the year ended December 31, 2019.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68"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79" w:lineRule="exact"/>
        <w:rPr>
          <w:sz w:val="20"/>
          <w:szCs w:val="20"/>
          <w:color w:val="auto"/>
        </w:rPr>
      </w:pPr>
    </w:p>
    <w:p>
      <w:pPr>
        <w:jc w:val="both"/>
        <w:ind w:left="300" w:right="679" w:firstLine="360"/>
        <w:spacing w:after="0" w:line="286"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financial statements be included in Axsome’s annual report on Form 10-K for the year ended December 31, 2019 for filing with the Securities and Exchange Commission.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Mark Saad (Chair)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Mark Coleman, M.D.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Roger Jeffs, Ph.D.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Myrtle Potter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7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NY</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April 21,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76123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761238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92075</wp:posOffset>
            </wp:positionV>
            <wp:extent cx="5666105" cy="73380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6105" cy="733806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lvl w:ilvl="1">
      <w:lvlJc w:val="left"/>
      <w:lvlText w:val="(%2)"/>
      <w:numFmt w:val="decimal"/>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upperLetter"/>
      <w:start w:val="1"/>
    </w:lvl>
  </w:abstractNum>
  <w:abstractNum w:abstractNumId="5">
    <w:nsid w:val="51EAD36B"/>
    <w:multiLevelType w:val="hybridMultilevel"/>
    <w:lvl w:ilvl="0">
      <w:lvlJc w:val="left"/>
      <w:lvlText w:val="%1:"/>
      <w:numFmt w:val="upperLetter"/>
      <w:start w:val="17"/>
    </w:lvl>
  </w:abstractNum>
  <w:abstractNum w:abstractNumId="6">
    <w:nsid w:val="2D517796"/>
    <w:multiLevelType w:val="hybridMultilevel"/>
    <w:lvl w:ilvl="0">
      <w:lvlJc w:val="left"/>
      <w:lvlText w:val="%1:"/>
      <w:numFmt w:val="upperLetter"/>
      <w:start w:val="1"/>
    </w:lvl>
  </w:abstractNum>
  <w:abstractNum w:abstractNumId="7">
    <w:nsid w:val="580BD78F"/>
    <w:multiLevelType w:val="hybridMultilevel"/>
    <w:lvl w:ilvl="0">
      <w:lvlJc w:val="left"/>
      <w:lvlText w:val="%1:"/>
      <w:numFmt w:val="upperLetter"/>
      <w:start w:val="17"/>
    </w:lvl>
  </w:abstractNum>
  <w:abstractNum w:abstractNumId="8">
    <w:nsid w:val="153EA438"/>
    <w:multiLevelType w:val="hybridMultilevel"/>
    <w:lvl w:ilvl="0">
      <w:lvlJc w:val="left"/>
      <w:lvlText w:val="%1:"/>
      <w:numFmt w:val="upperLetter"/>
      <w:start w:val="1"/>
    </w:lvl>
  </w:abstractNum>
  <w:abstractNum w:abstractNumId="9">
    <w:nsid w:val="3855585C"/>
    <w:multiLevelType w:val="hybridMultilevel"/>
    <w:lvl w:ilvl="0">
      <w:lvlJc w:val="left"/>
      <w:lvlText w:val="%1:"/>
      <w:numFmt w:val="upperLetter"/>
      <w:start w:val="1"/>
    </w:lvl>
    <w:lvl w:ilvl="1">
      <w:lvlJc w:val="left"/>
      <w:lvlText w:val="•"/>
      <w:numFmt w:val="bullet"/>
      <w:start w:val="1"/>
    </w:lvl>
  </w:abstractNum>
  <w:abstractNum w:abstractNumId="10">
    <w:nsid w:val="70A64E2A"/>
    <w:multiLevelType w:val="hybridMultilevel"/>
    <w:lvl w:ilvl="0">
      <w:lvlJc w:val="left"/>
      <w:lvlText w:val="%1:"/>
      <w:numFmt w:val="upperLetter"/>
      <w:start w:val="1"/>
    </w:lvl>
  </w:abstractNum>
  <w:abstractNum w:abstractNumId="11">
    <w:nsid w:val="6A2342EC"/>
    <w:multiLevelType w:val="hybridMultilevel"/>
    <w:lvl w:ilvl="0">
      <w:lvlJc w:val="left"/>
      <w:lvlText w:val="%1:"/>
      <w:numFmt w:val="upperLetter"/>
      <w:start w:val="1"/>
    </w:lvl>
  </w:abstractNum>
  <w:abstractNum w:abstractNumId="12">
    <w:nsid w:val="2A487CB0"/>
    <w:multiLevelType w:val="hybridMultilevel"/>
    <w:lvl w:ilvl="0">
      <w:lvlJc w:val="left"/>
      <w:lvlText w:val="%1:"/>
      <w:numFmt w:val="upperLetter"/>
      <w:start w:val="1"/>
    </w:lvl>
  </w:abstractNum>
  <w:abstractNum w:abstractNumId="13">
    <w:nsid w:val="1D4ED43B"/>
    <w:multiLevelType w:val="hybridMultilevel"/>
    <w:lvl w:ilvl="0">
      <w:lvlJc w:val="left"/>
      <w:lvlText w:val="%1:"/>
      <w:numFmt w:val="upperLetter"/>
      <w:start w:val="1"/>
    </w:lvl>
  </w:abstractNum>
  <w:abstractNum w:abstractNumId="14">
    <w:nsid w:val="725A06FB"/>
    <w:multiLevelType w:val="hybridMultilevel"/>
    <w:lvl w:ilvl="0">
      <w:lvlJc w:val="left"/>
      <w:lvlText w:val="%1:"/>
      <w:numFmt w:val="upperLetter"/>
      <w:start w:val="1"/>
    </w:lvl>
  </w:abstractNum>
  <w:abstractNum w:abstractNumId="15">
    <w:nsid w:val="2CD89A32"/>
    <w:multiLevelType w:val="hybridMultilevel"/>
    <w:lvl w:ilvl="0">
      <w:lvlJc w:val="left"/>
      <w:lvlText w:val="%1:"/>
      <w:numFmt w:val="upperLetter"/>
      <w:start w:val="1"/>
    </w:lvl>
  </w:abstractNum>
  <w:abstractNum w:abstractNumId="16">
    <w:nsid w:val="57E4CCAF"/>
    <w:multiLevelType w:val="hybridMultilevel"/>
    <w:lvl w:ilvl="0">
      <w:lvlJc w:val="left"/>
      <w:lvlText w:val="%1:"/>
      <w:numFmt w:val="upperLetter"/>
      <w:start w:val="1"/>
    </w:lvl>
  </w:abstractNum>
  <w:abstractNum w:abstractNumId="17">
    <w:nsid w:val="7A6D8D3C"/>
    <w:multiLevelType w:val="hybridMultilevel"/>
    <w:lvl w:ilvl="0">
      <w:lvlJc w:val="left"/>
      <w:lvlText w:val="%1:"/>
      <w:numFmt w:val="upperLetter"/>
      <w:start w:val="1"/>
    </w:lvl>
    <w:lvl w:ilvl="1">
      <w:lvlJc w:val="left"/>
      <w:lvlText w:val="•"/>
      <w:numFmt w:val="bullet"/>
      <w:start w:val="1"/>
    </w:lvl>
  </w:abstractNum>
  <w:abstractNum w:abstractNumId="18">
    <w:nsid w:val="4B588F54"/>
    <w:multiLevelType w:val="hybridMultilevel"/>
    <w:lvl w:ilvl="0">
      <w:lvlJc w:val="left"/>
      <w:lvlText w:val="%1:"/>
      <w:numFmt w:val="upperLetter"/>
      <w:start w:val="1"/>
    </w:lvl>
  </w:abstractNum>
  <w:abstractNum w:abstractNumId="19">
    <w:nsid w:val="542289EC"/>
    <w:multiLevelType w:val="hybridMultilevel"/>
    <w:lvl w:ilvl="0">
      <w:lvlJc w:val="left"/>
      <w:lvlText w:val="%1:"/>
      <w:numFmt w:val="upperLetter"/>
      <w:start w:val="1"/>
    </w:lvl>
    <w:lvl w:ilvl="1">
      <w:lvlJc w:val="left"/>
      <w:lvlText w:val="(%2)"/>
      <w:numFmt w:val="decimal"/>
      <w:start w:val="1"/>
    </w:lvl>
  </w:abstractNum>
  <w:abstractNum w:abstractNumId="20">
    <w:nsid w:val="6DE91B18"/>
    <w:multiLevelType w:val="hybridMultilevel"/>
    <w:lvl w:ilvl="0">
      <w:lvlJc w:val="left"/>
      <w:lvlText w:val="%1:"/>
      <w:numFmt w:val="upperLetter"/>
      <w:start w:val="1"/>
    </w:lvl>
  </w:abstractNum>
  <w:abstractNum w:abstractNumId="21">
    <w:nsid w:val="38437FDB"/>
    <w:multiLevelType w:val="hybridMultilevel"/>
    <w:lvl w:ilvl="0">
      <w:lvlJc w:val="left"/>
      <w:lvlText w:val="%1:"/>
      <w:numFmt w:val="upperLetter"/>
      <w:start w:val="1"/>
    </w:lvl>
    <w:lvl w:ilvl="1">
      <w:lvlJc w:val="left"/>
      <w:lvlText w:val="•"/>
      <w:numFmt w:val="bullet"/>
      <w:start w:val="1"/>
    </w:lvl>
  </w:abstractNum>
  <w:abstractNum w:abstractNumId="22">
    <w:nsid w:val="7644A45C"/>
    <w:multiLevelType w:val="hybridMultilevel"/>
    <w:lvl w:ilvl="0">
      <w:lvlJc w:val="left"/>
      <w:lvlText w:val="%1:"/>
      <w:numFmt w:val="upperLetter"/>
      <w:start w:val="1"/>
    </w:lvl>
    <w:lvl w:ilvl="1">
      <w:lvlJc w:val="left"/>
      <w:lvlText w:val="•"/>
      <w:numFmt w:val="bullet"/>
      <w:start w:val="1"/>
    </w:lvl>
  </w:abstractNum>
  <w:abstractNum w:abstractNumId="23">
    <w:nsid w:val="32FFF902"/>
    <w:multiLevelType w:val="hybridMultilevel"/>
    <w:lvl w:ilvl="0">
      <w:lvlJc w:val="left"/>
      <w:lvlText w:val="%1:"/>
      <w:numFmt w:val="upperLetter"/>
      <w:start w:val="1"/>
    </w:lvl>
  </w:abstractNum>
  <w:abstractNum w:abstractNumId="24">
    <w:nsid w:val="684A481A"/>
    <w:multiLevelType w:val="hybridMultilevel"/>
    <w:lvl w:ilvl="0">
      <w:lvlJc w:val="left"/>
      <w:lvlText w:val="%1:"/>
      <w:numFmt w:val="upperLetter"/>
      <w:start w:val="1"/>
    </w:lvl>
  </w:abstractNum>
  <w:abstractNum w:abstractNumId="25">
    <w:nsid w:val="579478FE"/>
    <w:multiLevelType w:val="hybridMultilevel"/>
    <w:lvl w:ilvl="0">
      <w:lvlJc w:val="left"/>
      <w:lvlText w:val="%1:"/>
      <w:numFmt w:val="upperLetter"/>
      <w:start w:val="1"/>
    </w:lvl>
  </w:abstractNum>
  <w:abstractNum w:abstractNumId="26">
    <w:nsid w:val="749ABB43"/>
    <w:multiLevelType w:val="hybridMultilevel"/>
    <w:lvl w:ilvl="0">
      <w:lvlJc w:val="left"/>
      <w:lvlText w:val="%1:"/>
      <w:numFmt w:val="upperLetter"/>
      <w:start w:val="1"/>
    </w:lvl>
  </w:abstractNum>
  <w:abstractNum w:abstractNumId="27">
    <w:nsid w:val="3DC240FB"/>
    <w:multiLevelType w:val="hybridMultilevel"/>
    <w:lvl w:ilvl="0">
      <w:lvlJc w:val="left"/>
      <w:lvlText w:val="%1:"/>
      <w:numFmt w:val="upperLetter"/>
      <w:start w:val="1"/>
    </w:lvl>
  </w:abstractNum>
  <w:abstractNum w:abstractNumId="28">
    <w:nsid w:val="1BA026FA"/>
    <w:multiLevelType w:val="hybridMultilevel"/>
    <w:lvl w:ilvl="0">
      <w:lvlJc w:val="left"/>
      <w:lvlText w:val="%1:"/>
      <w:numFmt w:val="upperLetter"/>
      <w:start w:val="1"/>
    </w:lvl>
  </w:abstractNum>
  <w:abstractNum w:abstractNumId="29">
    <w:nsid w:val="79A1DEAA"/>
    <w:multiLevelType w:val="hybridMultilevel"/>
    <w:lvl w:ilvl="0">
      <w:lvlJc w:val="left"/>
      <w:lvlText w:val="%1:"/>
      <w:numFmt w:val="upperLetter"/>
      <w:start w:val="17"/>
    </w:lvl>
  </w:abstractNum>
  <w:abstractNum w:abstractNumId="30">
    <w:nsid w:val="75C6C33A"/>
    <w:multiLevelType w:val="hybridMultilevel"/>
    <w:lvl w:ilvl="0">
      <w:lvlJc w:val="left"/>
      <w:lvlText w:val="%1:"/>
      <w:numFmt w:val="upperLetter"/>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upperLetter"/>
      <w:start w:val="17"/>
    </w:lvl>
  </w:abstractNum>
  <w:abstractNum w:abstractNumId="33">
    <w:nsid w:val="520EEDD1"/>
    <w:multiLevelType w:val="hybridMultilevel"/>
    <w:lvl w:ilvl="0">
      <w:lvlJc w:val="left"/>
      <w:lvlText w:val="%1:"/>
      <w:numFmt w:val="upperLetter"/>
      <w:start w:val="1"/>
    </w:lvl>
  </w:abstractNum>
  <w:abstractNum w:abstractNumId="34">
    <w:nsid w:val="374A3FE6"/>
    <w:multiLevelType w:val="hybridMultilevel"/>
    <w:lvl w:ilvl="0">
      <w:lvlJc w:val="left"/>
      <w:lvlText w:val="%1:"/>
      <w:numFmt w:val="upperLetter"/>
      <w:start w:val="17"/>
    </w:lvl>
  </w:abstractNum>
  <w:abstractNum w:abstractNumId="35">
    <w:nsid w:val="4F4EF005"/>
    <w:multiLevelType w:val="hybridMultilevel"/>
    <w:lvl w:ilvl="0">
      <w:lvlJc w:val="left"/>
      <w:lvlText w:val="%1:"/>
      <w:numFmt w:val="upperLetter"/>
      <w:start w:val="1"/>
    </w:lvl>
  </w:abstractNum>
  <w:abstractNum w:abstractNumId="36">
    <w:nsid w:val="23F9C13C"/>
    <w:multiLevelType w:val="hybridMultilevel"/>
    <w:lvl w:ilvl="0">
      <w:lvlJc w:val="left"/>
      <w:lvlText w:val="%1:"/>
      <w:numFmt w:val="upperLetter"/>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2"/>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X"/>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X"/>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bullet"/>
      <w:start w:val="1"/>
    </w:lvl>
  </w:abstractNum>
  <w:abstractNum w:abstractNumId="59">
    <w:nsid w:val="4AD084E9"/>
    <w:multiLevelType w:val="hybridMultilevel"/>
    <w:lvl w:ilvl="0">
      <w:lvlJc w:val="left"/>
      <w:lvlText w:val="2"/>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lowerRoman"/>
      <w:start w:val="2"/>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5"/>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2020-04-21T16:08:32Z</dcterms:created>
  <dcterms:modified xsi:type="dcterms:W3CDTF">2020-04-21T16:08:32Z</dcterms:modified>
</cp:coreProperties>
</file>