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303530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320040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167640</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24"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109855</wp:posOffset>
            </wp:positionV>
            <wp:extent cx="142303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47"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Pursuant to Section 13 or 15(D)</w:t>
      </w:r>
    </w:p>
    <w:p>
      <w:pPr>
        <w:jc w:val="center"/>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8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June 4, 2021</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Date of report (Date of earliest event reported)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160020</wp:posOffset>
            </wp:positionV>
            <wp:extent cx="142303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310"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Axsome Therapeutics, Inc.</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99060</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66" w:lineRule="exact"/>
        <w:rPr>
          <w:sz w:val="24"/>
          <w:szCs w:val="24"/>
          <w:color w:val="auto"/>
        </w:rPr>
      </w:pPr>
    </w:p>
    <w:tbl>
      <w:tblPr>
        <w:tblLayout w:type="fixed"/>
        <w:tblInd w:w="780" w:type="dxa"/>
        <w:tblCellMar>
          <w:top w:w="0" w:type="dxa"/>
          <w:left w:w="0" w:type="dxa"/>
          <w:bottom w:w="0" w:type="dxa"/>
          <w:right w:w="0" w:type="dxa"/>
        </w:tblCellMar>
      </w:tblPr>
      <w:tr>
        <w:trPr>
          <w:trHeight w:val="233"/>
        </w:trPr>
        <w:tc>
          <w:tcPr>
            <w:tcW w:w="3600" w:type="dxa"/>
            <w:vAlign w:val="bottom"/>
          </w:tcPr>
          <w:p>
            <w:pPr>
              <w:jc w:val="center"/>
              <w:ind w:right="670"/>
              <w:spacing w:after="0"/>
              <w:rPr>
                <w:sz w:val="20"/>
                <w:szCs w:val="20"/>
                <w:color w:val="auto"/>
              </w:rPr>
            </w:pPr>
            <w:r>
              <w:rPr>
                <w:rFonts w:ascii="Arial" w:cs="Arial" w:eastAsia="Arial" w:hAnsi="Arial"/>
                <w:sz w:val="18"/>
                <w:szCs w:val="18"/>
                <w:b w:val="1"/>
                <w:bCs w:val="1"/>
                <w:color w:val="auto"/>
                <w:w w:val="91"/>
              </w:rPr>
              <w:t>Delaware</w:t>
            </w:r>
          </w:p>
        </w:tc>
        <w:tc>
          <w:tcPr>
            <w:tcW w:w="2880" w:type="dxa"/>
            <w:vAlign w:val="bottom"/>
          </w:tcPr>
          <w:p>
            <w:pPr>
              <w:jc w:val="center"/>
              <w:ind w:right="290"/>
              <w:spacing w:after="0"/>
              <w:rPr>
                <w:sz w:val="20"/>
                <w:szCs w:val="20"/>
                <w:color w:val="auto"/>
              </w:rPr>
            </w:pPr>
            <w:r>
              <w:rPr>
                <w:rFonts w:ascii="Arial" w:cs="Arial" w:eastAsia="Arial" w:hAnsi="Arial"/>
                <w:sz w:val="18"/>
                <w:szCs w:val="18"/>
                <w:b w:val="1"/>
                <w:bCs w:val="1"/>
                <w:color w:val="auto"/>
                <w:w w:val="90"/>
              </w:rPr>
              <w:t>001-37635</w:t>
            </w:r>
          </w:p>
        </w:tc>
        <w:tc>
          <w:tcPr>
            <w:tcW w:w="2460" w:type="dxa"/>
            <w:vAlign w:val="bottom"/>
          </w:tcPr>
          <w:p>
            <w:pPr>
              <w:jc w:val="right"/>
              <w:ind w:right="150"/>
              <w:spacing w:after="0"/>
              <w:rPr>
                <w:sz w:val="20"/>
                <w:szCs w:val="20"/>
                <w:color w:val="auto"/>
              </w:rPr>
            </w:pPr>
            <w:r>
              <w:rPr>
                <w:rFonts w:ascii="Arial" w:cs="Arial" w:eastAsia="Arial" w:hAnsi="Arial"/>
                <w:sz w:val="18"/>
                <w:szCs w:val="18"/>
                <w:b w:val="1"/>
                <w:bCs w:val="1"/>
                <w:color w:val="auto"/>
              </w:rPr>
              <w:t>45-4241907</w:t>
            </w:r>
          </w:p>
        </w:tc>
      </w:tr>
      <w:tr>
        <w:trPr>
          <w:trHeight w:val="216"/>
        </w:trPr>
        <w:tc>
          <w:tcPr>
            <w:tcW w:w="3600" w:type="dxa"/>
            <w:vAlign w:val="bottom"/>
          </w:tcPr>
          <w:p>
            <w:pPr>
              <w:jc w:val="center"/>
              <w:ind w:right="670"/>
              <w:spacing w:after="0"/>
              <w:rPr>
                <w:sz w:val="20"/>
                <w:szCs w:val="20"/>
                <w:color w:val="auto"/>
              </w:rPr>
            </w:pPr>
            <w:r>
              <w:rPr>
                <w:rFonts w:ascii="Arial" w:cs="Arial" w:eastAsia="Arial" w:hAnsi="Arial"/>
                <w:sz w:val="18"/>
                <w:szCs w:val="18"/>
                <w:color w:val="auto"/>
                <w:w w:val="91"/>
              </w:rPr>
              <w:t>(State or other jurisdiction</w:t>
            </w:r>
          </w:p>
        </w:tc>
        <w:tc>
          <w:tcPr>
            <w:tcW w:w="2880" w:type="dxa"/>
            <w:vAlign w:val="bottom"/>
          </w:tcPr>
          <w:p>
            <w:pPr>
              <w:jc w:val="center"/>
              <w:ind w:right="270"/>
              <w:spacing w:after="0"/>
              <w:rPr>
                <w:sz w:val="20"/>
                <w:szCs w:val="20"/>
                <w:color w:val="auto"/>
              </w:rPr>
            </w:pPr>
            <w:r>
              <w:rPr>
                <w:rFonts w:ascii="Arial" w:cs="Arial" w:eastAsia="Arial" w:hAnsi="Arial"/>
                <w:sz w:val="18"/>
                <w:szCs w:val="18"/>
                <w:color w:val="auto"/>
                <w:w w:val="91"/>
              </w:rPr>
              <w:t>(Commission</w:t>
            </w:r>
          </w:p>
        </w:tc>
        <w:tc>
          <w:tcPr>
            <w:tcW w:w="2460" w:type="dxa"/>
            <w:vAlign w:val="bottom"/>
          </w:tcPr>
          <w:p>
            <w:pPr>
              <w:jc w:val="center"/>
              <w:ind w:left="1030"/>
              <w:spacing w:after="0"/>
              <w:rPr>
                <w:sz w:val="20"/>
                <w:szCs w:val="20"/>
                <w:color w:val="auto"/>
              </w:rPr>
            </w:pPr>
            <w:r>
              <w:rPr>
                <w:rFonts w:ascii="Arial" w:cs="Arial" w:eastAsia="Arial" w:hAnsi="Arial"/>
                <w:sz w:val="18"/>
                <w:szCs w:val="18"/>
                <w:color w:val="auto"/>
                <w:w w:val="93"/>
              </w:rPr>
              <w:t>(IRS Employer</w:t>
            </w:r>
          </w:p>
        </w:tc>
      </w:tr>
      <w:tr>
        <w:trPr>
          <w:trHeight w:val="230"/>
        </w:trPr>
        <w:tc>
          <w:tcPr>
            <w:tcW w:w="3600" w:type="dxa"/>
            <w:vAlign w:val="bottom"/>
          </w:tcPr>
          <w:p>
            <w:pPr>
              <w:jc w:val="center"/>
              <w:ind w:right="670"/>
              <w:spacing w:after="0"/>
              <w:rPr>
                <w:sz w:val="20"/>
                <w:szCs w:val="20"/>
                <w:color w:val="auto"/>
              </w:rPr>
            </w:pPr>
            <w:r>
              <w:rPr>
                <w:rFonts w:ascii="Arial" w:cs="Arial" w:eastAsia="Arial" w:hAnsi="Arial"/>
                <w:sz w:val="18"/>
                <w:szCs w:val="18"/>
                <w:color w:val="auto"/>
                <w:w w:val="95"/>
              </w:rPr>
              <w:t>of incorporation)</w:t>
            </w:r>
          </w:p>
        </w:tc>
        <w:tc>
          <w:tcPr>
            <w:tcW w:w="2880" w:type="dxa"/>
            <w:vAlign w:val="bottom"/>
          </w:tcPr>
          <w:p>
            <w:pPr>
              <w:jc w:val="center"/>
              <w:ind w:right="270"/>
              <w:spacing w:after="0"/>
              <w:rPr>
                <w:sz w:val="20"/>
                <w:szCs w:val="20"/>
                <w:color w:val="auto"/>
              </w:rPr>
            </w:pPr>
            <w:r>
              <w:rPr>
                <w:rFonts w:ascii="Arial" w:cs="Arial" w:eastAsia="Arial" w:hAnsi="Arial"/>
                <w:sz w:val="18"/>
                <w:szCs w:val="18"/>
                <w:color w:val="auto"/>
                <w:w w:val="92"/>
              </w:rPr>
              <w:t>File Number)</w:t>
            </w:r>
          </w:p>
        </w:tc>
        <w:tc>
          <w:tcPr>
            <w:tcW w:w="2460" w:type="dxa"/>
            <w:vAlign w:val="bottom"/>
          </w:tcPr>
          <w:p>
            <w:pPr>
              <w:jc w:val="center"/>
              <w:ind w:left="1030"/>
              <w:spacing w:after="0"/>
              <w:rPr>
                <w:sz w:val="20"/>
                <w:szCs w:val="20"/>
                <w:color w:val="auto"/>
              </w:rPr>
            </w:pPr>
            <w:r>
              <w:rPr>
                <w:rFonts w:ascii="Arial" w:cs="Arial" w:eastAsia="Arial" w:hAnsi="Arial"/>
                <w:sz w:val="18"/>
                <w:szCs w:val="18"/>
                <w:color w:val="auto"/>
                <w:w w:val="95"/>
              </w:rPr>
              <w:t>Identification No.)</w:t>
            </w:r>
          </w:p>
        </w:tc>
      </w:tr>
      <w:tr>
        <w:trPr>
          <w:trHeight w:val="427"/>
        </w:trPr>
        <w:tc>
          <w:tcPr>
            <w:tcW w:w="3600" w:type="dxa"/>
            <w:vAlign w:val="bottom"/>
          </w:tcPr>
          <w:p>
            <w:pPr>
              <w:jc w:val="center"/>
              <w:ind w:right="670"/>
              <w:spacing w:after="0"/>
              <w:rPr>
                <w:sz w:val="20"/>
                <w:szCs w:val="20"/>
                <w:color w:val="auto"/>
              </w:rPr>
            </w:pPr>
            <w:r>
              <w:rPr>
                <w:rFonts w:ascii="Arial" w:cs="Arial" w:eastAsia="Arial" w:hAnsi="Arial"/>
                <w:sz w:val="18"/>
                <w:szCs w:val="18"/>
                <w:b w:val="1"/>
                <w:bCs w:val="1"/>
                <w:color w:val="auto"/>
                <w:w w:val="92"/>
              </w:rPr>
              <w:t>22 Cortlandt Street, 16</w:t>
            </w:r>
            <w:r>
              <w:rPr>
                <w:rFonts w:ascii="Arial" w:cs="Arial" w:eastAsia="Arial" w:hAnsi="Arial"/>
                <w:sz w:val="15"/>
                <w:szCs w:val="15"/>
                <w:b w:val="1"/>
                <w:bCs w:val="1"/>
                <w:color w:val="auto"/>
                <w:w w:val="92"/>
              </w:rPr>
              <w:t>th</w:t>
            </w:r>
            <w:r>
              <w:rPr>
                <w:rFonts w:ascii="Arial" w:cs="Arial" w:eastAsia="Arial" w:hAnsi="Arial"/>
                <w:sz w:val="18"/>
                <w:szCs w:val="18"/>
                <w:b w:val="1"/>
                <w:bCs w:val="1"/>
                <w:color w:val="auto"/>
                <w:w w:val="92"/>
              </w:rPr>
              <w:t xml:space="preserve"> Floor</w:t>
            </w:r>
          </w:p>
        </w:tc>
        <w:tc>
          <w:tcPr>
            <w:tcW w:w="2880" w:type="dxa"/>
            <w:vAlign w:val="bottom"/>
          </w:tcPr>
          <w:p>
            <w:pPr>
              <w:spacing w:after="0"/>
              <w:rPr>
                <w:sz w:val="24"/>
                <w:szCs w:val="24"/>
                <w:color w:val="auto"/>
              </w:rPr>
            </w:pPr>
          </w:p>
        </w:tc>
        <w:tc>
          <w:tcPr>
            <w:tcW w:w="2460" w:type="dxa"/>
            <w:vAlign w:val="bottom"/>
          </w:tcPr>
          <w:p>
            <w:pPr>
              <w:spacing w:after="0"/>
              <w:rPr>
                <w:sz w:val="24"/>
                <w:szCs w:val="24"/>
                <w:color w:val="auto"/>
              </w:rPr>
            </w:pPr>
          </w:p>
        </w:tc>
      </w:tr>
      <w:tr>
        <w:trPr>
          <w:trHeight w:val="220"/>
        </w:trPr>
        <w:tc>
          <w:tcPr>
            <w:tcW w:w="3600" w:type="dxa"/>
            <w:vAlign w:val="bottom"/>
          </w:tcPr>
          <w:p>
            <w:pPr>
              <w:jc w:val="center"/>
              <w:ind w:right="650"/>
              <w:spacing w:after="0"/>
              <w:rPr>
                <w:sz w:val="20"/>
                <w:szCs w:val="20"/>
                <w:color w:val="auto"/>
              </w:rPr>
            </w:pPr>
            <w:r>
              <w:rPr>
                <w:rFonts w:ascii="Arial" w:cs="Arial" w:eastAsia="Arial" w:hAnsi="Arial"/>
                <w:sz w:val="18"/>
                <w:szCs w:val="18"/>
                <w:b w:val="1"/>
                <w:bCs w:val="1"/>
                <w:color w:val="auto"/>
                <w:w w:val="93"/>
              </w:rPr>
              <w:t>New York, New York</w:t>
            </w:r>
          </w:p>
        </w:tc>
        <w:tc>
          <w:tcPr>
            <w:tcW w:w="2880" w:type="dxa"/>
            <w:vAlign w:val="bottom"/>
          </w:tcPr>
          <w:p>
            <w:pPr>
              <w:spacing w:after="0"/>
              <w:rPr>
                <w:sz w:val="19"/>
                <w:szCs w:val="19"/>
                <w:color w:val="auto"/>
              </w:rPr>
            </w:pPr>
          </w:p>
        </w:tc>
        <w:tc>
          <w:tcPr>
            <w:tcW w:w="2460" w:type="dxa"/>
            <w:vAlign w:val="bottom"/>
          </w:tcPr>
          <w:p>
            <w:pPr>
              <w:jc w:val="right"/>
              <w:ind w:right="350"/>
              <w:spacing w:after="0"/>
              <w:rPr>
                <w:sz w:val="20"/>
                <w:szCs w:val="20"/>
                <w:color w:val="auto"/>
              </w:rPr>
            </w:pPr>
            <w:r>
              <w:rPr>
                <w:rFonts w:ascii="Arial" w:cs="Arial" w:eastAsia="Arial" w:hAnsi="Arial"/>
                <w:sz w:val="18"/>
                <w:szCs w:val="18"/>
                <w:b w:val="1"/>
                <w:bCs w:val="1"/>
                <w:color w:val="auto"/>
              </w:rPr>
              <w:t>10007</w:t>
            </w:r>
          </w:p>
        </w:tc>
      </w:tr>
      <w:tr>
        <w:trPr>
          <w:trHeight w:val="230"/>
        </w:trPr>
        <w:tc>
          <w:tcPr>
            <w:tcW w:w="3600" w:type="dxa"/>
            <w:vAlign w:val="bottom"/>
          </w:tcPr>
          <w:p>
            <w:pPr>
              <w:jc w:val="center"/>
              <w:ind w:right="670"/>
              <w:spacing w:after="0"/>
              <w:rPr>
                <w:sz w:val="20"/>
                <w:szCs w:val="20"/>
                <w:color w:val="auto"/>
              </w:rPr>
            </w:pPr>
            <w:r>
              <w:rPr>
                <w:rFonts w:ascii="Arial" w:cs="Arial" w:eastAsia="Arial" w:hAnsi="Arial"/>
                <w:sz w:val="18"/>
                <w:szCs w:val="18"/>
                <w:color w:val="auto"/>
                <w:w w:val="92"/>
              </w:rPr>
              <w:t>(Address of principal executive offices)</w:t>
            </w:r>
          </w:p>
        </w:tc>
        <w:tc>
          <w:tcPr>
            <w:tcW w:w="2880" w:type="dxa"/>
            <w:vAlign w:val="bottom"/>
          </w:tcPr>
          <w:p>
            <w:pPr>
              <w:spacing w:after="0"/>
              <w:rPr>
                <w:sz w:val="20"/>
                <w:szCs w:val="20"/>
                <w:color w:val="auto"/>
              </w:rPr>
            </w:pPr>
          </w:p>
        </w:tc>
        <w:tc>
          <w:tcPr>
            <w:tcW w:w="2460" w:type="dxa"/>
            <w:vAlign w:val="bottom"/>
          </w:tcPr>
          <w:p>
            <w:pPr>
              <w:jc w:val="center"/>
              <w:ind w:left="1050"/>
              <w:spacing w:after="0"/>
              <w:rPr>
                <w:sz w:val="20"/>
                <w:szCs w:val="20"/>
                <w:color w:val="auto"/>
              </w:rPr>
            </w:pPr>
            <w:r>
              <w:rPr>
                <w:rFonts w:ascii="Arial" w:cs="Arial" w:eastAsia="Arial" w:hAnsi="Arial"/>
                <w:sz w:val="18"/>
                <w:szCs w:val="18"/>
                <w:color w:val="auto"/>
                <w:w w:val="94"/>
              </w:rPr>
              <w:t>(Zip Code)</w:t>
            </w:r>
          </w:p>
        </w:tc>
      </w:tr>
    </w:tbl>
    <w:p>
      <w:pPr>
        <w:spacing w:after="0" w:line="346"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(212) 332-3241</w:t>
      </w:r>
    </w:p>
    <w:p>
      <w:pPr>
        <w:spacing w:after="0" w:line="135"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11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registered pursuant to Section 12(b) of the Act:</w:t>
      </w:r>
    </w:p>
    <w:p>
      <w:pPr>
        <w:spacing w:after="0" w:line="225" w:lineRule="exact"/>
        <w:rPr>
          <w:sz w:val="24"/>
          <w:szCs w:val="24"/>
          <w:color w:val="auto"/>
        </w:rPr>
      </w:pPr>
    </w:p>
    <w:tbl>
      <w:tblPr>
        <w:tblLayout w:type="fixed"/>
        <w:tblInd w:w="0" w:type="dxa"/>
        <w:tblCellMar>
          <w:top w:w="0" w:type="dxa"/>
          <w:left w:w="0" w:type="dxa"/>
          <w:bottom w:w="0" w:type="dxa"/>
          <w:right w:w="0" w:type="dxa"/>
        </w:tblCellMar>
      </w:tblPr>
      <w:tr>
        <w:trPr>
          <w:trHeight w:val="241"/>
        </w:trPr>
        <w:tc>
          <w:tcPr>
            <w:tcW w:w="45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6"/>
              </w:rPr>
              <w:t>Title of each class:</w:t>
            </w:r>
          </w:p>
        </w:tc>
        <w:tc>
          <w:tcPr>
            <w:tcW w:w="23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Trading Symbol(s)</w:t>
            </w:r>
          </w:p>
        </w:tc>
        <w:tc>
          <w:tcPr>
            <w:tcW w:w="4380" w:type="dxa"/>
            <w:vAlign w:val="bottom"/>
          </w:tcPr>
          <w:p>
            <w:pPr>
              <w:jc w:val="center"/>
              <w:spacing w:after="0"/>
              <w:rPr>
                <w:sz w:val="20"/>
                <w:szCs w:val="20"/>
                <w:color w:val="auto"/>
              </w:rPr>
            </w:pPr>
            <w:r>
              <w:rPr>
                <w:rFonts w:ascii="Arial" w:cs="Arial" w:eastAsia="Arial" w:hAnsi="Arial"/>
                <w:sz w:val="18"/>
                <w:szCs w:val="18"/>
                <w:b w:val="1"/>
                <w:bCs w:val="1"/>
                <w:color w:val="auto"/>
                <w:w w:val="88"/>
              </w:rPr>
              <w:t>Name of each exchange on which registered:</w:t>
            </w:r>
          </w:p>
        </w:tc>
      </w:tr>
      <w:tr>
        <w:trPr>
          <w:trHeight w:val="230"/>
        </w:trPr>
        <w:tc>
          <w:tcPr>
            <w:tcW w:w="44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9"/>
              </w:rPr>
              <w:t>Common Stock, Par Value $0.0001 Per Share</w:t>
            </w:r>
          </w:p>
        </w:tc>
        <w:tc>
          <w:tcPr>
            <w:tcW w:w="120" w:type="dxa"/>
            <w:vAlign w:val="bottom"/>
          </w:tcPr>
          <w:p>
            <w:pPr>
              <w:spacing w:after="0"/>
              <w:rPr>
                <w:sz w:val="20"/>
                <w:szCs w:val="20"/>
                <w:color w:val="auto"/>
              </w:rPr>
            </w:pPr>
          </w:p>
        </w:tc>
        <w:tc>
          <w:tcPr>
            <w:tcW w:w="22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rPr>
              <w:t>AXSM</w:t>
            </w:r>
          </w:p>
        </w:tc>
        <w:tc>
          <w:tcPr>
            <w:tcW w:w="100" w:type="dxa"/>
            <w:vAlign w:val="bottom"/>
          </w:tcPr>
          <w:p>
            <w:pPr>
              <w:spacing w:after="0"/>
              <w:rPr>
                <w:sz w:val="20"/>
                <w:szCs w:val="20"/>
                <w:color w:val="auto"/>
              </w:rPr>
            </w:pPr>
          </w:p>
        </w:tc>
        <w:tc>
          <w:tcPr>
            <w:tcW w:w="43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1"/>
              </w:rPr>
              <w:t>The Nasdaq Global Market</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153670</wp:posOffset>
            </wp:positionV>
            <wp:extent cx="14230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43" w:lineRule="exact"/>
        <w:rPr>
          <w:sz w:val="24"/>
          <w:szCs w:val="24"/>
          <w:color w:val="auto"/>
        </w:rPr>
      </w:pPr>
    </w:p>
    <w:p>
      <w:pPr>
        <w:ind w:right="380"/>
        <w:spacing w:after="0" w:line="277" w:lineRule="auto"/>
        <w:rPr>
          <w:sz w:val="20"/>
          <w:szCs w:val="20"/>
          <w:color w:val="auto"/>
        </w:rPr>
      </w:pPr>
      <w:r>
        <w:rPr>
          <w:rFonts w:ascii="Arial" w:cs="Arial" w:eastAsia="Arial" w:hAnsi="Arial"/>
          <w:sz w:val="18"/>
          <w:szCs w:val="18"/>
          <w:color w:val="auto"/>
        </w:rPr>
        <w:t>Check the appropriate box below if the Form 8-K is intended to simultaneously satisfy the filing obligation of the registrant under any of the following provisions:</w:t>
      </w:r>
    </w:p>
    <w:p>
      <w:pPr>
        <w:spacing w:after="0" w:line="76" w:lineRule="exact"/>
        <w:rPr>
          <w:sz w:val="24"/>
          <w:szCs w:val="24"/>
          <w:color w:val="auto"/>
        </w:rPr>
      </w:pPr>
    </w:p>
    <w:p>
      <w:pPr>
        <w:ind w:left="580" w:hanging="572"/>
        <w:spacing w:after="0"/>
        <w:tabs>
          <w:tab w:leader="none" w:pos="5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17" w:lineRule="exact"/>
        <w:rPr>
          <w:rFonts w:ascii="MS PGothic" w:cs="MS PGothic" w:eastAsia="MS PGothic" w:hAnsi="MS PGothic"/>
          <w:sz w:val="18"/>
          <w:szCs w:val="18"/>
          <w:color w:val="auto"/>
        </w:rPr>
      </w:pPr>
    </w:p>
    <w:p>
      <w:pPr>
        <w:ind w:left="580" w:hanging="572"/>
        <w:spacing w:after="0"/>
        <w:tabs>
          <w:tab w:leader="none" w:pos="5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17" w:lineRule="exact"/>
        <w:rPr>
          <w:rFonts w:ascii="MS PGothic" w:cs="MS PGothic" w:eastAsia="MS PGothic" w:hAnsi="MS PGothic"/>
          <w:sz w:val="18"/>
          <w:szCs w:val="18"/>
          <w:color w:val="auto"/>
        </w:rPr>
      </w:pPr>
    </w:p>
    <w:p>
      <w:pPr>
        <w:ind w:left="580" w:hanging="572"/>
        <w:spacing w:after="0"/>
        <w:tabs>
          <w:tab w:leader="none" w:pos="5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17" w:lineRule="exact"/>
        <w:rPr>
          <w:rFonts w:ascii="MS PGothic" w:cs="MS PGothic" w:eastAsia="MS PGothic" w:hAnsi="MS PGothic"/>
          <w:sz w:val="18"/>
          <w:szCs w:val="18"/>
          <w:color w:val="auto"/>
        </w:rPr>
      </w:pPr>
    </w:p>
    <w:p>
      <w:pPr>
        <w:ind w:left="580" w:hanging="572"/>
        <w:spacing w:after="0"/>
        <w:tabs>
          <w:tab w:leader="none" w:pos="5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131" w:lineRule="exact"/>
        <w:rPr>
          <w:sz w:val="24"/>
          <w:szCs w:val="24"/>
          <w:color w:val="auto"/>
        </w:rPr>
      </w:pPr>
    </w:p>
    <w:p>
      <w:pPr>
        <w:ind w:right="5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30"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150" w:lineRule="exact"/>
        <w:rPr>
          <w:sz w:val="24"/>
          <w:szCs w:val="24"/>
          <w:color w:val="auto"/>
        </w:rPr>
      </w:pPr>
    </w:p>
    <w:p>
      <w:pPr>
        <w:ind w:right="16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73660</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90805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849630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11" w:right="3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5.07 Submission of Matters to a Vote of Security Holders.</w:t>
      </w:r>
    </w:p>
    <w:p>
      <w:pPr>
        <w:spacing w:after="0" w:line="229" w:lineRule="exact"/>
        <w:rPr>
          <w:sz w:val="20"/>
          <w:szCs w:val="20"/>
          <w:color w:val="auto"/>
        </w:rPr>
      </w:pPr>
    </w:p>
    <w:p>
      <w:pPr>
        <w:jc w:val="both"/>
        <w:ind w:right="20" w:firstLine="749"/>
        <w:spacing w:after="0" w:line="277" w:lineRule="auto"/>
        <w:rPr>
          <w:sz w:val="20"/>
          <w:szCs w:val="20"/>
          <w:color w:val="auto"/>
        </w:rPr>
      </w:pPr>
      <w:r>
        <w:rPr>
          <w:rFonts w:ascii="Arial" w:cs="Arial" w:eastAsia="Arial" w:hAnsi="Arial"/>
          <w:sz w:val="18"/>
          <w:szCs w:val="18"/>
          <w:color w:val="auto"/>
        </w:rPr>
        <w:t>At the 2021 annual meeting of stockholders of Axsome Therapeutics, Inc. (the “Company”) held on June 4, 2021 (the “Annual Meeting”), the following proposals were submitted to the stockholders of the Company:</w:t>
      </w:r>
    </w:p>
    <w:p>
      <w:pPr>
        <w:spacing w:after="0" w:line="184" w:lineRule="exact"/>
        <w:rPr>
          <w:sz w:val="20"/>
          <w:szCs w:val="20"/>
          <w:color w:val="auto"/>
        </w:rPr>
      </w:pPr>
    </w:p>
    <w:p>
      <w:pPr>
        <w:ind w:left="1500" w:hanging="1296"/>
        <w:spacing w:after="0" w:line="277" w:lineRule="auto"/>
        <w:rPr>
          <w:sz w:val="20"/>
          <w:szCs w:val="20"/>
          <w:color w:val="auto"/>
        </w:rPr>
      </w:pPr>
      <w:r>
        <w:rPr>
          <w:rFonts w:ascii="Arial" w:cs="Arial" w:eastAsia="Arial" w:hAnsi="Arial"/>
          <w:sz w:val="18"/>
          <w:szCs w:val="18"/>
          <w:color w:val="auto"/>
        </w:rPr>
        <w:t>Proposal 1: The election of two directors to serve as Class III directors until the Company’s 2024 annual meeting of stockholders and until their successor is duly elected and qualified.</w:t>
      </w:r>
    </w:p>
    <w:p>
      <w:pPr>
        <w:spacing w:after="0" w:line="184" w:lineRule="exact"/>
        <w:rPr>
          <w:sz w:val="20"/>
          <w:szCs w:val="20"/>
          <w:color w:val="auto"/>
        </w:rPr>
      </w:pPr>
    </w:p>
    <w:p>
      <w:pPr>
        <w:ind w:left="1500" w:hanging="1296"/>
        <w:spacing w:after="0" w:line="277" w:lineRule="auto"/>
        <w:rPr>
          <w:sz w:val="20"/>
          <w:szCs w:val="20"/>
          <w:color w:val="auto"/>
        </w:rPr>
      </w:pPr>
      <w:r>
        <w:rPr>
          <w:rFonts w:ascii="Arial" w:cs="Arial" w:eastAsia="Arial" w:hAnsi="Arial"/>
          <w:sz w:val="18"/>
          <w:szCs w:val="18"/>
          <w:color w:val="auto"/>
        </w:rPr>
        <w:t>Proposal 2: The ratification of the appointment of Ernst &amp; Young LLP as the Company’s independent registered public accounting firm for the fiscal year ending December 31, 2021.</w:t>
      </w:r>
    </w:p>
    <w:p>
      <w:pPr>
        <w:spacing w:after="0" w:line="184" w:lineRule="exact"/>
        <w:rPr>
          <w:sz w:val="20"/>
          <w:szCs w:val="20"/>
          <w:color w:val="auto"/>
        </w:rPr>
      </w:pPr>
    </w:p>
    <w:p>
      <w:pPr>
        <w:ind w:left="200"/>
        <w:spacing w:after="0"/>
        <w:rPr>
          <w:sz w:val="20"/>
          <w:szCs w:val="20"/>
          <w:color w:val="auto"/>
        </w:rPr>
      </w:pPr>
      <w:r>
        <w:rPr>
          <w:rFonts w:ascii="Arial" w:cs="Arial" w:eastAsia="Arial" w:hAnsi="Arial"/>
          <w:sz w:val="18"/>
          <w:szCs w:val="18"/>
          <w:color w:val="auto"/>
        </w:rPr>
        <w:t>Proposal 3: The approval, on a non-binding advisory basis, the compensation of the Company’s named executive officers.</w:t>
      </w:r>
    </w:p>
    <w:p>
      <w:pPr>
        <w:spacing w:after="0" w:line="239" w:lineRule="exact"/>
        <w:rPr>
          <w:sz w:val="20"/>
          <w:szCs w:val="20"/>
          <w:color w:val="auto"/>
        </w:rPr>
      </w:pPr>
    </w:p>
    <w:p>
      <w:pPr>
        <w:ind w:left="1500" w:hanging="1296"/>
        <w:spacing w:after="0" w:line="277" w:lineRule="auto"/>
        <w:rPr>
          <w:sz w:val="20"/>
          <w:szCs w:val="20"/>
          <w:color w:val="auto"/>
        </w:rPr>
      </w:pPr>
      <w:r>
        <w:rPr>
          <w:rFonts w:ascii="Arial" w:cs="Arial" w:eastAsia="Arial" w:hAnsi="Arial"/>
          <w:sz w:val="18"/>
          <w:szCs w:val="18"/>
          <w:color w:val="auto"/>
        </w:rPr>
        <w:t>Proposal 4: The approval, on a non-binding advisory basis, of the frequency of the Company’s future votes on the compensation of the Company’s named executive officers.</w:t>
      </w:r>
    </w:p>
    <w:p>
      <w:pPr>
        <w:spacing w:after="0" w:line="184" w:lineRule="exact"/>
        <w:rPr>
          <w:sz w:val="20"/>
          <w:szCs w:val="20"/>
          <w:color w:val="auto"/>
        </w:rPr>
      </w:pPr>
    </w:p>
    <w:p>
      <w:pPr>
        <w:jc w:val="both"/>
        <w:ind w:firstLine="749"/>
        <w:spacing w:after="0" w:line="301" w:lineRule="auto"/>
        <w:rPr>
          <w:sz w:val="20"/>
          <w:szCs w:val="20"/>
          <w:color w:val="auto"/>
        </w:rPr>
      </w:pPr>
      <w:r>
        <w:rPr>
          <w:rFonts w:ascii="Arial" w:cs="Arial" w:eastAsia="Arial" w:hAnsi="Arial"/>
          <w:sz w:val="16"/>
          <w:szCs w:val="16"/>
          <w:color w:val="auto"/>
        </w:rPr>
        <w:t>For more information about the foregoing proposals, see the Company’s definitive proxy statement on Schedule 14A filed with the United States Securities and Exchange Commission on April 23, 2021 (the “Proxy Statement”). Of the 37,563,882 shares of the Company’s common stock entitled to vote at the Annual Meeting, 29,091,590 shares, or approximately 77.4%, were represented at the meeting in person or by proxy, constituting a quorum. The number of votes cast for, against or withheld, as well as abstentions and broker non-votes, if applicable, in respect of each such proposal is set forth below:</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Proposal 1: Election of Class III Directors.</w:t>
      </w:r>
    </w:p>
    <w:p>
      <w:pPr>
        <w:spacing w:after="0" w:line="239" w:lineRule="exact"/>
        <w:rPr>
          <w:sz w:val="20"/>
          <w:szCs w:val="20"/>
          <w:color w:val="auto"/>
        </w:rPr>
      </w:pPr>
    </w:p>
    <w:p>
      <w:pPr>
        <w:ind w:right="360" w:firstLine="749"/>
        <w:spacing w:after="0" w:line="277" w:lineRule="auto"/>
        <w:rPr>
          <w:sz w:val="20"/>
          <w:szCs w:val="20"/>
          <w:color w:val="auto"/>
        </w:rPr>
      </w:pPr>
      <w:r>
        <w:rPr>
          <w:rFonts w:ascii="Arial" w:cs="Arial" w:eastAsia="Arial" w:hAnsi="Arial"/>
          <w:sz w:val="18"/>
          <w:szCs w:val="18"/>
          <w:color w:val="auto"/>
        </w:rPr>
        <w:t>The Company’s stockholders elected the following directors to serve as Class III directors until the 2024 annual meeting of stockholders and until their successor is duly elected and qualified. The votes regarding the election of directors were as follows: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2"/>
              </w:rPr>
              <w:t>Director</w:t>
            </w:r>
          </w:p>
        </w:tc>
        <w:tc>
          <w:tcPr>
            <w:tcW w:w="184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9"/>
              </w:rPr>
              <w:t>Votes For</w:t>
            </w:r>
          </w:p>
        </w:tc>
        <w:tc>
          <w:tcPr>
            <w:tcW w:w="26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0"/>
              </w:rPr>
              <w:t>Votes Withheld</w:t>
            </w:r>
          </w:p>
        </w:tc>
        <w:tc>
          <w:tcPr>
            <w:tcW w:w="310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1"/>
              </w:rPr>
              <w:t>Broker Non-Votes</w:t>
            </w:r>
          </w:p>
        </w:tc>
      </w:tr>
      <w:tr>
        <w:trPr>
          <w:trHeight w:val="223"/>
        </w:trPr>
        <w:tc>
          <w:tcPr>
            <w:tcW w:w="35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1"/>
              </w:rPr>
              <w:t>Herriot Tabuteau, M.D.</w:t>
            </w:r>
          </w:p>
        </w:tc>
        <w:tc>
          <w:tcPr>
            <w:tcW w:w="140" w:type="dxa"/>
            <w:vAlign w:val="bottom"/>
            <w:tcBorders>
              <w:top w:val="single" w:sz="8" w:color="CCEEFF"/>
            </w:tcBorders>
            <w:shd w:val="clear" w:color="auto" w:fill="CCEEFF"/>
          </w:tcPr>
          <w:p>
            <w:pPr>
              <w:spacing w:after="0"/>
              <w:rPr>
                <w:sz w:val="19"/>
                <w:szCs w:val="19"/>
                <w:color w:val="auto"/>
              </w:rPr>
            </w:pPr>
          </w:p>
        </w:tc>
        <w:tc>
          <w:tcPr>
            <w:tcW w:w="17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8"/>
              </w:rPr>
              <w:t>21,113,196</w:t>
            </w:r>
          </w:p>
        </w:tc>
        <w:tc>
          <w:tcPr>
            <w:tcW w:w="120" w:type="dxa"/>
            <w:vAlign w:val="bottom"/>
            <w:tcBorders>
              <w:top w:val="single" w:sz="8" w:color="CCEEFF"/>
            </w:tcBorders>
            <w:shd w:val="clear" w:color="auto" w:fill="CCEEFF"/>
          </w:tcPr>
          <w:p>
            <w:pPr>
              <w:spacing w:after="0"/>
              <w:rPr>
                <w:sz w:val="19"/>
                <w:szCs w:val="19"/>
                <w:color w:val="auto"/>
              </w:rPr>
            </w:pPr>
          </w:p>
        </w:tc>
        <w:tc>
          <w:tcPr>
            <w:tcW w:w="25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3,238,212</w:t>
            </w:r>
          </w:p>
        </w:tc>
        <w:tc>
          <w:tcPr>
            <w:tcW w:w="120" w:type="dxa"/>
            <w:vAlign w:val="bottom"/>
            <w:tcBorders>
              <w:top w:val="single" w:sz="8" w:color="CCEEFF"/>
            </w:tcBorders>
            <w:shd w:val="clear" w:color="auto" w:fill="CCEEFF"/>
          </w:tcPr>
          <w:p>
            <w:pPr>
              <w:spacing w:after="0"/>
              <w:rPr>
                <w:sz w:val="19"/>
                <w:szCs w:val="19"/>
                <w:color w:val="auto"/>
              </w:rPr>
            </w:pPr>
          </w:p>
        </w:tc>
        <w:tc>
          <w:tcPr>
            <w:tcW w:w="29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4,740,182</w:t>
            </w:r>
          </w:p>
        </w:tc>
        <w:tc>
          <w:tcPr>
            <w:tcW w:w="140" w:type="dxa"/>
            <w:vAlign w:val="bottom"/>
            <w:tcBorders>
              <w:top w:val="single" w:sz="8" w:color="CCEEFF"/>
            </w:tcBorders>
            <w:shd w:val="clear" w:color="auto" w:fill="CCEEFF"/>
          </w:tcPr>
          <w:p>
            <w:pPr>
              <w:spacing w:after="0"/>
              <w:rPr>
                <w:sz w:val="19"/>
                <w:szCs w:val="19"/>
                <w:color w:val="auto"/>
              </w:rPr>
            </w:pPr>
          </w:p>
        </w:tc>
      </w:tr>
      <w:tr>
        <w:trPr>
          <w:trHeight w:val="230"/>
        </w:trPr>
        <w:tc>
          <w:tcPr>
            <w:tcW w:w="3680" w:type="dxa"/>
            <w:vAlign w:val="bottom"/>
            <w:gridSpan w:val="2"/>
          </w:tcPr>
          <w:p>
            <w:pPr>
              <w:jc w:val="center"/>
              <w:ind w:right="120"/>
              <w:spacing w:after="0"/>
              <w:rPr>
                <w:sz w:val="20"/>
                <w:szCs w:val="20"/>
                <w:color w:val="auto"/>
              </w:rPr>
            </w:pPr>
            <w:r>
              <w:rPr>
                <w:rFonts w:ascii="Arial" w:cs="Arial" w:eastAsia="Arial" w:hAnsi="Arial"/>
                <w:sz w:val="18"/>
                <w:szCs w:val="18"/>
                <w:color w:val="auto"/>
                <w:w w:val="94"/>
              </w:rPr>
              <w:t>Mark Coleman, M.D.</w:t>
            </w:r>
          </w:p>
        </w:tc>
        <w:tc>
          <w:tcPr>
            <w:tcW w:w="1720" w:type="dxa"/>
            <w:vAlign w:val="bottom"/>
          </w:tcPr>
          <w:p>
            <w:pPr>
              <w:jc w:val="center"/>
              <w:spacing w:after="0"/>
              <w:rPr>
                <w:sz w:val="20"/>
                <w:szCs w:val="20"/>
                <w:color w:val="auto"/>
              </w:rPr>
            </w:pPr>
            <w:r>
              <w:rPr>
                <w:rFonts w:ascii="Arial" w:cs="Arial" w:eastAsia="Arial" w:hAnsi="Arial"/>
                <w:sz w:val="18"/>
                <w:szCs w:val="18"/>
                <w:color w:val="auto"/>
                <w:w w:val="88"/>
              </w:rPr>
              <w:t>15,040,575</w:t>
            </w:r>
          </w:p>
        </w:tc>
        <w:tc>
          <w:tcPr>
            <w:tcW w:w="120" w:type="dxa"/>
            <w:vAlign w:val="bottom"/>
          </w:tcPr>
          <w:p>
            <w:pPr>
              <w:spacing w:after="0"/>
              <w:rPr>
                <w:sz w:val="20"/>
                <w:szCs w:val="20"/>
                <w:color w:val="auto"/>
              </w:rPr>
            </w:pPr>
          </w:p>
        </w:tc>
        <w:tc>
          <w:tcPr>
            <w:tcW w:w="2500" w:type="dxa"/>
            <w:vAlign w:val="bottom"/>
          </w:tcPr>
          <w:p>
            <w:pPr>
              <w:jc w:val="center"/>
              <w:spacing w:after="0"/>
              <w:rPr>
                <w:sz w:val="20"/>
                <w:szCs w:val="20"/>
                <w:color w:val="auto"/>
              </w:rPr>
            </w:pPr>
            <w:r>
              <w:rPr>
                <w:rFonts w:ascii="Arial" w:cs="Arial" w:eastAsia="Arial" w:hAnsi="Arial"/>
                <w:sz w:val="18"/>
                <w:szCs w:val="18"/>
                <w:color w:val="auto"/>
                <w:w w:val="89"/>
              </w:rPr>
              <w:t>9,310,833</w:t>
            </w:r>
          </w:p>
        </w:tc>
        <w:tc>
          <w:tcPr>
            <w:tcW w:w="120" w:type="dxa"/>
            <w:vAlign w:val="bottom"/>
          </w:tcPr>
          <w:p>
            <w:pPr>
              <w:spacing w:after="0"/>
              <w:rPr>
                <w:sz w:val="20"/>
                <w:szCs w:val="20"/>
                <w:color w:val="auto"/>
              </w:rPr>
            </w:pPr>
          </w:p>
        </w:tc>
        <w:tc>
          <w:tcPr>
            <w:tcW w:w="2960" w:type="dxa"/>
            <w:vAlign w:val="bottom"/>
          </w:tcPr>
          <w:p>
            <w:pPr>
              <w:jc w:val="center"/>
              <w:spacing w:after="0"/>
              <w:rPr>
                <w:sz w:val="20"/>
                <w:szCs w:val="20"/>
                <w:color w:val="auto"/>
              </w:rPr>
            </w:pPr>
            <w:r>
              <w:rPr>
                <w:rFonts w:ascii="Arial" w:cs="Arial" w:eastAsia="Arial" w:hAnsi="Arial"/>
                <w:sz w:val="18"/>
                <w:szCs w:val="18"/>
                <w:color w:val="auto"/>
                <w:w w:val="89"/>
              </w:rPr>
              <w:t>4,740,182</w:t>
            </w:r>
          </w:p>
        </w:tc>
        <w:tc>
          <w:tcPr>
            <w:tcW w:w="140" w:type="dxa"/>
            <w:vAlign w:val="bottom"/>
          </w:tcPr>
          <w:p>
            <w:pPr>
              <w:spacing w:after="0"/>
              <w:rPr>
                <w:sz w:val="20"/>
                <w:szCs w:val="20"/>
                <w:color w:val="auto"/>
              </w:rPr>
            </w:pPr>
          </w:p>
        </w:tc>
      </w:tr>
    </w:tbl>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Proposal 2: Ratification of Appointment of Ernst &amp; Young LLP.</w:t>
      </w:r>
    </w:p>
    <w:p>
      <w:pPr>
        <w:spacing w:after="0" w:line="239" w:lineRule="exact"/>
        <w:rPr>
          <w:sz w:val="20"/>
          <w:szCs w:val="20"/>
          <w:color w:val="auto"/>
        </w:rPr>
      </w:pPr>
    </w:p>
    <w:p>
      <w:pPr>
        <w:ind w:right="240" w:firstLine="749"/>
        <w:spacing w:after="0" w:line="277" w:lineRule="auto"/>
        <w:rPr>
          <w:sz w:val="20"/>
          <w:szCs w:val="20"/>
          <w:color w:val="auto"/>
        </w:rPr>
      </w:pPr>
      <w:r>
        <w:rPr>
          <w:rFonts w:ascii="Arial" w:cs="Arial" w:eastAsia="Arial" w:hAnsi="Arial"/>
          <w:sz w:val="18"/>
          <w:szCs w:val="18"/>
          <w:color w:val="auto"/>
        </w:rPr>
        <w:t>The Company’s stockholders ratified the appointment of Ernst &amp; Young LLP as the Company’s independent registered public accounting firm for the fiscal year ending December 31, 2021. The votes regarding this proposal were as follows: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4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9"/>
              </w:rPr>
              <w:t>Votes For</w:t>
            </w:r>
          </w:p>
        </w:tc>
        <w:tc>
          <w:tcPr>
            <w:tcW w:w="262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6"/>
              </w:rPr>
              <w:t>Votes Against</w:t>
            </w:r>
          </w:p>
        </w:tc>
        <w:tc>
          <w:tcPr>
            <w:tcW w:w="316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8"/>
              </w:rPr>
              <w:t>Votes Abstaining</w:t>
            </w:r>
          </w:p>
        </w:tc>
        <w:tc>
          <w:tcPr>
            <w:tcW w:w="342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0"/>
              </w:rPr>
              <w:t>Broker Non-Votes</w:t>
            </w:r>
          </w:p>
        </w:tc>
      </w:tr>
      <w:tr>
        <w:trPr>
          <w:trHeight w:val="223"/>
        </w:trPr>
        <w:tc>
          <w:tcPr>
            <w:tcW w:w="1900" w:type="dxa"/>
            <w:vAlign w:val="bottom"/>
            <w:tcBorders>
              <w:top w:val="single" w:sz="8" w:color="auto"/>
            </w:tcBorders>
            <w:shd w:val="clear" w:color="auto" w:fill="CCEEFF"/>
          </w:tcPr>
          <w:p>
            <w:pPr>
              <w:jc w:val="right"/>
              <w:ind w:right="450"/>
              <w:spacing w:after="0"/>
              <w:rPr>
                <w:sz w:val="20"/>
                <w:szCs w:val="20"/>
                <w:color w:val="auto"/>
              </w:rPr>
            </w:pPr>
            <w:r>
              <w:rPr>
                <w:rFonts w:ascii="Arial" w:cs="Arial" w:eastAsia="Arial" w:hAnsi="Arial"/>
                <w:sz w:val="18"/>
                <w:szCs w:val="18"/>
                <w:color w:val="auto"/>
              </w:rPr>
              <w:t>28,940,659</w:t>
            </w:r>
          </w:p>
        </w:tc>
        <w:tc>
          <w:tcPr>
            <w:tcW w:w="140" w:type="dxa"/>
            <w:vAlign w:val="bottom"/>
            <w:tcBorders>
              <w:top w:val="single" w:sz="8" w:color="CCEEFF"/>
            </w:tcBorders>
            <w:shd w:val="clear" w:color="auto" w:fill="CCEEFF"/>
          </w:tcPr>
          <w:p>
            <w:pPr>
              <w:spacing w:after="0"/>
              <w:rPr>
                <w:sz w:val="19"/>
                <w:szCs w:val="19"/>
                <w:color w:val="auto"/>
              </w:rPr>
            </w:pPr>
          </w:p>
        </w:tc>
        <w:tc>
          <w:tcPr>
            <w:tcW w:w="2460" w:type="dxa"/>
            <w:vAlign w:val="bottom"/>
            <w:tcBorders>
              <w:top w:val="single" w:sz="8" w:color="auto"/>
            </w:tcBorders>
            <w:shd w:val="clear" w:color="auto" w:fill="CCEEFF"/>
          </w:tcPr>
          <w:p>
            <w:pPr>
              <w:jc w:val="right"/>
              <w:ind w:right="890"/>
              <w:spacing w:after="0"/>
              <w:rPr>
                <w:sz w:val="20"/>
                <w:szCs w:val="20"/>
                <w:color w:val="auto"/>
              </w:rPr>
            </w:pPr>
            <w:r>
              <w:rPr>
                <w:rFonts w:ascii="Arial" w:cs="Arial" w:eastAsia="Arial" w:hAnsi="Arial"/>
                <w:sz w:val="18"/>
                <w:szCs w:val="18"/>
                <w:color w:val="auto"/>
              </w:rPr>
              <w:t>22,674</w:t>
            </w:r>
          </w:p>
        </w:tc>
        <w:tc>
          <w:tcPr>
            <w:tcW w:w="160" w:type="dxa"/>
            <w:vAlign w:val="bottom"/>
            <w:tcBorders>
              <w:top w:val="single" w:sz="8" w:color="CCEEFF"/>
            </w:tcBorders>
            <w:shd w:val="clear" w:color="auto" w:fill="CCEEFF"/>
          </w:tcPr>
          <w:p>
            <w:pPr>
              <w:spacing w:after="0"/>
              <w:rPr>
                <w:sz w:val="19"/>
                <w:szCs w:val="19"/>
                <w:color w:val="auto"/>
              </w:rPr>
            </w:pPr>
          </w:p>
        </w:tc>
        <w:tc>
          <w:tcPr>
            <w:tcW w:w="3020" w:type="dxa"/>
            <w:vAlign w:val="bottom"/>
            <w:tcBorders>
              <w:top w:val="single" w:sz="8" w:color="auto"/>
            </w:tcBorders>
            <w:shd w:val="clear" w:color="auto" w:fill="CCEEFF"/>
          </w:tcPr>
          <w:p>
            <w:pPr>
              <w:jc w:val="right"/>
              <w:ind w:right="1130"/>
              <w:spacing w:after="0"/>
              <w:rPr>
                <w:sz w:val="20"/>
                <w:szCs w:val="20"/>
                <w:color w:val="auto"/>
              </w:rPr>
            </w:pPr>
            <w:r>
              <w:rPr>
                <w:rFonts w:ascii="Arial" w:cs="Arial" w:eastAsia="Arial" w:hAnsi="Arial"/>
                <w:sz w:val="18"/>
                <w:szCs w:val="18"/>
                <w:color w:val="auto"/>
              </w:rPr>
              <w:t>128,257</w:t>
            </w:r>
          </w:p>
        </w:tc>
        <w:tc>
          <w:tcPr>
            <w:tcW w:w="140" w:type="dxa"/>
            <w:vAlign w:val="bottom"/>
            <w:tcBorders>
              <w:top w:val="single" w:sz="8" w:color="CCEEFF"/>
            </w:tcBorders>
            <w:shd w:val="clear" w:color="auto" w:fill="CCEEFF"/>
          </w:tcPr>
          <w:p>
            <w:pPr>
              <w:spacing w:after="0"/>
              <w:rPr>
                <w:sz w:val="19"/>
                <w:szCs w:val="19"/>
                <w:color w:val="auto"/>
              </w:rPr>
            </w:pPr>
          </w:p>
        </w:tc>
        <w:tc>
          <w:tcPr>
            <w:tcW w:w="3260" w:type="dxa"/>
            <w:vAlign w:val="bottom"/>
            <w:tcBorders>
              <w:top w:val="single" w:sz="8" w:color="auto"/>
            </w:tcBorders>
            <w:shd w:val="clear" w:color="auto" w:fill="CCEEFF"/>
          </w:tcPr>
          <w:p>
            <w:pPr>
              <w:jc w:val="right"/>
              <w:ind w:right="1490"/>
              <w:spacing w:after="0"/>
              <w:rPr>
                <w:sz w:val="20"/>
                <w:szCs w:val="20"/>
                <w:color w:val="auto"/>
              </w:rPr>
            </w:pPr>
            <w:r>
              <w:rPr>
                <w:rFonts w:ascii="Arial" w:cs="Arial" w:eastAsia="Arial" w:hAnsi="Arial"/>
                <w:sz w:val="18"/>
                <w:szCs w:val="18"/>
                <w:color w:val="auto"/>
              </w:rPr>
              <w:t>0</w:t>
            </w:r>
          </w:p>
        </w:tc>
        <w:tc>
          <w:tcPr>
            <w:tcW w:w="160" w:type="dxa"/>
            <w:vAlign w:val="bottom"/>
            <w:tcBorders>
              <w:top w:val="single" w:sz="8" w:color="CCEEFF"/>
            </w:tcBorders>
            <w:shd w:val="clear" w:color="auto" w:fill="CCEEFF"/>
          </w:tcPr>
          <w:p>
            <w:pPr>
              <w:spacing w:after="0"/>
              <w:rPr>
                <w:sz w:val="19"/>
                <w:szCs w:val="19"/>
                <w:color w:val="auto"/>
              </w:rPr>
            </w:pPr>
          </w:p>
        </w:tc>
      </w:tr>
    </w:tbl>
    <w:p>
      <w:pPr>
        <w:spacing w:after="0" w:line="215" w:lineRule="exact"/>
        <w:rPr>
          <w:sz w:val="20"/>
          <w:szCs w:val="20"/>
          <w:color w:val="auto"/>
        </w:rPr>
      </w:pPr>
    </w:p>
    <w:p>
      <w:pPr>
        <w:ind w:left="100"/>
        <w:spacing w:after="0"/>
        <w:rPr>
          <w:sz w:val="20"/>
          <w:szCs w:val="20"/>
          <w:color w:val="auto"/>
        </w:rPr>
      </w:pPr>
      <w:r>
        <w:rPr>
          <w:rFonts w:ascii="Arial" w:cs="Arial" w:eastAsia="Arial" w:hAnsi="Arial"/>
          <w:sz w:val="18"/>
          <w:szCs w:val="18"/>
          <w:color w:val="auto"/>
        </w:rPr>
        <w:t>Proposal 3: Approval, by Non-Binding Advisory Vote, of the Compensation of the Company’s named executive officers.</w:t>
      </w:r>
    </w:p>
    <w:p>
      <w:pPr>
        <w:spacing w:after="0" w:line="239" w:lineRule="exact"/>
        <w:rPr>
          <w:sz w:val="20"/>
          <w:szCs w:val="20"/>
          <w:color w:val="auto"/>
        </w:rPr>
      </w:pPr>
    </w:p>
    <w:p>
      <w:pPr>
        <w:jc w:val="both"/>
        <w:ind w:right="20" w:firstLine="749"/>
        <w:spacing w:after="0" w:line="277" w:lineRule="auto"/>
        <w:rPr>
          <w:sz w:val="20"/>
          <w:szCs w:val="20"/>
          <w:color w:val="auto"/>
        </w:rPr>
      </w:pPr>
      <w:r>
        <w:rPr>
          <w:rFonts w:ascii="Arial" w:cs="Arial" w:eastAsia="Arial" w:hAnsi="Arial"/>
          <w:sz w:val="18"/>
          <w:szCs w:val="18"/>
          <w:color w:val="auto"/>
        </w:rPr>
        <w:t>The Company’s stockholders voted to approve, by non-binding advisory vote, the compensation of the Company’s named executive officers. The votes regarding this proposal were as follows: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4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9"/>
              </w:rPr>
              <w:t>Votes For</w:t>
            </w:r>
          </w:p>
        </w:tc>
        <w:tc>
          <w:tcPr>
            <w:tcW w:w="262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6"/>
              </w:rPr>
              <w:t>Votes Against</w:t>
            </w:r>
          </w:p>
        </w:tc>
        <w:tc>
          <w:tcPr>
            <w:tcW w:w="316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8"/>
              </w:rPr>
              <w:t>Votes Abstaining</w:t>
            </w:r>
          </w:p>
        </w:tc>
        <w:tc>
          <w:tcPr>
            <w:tcW w:w="342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0"/>
              </w:rPr>
              <w:t>Broker Non-Votes</w:t>
            </w:r>
          </w:p>
        </w:tc>
      </w:tr>
      <w:tr>
        <w:trPr>
          <w:trHeight w:val="223"/>
        </w:trPr>
        <w:tc>
          <w:tcPr>
            <w:tcW w:w="1900" w:type="dxa"/>
            <w:vAlign w:val="bottom"/>
            <w:tcBorders>
              <w:top w:val="single" w:sz="8" w:color="auto"/>
            </w:tcBorders>
            <w:shd w:val="clear" w:color="auto" w:fill="CCEEFF"/>
          </w:tcPr>
          <w:p>
            <w:pPr>
              <w:jc w:val="right"/>
              <w:ind w:right="450"/>
              <w:spacing w:after="0"/>
              <w:rPr>
                <w:sz w:val="20"/>
                <w:szCs w:val="20"/>
                <w:color w:val="auto"/>
              </w:rPr>
            </w:pPr>
            <w:r>
              <w:rPr>
                <w:rFonts w:ascii="Arial" w:cs="Arial" w:eastAsia="Arial" w:hAnsi="Arial"/>
                <w:sz w:val="18"/>
                <w:szCs w:val="18"/>
                <w:color w:val="auto"/>
              </w:rPr>
              <w:t>23,304,240</w:t>
            </w:r>
          </w:p>
        </w:tc>
        <w:tc>
          <w:tcPr>
            <w:tcW w:w="140" w:type="dxa"/>
            <w:vAlign w:val="bottom"/>
            <w:tcBorders>
              <w:top w:val="single" w:sz="8" w:color="CCEEFF"/>
            </w:tcBorders>
            <w:shd w:val="clear" w:color="auto" w:fill="CCEEFF"/>
          </w:tcPr>
          <w:p>
            <w:pPr>
              <w:spacing w:after="0"/>
              <w:rPr>
                <w:sz w:val="19"/>
                <w:szCs w:val="19"/>
                <w:color w:val="auto"/>
              </w:rPr>
            </w:pPr>
          </w:p>
        </w:tc>
        <w:tc>
          <w:tcPr>
            <w:tcW w:w="2460" w:type="dxa"/>
            <w:vAlign w:val="bottom"/>
            <w:tcBorders>
              <w:top w:val="single" w:sz="8" w:color="auto"/>
            </w:tcBorders>
            <w:shd w:val="clear" w:color="auto" w:fill="CCEEFF"/>
          </w:tcPr>
          <w:p>
            <w:pPr>
              <w:jc w:val="right"/>
              <w:ind w:right="850"/>
              <w:spacing w:after="0"/>
              <w:rPr>
                <w:sz w:val="20"/>
                <w:szCs w:val="20"/>
                <w:color w:val="auto"/>
              </w:rPr>
            </w:pPr>
            <w:r>
              <w:rPr>
                <w:rFonts w:ascii="Arial" w:cs="Arial" w:eastAsia="Arial" w:hAnsi="Arial"/>
                <w:sz w:val="18"/>
                <w:szCs w:val="18"/>
                <w:color w:val="auto"/>
              </w:rPr>
              <w:t>566,943</w:t>
            </w:r>
          </w:p>
        </w:tc>
        <w:tc>
          <w:tcPr>
            <w:tcW w:w="160" w:type="dxa"/>
            <w:vAlign w:val="bottom"/>
            <w:tcBorders>
              <w:top w:val="single" w:sz="8" w:color="CCEEFF"/>
            </w:tcBorders>
            <w:shd w:val="clear" w:color="auto" w:fill="CCEEFF"/>
          </w:tcPr>
          <w:p>
            <w:pPr>
              <w:spacing w:after="0"/>
              <w:rPr>
                <w:sz w:val="19"/>
                <w:szCs w:val="19"/>
                <w:color w:val="auto"/>
              </w:rPr>
            </w:pPr>
          </w:p>
        </w:tc>
        <w:tc>
          <w:tcPr>
            <w:tcW w:w="3020" w:type="dxa"/>
            <w:vAlign w:val="bottom"/>
            <w:tcBorders>
              <w:top w:val="single" w:sz="8" w:color="auto"/>
            </w:tcBorders>
            <w:shd w:val="clear" w:color="auto" w:fill="CCEEFF"/>
          </w:tcPr>
          <w:p>
            <w:pPr>
              <w:jc w:val="right"/>
              <w:ind w:right="1130"/>
              <w:spacing w:after="0"/>
              <w:rPr>
                <w:sz w:val="20"/>
                <w:szCs w:val="20"/>
                <w:color w:val="auto"/>
              </w:rPr>
            </w:pPr>
            <w:r>
              <w:rPr>
                <w:rFonts w:ascii="Arial" w:cs="Arial" w:eastAsia="Arial" w:hAnsi="Arial"/>
                <w:sz w:val="18"/>
                <w:szCs w:val="18"/>
                <w:color w:val="auto"/>
              </w:rPr>
              <w:t>480,225</w:t>
            </w:r>
          </w:p>
        </w:tc>
        <w:tc>
          <w:tcPr>
            <w:tcW w:w="140" w:type="dxa"/>
            <w:vAlign w:val="bottom"/>
            <w:tcBorders>
              <w:top w:val="single" w:sz="8" w:color="CCEEFF"/>
            </w:tcBorders>
            <w:shd w:val="clear" w:color="auto" w:fill="CCEEFF"/>
          </w:tcPr>
          <w:p>
            <w:pPr>
              <w:spacing w:after="0"/>
              <w:rPr>
                <w:sz w:val="19"/>
                <w:szCs w:val="19"/>
                <w:color w:val="auto"/>
              </w:rPr>
            </w:pPr>
          </w:p>
        </w:tc>
        <w:tc>
          <w:tcPr>
            <w:tcW w:w="3260" w:type="dxa"/>
            <w:vAlign w:val="bottom"/>
            <w:tcBorders>
              <w:top w:val="single" w:sz="8" w:color="auto"/>
            </w:tcBorders>
            <w:shd w:val="clear" w:color="auto" w:fill="CCEEFF"/>
          </w:tcPr>
          <w:p>
            <w:pPr>
              <w:jc w:val="right"/>
              <w:ind w:right="1170"/>
              <w:spacing w:after="0"/>
              <w:rPr>
                <w:sz w:val="20"/>
                <w:szCs w:val="20"/>
                <w:color w:val="auto"/>
              </w:rPr>
            </w:pPr>
            <w:r>
              <w:rPr>
                <w:rFonts w:ascii="Arial" w:cs="Arial" w:eastAsia="Arial" w:hAnsi="Arial"/>
                <w:sz w:val="18"/>
                <w:szCs w:val="18"/>
                <w:color w:val="auto"/>
              </w:rPr>
              <w:t>4,740,182</w:t>
            </w:r>
          </w:p>
        </w:tc>
        <w:tc>
          <w:tcPr>
            <w:tcW w:w="160" w:type="dxa"/>
            <w:vAlign w:val="bottom"/>
            <w:tcBorders>
              <w:top w:val="single" w:sz="8" w:color="CCEEFF"/>
            </w:tcBorders>
            <w:shd w:val="clear" w:color="auto" w:fill="CCEEFF"/>
          </w:tcPr>
          <w:p>
            <w:pPr>
              <w:spacing w:after="0"/>
              <w:rPr>
                <w:sz w:val="19"/>
                <w:szCs w:val="19"/>
                <w:color w:val="auto"/>
              </w:rPr>
            </w:pPr>
          </w:p>
        </w:tc>
      </w:tr>
    </w:tbl>
    <w:p>
      <w:pPr>
        <w:spacing w:after="0" w:line="200" w:lineRule="exact"/>
        <w:rPr>
          <w:sz w:val="20"/>
          <w:szCs w:val="20"/>
          <w:color w:val="auto"/>
        </w:rPr>
      </w:pPr>
    </w:p>
    <w:p>
      <w:pPr>
        <w:spacing w:after="0" w:line="245" w:lineRule="exact"/>
        <w:rPr>
          <w:sz w:val="20"/>
          <w:szCs w:val="20"/>
          <w:color w:val="auto"/>
        </w:rPr>
      </w:pPr>
    </w:p>
    <w:p>
      <w:pPr>
        <w:ind w:left="1040" w:right="620" w:hanging="935"/>
        <w:spacing w:after="0" w:line="277" w:lineRule="auto"/>
        <w:rPr>
          <w:sz w:val="20"/>
          <w:szCs w:val="20"/>
          <w:color w:val="auto"/>
        </w:rPr>
      </w:pPr>
      <w:r>
        <w:rPr>
          <w:rFonts w:ascii="Arial" w:cs="Arial" w:eastAsia="Arial" w:hAnsi="Arial"/>
          <w:sz w:val="18"/>
          <w:szCs w:val="18"/>
          <w:color w:val="auto"/>
        </w:rPr>
        <w:t>Proposal 4: Approval, by Non-Binding Advisory Vote, of the Frequency of Future Votes on the Compensation of the Company’s named executive officers.</w:t>
      </w:r>
    </w:p>
    <w:p>
      <w:pPr>
        <w:spacing w:after="0" w:line="184" w:lineRule="exact"/>
        <w:rPr>
          <w:sz w:val="20"/>
          <w:szCs w:val="20"/>
          <w:color w:val="auto"/>
        </w:rPr>
      </w:pPr>
    </w:p>
    <w:p>
      <w:pPr>
        <w:ind w:left="760"/>
        <w:spacing w:after="0"/>
        <w:rPr>
          <w:sz w:val="20"/>
          <w:szCs w:val="20"/>
          <w:color w:val="auto"/>
        </w:rPr>
      </w:pPr>
      <w:r>
        <w:rPr>
          <w:rFonts w:ascii="Arial" w:cs="Arial" w:eastAsia="Arial" w:hAnsi="Arial"/>
          <w:sz w:val="17"/>
          <w:szCs w:val="17"/>
          <w:color w:val="auto"/>
        </w:rPr>
        <w:t>The Company’s stockholders voted to approve, by non-binding advisory vote, the frequency of future votes on the compensation of the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Company’s named executive officers. The votes regarding this proposal were as follows:</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12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1"/>
              </w:rPr>
              <w:t>One Year</w:t>
            </w:r>
          </w:p>
        </w:tc>
        <w:tc>
          <w:tcPr>
            <w:tcW w:w="212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88"/>
              </w:rPr>
              <w:t>Two Years</w:t>
            </w:r>
          </w:p>
        </w:tc>
        <w:tc>
          <w:tcPr>
            <w:tcW w:w="2420" w:type="dxa"/>
            <w:vAlign w:val="bottom"/>
            <w:gridSpan w:val="2"/>
          </w:tcPr>
          <w:p>
            <w:pPr>
              <w:ind w:left="720"/>
              <w:spacing w:after="0"/>
              <w:rPr>
                <w:sz w:val="20"/>
                <w:szCs w:val="20"/>
                <w:color w:val="auto"/>
              </w:rPr>
            </w:pPr>
            <w:r>
              <w:rPr>
                <w:rFonts w:ascii="Arial" w:cs="Arial" w:eastAsia="Arial" w:hAnsi="Arial"/>
                <w:sz w:val="18"/>
                <w:szCs w:val="18"/>
                <w:b w:val="1"/>
                <w:bCs w:val="1"/>
                <w:color w:val="auto"/>
              </w:rPr>
              <w:t>Three Years</w:t>
            </w:r>
          </w:p>
        </w:tc>
        <w:tc>
          <w:tcPr>
            <w:tcW w:w="1440" w:type="dxa"/>
            <w:vAlign w:val="bottom"/>
          </w:tcPr>
          <w:p>
            <w:pPr>
              <w:jc w:val="center"/>
              <w:ind w:right="350"/>
              <w:spacing w:after="0"/>
              <w:rPr>
                <w:sz w:val="20"/>
                <w:szCs w:val="20"/>
                <w:color w:val="auto"/>
              </w:rPr>
            </w:pPr>
            <w:r>
              <w:rPr>
                <w:rFonts w:ascii="Arial" w:cs="Arial" w:eastAsia="Arial" w:hAnsi="Arial"/>
                <w:sz w:val="18"/>
                <w:szCs w:val="18"/>
                <w:b w:val="1"/>
                <w:bCs w:val="1"/>
                <w:color w:val="auto"/>
                <w:w w:val="90"/>
              </w:rPr>
              <w:t>Abstain</w:t>
            </w:r>
          </w:p>
        </w:tc>
        <w:tc>
          <w:tcPr>
            <w:tcW w:w="3140" w:type="dxa"/>
            <w:vAlign w:val="bottom"/>
            <w:gridSpan w:val="2"/>
          </w:tcPr>
          <w:p>
            <w:pPr>
              <w:jc w:val="center"/>
              <w:ind w:right="520"/>
              <w:spacing w:after="0"/>
              <w:rPr>
                <w:sz w:val="20"/>
                <w:szCs w:val="20"/>
                <w:color w:val="auto"/>
              </w:rPr>
            </w:pPr>
            <w:r>
              <w:rPr>
                <w:rFonts w:ascii="Arial" w:cs="Arial" w:eastAsia="Arial" w:hAnsi="Arial"/>
                <w:sz w:val="18"/>
                <w:szCs w:val="18"/>
                <w:b w:val="1"/>
                <w:bCs w:val="1"/>
                <w:color w:val="auto"/>
                <w:w w:val="90"/>
              </w:rPr>
              <w:t>Broker Non-Votes</w:t>
            </w:r>
          </w:p>
        </w:tc>
      </w:tr>
      <w:tr>
        <w:trPr>
          <w:trHeight w:val="223"/>
        </w:trPr>
        <w:tc>
          <w:tcPr>
            <w:tcW w:w="2040" w:type="dxa"/>
            <w:vAlign w:val="bottom"/>
            <w:tcBorders>
              <w:top w:val="single" w:sz="8" w:color="auto"/>
            </w:tcBorders>
            <w:shd w:val="clear" w:color="auto" w:fill="CCEEFF"/>
          </w:tcPr>
          <w:p>
            <w:pPr>
              <w:jc w:val="right"/>
              <w:ind w:right="510"/>
              <w:spacing w:after="0"/>
              <w:rPr>
                <w:sz w:val="20"/>
                <w:szCs w:val="20"/>
                <w:color w:val="auto"/>
              </w:rPr>
            </w:pPr>
            <w:r>
              <w:rPr>
                <w:rFonts w:ascii="Arial" w:cs="Arial" w:eastAsia="Arial" w:hAnsi="Arial"/>
                <w:sz w:val="18"/>
                <w:szCs w:val="18"/>
                <w:color w:val="auto"/>
              </w:rPr>
              <w:t>24,225,151</w:t>
            </w:r>
          </w:p>
        </w:tc>
        <w:tc>
          <w:tcPr>
            <w:tcW w:w="80" w:type="dxa"/>
            <w:vAlign w:val="bottom"/>
            <w:tcBorders>
              <w:top w:val="single" w:sz="8" w:color="CCEEFF"/>
            </w:tcBorders>
            <w:shd w:val="clear" w:color="auto" w:fill="CCEEFF"/>
          </w:tcPr>
          <w:p>
            <w:pPr>
              <w:spacing w:after="0"/>
              <w:rPr>
                <w:sz w:val="19"/>
                <w:szCs w:val="19"/>
                <w:color w:val="auto"/>
              </w:rPr>
            </w:pPr>
          </w:p>
        </w:tc>
        <w:tc>
          <w:tcPr>
            <w:tcW w:w="2040" w:type="dxa"/>
            <w:vAlign w:val="bottom"/>
            <w:tcBorders>
              <w:top w:val="single" w:sz="8" w:color="auto"/>
            </w:tcBorders>
            <w:shd w:val="clear" w:color="auto" w:fill="CCEEFF"/>
          </w:tcPr>
          <w:p>
            <w:pPr>
              <w:jc w:val="right"/>
              <w:ind w:right="690"/>
              <w:spacing w:after="0"/>
              <w:rPr>
                <w:sz w:val="20"/>
                <w:szCs w:val="20"/>
                <w:color w:val="auto"/>
              </w:rPr>
            </w:pPr>
            <w:r>
              <w:rPr>
                <w:rFonts w:ascii="Arial" w:cs="Arial" w:eastAsia="Arial" w:hAnsi="Arial"/>
                <w:sz w:val="18"/>
                <w:szCs w:val="18"/>
                <w:color w:val="auto"/>
              </w:rPr>
              <w:t>27,940</w:t>
            </w:r>
          </w:p>
        </w:tc>
        <w:tc>
          <w:tcPr>
            <w:tcW w:w="80" w:type="dxa"/>
            <w:vAlign w:val="bottom"/>
            <w:tcBorders>
              <w:top w:val="single" w:sz="8" w:color="CCEEFF"/>
            </w:tcBorders>
            <w:shd w:val="clear" w:color="auto" w:fill="CCEEFF"/>
          </w:tcPr>
          <w:p>
            <w:pPr>
              <w:spacing w:after="0"/>
              <w:rPr>
                <w:sz w:val="19"/>
                <w:szCs w:val="19"/>
                <w:color w:val="auto"/>
              </w:rPr>
            </w:pPr>
          </w:p>
        </w:tc>
        <w:tc>
          <w:tcPr>
            <w:tcW w:w="2360" w:type="dxa"/>
            <w:vAlign w:val="bottom"/>
            <w:tcBorders>
              <w:top w:val="single" w:sz="8" w:color="auto"/>
            </w:tcBorders>
            <w:shd w:val="clear" w:color="auto" w:fill="CCEEFF"/>
          </w:tcPr>
          <w:p>
            <w:pPr>
              <w:jc w:val="right"/>
              <w:ind w:right="850"/>
              <w:spacing w:after="0"/>
              <w:rPr>
                <w:sz w:val="20"/>
                <w:szCs w:val="20"/>
                <w:color w:val="auto"/>
              </w:rPr>
            </w:pPr>
            <w:r>
              <w:rPr>
                <w:rFonts w:ascii="Arial" w:cs="Arial" w:eastAsia="Arial" w:hAnsi="Arial"/>
                <w:sz w:val="18"/>
                <w:szCs w:val="18"/>
                <w:color w:val="auto"/>
              </w:rPr>
              <w:t>54,830</w:t>
            </w:r>
          </w:p>
        </w:tc>
        <w:tc>
          <w:tcPr>
            <w:tcW w:w="60" w:type="dxa"/>
            <w:vAlign w:val="bottom"/>
            <w:tcBorders>
              <w:top w:val="single" w:sz="8" w:color="CCEEFF"/>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jc w:val="right"/>
              <w:ind w:right="590"/>
              <w:spacing w:after="0"/>
              <w:rPr>
                <w:sz w:val="20"/>
                <w:szCs w:val="20"/>
                <w:color w:val="auto"/>
              </w:rPr>
            </w:pPr>
            <w:r>
              <w:rPr>
                <w:rFonts w:ascii="Arial" w:cs="Arial" w:eastAsia="Arial" w:hAnsi="Arial"/>
                <w:sz w:val="18"/>
                <w:szCs w:val="18"/>
                <w:color w:val="auto"/>
              </w:rPr>
              <w:t>43,487</w:t>
            </w:r>
          </w:p>
        </w:tc>
        <w:tc>
          <w:tcPr>
            <w:tcW w:w="3080" w:type="dxa"/>
            <w:vAlign w:val="bottom"/>
            <w:tcBorders>
              <w:top w:val="single" w:sz="8" w:color="auto"/>
            </w:tcBorders>
            <w:shd w:val="clear" w:color="auto" w:fill="CCEEFF"/>
          </w:tcPr>
          <w:p>
            <w:pPr>
              <w:jc w:val="right"/>
              <w:ind w:right="1310"/>
              <w:spacing w:after="0"/>
              <w:rPr>
                <w:sz w:val="20"/>
                <w:szCs w:val="20"/>
                <w:color w:val="auto"/>
              </w:rPr>
            </w:pPr>
            <w:r>
              <w:rPr>
                <w:rFonts w:ascii="Arial" w:cs="Arial" w:eastAsia="Arial" w:hAnsi="Arial"/>
                <w:sz w:val="18"/>
                <w:szCs w:val="18"/>
                <w:color w:val="auto"/>
              </w:rPr>
              <w:t>4,740,182</w:t>
            </w:r>
          </w:p>
        </w:tc>
        <w:tc>
          <w:tcPr>
            <w:tcW w:w="60" w:type="dxa"/>
            <w:vAlign w:val="bottom"/>
            <w:tcBorders>
              <w:top w:val="single" w:sz="8" w:color="CCEEFF"/>
            </w:tcBorders>
            <w:shd w:val="clear" w:color="auto" w:fill="CCEEFF"/>
          </w:tcPr>
          <w:p>
            <w:pPr>
              <w:spacing w:after="0"/>
              <w:rPr>
                <w:sz w:val="19"/>
                <w:szCs w:val="19"/>
                <w:color w:val="auto"/>
              </w:rPr>
            </w:pPr>
          </w:p>
        </w:tc>
      </w:tr>
      <w:tr>
        <w:trPr>
          <w:trHeight w:val="648"/>
        </w:trPr>
        <w:tc>
          <w:tcPr>
            <w:tcW w:w="2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360" w:type="dxa"/>
            <w:vAlign w:val="bottom"/>
          </w:tcPr>
          <w:p>
            <w:pPr>
              <w:jc w:val="right"/>
              <w:ind w:right="850"/>
              <w:spacing w:after="0"/>
              <w:rPr>
                <w:sz w:val="20"/>
                <w:szCs w:val="20"/>
                <w:color w:val="auto"/>
              </w:rPr>
            </w:pPr>
            <w:r>
              <w:rPr>
                <w:rFonts w:ascii="Arial" w:cs="Arial" w:eastAsia="Arial" w:hAnsi="Arial"/>
                <w:sz w:val="18"/>
                <w:szCs w:val="18"/>
                <w:color w:val="auto"/>
              </w:rPr>
              <w:t>1</w:t>
            </w:r>
          </w:p>
        </w:tc>
        <w:tc>
          <w:tcPr>
            <w:tcW w:w="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115"/>
        </w:trPr>
        <w:tc>
          <w:tcPr>
            <w:tcW w:w="20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0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36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1440" w:type="dxa"/>
            <w:vAlign w:val="bottom"/>
            <w:tcBorders>
              <w:bottom w:val="single" w:sz="8" w:color="9A9A9A"/>
            </w:tcBorders>
          </w:tcPr>
          <w:p>
            <w:pPr>
              <w:spacing w:after="0"/>
              <w:rPr>
                <w:sz w:val="10"/>
                <w:szCs w:val="10"/>
                <w:color w:val="auto"/>
              </w:rPr>
            </w:pPr>
          </w:p>
        </w:tc>
        <w:tc>
          <w:tcPr>
            <w:tcW w:w="308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(d) Exhibits</w:t>
      </w:r>
    </w:p>
    <w:p>
      <w:pPr>
        <w:spacing w:after="0" w:line="200" w:lineRule="exact"/>
        <w:rPr>
          <w:sz w:val="20"/>
          <w:szCs w:val="20"/>
          <w:color w:val="auto"/>
        </w:rPr>
      </w:pPr>
    </w:p>
    <w:p>
      <w:pPr>
        <w:spacing w:after="0" w:line="260" w:lineRule="exact"/>
        <w:rPr>
          <w:sz w:val="20"/>
          <w:szCs w:val="20"/>
          <w:color w:val="auto"/>
        </w:rPr>
      </w:pPr>
    </w:p>
    <w:p>
      <w:pPr>
        <w:spacing w:after="0"/>
        <w:tabs>
          <w:tab w:leader="none" w:pos="5860" w:val="left"/>
        </w:tabs>
        <w:rPr>
          <w:sz w:val="20"/>
          <w:szCs w:val="20"/>
          <w:color w:val="auto"/>
        </w:rPr>
      </w:pPr>
      <w:r>
        <w:rPr>
          <w:rFonts w:ascii="Arial" w:cs="Arial" w:eastAsia="Arial" w:hAnsi="Arial"/>
          <w:sz w:val="14"/>
          <w:szCs w:val="14"/>
          <w:b w:val="1"/>
          <w:bCs w:val="1"/>
          <w:color w:val="auto"/>
        </w:rPr>
        <w:t>Exhibit No.</w:t>
      </w:r>
      <w:r>
        <w:rPr>
          <w:sz w:val="20"/>
          <w:szCs w:val="20"/>
          <w:color w:val="auto"/>
        </w:rPr>
        <w:tab/>
      </w:r>
      <w:r>
        <w:rPr>
          <w:rFonts w:ascii="Arial" w:cs="Arial" w:eastAsia="Arial" w:hAnsi="Arial"/>
          <w:sz w:val="13"/>
          <w:szCs w:val="13"/>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0" w:lineRule="exact"/>
        <w:rPr>
          <w:sz w:val="20"/>
          <w:szCs w:val="20"/>
          <w:color w:val="auto"/>
        </w:rPr>
      </w:pPr>
    </w:p>
    <w:p>
      <w:pPr>
        <w:ind w:left="5580" w:right="3059" w:hanging="5572"/>
        <w:spacing w:after="0" w:line="809" w:lineRule="auto"/>
        <w:tabs>
          <w:tab w:leader="none" w:pos="1251" w:val="left"/>
        </w:tabs>
        <w:numPr>
          <w:ilvl w:val="0"/>
          <w:numId w:val="2"/>
        </w:numPr>
        <w:rPr>
          <w:rFonts w:ascii="Arial" w:cs="Arial" w:eastAsia="Arial" w:hAnsi="Arial"/>
          <w:sz w:val="18"/>
          <w:szCs w:val="18"/>
          <w:color w:val="auto"/>
        </w:rPr>
      </w:pPr>
      <w:r>
        <w:rPr>
          <w:rFonts w:ascii="Arial" w:cs="Arial" w:eastAsia="Arial" w:hAnsi="Arial"/>
          <w:sz w:val="18"/>
          <w:szCs w:val="18"/>
          <w:color w:val="auto"/>
        </w:rPr>
        <w:t>Cover Page Interactive Data File (embedded within the Inline XBRL document).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-254635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796" w:right="1440"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SIGNATURES</w:t>
      </w:r>
    </w:p>
    <w:p>
      <w:pPr>
        <w:spacing w:after="0" w:line="189" w:lineRule="exact"/>
        <w:rPr>
          <w:sz w:val="20"/>
          <w:szCs w:val="20"/>
          <w:color w:val="auto"/>
        </w:rPr>
      </w:pPr>
    </w:p>
    <w:p>
      <w:pPr>
        <w:ind w:right="200" w:firstLine="749"/>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20" w:type="dxa"/>
            <w:vAlign w:val="bottom"/>
          </w:tcPr>
          <w:p>
            <w:pPr>
              <w:spacing w:after="0"/>
              <w:rPr>
                <w:sz w:val="20"/>
                <w:szCs w:val="20"/>
                <w:color w:val="auto"/>
              </w:rPr>
            </w:pPr>
          </w:p>
        </w:tc>
        <w:tc>
          <w:tcPr>
            <w:tcW w:w="7720" w:type="dxa"/>
            <w:vAlign w:val="bottom"/>
            <w:gridSpan w:val="2"/>
          </w:tcPr>
          <w:p>
            <w:pPr>
              <w:ind w:left="2120"/>
              <w:spacing w:after="0"/>
              <w:rPr>
                <w:sz w:val="20"/>
                <w:szCs w:val="20"/>
                <w:color w:val="auto"/>
              </w:rPr>
            </w:pPr>
            <w:r>
              <w:rPr>
                <w:rFonts w:ascii="Arial" w:cs="Arial" w:eastAsia="Arial" w:hAnsi="Arial"/>
                <w:sz w:val="18"/>
                <w:szCs w:val="18"/>
                <w:b w:val="1"/>
                <w:bCs w:val="1"/>
                <w:color w:val="auto"/>
              </w:rPr>
              <w:t>Axsome Therapeutics, Inc.</w:t>
            </w:r>
          </w:p>
        </w:tc>
      </w:tr>
      <w:tr>
        <w:trPr>
          <w:trHeight w:val="466"/>
        </w:trPr>
        <w:tc>
          <w:tcPr>
            <w:tcW w:w="3520" w:type="dxa"/>
            <w:vAlign w:val="bottom"/>
          </w:tcPr>
          <w:p>
            <w:pPr>
              <w:spacing w:after="0"/>
              <w:rPr>
                <w:sz w:val="20"/>
                <w:szCs w:val="20"/>
                <w:color w:val="auto"/>
              </w:rPr>
            </w:pPr>
            <w:r>
              <w:rPr>
                <w:rFonts w:ascii="Arial" w:cs="Arial" w:eastAsia="Arial" w:hAnsi="Arial"/>
                <w:sz w:val="18"/>
                <w:szCs w:val="18"/>
                <w:color w:val="auto"/>
              </w:rPr>
              <w:t>Dated: June 7, 2021</w:t>
            </w:r>
          </w:p>
        </w:tc>
        <w:tc>
          <w:tcPr>
            <w:tcW w:w="3000" w:type="dxa"/>
            <w:vAlign w:val="bottom"/>
          </w:tcPr>
          <w:p>
            <w:pPr>
              <w:ind w:left="2120"/>
              <w:spacing w:after="0"/>
              <w:rPr>
                <w:sz w:val="20"/>
                <w:szCs w:val="20"/>
                <w:color w:val="auto"/>
              </w:rPr>
            </w:pPr>
            <w:r>
              <w:rPr>
                <w:rFonts w:ascii="Arial" w:cs="Arial" w:eastAsia="Arial" w:hAnsi="Arial"/>
                <w:sz w:val="18"/>
                <w:szCs w:val="18"/>
                <w:color w:val="auto"/>
              </w:rPr>
              <w:t>By:</w:t>
            </w:r>
          </w:p>
        </w:tc>
        <w:tc>
          <w:tcPr>
            <w:tcW w:w="47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Herriot Tabuteau, M.D.</w:t>
            </w:r>
          </w:p>
        </w:tc>
      </w:tr>
      <w:tr>
        <w:trPr>
          <w:trHeight w:val="215"/>
        </w:trPr>
        <w:tc>
          <w:tcPr>
            <w:tcW w:w="3520" w:type="dxa"/>
            <w:vAlign w:val="bottom"/>
          </w:tcPr>
          <w:p>
            <w:pPr>
              <w:spacing w:after="0"/>
              <w:rPr>
                <w:sz w:val="18"/>
                <w:szCs w:val="18"/>
                <w:color w:val="auto"/>
              </w:rPr>
            </w:pPr>
          </w:p>
        </w:tc>
        <w:tc>
          <w:tcPr>
            <w:tcW w:w="3000" w:type="dxa"/>
            <w:vAlign w:val="bottom"/>
          </w:tcPr>
          <w:p>
            <w:pPr>
              <w:ind w:left="2120"/>
              <w:spacing w:after="0"/>
              <w:rPr>
                <w:sz w:val="20"/>
                <w:szCs w:val="20"/>
                <w:color w:val="auto"/>
              </w:rPr>
            </w:pPr>
            <w:r>
              <w:rPr>
                <w:rFonts w:ascii="Arial" w:cs="Arial" w:eastAsia="Arial" w:hAnsi="Arial"/>
                <w:sz w:val="18"/>
                <w:szCs w:val="18"/>
                <w:color w:val="auto"/>
              </w:rPr>
              <w:t>Name:</w:t>
            </w:r>
          </w:p>
        </w:tc>
        <w:tc>
          <w:tcPr>
            <w:tcW w:w="4720" w:type="dxa"/>
            <w:vAlign w:val="bottom"/>
          </w:tcPr>
          <w:p>
            <w:pPr>
              <w:spacing w:after="0"/>
              <w:rPr>
                <w:sz w:val="20"/>
                <w:szCs w:val="20"/>
                <w:color w:val="auto"/>
              </w:rPr>
            </w:pPr>
            <w:r>
              <w:rPr>
                <w:rFonts w:ascii="Arial" w:cs="Arial" w:eastAsia="Arial" w:hAnsi="Arial"/>
                <w:sz w:val="18"/>
                <w:szCs w:val="18"/>
                <w:color w:val="auto"/>
              </w:rPr>
              <w:t>Herriot Tabuteau, M.D.</w:t>
            </w:r>
          </w:p>
        </w:tc>
      </w:tr>
      <w:tr>
        <w:trPr>
          <w:trHeight w:val="230"/>
        </w:trPr>
        <w:tc>
          <w:tcPr>
            <w:tcW w:w="3520" w:type="dxa"/>
            <w:vAlign w:val="bottom"/>
          </w:tcPr>
          <w:p>
            <w:pPr>
              <w:spacing w:after="0"/>
              <w:rPr>
                <w:sz w:val="20"/>
                <w:szCs w:val="20"/>
                <w:color w:val="auto"/>
              </w:rPr>
            </w:pPr>
          </w:p>
        </w:tc>
        <w:tc>
          <w:tcPr>
            <w:tcW w:w="3000" w:type="dxa"/>
            <w:vAlign w:val="bottom"/>
          </w:tcPr>
          <w:p>
            <w:pPr>
              <w:ind w:left="2120"/>
              <w:spacing w:after="0"/>
              <w:rPr>
                <w:sz w:val="20"/>
                <w:szCs w:val="20"/>
                <w:color w:val="auto"/>
              </w:rPr>
            </w:pPr>
            <w:r>
              <w:rPr>
                <w:rFonts w:ascii="Arial" w:cs="Arial" w:eastAsia="Arial" w:hAnsi="Arial"/>
                <w:sz w:val="18"/>
                <w:szCs w:val="18"/>
                <w:color w:val="auto"/>
              </w:rPr>
              <w:t>Title:</w:t>
            </w:r>
          </w:p>
        </w:tc>
        <w:tc>
          <w:tcPr>
            <w:tcW w:w="4720" w:type="dxa"/>
            <w:vAlign w:val="bottom"/>
          </w:tcPr>
          <w:p>
            <w:pPr>
              <w:spacing w:after="0"/>
              <w:rPr>
                <w:sz w:val="20"/>
                <w:szCs w:val="20"/>
                <w:color w:val="auto"/>
              </w:rPr>
            </w:pPr>
            <w:r>
              <w:rPr>
                <w:rFonts w:ascii="Arial" w:cs="Arial" w:eastAsia="Arial" w:hAnsi="Arial"/>
                <w:sz w:val="18"/>
                <w:szCs w:val="18"/>
                <w:color w:val="auto"/>
              </w:rPr>
              <w:t>President and Chief Executive Officer</w:t>
            </w:r>
          </w:p>
        </w:tc>
      </w:tr>
      <w:tr>
        <w:trPr>
          <w:trHeight w:val="675"/>
        </w:trPr>
        <w:tc>
          <w:tcPr>
            <w:tcW w:w="3520" w:type="dxa"/>
            <w:vAlign w:val="bottom"/>
          </w:tcPr>
          <w:p>
            <w:pPr>
              <w:spacing w:after="0"/>
              <w:rPr>
                <w:sz w:val="24"/>
                <w:szCs w:val="24"/>
                <w:color w:val="auto"/>
              </w:rPr>
            </w:pPr>
          </w:p>
        </w:tc>
        <w:tc>
          <w:tcPr>
            <w:tcW w:w="3000" w:type="dxa"/>
            <w:vAlign w:val="bottom"/>
          </w:tcPr>
          <w:p>
            <w:pPr>
              <w:ind w:left="2060"/>
              <w:spacing w:after="0"/>
              <w:rPr>
                <w:sz w:val="20"/>
                <w:szCs w:val="20"/>
                <w:color w:val="auto"/>
              </w:rPr>
            </w:pPr>
            <w:r>
              <w:rPr>
                <w:rFonts w:ascii="Arial" w:cs="Arial" w:eastAsia="Arial" w:hAnsi="Arial"/>
                <w:sz w:val="18"/>
                <w:szCs w:val="18"/>
                <w:color w:val="auto"/>
              </w:rPr>
              <w:t>3</w:t>
            </w:r>
          </w:p>
        </w:tc>
        <w:tc>
          <w:tcPr>
            <w:tcW w:w="4720" w:type="dxa"/>
            <w:vAlign w:val="bottom"/>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240"/>
      </w:cols>
      <w:pgMar w:left="320" w:top="58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104"/>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2021-06-08T05:14:49Z</dcterms:created>
  <dcterms:modified xsi:type="dcterms:W3CDTF">2021-06-08T05:14:49Z</dcterms:modified>
</cp:coreProperties>
</file>