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760"/>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67310</wp:posOffset>
            </wp:positionV>
            <wp:extent cx="1165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S-3</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REGISTRATION STATEMENT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67310</wp:posOffset>
            </wp:positionV>
            <wp:extent cx="1165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86" w:lineRule="exact"/>
        <w:rPr>
          <w:sz w:val="24"/>
          <w:szCs w:val="24"/>
          <w:color w:val="auto"/>
        </w:rPr>
      </w:pPr>
    </w:p>
    <w:tbl>
      <w:tblPr>
        <w:tblLayout w:type="fixed"/>
        <w:tblInd w:w="780" w:type="dxa"/>
        <w:tblCellMar>
          <w:top w:w="0" w:type="dxa"/>
          <w:left w:w="0" w:type="dxa"/>
          <w:bottom w:w="0" w:type="dxa"/>
          <w:right w:w="0" w:type="dxa"/>
        </w:tblCellMar>
      </w:tblPr>
      <w:tr>
        <w:trPr>
          <w:trHeight w:val="202"/>
        </w:trPr>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840" w:type="dxa"/>
            <w:vAlign w:val="bottom"/>
            <w:tcBorders>
              <w:top w:val="single" w:sz="8" w:color="auto"/>
            </w:tcBorders>
          </w:tcPr>
          <w:p>
            <w:pPr>
              <w:spacing w:after="0"/>
              <w:rPr>
                <w:sz w:val="17"/>
                <w:szCs w:val="17"/>
                <w:color w:val="auto"/>
              </w:rPr>
            </w:pPr>
          </w:p>
        </w:tc>
        <w:tc>
          <w:tcPr>
            <w:tcW w:w="3280" w:type="dxa"/>
            <w:vAlign w:val="bottom"/>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45-4241907</w:t>
            </w:r>
          </w:p>
        </w:tc>
      </w:tr>
      <w:tr>
        <w:trPr>
          <w:trHeight w:val="210"/>
        </w:trPr>
        <w:tc>
          <w:tcPr>
            <w:tcW w:w="5760" w:type="dxa"/>
            <w:vAlign w:val="bottom"/>
            <w:gridSpan w:val="2"/>
          </w:tcPr>
          <w:p>
            <w:pPr>
              <w:jc w:val="center"/>
              <w:ind w:right="180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280" w:type="dxa"/>
            <w:vAlign w:val="bottom"/>
          </w:tcPr>
          <w:p>
            <w:pPr>
              <w:jc w:val="center"/>
              <w:ind w:left="559"/>
              <w:spacing w:after="0"/>
              <w:rPr>
                <w:sz w:val="20"/>
                <w:szCs w:val="20"/>
                <w:color w:val="auto"/>
              </w:rPr>
            </w:pPr>
            <w:r>
              <w:rPr>
                <w:rFonts w:ascii="Times New Roman" w:cs="Times New Roman" w:eastAsia="Times New Roman" w:hAnsi="Times New Roman"/>
                <w:sz w:val="16"/>
                <w:szCs w:val="16"/>
                <w:color w:val="auto"/>
              </w:rPr>
              <w:t>(I.R.S. Employer 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63500</wp:posOffset>
            </wp:positionV>
            <wp:extent cx="1165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22 Cortlandt Street</w:t>
      </w:r>
    </w:p>
    <w:p>
      <w:pPr>
        <w:jc w:val="center"/>
        <w:spacing w:after="0" w:line="186" w:lineRule="auto"/>
        <w:rPr>
          <w:sz w:val="20"/>
          <w:szCs w:val="20"/>
          <w:color w:val="auto"/>
        </w:rPr>
      </w:pPr>
      <w:r>
        <w:rPr>
          <w:rFonts w:ascii="Times New Roman" w:cs="Times New Roman" w:eastAsia="Times New Roman" w:hAnsi="Times New Roman"/>
          <w:sz w:val="16"/>
          <w:szCs w:val="16"/>
          <w:b w:val="1"/>
          <w:bCs w:val="1"/>
          <w:color w:val="auto"/>
        </w:rPr>
        <w:t>16</w:t>
      </w:r>
      <w:r>
        <w:rPr>
          <w:rFonts w:ascii="Times New Roman" w:cs="Times New Roman" w:eastAsia="Times New Roman" w:hAnsi="Times New Roman"/>
          <w:sz w:val="27"/>
          <w:szCs w:val="27"/>
          <w:b w:val="1"/>
          <w:bCs w:val="1"/>
          <w:color w:val="auto"/>
          <w:vertAlign w:val="superscript"/>
        </w:rPr>
        <w:t>th</w:t>
      </w:r>
      <w:r>
        <w:rPr>
          <w:rFonts w:ascii="Times New Roman" w:cs="Times New Roman" w:eastAsia="Times New Roman" w:hAnsi="Times New Roman"/>
          <w:sz w:val="16"/>
          <w:szCs w:val="16"/>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6"/>
          <w:szCs w:val="16"/>
          <w:b w:val="1"/>
          <w:bCs w:val="1"/>
          <w:color w:val="auto"/>
        </w:rPr>
        <w:t>New York, NY 10007</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(212) 332-3241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75565</wp:posOffset>
            </wp:positionV>
            <wp:extent cx="1165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Herriot Tabuteau, M.D.</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22 Cortlandt Street</w:t>
      </w:r>
    </w:p>
    <w:p>
      <w:pPr>
        <w:jc w:val="center"/>
        <w:spacing w:after="0" w:line="185" w:lineRule="auto"/>
        <w:rPr>
          <w:sz w:val="20"/>
          <w:szCs w:val="20"/>
          <w:color w:val="auto"/>
        </w:rPr>
      </w:pPr>
      <w:r>
        <w:rPr>
          <w:rFonts w:ascii="Times New Roman" w:cs="Times New Roman" w:eastAsia="Times New Roman" w:hAnsi="Times New Roman"/>
          <w:sz w:val="16"/>
          <w:szCs w:val="16"/>
          <w:b w:val="1"/>
          <w:bCs w:val="1"/>
          <w:color w:val="auto"/>
        </w:rPr>
        <w:t>16</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6"/>
          <w:szCs w:val="16"/>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New York, NY 10007</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(212) 332-3241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Address, Including Zip Code, and Telephone Number, Including Area Code, of Agent for Service)</w:t>
      </w:r>
    </w:p>
    <w:p>
      <w:pPr>
        <w:spacing w:after="0" w:line="99" w:lineRule="exact"/>
        <w:rPr>
          <w:sz w:val="24"/>
          <w:szCs w:val="24"/>
          <w:color w:val="auto"/>
        </w:rPr>
      </w:pPr>
    </w:p>
    <w:tbl>
      <w:tblPr>
        <w:tblLayout w:type="fixed"/>
        <w:tblInd w:w="2280" w:type="dxa"/>
        <w:tblCellMar>
          <w:top w:w="0" w:type="dxa"/>
          <w:left w:w="0" w:type="dxa"/>
          <w:bottom w:w="0" w:type="dxa"/>
          <w:right w:w="0" w:type="dxa"/>
        </w:tblCellMar>
      </w:tblPr>
      <w:tr>
        <w:trPr>
          <w:trHeight w:val="226"/>
        </w:trPr>
        <w:tc>
          <w:tcPr>
            <w:tcW w:w="24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Copies to:</w:t>
            </w:r>
          </w:p>
        </w:tc>
        <w:tc>
          <w:tcPr>
            <w:tcW w:w="2900" w:type="dxa"/>
            <w:vAlign w:val="bottom"/>
          </w:tcPr>
          <w:p>
            <w:pPr>
              <w:spacing w:after="0"/>
              <w:rPr>
                <w:sz w:val="19"/>
                <w:szCs w:val="19"/>
                <w:color w:val="auto"/>
              </w:rPr>
            </w:pPr>
          </w:p>
        </w:tc>
      </w:tr>
      <w:tr>
        <w:trPr>
          <w:trHeight w:val="316"/>
        </w:trPr>
        <w:tc>
          <w:tcPr>
            <w:tcW w:w="2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Emilio Ragosa</w:t>
            </w:r>
          </w:p>
        </w:tc>
        <w:tc>
          <w:tcPr>
            <w:tcW w:w="1540" w:type="dxa"/>
            <w:vAlign w:val="bottom"/>
          </w:tcPr>
          <w:p>
            <w:pPr>
              <w:spacing w:after="0"/>
              <w:rPr>
                <w:sz w:val="24"/>
                <w:szCs w:val="24"/>
                <w:color w:val="auto"/>
              </w:rPr>
            </w:pPr>
          </w:p>
        </w:tc>
        <w:tc>
          <w:tcPr>
            <w:tcW w:w="290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Hunter Murdock</w:t>
            </w:r>
          </w:p>
        </w:tc>
      </w:tr>
      <w:tr>
        <w:trPr>
          <w:trHeight w:val="148"/>
        </w:trPr>
        <w:tc>
          <w:tcPr>
            <w:tcW w:w="27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DLA Piper LLP (US)</w:t>
            </w:r>
          </w:p>
        </w:tc>
        <w:tc>
          <w:tcPr>
            <w:tcW w:w="1540" w:type="dxa"/>
            <w:vAlign w:val="bottom"/>
          </w:tcPr>
          <w:p>
            <w:pPr>
              <w:spacing w:after="0"/>
              <w:rPr>
                <w:sz w:val="12"/>
                <w:szCs w:val="12"/>
                <w:color w:val="auto"/>
              </w:rPr>
            </w:pPr>
          </w:p>
        </w:tc>
        <w:tc>
          <w:tcPr>
            <w:tcW w:w="2900" w:type="dxa"/>
            <w:vAlign w:val="bottom"/>
          </w:tcPr>
          <w:p>
            <w:pPr>
              <w:jc w:val="center"/>
              <w:ind w:left="948"/>
              <w:spacing w:after="0" w:line="149" w:lineRule="exact"/>
              <w:rPr>
                <w:sz w:val="20"/>
                <w:szCs w:val="20"/>
                <w:color w:val="auto"/>
              </w:rPr>
            </w:pPr>
            <w:r>
              <w:rPr>
                <w:rFonts w:ascii="Times New Roman" w:cs="Times New Roman" w:eastAsia="Times New Roman" w:hAnsi="Times New Roman"/>
                <w:sz w:val="14"/>
                <w:szCs w:val="14"/>
                <w:b w:val="1"/>
                <w:bCs w:val="1"/>
                <w:color w:val="auto"/>
              </w:rPr>
              <w:t>General Counsel</w:t>
            </w:r>
          </w:p>
        </w:tc>
      </w:tr>
      <w:tr>
        <w:trPr>
          <w:trHeight w:val="148"/>
        </w:trPr>
        <w:tc>
          <w:tcPr>
            <w:tcW w:w="27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51 John F. Kennedy Parkway, Suite 120</w:t>
            </w:r>
          </w:p>
        </w:tc>
        <w:tc>
          <w:tcPr>
            <w:tcW w:w="1540" w:type="dxa"/>
            <w:vAlign w:val="bottom"/>
          </w:tcPr>
          <w:p>
            <w:pPr>
              <w:spacing w:after="0"/>
              <w:rPr>
                <w:sz w:val="12"/>
                <w:szCs w:val="12"/>
                <w:color w:val="auto"/>
              </w:rPr>
            </w:pPr>
          </w:p>
        </w:tc>
        <w:tc>
          <w:tcPr>
            <w:tcW w:w="2900" w:type="dxa"/>
            <w:vAlign w:val="bottom"/>
          </w:tcPr>
          <w:p>
            <w:pPr>
              <w:jc w:val="center"/>
              <w:ind w:left="948"/>
              <w:spacing w:after="0" w:line="149" w:lineRule="exact"/>
              <w:rPr>
                <w:sz w:val="20"/>
                <w:szCs w:val="20"/>
                <w:color w:val="auto"/>
              </w:rPr>
            </w:pPr>
            <w:r>
              <w:rPr>
                <w:rFonts w:ascii="Times New Roman" w:cs="Times New Roman" w:eastAsia="Times New Roman" w:hAnsi="Times New Roman"/>
                <w:sz w:val="14"/>
                <w:szCs w:val="14"/>
                <w:b w:val="1"/>
                <w:bCs w:val="1"/>
                <w:color w:val="auto"/>
              </w:rPr>
              <w:t>Axsome Therapeutics, Inc.</w:t>
            </w:r>
          </w:p>
        </w:tc>
      </w:tr>
      <w:tr>
        <w:trPr>
          <w:trHeight w:val="149"/>
        </w:trPr>
        <w:tc>
          <w:tcPr>
            <w:tcW w:w="27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Short Hills, NJ 07078</w:t>
            </w:r>
          </w:p>
        </w:tc>
        <w:tc>
          <w:tcPr>
            <w:tcW w:w="1540" w:type="dxa"/>
            <w:vAlign w:val="bottom"/>
          </w:tcPr>
          <w:p>
            <w:pPr>
              <w:spacing w:after="0"/>
              <w:rPr>
                <w:sz w:val="12"/>
                <w:szCs w:val="12"/>
                <w:color w:val="auto"/>
              </w:rPr>
            </w:pPr>
          </w:p>
        </w:tc>
        <w:tc>
          <w:tcPr>
            <w:tcW w:w="2900" w:type="dxa"/>
            <w:vAlign w:val="bottom"/>
          </w:tcPr>
          <w:p>
            <w:pPr>
              <w:jc w:val="center"/>
              <w:ind w:left="948"/>
              <w:spacing w:after="0" w:line="149" w:lineRule="exact"/>
              <w:rPr>
                <w:sz w:val="20"/>
                <w:szCs w:val="20"/>
                <w:color w:val="auto"/>
              </w:rPr>
            </w:pPr>
            <w:r>
              <w:rPr>
                <w:rFonts w:ascii="Times New Roman" w:cs="Times New Roman" w:eastAsia="Times New Roman" w:hAnsi="Times New Roman"/>
                <w:sz w:val="14"/>
                <w:szCs w:val="14"/>
                <w:b w:val="1"/>
                <w:bCs w:val="1"/>
                <w:color w:val="auto"/>
              </w:rPr>
              <w:t>22 Cortlandt Street, 16</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4"/>
                <w:szCs w:val="14"/>
                <w:b w:val="1"/>
                <w:bCs w:val="1"/>
                <w:color w:val="auto"/>
              </w:rPr>
              <w:t xml:space="preserve"> Floor</w:t>
            </w:r>
          </w:p>
        </w:tc>
      </w:tr>
      <w:tr>
        <w:trPr>
          <w:trHeight w:val="148"/>
        </w:trPr>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(973) 215 2804</w:t>
            </w: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900" w:type="dxa"/>
            <w:vAlign w:val="bottom"/>
          </w:tcPr>
          <w:p>
            <w:pPr>
              <w:jc w:val="center"/>
              <w:ind w:left="948"/>
              <w:spacing w:after="0" w:line="149" w:lineRule="exact"/>
              <w:rPr>
                <w:sz w:val="20"/>
                <w:szCs w:val="20"/>
                <w:color w:val="auto"/>
              </w:rPr>
            </w:pPr>
            <w:r>
              <w:rPr>
                <w:rFonts w:ascii="Times New Roman" w:cs="Times New Roman" w:eastAsia="Times New Roman" w:hAnsi="Times New Roman"/>
                <w:sz w:val="14"/>
                <w:szCs w:val="14"/>
                <w:b w:val="1"/>
                <w:bCs w:val="1"/>
                <w:color w:val="auto"/>
              </w:rPr>
              <w:t>New York, NY 10007</w:t>
            </w:r>
          </w:p>
        </w:tc>
      </w:tr>
      <w:tr>
        <w:trPr>
          <w:trHeight w:val="190"/>
        </w:trPr>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40" w:type="dxa"/>
            <w:vAlign w:val="bottom"/>
            <w:gridSpan w:val="2"/>
          </w:tcPr>
          <w:p>
            <w:pPr>
              <w:jc w:val="center"/>
              <w:ind w:left="2484"/>
              <w:spacing w:after="0"/>
              <w:rPr>
                <w:sz w:val="20"/>
                <w:szCs w:val="20"/>
                <w:color w:val="auto"/>
              </w:rPr>
            </w:pPr>
            <w:r>
              <w:rPr>
                <w:rFonts w:ascii="Times New Roman" w:cs="Times New Roman" w:eastAsia="Times New Roman" w:hAnsi="Times New Roman"/>
                <w:sz w:val="14"/>
                <w:szCs w:val="14"/>
                <w:b w:val="1"/>
                <w:bCs w:val="1"/>
                <w:color w:val="auto"/>
              </w:rPr>
              <w:t>(212) 332-3241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40640</wp:posOffset>
            </wp:positionV>
            <wp:extent cx="1165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this registration statement becomes effective.</w:t>
      </w:r>
    </w:p>
    <w:p>
      <w:pPr>
        <w:spacing w:after="0" w:line="3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92" w:lineRule="exact"/>
        <w:rPr>
          <w:sz w:val="24"/>
          <w:szCs w:val="24"/>
          <w:color w:val="auto"/>
        </w:rPr>
      </w:pPr>
    </w:p>
    <w:p>
      <w:pPr>
        <w:ind w:right="20"/>
        <w:spacing w:after="0" w:line="182"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28"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8"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8"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28" w:lineRule="exact"/>
        <w:rPr>
          <w:sz w:val="24"/>
          <w:szCs w:val="24"/>
          <w:color w:val="auto"/>
        </w:rPr>
      </w:pPr>
    </w:p>
    <w:p>
      <w:pPr>
        <w:spacing w:after="0" w:line="170"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8" w:right="339" w:bottom="1440" w:gutter="0" w:footer="0" w:header="0"/>
        </w:sectPr>
      </w:pPr>
    </w:p>
    <w:p>
      <w:pPr>
        <w:spacing w:after="0" w:line="18" w:lineRule="exact"/>
        <w:rPr>
          <w:sz w:val="24"/>
          <w:szCs w:val="24"/>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9"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65" w:lineRule="exact"/>
        <w:rPr>
          <w:sz w:val="24"/>
          <w:szCs w:val="24"/>
          <w:color w:val="auto"/>
        </w:rPr>
      </w:pPr>
    </w:p>
    <w:p>
      <w:pPr>
        <w:sectPr>
          <w:pgSz w:w="11900" w:h="16838" w:orient="portrait"/>
          <w:cols w:equalWidth="0" w:num="2">
            <w:col w:w="7660" w:space="720"/>
            <w:col w:w="2860"/>
          </w:cols>
          <w:pgMar w:left="320" w:top="448" w:right="339" w:bottom="1440" w:gutter="0" w:footer="0" w:header="0"/>
          <w:type w:val="continuous"/>
        </w:sect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53" w:lineRule="exact"/>
        <w:rPr>
          <w:sz w:val="24"/>
          <w:szCs w:val="24"/>
          <w:color w:val="auto"/>
        </w:rPr>
      </w:pPr>
    </w:p>
    <w:p>
      <w:pPr>
        <w:sectPr>
          <w:pgSz w:w="11900" w:h="16838" w:orient="portrait"/>
          <w:cols w:equalWidth="0" w:num="2">
            <w:col w:w="7660" w:space="720"/>
            <w:col w:w="2860"/>
          </w:cols>
          <w:pgMar w:left="320" w:top="448" w:right="339" w:bottom="1440" w:gutter="0" w:footer="0" w:header="0"/>
          <w:type w:val="continuous"/>
        </w:sect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92075</wp:posOffset>
            </wp:positionV>
            <wp:extent cx="1165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586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705485</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registration statement replaces our prior registration statement which will expire pursuant its terms and does not relate to a new public offering. This registration statement contains two prospectuses:</w:t>
      </w:r>
    </w:p>
    <w:p>
      <w:pPr>
        <w:spacing w:after="0" w:line="162" w:lineRule="exact"/>
        <w:rPr>
          <w:sz w:val="20"/>
          <w:szCs w:val="20"/>
          <w:color w:val="auto"/>
        </w:rPr>
      </w:pPr>
    </w:p>
    <w:p>
      <w:pPr>
        <w:ind w:left="880" w:hanging="440"/>
        <w:spacing w:after="0" w:line="282" w:lineRule="auto"/>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prospectus which covers the offering, issuance and sale by us of the securities identified above from time to time in one or more offerings; and</w:t>
      </w:r>
    </w:p>
    <w:p>
      <w:pPr>
        <w:spacing w:after="0" w:line="161" w:lineRule="exact"/>
        <w:rPr>
          <w:rFonts w:ascii="Times New Roman" w:cs="Times New Roman" w:eastAsia="Times New Roman" w:hAnsi="Times New Roman"/>
          <w:sz w:val="18"/>
          <w:szCs w:val="18"/>
          <w:color w:val="auto"/>
        </w:rPr>
      </w:pPr>
    </w:p>
    <w:p>
      <w:pPr>
        <w:jc w:val="both"/>
        <w:ind w:left="880" w:hanging="440"/>
        <w:spacing w:after="0" w:line="261" w:lineRule="auto"/>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sales agreement prospectus covering the offering, issuance and sale by us of up to a maximum aggregate offering price of $250 million of our common stock that may be issued and sold under our sales agreement with SVB Securities LLC, dated March 1, 2022, and which was previously disclosed in our </w:t>
      </w:r>
      <w:hyperlink r:id="rId15">
        <w:r>
          <w:rPr>
            <w:rFonts w:ascii="Times New Roman" w:cs="Times New Roman" w:eastAsia="Times New Roman" w:hAnsi="Times New Roman"/>
            <w:sz w:val="18"/>
            <w:szCs w:val="18"/>
            <w:u w:val="single" w:color="auto"/>
            <w:color w:val="auto"/>
          </w:rPr>
          <w:t>Current Report on Form 8-K filed with the Securities and Exchange Commission on March 1, 2022</w:t>
        </w:r>
      </w:hyperlink>
      <w:r>
        <w:rPr>
          <w:rFonts w:ascii="Times New Roman" w:cs="Times New Roman" w:eastAsia="Times New Roman" w:hAnsi="Times New Roman"/>
          <w:sz w:val="18"/>
          <w:szCs w:val="18"/>
          <w:color w:val="auto"/>
        </w:rPr>
        <w:t>. This prospectus is not for a new sales agreement but rather replaces the prior prospectus associated with the expired registration statement.</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base prospectus immediately follows this explanatory note. The specific terms of any other securities to be offered pursuant to the base prospectus will be specified in one or more prospectus supplements to the base prospectus. The sales agreement prospectus immediately follows the 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114300</wp:posOffset>
            </wp:positionV>
            <wp:extent cx="1791335" cy="10115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79133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Rights to Purchase Common Stock, Preferred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 Securities or Units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offer and sell from time to time our shares of common stock, shares of preferred stock, warrants, debt securities and rights to purchase common stock, preferred stock, debt securities or units, as well as units that include any of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-305435</wp:posOffset>
            </wp:positionV>
            <wp:extent cx="1165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offer securities pursuant to this prospectus, we will provide a prospectus supplement containing specific terms of the particular offering together with this prospectus. You should read this prospectus and the applicable prospectus supplement carefully before you invest in any securities. The prospectus supplement also may add, update or change information contained in this prospectus. This prospectus may not be used to offer and sell securities unless accompanied by the applicable prospectus supplement.</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“AXSM.” On November 30, 2022, the last reported sale price of our common stock on the Nasdaq Global Market was $72.29.</w:t>
      </w:r>
    </w:p>
    <w:p>
      <w:pPr>
        <w:spacing w:after="0" w:line="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“Risk Factors” on page 3 of this prospectus.</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underwriters or dealers, and also to other purchasers or through agents. The names of any underwriters or agents that are included in a sale of securities to you, and any applicable commissions or discounts, will be stated in an accompanying prospectus supplement. In addition, the underwriters, if any, may over-allot a portion of the securities.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date of this prospectus is December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920" w:type="dxa"/>
            <w:vAlign w:val="bottom"/>
          </w:tcPr>
          <w:p>
            <w:pPr>
              <w:jc w:val="right"/>
              <w:ind w:right="459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92"/>
        </w:trPr>
        <w:tc>
          <w:tcPr>
            <w:tcW w:w="20" w:type="dxa"/>
            <w:vAlign w:val="bottom"/>
          </w:tcPr>
          <w:p>
            <w:pPr>
              <w:spacing w:after="0"/>
              <w:rPr>
                <w:sz w:val="24"/>
                <w:szCs w:val="24"/>
                <w:color w:val="auto"/>
              </w:rPr>
            </w:pPr>
          </w:p>
        </w:tc>
        <w:tc>
          <w:tcPr>
            <w:tcW w:w="43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6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AXSOME THERAPEUTICS, INC</w:t>
            </w:r>
          </w:p>
        </w:tc>
        <w:tc>
          <w:tcPr>
            <w:tcW w:w="6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20" w:type="dxa"/>
            <w:vAlign w:val="bottom"/>
          </w:tcPr>
          <w:p>
            <w:pPr>
              <w:spacing w:after="0"/>
              <w:rPr>
                <w:sz w:val="17"/>
                <w:szCs w:val="17"/>
                <w:color w:val="auto"/>
              </w:rPr>
            </w:pPr>
          </w:p>
        </w:tc>
        <w:tc>
          <w:tcPr>
            <w:tcW w:w="25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800" w:type="dxa"/>
            <w:vAlign w:val="bottom"/>
            <w:gridSpan w:val="6"/>
          </w:tcPr>
          <w:p>
            <w:pPr>
              <w:spacing w:after="0"/>
              <w:rPr>
                <w:sz w:val="17"/>
                <w:szCs w:val="17"/>
                <w:color w:val="auto"/>
              </w:rPr>
            </w:pPr>
          </w:p>
        </w:tc>
        <w:tc>
          <w:tcPr>
            <w:tcW w:w="6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1340" w:type="dxa"/>
            <w:vAlign w:val="bottom"/>
            <w:tcBorders>
              <w:top w:val="single" w:sz="8" w:color="0000EE"/>
            </w:tcBorders>
            <w:gridSpan w:val="8"/>
          </w:tcPr>
          <w:p>
            <w:pPr>
              <w:spacing w:after="0"/>
              <w:rPr>
                <w:sz w:val="17"/>
                <w:szCs w:val="17"/>
                <w:color w:val="auto"/>
              </w:rPr>
            </w:pPr>
          </w:p>
        </w:tc>
        <w:tc>
          <w:tcPr>
            <w:tcW w:w="1400" w:type="dxa"/>
            <w:vAlign w:val="bottom"/>
            <w:gridSpan w:val="4"/>
          </w:tcPr>
          <w:p>
            <w:pPr>
              <w:spacing w:after="0"/>
              <w:rPr>
                <w:sz w:val="17"/>
                <w:szCs w:val="17"/>
                <w:color w:val="auto"/>
              </w:rPr>
            </w:pPr>
          </w:p>
        </w:tc>
        <w:tc>
          <w:tcPr>
            <w:tcW w:w="6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0" w:type="dxa"/>
            <w:vAlign w:val="bottom"/>
          </w:tcPr>
          <w:p>
            <w:pPr>
              <w:spacing w:after="0"/>
              <w:rPr>
                <w:sz w:val="17"/>
                <w:szCs w:val="17"/>
                <w:color w:val="auto"/>
              </w:rPr>
            </w:pPr>
          </w:p>
        </w:tc>
        <w:tc>
          <w:tcPr>
            <w:tcW w:w="28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CAPITAL STOCK</w:t>
            </w:r>
          </w:p>
        </w:tc>
        <w:tc>
          <w:tcPr>
            <w:tcW w:w="1460" w:type="dxa"/>
            <w:vAlign w:val="bottom"/>
            <w:gridSpan w:val="5"/>
          </w:tcPr>
          <w:p>
            <w:pPr>
              <w:spacing w:after="0"/>
              <w:rPr>
                <w:sz w:val="17"/>
                <w:szCs w:val="17"/>
                <w:color w:val="auto"/>
              </w:rPr>
            </w:pPr>
          </w:p>
        </w:tc>
        <w:tc>
          <w:tcPr>
            <w:tcW w:w="6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0" w:type="dxa"/>
            <w:vAlign w:val="bottom"/>
          </w:tcPr>
          <w:p>
            <w:pPr>
              <w:spacing w:after="0"/>
              <w:rPr>
                <w:sz w:val="17"/>
                <w:szCs w:val="17"/>
                <w:color w:val="auto"/>
              </w:rPr>
            </w:pPr>
          </w:p>
        </w:tc>
        <w:tc>
          <w:tcPr>
            <w:tcW w:w="24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1840" w:type="dxa"/>
            <w:vAlign w:val="bottom"/>
            <w:gridSpan w:val="7"/>
          </w:tcPr>
          <w:p>
            <w:pPr>
              <w:spacing w:after="0"/>
              <w:rPr>
                <w:sz w:val="17"/>
                <w:szCs w:val="17"/>
                <w:color w:val="auto"/>
              </w:rPr>
            </w:pPr>
          </w:p>
        </w:tc>
        <w:tc>
          <w:tcPr>
            <w:tcW w:w="6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20" w:type="dxa"/>
            <w:vAlign w:val="bottom"/>
          </w:tcPr>
          <w:p>
            <w:pPr>
              <w:spacing w:after="0"/>
              <w:rPr>
                <w:sz w:val="17"/>
                <w:szCs w:val="17"/>
                <w:color w:val="auto"/>
              </w:rPr>
            </w:pPr>
          </w:p>
        </w:tc>
        <w:tc>
          <w:tcPr>
            <w:tcW w:w="30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1300" w:type="dxa"/>
            <w:vAlign w:val="bottom"/>
            <w:gridSpan w:val="3"/>
          </w:tcPr>
          <w:p>
            <w:pPr>
              <w:spacing w:after="0"/>
              <w:rPr>
                <w:sz w:val="17"/>
                <w:szCs w:val="17"/>
                <w:color w:val="auto"/>
              </w:rPr>
            </w:pPr>
          </w:p>
        </w:tc>
        <w:tc>
          <w:tcPr>
            <w:tcW w:w="6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20" w:type="dxa"/>
            <w:vAlign w:val="bottom"/>
          </w:tcPr>
          <w:p>
            <w:pPr>
              <w:spacing w:after="0"/>
              <w:rPr>
                <w:sz w:val="17"/>
                <w:szCs w:val="17"/>
                <w:color w:val="auto"/>
              </w:rPr>
            </w:pPr>
          </w:p>
        </w:tc>
        <w:tc>
          <w:tcPr>
            <w:tcW w:w="21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RIGHTS</w:t>
            </w:r>
          </w:p>
        </w:tc>
        <w:tc>
          <w:tcPr>
            <w:tcW w:w="2180" w:type="dxa"/>
            <w:vAlign w:val="bottom"/>
            <w:gridSpan w:val="9"/>
          </w:tcPr>
          <w:p>
            <w:pPr>
              <w:spacing w:after="0"/>
              <w:rPr>
                <w:sz w:val="17"/>
                <w:szCs w:val="17"/>
                <w:color w:val="auto"/>
              </w:rPr>
            </w:pPr>
          </w:p>
        </w:tc>
        <w:tc>
          <w:tcPr>
            <w:tcW w:w="6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20" w:type="dxa"/>
            <w:vAlign w:val="bottom"/>
          </w:tcPr>
          <w:p>
            <w:pPr>
              <w:spacing w:after="0"/>
              <w:rPr>
                <w:sz w:val="17"/>
                <w:szCs w:val="17"/>
                <w:color w:val="auto"/>
              </w:rPr>
            </w:pPr>
          </w:p>
        </w:tc>
        <w:tc>
          <w:tcPr>
            <w:tcW w:w="20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2300" w:type="dxa"/>
            <w:vAlign w:val="bottom"/>
            <w:gridSpan w:val="11"/>
          </w:tcPr>
          <w:p>
            <w:pPr>
              <w:spacing w:after="0"/>
              <w:rPr>
                <w:sz w:val="17"/>
                <w:szCs w:val="17"/>
                <w:color w:val="auto"/>
              </w:rPr>
            </w:pPr>
          </w:p>
        </w:tc>
        <w:tc>
          <w:tcPr>
            <w:tcW w:w="6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20" w:type="dxa"/>
            <w:vAlign w:val="bottom"/>
          </w:tcPr>
          <w:p>
            <w:pPr>
              <w:spacing w:after="0"/>
              <w:rPr>
                <w:sz w:val="17"/>
                <w:szCs w:val="17"/>
                <w:color w:val="auto"/>
              </w:rPr>
            </w:pPr>
          </w:p>
        </w:tc>
        <w:tc>
          <w:tcPr>
            <w:tcW w:w="43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20" w:type="dxa"/>
            <w:vAlign w:val="bottom"/>
          </w:tcPr>
          <w:p>
            <w:pPr>
              <w:spacing w:after="0"/>
              <w:rPr>
                <w:sz w:val="17"/>
                <w:szCs w:val="17"/>
                <w:color w:val="auto"/>
              </w:rPr>
            </w:pPr>
          </w:p>
        </w:tc>
        <w:tc>
          <w:tcPr>
            <w:tcW w:w="20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280" w:type="dxa"/>
            <w:vAlign w:val="bottom"/>
            <w:gridSpan w:val="10"/>
          </w:tcPr>
          <w:p>
            <w:pPr>
              <w:spacing w:after="0"/>
              <w:rPr>
                <w:sz w:val="17"/>
                <w:szCs w:val="17"/>
                <w:color w:val="auto"/>
              </w:rPr>
            </w:pPr>
          </w:p>
        </w:tc>
        <w:tc>
          <w:tcPr>
            <w:tcW w:w="6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20" w:type="dxa"/>
            <w:vAlign w:val="bottom"/>
          </w:tcPr>
          <w:p>
            <w:pPr>
              <w:spacing w:after="0"/>
              <w:rPr>
                <w:sz w:val="17"/>
                <w:szCs w:val="17"/>
                <w:color w:val="auto"/>
              </w:rPr>
            </w:pPr>
          </w:p>
        </w:tc>
        <w:tc>
          <w:tcPr>
            <w:tcW w:w="144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880" w:type="dxa"/>
            <w:vAlign w:val="bottom"/>
            <w:gridSpan w:val="13"/>
          </w:tcPr>
          <w:p>
            <w:pPr>
              <w:spacing w:after="0"/>
              <w:rPr>
                <w:sz w:val="17"/>
                <w:szCs w:val="17"/>
                <w:color w:val="auto"/>
              </w:rPr>
            </w:pPr>
          </w:p>
        </w:tc>
        <w:tc>
          <w:tcPr>
            <w:tcW w:w="6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20" w:type="dxa"/>
            <w:vAlign w:val="bottom"/>
          </w:tcPr>
          <w:p>
            <w:pPr>
              <w:spacing w:after="0" w:line="20" w:lineRule="exact"/>
              <w:rPr>
                <w:sz w:val="1"/>
                <w:szCs w:val="1"/>
                <w:color w:val="auto"/>
              </w:rPr>
            </w:pPr>
          </w:p>
        </w:tc>
        <w:tc>
          <w:tcPr>
            <w:tcW w:w="3800" w:type="dxa"/>
            <w:vAlign w:val="bottom"/>
            <w:gridSpan w:val="1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6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216"/>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EE"/>
              <w:bottom w:val="single" w:sz="8" w:color="9A9A9A"/>
            </w:tcBorders>
          </w:tcPr>
          <w:p>
            <w:pPr>
              <w:spacing w:after="0"/>
              <w:rPr>
                <w:sz w:val="24"/>
                <w:szCs w:val="24"/>
                <w:color w:val="auto"/>
              </w:rPr>
            </w:pPr>
          </w:p>
        </w:tc>
        <w:tc>
          <w:tcPr>
            <w:tcW w:w="48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4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3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78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S-3 that we filed with the Securities and Exchange Commission, or the SEC, as a “well-known seasoned issuer” as defined in Rule 405 under the Securities Act of 1933, as amended, or the Securities Act. Under this shelf registration process, we may offer and sell from time to time any combination of the securities described in this prospectus in one or more offerings in amounts, at prices and on terms that we determine at the time of the offering. This prospectus provides you with a general description of the securities we may offer. Each time we offer securities under this registration statement we will provide a prospectus supplement that describes the terms of the relevant offering.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“Information Incorporated by Reference.”</w:t>
      </w:r>
    </w:p>
    <w:p>
      <w:pPr>
        <w:spacing w:after="0" w:line="23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registration statement that contains this prospectus, including the exhibits to the registration statement and the information incorporated by reference, provides additional information about us and our securities. That registration statement can be read at the SEC website (www.sec.gov), as discussed below under the heading “Where You Can Find More Information.”</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provided in the registration statement, this prospectus and in any prospectus supplement, including the information incorporated by reference. We have not authorized anyone to provide you with different information. You should not assume that the information in this prospectus or any supplement to this prospectus is accurate at any date other than the date indicated on the cover page of these documents or the filing date of any document incorporated by reference, regardless of its time of delivery. We are not making an offer to sell the securities in any jurisdiction where the offer or sale is not permitted.</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sell our securities to or through underwriters, initial purchasers, dealers or agents, directly to purchasers or through a combination of any of these methods of sale, as designated from time to time. We and our agents reserve the sole right to accept or reject in whole or in part any proposed purchase of our securities. An applicable prospectus supplement, which we will provide each time we offer the securities, will set forth the names of any underwriters, initial purchasers, dealers or agents involved in the sale of our securities, and any related fee, commission or discount arrangements. See “Plan of Distribution.”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“Axsome,” the “Company,” “our,” “us” and “we,” as used in this prospectus, refer to Axsome Therapeutics, Inc., unless we state otherwise or the context indicates otherwise.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229" w:lineRule="exact"/>
        <w:rPr>
          <w:sz w:val="20"/>
          <w:szCs w:val="20"/>
          <w:color w:val="auto"/>
        </w:rPr>
      </w:pPr>
    </w:p>
    <w:p>
      <w:pPr>
        <w:jc w:val="both"/>
        <w:ind w:firstLine="864"/>
        <w:spacing w:after="0" w:line="261" w:lineRule="auto"/>
        <w:rPr>
          <w:sz w:val="20"/>
          <w:szCs w:val="20"/>
          <w:color w:val="auto"/>
        </w:rPr>
      </w:pPr>
      <w:r>
        <w:rPr>
          <w:rFonts w:ascii="Times New Roman" w:cs="Times New Roman" w:eastAsia="Times New Roman" w:hAnsi="Times New Roman"/>
          <w:sz w:val="18"/>
          <w:szCs w:val="18"/>
          <w:color w:val="auto"/>
        </w:rPr>
        <w:t>We are a commercial-stage biopharmaceutical company developing and delivering novel therapies for central nervous system (“CNS”) conditions that have limited treatment options. By focusing on this therapeutic area, we are addressing significant and growing markets where current treatment options are limited or inadequate. We were incorporated on January 12, 2012 in the State of Delaware. Our portfolio primarily consists of two commercial products and the development programs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Products</w:t>
      </w:r>
    </w:p>
    <w:p>
      <w:pPr>
        <w:spacing w:after="0" w:line="225" w:lineRule="exact"/>
        <w:rPr>
          <w:sz w:val="20"/>
          <w:szCs w:val="20"/>
          <w:color w:val="auto"/>
        </w:rPr>
      </w:pPr>
    </w:p>
    <w:p>
      <w:pPr>
        <w:jc w:val="both"/>
        <w:ind w:left="880" w:hanging="440"/>
        <w:spacing w:after="0" w:line="262"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 xml:space="preserve">Auvelity®. </w:t>
      </w:r>
      <w:r>
        <w:rPr>
          <w:rFonts w:ascii="Times New Roman" w:cs="Times New Roman" w:eastAsia="Times New Roman" w:hAnsi="Times New Roman"/>
          <w:sz w:val="18"/>
          <w:szCs w:val="18"/>
          <w:color w:val="auto"/>
        </w:rPr>
        <w:t>Auvelity (dextromethorphan-bupropion) is a novel, oral, N-methyl-D-aspartate (NMDA) receptor antagonist with multimodal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activity indicated for the treatment of major depressive disorder (also known as “MDD”). Auvelity was developed by the Company and approved by the U.S. Food and Drug Administration (the “FDA”) for the treatment of MDD in August 2022. We commenced the commercial sale of Auvelity in the United States in October 2022.</w:t>
      </w:r>
    </w:p>
    <w:p>
      <w:pPr>
        <w:spacing w:after="0" w:line="176" w:lineRule="exact"/>
        <w:rPr>
          <w:rFonts w:ascii="Times New Roman" w:cs="Times New Roman" w:eastAsia="Times New Roman" w:hAnsi="Times New Roman"/>
          <w:sz w:val="16"/>
          <w:szCs w:val="16"/>
          <w:color w:val="auto"/>
        </w:rPr>
      </w:pPr>
    </w:p>
    <w:p>
      <w:pPr>
        <w:jc w:val="both"/>
        <w:ind w:left="880" w:hanging="440"/>
        <w:spacing w:after="0" w:line="257" w:lineRule="auto"/>
        <w:tabs>
          <w:tab w:leader="none" w:pos="88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color w:val="auto"/>
        </w:rPr>
        <w:t>Sunosi®</w:t>
      </w:r>
      <w:r>
        <w:rPr>
          <w:rFonts w:ascii="Times New Roman" w:cs="Times New Roman" w:eastAsia="Times New Roman" w:hAnsi="Times New Roman"/>
          <w:sz w:val="18"/>
          <w:szCs w:val="18"/>
          <w:color w:val="auto"/>
        </w:rPr>
        <w:t>. Sunosi (solriamfetol) is a novel, oral medication indicated to the treatment of excessive daytime sleepiness (also known as “EDS”)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patients with narcolepsy or obstructive sleep apnea. Sunosi was approved for the treatment of EDS in the United States in 2019 and by the European Commission in 2022. We acquired the U.S. rights to Sunosi from Jazz Pharmaceuticals plc (“Jazz”) in May 2022, and worldwide ex-U.S. rights (excluding certain Asian markets) from Jazz in November 2022. We have been commercializing Sunosi since we completed these acquisitions. SK Biopharmaceuticals Co. Ltd. (“SK”) is the originator of Sunosi and retains rights in 12 Asian markets, including China, Korea, and Japan.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Programs</w:t>
      </w:r>
    </w:p>
    <w:p>
      <w:pPr>
        <w:spacing w:after="0" w:line="225" w:lineRule="exact"/>
        <w:rPr>
          <w:sz w:val="20"/>
          <w:szCs w:val="20"/>
          <w:color w:val="auto"/>
        </w:rPr>
      </w:pPr>
    </w:p>
    <w:p>
      <w:pPr>
        <w:jc w:val="both"/>
        <w:ind w:left="880" w:hanging="440"/>
        <w:spacing w:after="0" w:line="254" w:lineRule="auto"/>
        <w:tabs>
          <w:tab w:leader="none" w:pos="8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AXS-05</w:t>
      </w:r>
      <w:r>
        <w:rPr>
          <w:rFonts w:ascii="Times New Roman" w:cs="Times New Roman" w:eastAsia="Times New Roman" w:hAnsi="Times New Roman"/>
          <w:sz w:val="18"/>
          <w:szCs w:val="18"/>
          <w:color w:val="auto"/>
        </w:rPr>
        <w:t>. When used in programs for further development, we refer to the proprietary dextromethorphan-bupropion formulation contained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Auvelity as “AXS-05.” AXS-05 is a novel, oral, investigational NMDA receptor antagonist with multimodal activity under development for the treatment of Alzheimer’s disease agitation (“AD agitation”) and smoking cessation. AXS-05 utilizes a proprietary formulation and dose of dextromethorphan and bupropion, and Axsome’s metabolic inhibition technology, to modulate the delivery of the components. We have completed a Phase 2/3 trial of AXS-05 in AD agitation, which we refer to as the ADVANCE-1 trial. AXS-05 achieved the primary endpoint in the ADVANCE-1 trial. We have also completed the ACCORD trial, a Phase 3, double blind, placebo-controlled, randomized withdrawal trial in patients with AD agitation, and we are conducting an open-label long-term safety study in AD agitation. We have recently commenced the ADVANCE-2 trial, another Phase 3, double blind, placebo-controlled, randomized withdrawal trial in patients with AD agitation. A positive Phase 2 trial for the use of AXS-05 in smoking cessation has been completed under a research collaboration with Duke University.</w:t>
      </w:r>
    </w:p>
    <w:p>
      <w:pPr>
        <w:spacing w:after="0" w:line="188" w:lineRule="exact"/>
        <w:rPr>
          <w:rFonts w:ascii="Times New Roman" w:cs="Times New Roman" w:eastAsia="Times New Roman" w:hAnsi="Times New Roman"/>
          <w:sz w:val="18"/>
          <w:szCs w:val="18"/>
          <w:b w:val="1"/>
          <w:bCs w:val="1"/>
          <w:color w:val="auto"/>
        </w:rPr>
      </w:pPr>
    </w:p>
    <w:p>
      <w:pPr>
        <w:jc w:val="both"/>
        <w:ind w:left="880" w:hanging="440"/>
        <w:spacing w:after="0" w:line="255" w:lineRule="auto"/>
        <w:tabs>
          <w:tab w:leader="none" w:pos="8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AXS-07</w:t>
      </w:r>
      <w:r>
        <w:rPr>
          <w:rFonts w:ascii="Times New Roman" w:cs="Times New Roman" w:eastAsia="Times New Roman" w:hAnsi="Times New Roman"/>
          <w:sz w:val="18"/>
          <w:szCs w:val="18"/>
          <w:color w:val="auto"/>
        </w:rPr>
        <w:t>. AXS-07 is a novel, oral, rapidly absorbed, multi-mechanistic, investigational medicine under development for the acute treatment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migraine. AXS-07 consists of MoSEIC™, or Molecular Solubility Enhanced Inclusion Complex, meloxicam and rizatriptan. We have completed two Phase 3 trials of AXS-07 for the acute treatment of migraine, which we refer to as the MOMENTUM and INTERCEPT trials. AXS-07 achieved the co-primary endpoints in both the MOMENTUM and INTERCEPT trials. An open-label, long-term, safety study of AXS-07 in patients with migraine known as the MOVEMENT trial has also been completed. In the MOVEMENT trial, administration of AXS-07 resulted in rapid, and substantial relief of migraine pain and associated symptoms and was well tolerated with long term dosing. We submitted an NDA for AXS-07 in 2021, which was accepted, and received a complete response letter (“CRL”) from the FDA in April 2022. The principal reasons given in the CRL relate to chemistry, manufacturing, and controls (“CMC”) considerations.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jc w:val="both"/>
        <w:ind w:left="880" w:hanging="440"/>
        <w:spacing w:after="0" w:line="259" w:lineRule="auto"/>
        <w:tabs>
          <w:tab w:leader="none" w:pos="8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AXS-12</w:t>
      </w:r>
      <w:r>
        <w:rPr>
          <w:rFonts w:ascii="Times New Roman" w:cs="Times New Roman" w:eastAsia="Times New Roman" w:hAnsi="Times New Roman"/>
          <w:sz w:val="18"/>
          <w:szCs w:val="18"/>
          <w:color w:val="auto"/>
        </w:rPr>
        <w:t>. AXS-12, reboxetine, is a novel, oral, investigational medicine in development for the treatment of narcolepsy. AXS-12 is a highly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selective and potent norepinephrine reuptake inhibitor. AXS-12 has been granted FDA Orphan Drug Designation for the treatment of narcolepsy. We have completed a Phase 2 trial with AXS-12, which we refer to as the CONCERT study. A randomized, placebo-controlled Phase 3 trial with AXS-12 in narcolepsy was initiated in the third quarter of 2021, which we refer to as the SYMPHONY study, and one open-label long-term safety extension study was also initiated.</w:t>
      </w:r>
    </w:p>
    <w:p>
      <w:pPr>
        <w:spacing w:after="0" w:line="138" w:lineRule="exact"/>
        <w:rPr>
          <w:rFonts w:ascii="Times New Roman" w:cs="Times New Roman" w:eastAsia="Times New Roman" w:hAnsi="Times New Roman"/>
          <w:sz w:val="18"/>
          <w:szCs w:val="18"/>
          <w:b w:val="1"/>
          <w:bCs w:val="1"/>
          <w:color w:val="auto"/>
        </w:rPr>
      </w:pPr>
    </w:p>
    <w:p>
      <w:pPr>
        <w:jc w:val="both"/>
        <w:ind w:left="880" w:hanging="440"/>
        <w:spacing w:after="0" w:line="262" w:lineRule="auto"/>
        <w:tabs>
          <w:tab w:leader="none" w:pos="8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AXS-14</w:t>
      </w:r>
      <w:r>
        <w:rPr>
          <w:rFonts w:ascii="Times New Roman" w:cs="Times New Roman" w:eastAsia="Times New Roman" w:hAnsi="Times New Roman"/>
          <w:sz w:val="18"/>
          <w:szCs w:val="18"/>
          <w:color w:val="auto"/>
        </w:rPr>
        <w:t>. AXS-14, esreboxetine, is a novel, oral, investigational medicine in development for the treatment of fibromyalgia. AXS-14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highly selective and potent norepinephrine reuptake inhibitor. Esreboxetine, the SS-enantiomer of reboxetine, is more potent and selective than racemic reboxetine. We have in-licensed data from Pfizer which includes a completed Phase 2 trial and Phase 3 trial in fibromyalgia, both of which were positive.</w:t>
      </w:r>
    </w:p>
    <w:p>
      <w:pPr>
        <w:spacing w:after="0" w:line="176" w:lineRule="exact"/>
        <w:rPr>
          <w:rFonts w:ascii="Times New Roman" w:cs="Times New Roman" w:eastAsia="Times New Roman" w:hAnsi="Times New Roman"/>
          <w:sz w:val="18"/>
          <w:szCs w:val="18"/>
          <w:b w:val="1"/>
          <w:bCs w:val="1"/>
          <w:color w:val="auto"/>
        </w:rPr>
      </w:pPr>
    </w:p>
    <w:p>
      <w:pPr>
        <w:ind w:left="880" w:hanging="440"/>
        <w:spacing w:after="0" w:line="286" w:lineRule="auto"/>
        <w:tabs>
          <w:tab w:leader="none" w:pos="8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Solriamfetol</w:t>
      </w:r>
      <w:r>
        <w:rPr>
          <w:rFonts w:ascii="Times New Roman" w:cs="Times New Roman" w:eastAsia="Times New Roman" w:hAnsi="Times New Roman"/>
          <w:sz w:val="18"/>
          <w:szCs w:val="18"/>
          <w:color w:val="auto"/>
        </w:rPr>
        <w:t>. Solriamfetol is the active ingredient in our Sunosi product. It is an oral, dual-acting dopamine and norepinephrine reuptake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inhibitor. We recently announced our intent to conduct a Phase 3 trial of solriamfetol in adults with attention-deficit/hyperactivity disorder.</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22 Cortlandt Street, 16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New York 10007, and our telephone number is (212) 332-3241. Our website address is www.axsome.com. The information contained on our website is not incorporated by reference into this prospectus, and you should not consider any information contained on, or that can be accessed through, our website as part of this prospectus or in deciding whether to purchase our securities.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filings with the SEC are posted on our website at www.axsome.com. The information found on our website is not part of this or any other report we file with or furnish to the SEC.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risk. You should carefully consider the specific risks discussed or incorporated by reference into the applicable prospectus supplement, together with all the other information contained in the prospectus supplement or incorporated by reference into this prospectus and the applicable prospectus supplement. You should also consider the risks, uncertainties and assumptions discussed under the caption “Risk Factors” included in our Annual Report on Form 10-K for the year ended December 31, 2021 and in subsequent filings, which are incorporated by reference into this prospectus. These risk factors may be amended, supplemented or superseded from time to time by other reports we file with the SEC in the future or by a prospectus supplement relating to a particular offering of our securities.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prospectus supplement or any additional risks and uncertainties actually occur, our business, financial condition and results of operations could be materially and adversely affected. In that case, the trading price of our securities could decline and you might lose all or part of your investment.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in reports filed with the Securities and Exchange Commission (including this registration statement), in press releases and in other communications to stockholders or the investment community, we may provide forward-looking statements concerning possible or anticipated future results of operations or business developments. These statements are based on our management’s current expectations or predictions of future conditions, events or results based on various assumptions and our management’s estimates of trends and economic factors in the markets in which we are active, as well as our business plans. Words such as “expects,” “anticipates,” “intends,” “plans,” “believes,” “seeks,” “estimates,” “projects,” “forecasts,” “may,” “should,” and variations of such words and similar expressions are intended to identify such forward-looking statements. The forward-looking statements may include, without limitation, statements regarding product candidate development, product candidate potential, regulatory environment, sales and marketing strategies, capital resources or operating performance. The forward-looking statements are subject to risks and uncertainties, which may cause results to differ materially from those set forth in the statements. Forward-looking statements in this registration statement should be evaluated together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jc w:val="both"/>
        <w:spacing w:after="0" w:line="256" w:lineRule="auto"/>
        <w:rPr>
          <w:sz w:val="20"/>
          <w:szCs w:val="20"/>
          <w:color w:val="auto"/>
        </w:rPr>
      </w:pPr>
      <w:r>
        <w:rPr>
          <w:rFonts w:ascii="Times New Roman" w:cs="Times New Roman" w:eastAsia="Times New Roman" w:hAnsi="Times New Roman"/>
          <w:sz w:val="18"/>
          <w:szCs w:val="18"/>
          <w:color w:val="auto"/>
        </w:rPr>
        <w:t>with the many uncertainties that affect our business and our market, particularly those discussed in the “Risk Factors” section of our Annual Report on Form 10-K for the year ended December 31, 2021 and our subsequent filings, which are incorporated by reference into this prospectus, to better understand the risks and uncertainties inherent in our business and underlying any forward-looking statements. Forward-looking statements are not guarantees of future performance, and actual results may differ materially from those projected. The forward-looking statements are representative only as of the date of this prospectus and except as required by law, we assume no responsibility to update any forward-looking statements, whether as a result of new information, future events or otherwise.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been filed as exhibits to the registration statement of which this prospectus is a part completely and with the understanding that our actual future results may be materially different from what we expect. The information contained in this prospectus is accurate only as of the date of this prospectus, regardless of the time of delivery of this prospectus or any issuance or sale of our common shares. Except as required by law, we do not assume any obligation to update any forward-looking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will use the net proceeds from the sale of the securities offered hereby for general corporate purposes, which may include, but are not limited to working capital, capital expenditures, funding the ongoing clinical development of our product candidates, general and administrative expenses, commercializing our products, or other corporate obligations. We may use a portion of the net proceeds to pay off outstanding indebtedness, if any, or acquire or invest in businesses, products and technologies.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description is a general summary of the terms of the shares of common stock or shares of preferred stock that we may issue. The description below and in any prospectus supplement does not include all of the terms of the shares of common stock or shares of preferred stock and should be read together with our Amended and Restated Certificate of Incorporation and Amended and Restated Bylaws, copies of which have been filed previously with the SEC. For more information on how you can obtain copies of our Amended and Restated Certificate of Incorporation and Amended and Restated Bylaws, see “Where You Can Find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the authority to issue 150,000,000 shares of common stock, par value $0.0001 per share. As of September 30, 2022, there were 43,425,707 shares of common stock outstanding. Each share of our common stock has the same relative rights and is identical in all respects to each other share of our common stock. The rights, preferences and privileges of holders of our common stock are subject to the rights, preferences and privileges of the holders of shares of any series of preferred stock that we have issued or may issue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our common stock are entitled to one vote per share on any matter to be voted upon by our stockholders. Our Amended and Restated Certificate of Incorporation does not permit cumulative voting in connection with the election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our common stock are entitled to dividends, if any, as our board of directors may declare from time to time from funds legally available for that purpose, subject to the holders of other classes of stock, if any, at the time outstanding having prior rights as to dividends, if 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any voluntary or involuntary liquidation, dissolution, or winding up of our affairs, the holders of our common stock are entitled to share ratably in all assets remaining after the payment of creditors, subject to any prior liquidation distribution rights of holders of other classes of stock, if any, at the time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Holders of our common stock have no preemptive, conversion, redemption or sinking fund rights. The outstanding shares of our common stock are, and the shares of common stock to be offered hereby when issued will be, validly issued, fully paid and non-assessable.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“AXSM.”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American Stock Transfer &amp; Trust Company,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up to 10,000,000 shares of preferred stock, par value $0.0001 per share, none of which are issued and outstanding as of the date of this prospectus. We may issue, from time to time in one or more series, the terms of which may be determined at the time of issuance by our board of directors, without further action by our stockholders, shares of preferred stock and such shares may include voting rights, preferences as to dividends and liquidation, conversion rights, redemption rights and sinking fund provisions. The shares of each series of preferred stock shall have preferences, limitations and relative rights, including voting rights, identical with those of other shares of the same series and, except to the extent provided in the description of such series, of those of other series of preferred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issuance of any preferred stock could adversely affect the rights of the holders of common stock and, therefore, reduce the value of the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ability of our board of directors to issue preferred stock could discourage, delay or prevent a takeover or change in control.</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description of the terms of a particular series of preferred stock in the applicable prospectus supplement will not be complete. You should refer to the applicable certificate of designation for complete information regarding a series of preferred stock. The prospectus supplement will also contain a description of U.S. federal income tax consequences relating to the preferred stock, if material.</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terms of any particular series of preferred stock will be described in the prospectus supplement relating to that particular series of preferred stock, including, where applicable:</w:t>
      </w:r>
    </w:p>
    <w:p>
      <w:pPr>
        <w:spacing w:after="0" w:line="162" w:lineRule="exact"/>
        <w:rPr>
          <w:sz w:val="20"/>
          <w:szCs w:val="20"/>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designation, stated value and liquidation preference of such preferred stock and the number of shares offered;</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252"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rates (or method of calculation), the date or dates from which dividends shall accrue, and whether such dividends shall be cumulative or noncumulative and, if cumulative, the dates from which dividends shall commence to cumulate;</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sinking fund provisions;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that shares of such series shall be entitled to receive in the event of our liquidation, dissolution or winding-up;</w:t>
      </w:r>
    </w:p>
    <w:p>
      <w:pPr>
        <w:spacing w:after="0" w:line="252"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on which shares of such series shall be convertible or exchangeable for shares of our stock of any other class or classes, or other series of the same class;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shares of such series in addition to those set forth under the caption entitled, “Voting Rights” below;</w:t>
      </w:r>
    </w:p>
    <w:p>
      <w:pPr>
        <w:spacing w:after="0" w:line="252"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as to reissuance or sale of shares of such series redeemed, purchased or otherwise reacquired, or surrendered to us on conversion or exchange;</w:t>
      </w:r>
    </w:p>
    <w:p>
      <w:pPr>
        <w:spacing w:after="0" w:line="16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and restrictions, if any, on the payment of dividends or on the making of other distributions on, or the purchase, redemption or other acquisition by us, of our common stock or of any other class of our stock ranking junior to the shares of such series as to dividends or upon liquidation (including, but not limited to, at such times as there are arrearages in the payment of dividends or sinking fund installments);</w:t>
      </w:r>
    </w:p>
    <w:p>
      <w:pPr>
        <w:spacing w:after="0" w:line="17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and restrictions, if any, on the creation of Company indebtedness, or on the issue of any additional stock ranking on a parity with or prior to the shares of such series as to dividends or upon liquidation; and</w:t>
      </w:r>
    </w:p>
    <w:p>
      <w:pPr>
        <w:spacing w:after="0" w:line="161"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dividend, liquidation, redemption, sinking or retirement fund and other rights, preferences, privileges, limitations and restrictions of such preferred stock.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issue shares of preferred stock under this prospectus and any related prospectus supplement, the shares will be fully paid and non-assessable and will not have, or be subject to, any preemptive or similar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General Corporation Law of Delaware, or the DGCL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any series of preferred stock will be set forth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issuance of preferred stock could decrease the amount of earnings and assets available for distribution to the holders of common stock or could adversely affect the rights and powers, including voting rights, of the holders of common stock. The issuance of preferred stock could have the effect of decreasing the market price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 and Certain Amended and Restated Certificate of Incorporation and Amended and Restated Bylaws Provisions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w:t>
      </w:r>
    </w:p>
    <w:p>
      <w:pPr>
        <w:spacing w:after="0" w:line="94" w:lineRule="exact"/>
        <w:rPr>
          <w:sz w:val="20"/>
          <w:szCs w:val="20"/>
          <w:color w:val="auto"/>
        </w:rPr>
      </w:pPr>
    </w:p>
    <w:p>
      <w:pPr>
        <w:ind w:left="880" w:hanging="440"/>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preferred stock which can be created and issued by the board of directors without prior stockholder approval, with rights senior to those of our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of directors, with each director serving a staggered three-year term;</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our stockholders from filling board vacancies, calling special stockholder meetings or taking action by written consent;</w:t>
      </w:r>
    </w:p>
    <w:p>
      <w:pPr>
        <w:spacing w:after="0" w:line="184"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removal of a director only with cause and by the affirmative vote of the holders of 66 2/3 % or more of the shares then entitled to vote at an election of our directors;</w:t>
      </w:r>
    </w:p>
    <w:p>
      <w:pPr>
        <w:spacing w:after="0" w:line="9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advance written notice of stockholder proposals and director nominations; and</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action instituted against our officers or directors in connection with their service to us to be brought in the state of Delaware.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are subject to the provisions of Section 203 of the DGCL, which may prohibit certain business combinations with stockholders owning 15% or more of our outstanding voting stock. These and other provisions in our Amended and Restated Certificate of Incorporation, Amended and Restated Bylaws and the DGCL could make it more difficult for stockholders or potential acquirors to obtain control of our board of directors or initiate actions that are opposed by our then-current board of directors, including a merger, tender offer or proxy contest involving our company. This provision could have the effect of delaying or preventing a change of control, whether or not it is desired by or beneficial to our stockholders. Any delay or prevention of a change of control transaction or changes in our board of directors could cause the market price of our common stock to decline.</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our Amended and Restated Certificate of Incorporation provides that, unless we consent in writing to the selection of an alternative forum, the Court of Chancery of the State of Delaware shall be the sole and exclusive forum for (1) any derivative action or proceeding brought on behalf of our company, (2) any action asserting a claim of breach of a fiduciary duty owed by any of our directors, officers, employees or agents to our company or our stockholders, (3) any action asserting a claim arising pursuant to any provision of the DGCL, or (4) any action asserting a claim governed by the internal affairs doctrine, in each such case subject to such Court of Chancery having personal jurisdiction over the indispensable parties named as defendants therein.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permitted under the DGCL relating to the liability of directors. The provisions eliminate, to the extent legally permissible, a director’s liability for monetary damages for a breach of fiduciary duty, except in circumstances involving wrongful acts, such as the breach of a director’s duty of loyalty or acts or omissions that involve intentional misconduct or a knowing violation of law. The limitation of liability described above does not alter the liability of our directors and officers under federal securities laws. Furthermore, our Amended and Restated Certificate of Incorporation contains provisions to indemnify our directors and officers to the fullest extent permitted by the DGCL. These provisions do not limit or eliminate our right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or the right of any stockholder of ours to seek non-monetary relief, such as an injunction or rescission in the event of a breach by a director or an officer of his duty of care to us. We believe that these provisions assist us in attracting and retaining qualified individuals to serve as directors.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warrants for the purchase of shares of our common stock, shares of our preferred stock or debt securities.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copy of the forms of the warrant agreement and the warrant certificate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see “Where You Can Find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Warrants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issue of warrants to issue shares of our common stock or shares of our preferred stock will describe the terms of the common share warrants and preferred share warrants, including the following:</w:t>
      </w:r>
    </w:p>
    <w:p>
      <w:pPr>
        <w:spacing w:after="0" w:line="162" w:lineRule="exact"/>
        <w:rPr>
          <w:sz w:val="20"/>
          <w:szCs w:val="20"/>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warrants;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shares of common stock or shares of preferred stock that may be purchased upon exercise of the warrants;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changes or adjustments to the exercise price of the warrants;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that the warrants are issued with and the number of warrants issued with each security;</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securities issued with the warrants will be separately transferable;</w:t>
      </w:r>
    </w:p>
    <w:p>
      <w:pPr>
        <w:spacing w:after="0" w:line="144"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shares of preferred stock that may be purchased upon exercise of a warrant and the price at which the shares may be purchased upon exercise;</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commence and expire;</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United States federal income tax considerations;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warrants, if any;</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call provisions, if any, applicable to the warrants;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 and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we think is important about the warrants.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issue of warrants to issue debt securities will describe the terms of those warrants, including the following:</w:t>
      </w:r>
    </w:p>
    <w:p>
      <w:pPr>
        <w:spacing w:after="0" w:line="162" w:lineRule="exact"/>
        <w:rPr>
          <w:sz w:val="20"/>
          <w:szCs w:val="20"/>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warrants;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debt securities purchasable upon exercise of the warrants;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changes or adjustments to the exercise price of the warrants;</w:t>
      </w:r>
    </w:p>
    <w:p>
      <w:pPr>
        <w:spacing w:after="0" w:line="144"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that the warrants are issued with and the number of warrants issued with each debt security;</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debt securities issued with them will be separately transferable;</w:t>
      </w:r>
    </w:p>
    <w:p>
      <w:pPr>
        <w:spacing w:after="0" w:line="144"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warrant and the price at which the debt securities may be purchased upon exercise;</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44"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represented by the warrant certificates or debt securities that may be issued upon exercise of the warrants will be issued in registered or bearer form;</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relating to book-entry procedures, if any;</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United States federal income tax considerations;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warrants, if any;</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call provisions, if any, applicable to the warrants;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 and</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we think is important about the warrants.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of the warrant to purchase at the exercise price set forth in the applicable prospectus supplement the number of shares of common stock, shares of preferred stock or the principal amount of debt securities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Until a holder exercises the warrants to purchase our shares of common stock, shares of preferred stock or debt securities, the holder will not have any rights as a holder of our shares of common stock, shares of preferred stock or debt securities, as the case may be, by virtue of ownership of warrants.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terms of debt securities we may issue from time to time unless we provide otherwise in the applicable prospectus supplement. Particular terms of any debt securities we offer will be described in the prospectus supplement relating to such debt securities.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any debt securities we issue will be governed by a document called an “indenture,” the form of which is filed as an exhibit to the registration statement of which this prospectus forms a part. We have summarized the general features of the debt securities to be governed by the indenture. The summary is not complete. An indenture is a contract between us and a financial institution acting as trustee on behalf of the holders of the debt securities, and is subject to and governed by the Trust Indenture Act of 1939, as amended. The trustee has two main roles. First, the trustee can enforce holders’ rights against us if we default. There are some limitations on the extent to which the trustee acts on holders’ behalf, described in the second paragraph under “Description of Debt Securities—Events of Default.” Second, the trustee performs certain administrative duties, such as sending interest and principal payments to holders.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this section is a summary, it does not describe every aspect of any debt securities we may issue or the indenture governing any such debt securities. Particular terms of any debt securities we offer will be described in the prospectus supplement relating to such debt securities, and we urge you to read the applicable executed indenture, which will be filed with the SEC at the time of any offering of debt securities, because it, and not this description, will define the rights of holders of such debt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debt securities we may issue, including some or all of the following:</w:t>
      </w:r>
    </w:p>
    <w:p>
      <w:pPr>
        <w:spacing w:after="0" w:line="225" w:lineRule="exact"/>
        <w:rPr>
          <w:sz w:val="20"/>
          <w:szCs w:val="20"/>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144"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 the denominations in which the offered debt securities will be issued and whether the offering may be reopened for additional securities of that series and on what terms;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either fixed or variable) and/or the method of determining such rate or rates of interest, if any;</w:t>
      </w:r>
    </w:p>
    <w:p>
      <w:pPr>
        <w:spacing w:after="0" w:line="144"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144"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interest or premium, if any, on a series of debt securities will be determined with reference to an index, formula or other method and how these amounts will be determined;</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of payment, transfer, conversion and/or exchange of the debt securities;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of default;</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are issuable in certificated form;</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legal defeasance or covenant defeasance;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4" w:name="page15"/>
    <w:bookmarkEnd w:id="14"/>
    <w:p>
      <w:pPr>
        <w:ind w:left="880" w:hanging="440"/>
        <w:spacing w:after="0" w:line="282"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debt securities on any securities exchange;</w:t>
      </w:r>
    </w:p>
    <w:p>
      <w:pPr>
        <w:spacing w:after="0" w:line="144"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including those related to original issue discount, if applicable; and</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w:t>
      </w:r>
    </w:p>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Unless the prospectus supplement states otherwise, principal, interest and premium, if any, will be paid by us in immediately available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 may provide that any debt securities proposed to be sold under this prospectus and the applicable prospectus supplement relating to such debt securities (“offered debt securities”) and any debt securities issuable upon conversion or exchange of other offered securities (“underlying debt securities”) may be issued under the indenture in one or more series.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interest or premium, if any, on, debt securities will include additional amounts if required by the terms of the debt securities.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Debt securities issued under an indenture, when a single trustee is acting for all debt securities issued under the indenture, are called the “indenture securities.” The indenture may also provide that there may be more than one trustee thereunder, each with respect to one or more different series of securities issued thereunder. See “Description of Debt Securities—Resignation of Trustee” below. At a time when two or more trustees are acting under an indenture, each with respect to only certain series, the term “indenture securities” means the one or more series of debt securities with respect to which each respective trustee is acting. In the event that there is more than one trustee under an indenture, the powers and trust obligations of each trustee described in this prospectus will extend only to the one or more series of indenture securities for which it is trustee. If two or more trustees are acting under an indenture, then the indenture securities for which each trustee is acting would be treated as if issued under separate indentures.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refer you to the applicable prospectus supplement relating to any debt securities we may issue from time to time for information with respect to any deletions from, modifications of or additions to the Events of Default or covenants that are described below, including any addition of a covenant or other provision providing event risk or similar protection, that will be applicable with respect to such debt securities.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debt securities are convertible into or exchangeable for other securities, the related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approximately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debt securities of any series will have rights if an Event of Default occurs in respect of the debt securities of such series and is not cured, as described later in this subsection. The term “Event of Default” in respect of the debt securities of any series means any of the following:</w:t>
      </w:r>
    </w:p>
    <w:p>
      <w:pPr>
        <w:spacing w:after="0" w:line="162" w:lineRule="exact"/>
        <w:rPr>
          <w:sz w:val="20"/>
          <w:szCs w:val="20"/>
          <w:color w:val="auto"/>
        </w:rPr>
      </w:pPr>
    </w:p>
    <w:p>
      <w:pPr>
        <w:ind w:left="880" w:hanging="440"/>
        <w:spacing w:after="0"/>
        <w:tabs>
          <w:tab w:leader="none" w:pos="8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do not pay the principal of, or any premium on, a debt security of the series on its due date;</w:t>
      </w:r>
    </w:p>
    <w:p>
      <w:pPr>
        <w:spacing w:after="0" w:line="144"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do not pay interest on a debt security of the series within 30 days of its due date;</w:t>
      </w:r>
    </w:p>
    <w:p>
      <w:pPr>
        <w:spacing w:after="0" w:line="144" w:lineRule="exact"/>
        <w:rPr>
          <w:rFonts w:ascii="Times New Roman" w:cs="Times New Roman" w:eastAsia="Times New Roman" w:hAnsi="Times New Roman"/>
          <w:sz w:val="16"/>
          <w:szCs w:val="16"/>
          <w:color w:val="auto"/>
        </w:rPr>
      </w:pPr>
    </w:p>
    <w:p>
      <w:pPr>
        <w:ind w:left="880" w:right="20" w:hanging="440"/>
        <w:spacing w:after="0" w:line="282" w:lineRule="auto"/>
        <w:tabs>
          <w:tab w:leader="none" w:pos="8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do not deposit any sinking fund payment in respect of debt securities of the series on its due date and we do not cure this default within five days;</w:t>
      </w:r>
    </w:p>
    <w:p>
      <w:pPr>
        <w:spacing w:after="0" w:line="53" w:lineRule="exact"/>
        <w:rPr>
          <w:rFonts w:ascii="Times New Roman" w:cs="Times New Roman" w:eastAsia="Times New Roman" w:hAnsi="Times New Roman"/>
          <w:sz w:val="16"/>
          <w:szCs w:val="16"/>
          <w:color w:val="auto"/>
        </w:rPr>
      </w:pPr>
    </w:p>
    <w:p>
      <w:pPr>
        <w:ind w:left="880" w:hanging="440"/>
        <w:spacing w:after="0" w:line="282" w:lineRule="auto"/>
        <w:tabs>
          <w:tab w:leader="none" w:pos="8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remain in breach of a covenant in respect of debt securities of the series for 90 days after we receive a written notice of default stating we are in breach. The notice must be sent by either the trustee or holders of at least 25% of the principal amount of debt securities of the series;</w:t>
      </w:r>
    </w:p>
    <w:p>
      <w:pPr>
        <w:spacing w:after="0" w:line="53"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file for bankruptcy or certain other events of bankruptcy, insolvency or reorganization occur; and</w:t>
      </w:r>
    </w:p>
    <w:p>
      <w:pPr>
        <w:spacing w:after="0" w:line="144"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any other Event of Default occurs in respect of debt securities of the series described in the prospectus supplement.</w:t>
      </w:r>
    </w:p>
    <w:p>
      <w:pPr>
        <w:spacing w:after="0" w:line="3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Remedies if an Event of Default Occurs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in cases of default, where the trustee has some special duties, the trustee typically is not required to take any action under an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6" w:name="page17"/>
    <w:bookmarkEnd w:id="16"/>
    <w:p>
      <w:pPr>
        <w:spacing w:after="0" w:line="282" w:lineRule="auto"/>
        <w:rPr>
          <w:sz w:val="20"/>
          <w:szCs w:val="20"/>
          <w:color w:val="auto"/>
        </w:rPr>
      </w:pPr>
      <w:r>
        <w:rPr>
          <w:rFonts w:ascii="Times New Roman" w:cs="Times New Roman" w:eastAsia="Times New Roman" w:hAnsi="Times New Roman"/>
          <w:sz w:val="18"/>
          <w:szCs w:val="18"/>
          <w:color w:val="auto"/>
        </w:rPr>
        <w:t>Before a holder is allowed to bypass the trustee and bring its own lawsuit or other formal legal action or take other steps to enforce its rights or protect its interests relating to any debt securities, the following must occur:</w:t>
      </w:r>
    </w:p>
    <w:p>
      <w:pPr>
        <w:spacing w:after="0" w:line="162" w:lineRule="exact"/>
        <w:rPr>
          <w:sz w:val="20"/>
          <w:szCs w:val="20"/>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must give the trustee written notice that an Event of Default has occurred and remains uncured;</w:t>
      </w:r>
    </w:p>
    <w:p>
      <w:pPr>
        <w:spacing w:after="0" w:line="144"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6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must not have taken action for 60 days after receipt of the above notice and offer of indemnity; and</w:t>
      </w:r>
    </w:p>
    <w:p>
      <w:pPr>
        <w:spacing w:after="0" w:line="144"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principal amount of the debt securities must not have given the trustee a direction inconsistent with the above notice during that 60-day period.</w:t>
      </w:r>
    </w:p>
    <w:p>
      <w:pPr>
        <w:spacing w:after="0" w:line="2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a holder is entitled at any time to bring a lawsuit for the payment of money due on its debt securities on or after the due date. Each year, we will furnish to each trustee a written statement of certain of our officers certifying that to their knowledge we are in compliance with the indenture and the debt securities, or else specifying any default.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Waiver of Default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relevant series of debt securities may waive a default for all such series of debt securities. If this happens, the default will be treated as if it had not occurred. No one can waive a payment default on a holder’s debt security, however, without the holder’s approval.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or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terms of an indenture, we may be permitted to consolidate or merge with another entity. We may also be permitted to sell all or substantially all of our assets to another entity. However, typically we may not take any of these actions unless all the following conditions are met:</w:t>
      </w:r>
    </w:p>
    <w:p>
      <w:pPr>
        <w:spacing w:after="0" w:line="162" w:lineRule="exact"/>
        <w:rPr>
          <w:sz w:val="20"/>
          <w:szCs w:val="20"/>
          <w:color w:val="auto"/>
        </w:rPr>
      </w:pPr>
    </w:p>
    <w:p>
      <w:pPr>
        <w:jc w:val="both"/>
        <w:ind w:left="880" w:hanging="440"/>
        <w:spacing w:after="0" w:line="258"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7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we must be the surviving company;</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no Event of Default will exist;</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certain certificates and documents to the trustee; and</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satisfy any other requirements specified in the prospectus supplement relating to a particular series of debt securities.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three types of changes we may make to an indenture and the debt securities issued thereunder.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Approval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First, there are changes that we cannot make to debt securities without specific approval of all of the holders. The following is a list of the types of changes that may require specific approval:</w:t>
      </w:r>
    </w:p>
    <w:p>
      <w:pPr>
        <w:spacing w:after="0" w:line="162" w:lineRule="exact"/>
        <w:rPr>
          <w:sz w:val="20"/>
          <w:szCs w:val="20"/>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rate of interest on a debt security;</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a debt security;</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security following a default;</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a change of control has occurred, reduce any premium payable upon a change of control;</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or currency of payment on a debt security (except as otherwise described in the prospectus or prospectus supplement);</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holders to sue for payment;</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to convert or exchange a debt security in accordance with its terms;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modify or amend the indenture;</w:t>
      </w:r>
    </w:p>
    <w:p>
      <w:pPr>
        <w:spacing w:after="0" w:line="144"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waive compliance with certain provisions of the indenture or to waive certain defaults;</w:t>
      </w:r>
    </w:p>
    <w:p>
      <w:pPr>
        <w:spacing w:after="0" w:line="53"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Not Requiring Approval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including the addition of covenants and guarantees. We also do not need any approval to make any change that affects only debt securities to be issued under the indenture after the change takes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Majority Approval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change to the indenture and the debt securities may require the following approval:</w:t>
      </w:r>
    </w:p>
    <w:p>
      <w:pPr>
        <w:spacing w:after="0" w:line="225" w:lineRule="exact"/>
        <w:rPr>
          <w:sz w:val="20"/>
          <w:szCs w:val="20"/>
          <w:color w:val="auto"/>
        </w:rPr>
      </w:pPr>
    </w:p>
    <w:p>
      <w:pPr>
        <w:ind w:left="880" w:hanging="440"/>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debt securities, it must be approved by the holders of a majority in principal amount of that series; and</w:t>
      </w:r>
    </w:p>
    <w:p>
      <w:pPr>
        <w:spacing w:after="0" w:line="144"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2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all of the series of debt securities issued under an indenture, voting together as one class for this purpose, may waive our compliance obligations with respect to some of our covenants in that indenture. However, we cannot obtain a waiver of a payment default or of any of the matters covered by the bullet points included above under “Description of Debt Securities—Modification or Waiver—Changes Requiring Approval.”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Further Details Concerning Voting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When taking a vote on proposed changes to the indenture and the debt securities, we expect to use the following rules to decide how much principal to attribute to a debt security:</w:t>
      </w:r>
    </w:p>
    <w:p>
      <w:pPr>
        <w:spacing w:after="0" w:line="162" w:lineRule="exact"/>
        <w:rPr>
          <w:sz w:val="20"/>
          <w:szCs w:val="20"/>
          <w:color w:val="auto"/>
        </w:rPr>
      </w:pPr>
    </w:p>
    <w:p>
      <w:pPr>
        <w:ind w:left="880" w:right="20" w:hanging="440"/>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53"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whose principal amount is not known (for example, because it is based on an index), we will use a special rule for that debt security described in the related prospectus supplement; and</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denominated in one or more foreign currencies, we will use the U.S. dollar equivalent.</w:t>
      </w:r>
    </w:p>
    <w:p>
      <w:pPr>
        <w:spacing w:after="0" w:line="3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Debt Securities— Defeasance—Legal Defeasance.”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will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11 months following the record date.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will need to consult their banks or brokers for information on how approval may be granted or denied if we seek to change the indenture or the debt securities or request a waiver.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that the provisions of covenant defeasance and legal defeasance will not be applicable to that series.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Covenant Defeasance</w:t>
      </w:r>
    </w:p>
    <w:p>
      <w:pPr>
        <w:spacing w:after="0" w:line="202" w:lineRule="exact"/>
        <w:rPr>
          <w:sz w:val="20"/>
          <w:szCs w:val="20"/>
          <w:color w:val="auto"/>
        </w:rPr>
      </w:pPr>
    </w:p>
    <w:p>
      <w:pPr>
        <w:jc w:val="both"/>
        <w:ind w:left="880"/>
        <w:spacing w:after="0" w:line="258" w:lineRule="auto"/>
        <w:rPr>
          <w:sz w:val="20"/>
          <w:szCs w:val="20"/>
          <w:color w:val="auto"/>
        </w:rPr>
      </w:pPr>
      <w:r>
        <w:rPr>
          <w:rFonts w:ascii="Times New Roman" w:cs="Times New Roman" w:eastAsia="Times New Roman" w:hAnsi="Times New Roman"/>
          <w:sz w:val="18"/>
          <w:szCs w:val="18"/>
          <w:color w:val="auto"/>
        </w:rPr>
        <w:t>We can make the deposit described below and be released from some of the restrictive covenants in the indenture under which the particular series was issued. This is called “covenant defeasance.” In that event, the holders would lose the protection of those restrictive covenants but would gain the protection of having money and government securities set aside in trust to repay holders’ debt securities. If applicable, a holder also would be released from the subordination provisions described under “Description of Debt Securities—Indenture Provisions— Subordination” below. In order to achieve covenant defeasance, we must do the following:</w:t>
      </w:r>
    </w:p>
    <w:p>
      <w:pPr>
        <w:spacing w:after="0" w:line="183" w:lineRule="exact"/>
        <w:rPr>
          <w:sz w:val="20"/>
          <w:szCs w:val="20"/>
          <w:color w:val="auto"/>
        </w:rPr>
      </w:pPr>
    </w:p>
    <w:p>
      <w:pPr>
        <w:jc w:val="both"/>
        <w:ind w:left="1740" w:hanging="436"/>
        <w:spacing w:after="0" w:line="266" w:lineRule="auto"/>
        <w:tabs>
          <w:tab w:leader="none" w:pos="1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67" w:lineRule="exact"/>
        <w:rPr>
          <w:rFonts w:ascii="Times New Roman" w:cs="Times New Roman" w:eastAsia="Times New Roman" w:hAnsi="Times New Roman"/>
          <w:sz w:val="18"/>
          <w:szCs w:val="18"/>
          <w:color w:val="auto"/>
        </w:rPr>
      </w:pPr>
    </w:p>
    <w:p>
      <w:pPr>
        <w:jc w:val="both"/>
        <w:ind w:left="1740" w:right="20" w:hanging="436"/>
        <w:spacing w:after="0" w:line="266" w:lineRule="auto"/>
        <w:tabs>
          <w:tab w:leader="none" w:pos="1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deliver to the trustee a legal opinion of our counsel confirming that, under current U.S. Federal income tax law, we may make the above deposit without causing the holders to be taxed on the debt securities any differently than if we did not make the deposit and just repaid the debt securities ourselves at maturity; and</w:t>
      </w:r>
    </w:p>
    <w:p>
      <w:pPr>
        <w:spacing w:after="0" w:line="67" w:lineRule="exact"/>
        <w:rPr>
          <w:rFonts w:ascii="Times New Roman" w:cs="Times New Roman" w:eastAsia="Times New Roman" w:hAnsi="Times New Roman"/>
          <w:sz w:val="18"/>
          <w:szCs w:val="18"/>
          <w:color w:val="auto"/>
        </w:rPr>
      </w:pPr>
    </w:p>
    <w:p>
      <w:pPr>
        <w:ind w:left="1740" w:right="20" w:hanging="436"/>
        <w:spacing w:after="0" w:line="282" w:lineRule="auto"/>
        <w:tabs>
          <w:tab w:leader="none" w:pos="1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certain documentation stating that all conditions precedent to covenant defeasance have been complied with.</w:t>
      </w:r>
    </w:p>
    <w:p>
      <w:pPr>
        <w:spacing w:after="0" w:line="270" w:lineRule="exact"/>
        <w:rPr>
          <w:sz w:val="20"/>
          <w:szCs w:val="20"/>
          <w:color w:val="auto"/>
        </w:rPr>
      </w:pPr>
    </w:p>
    <w:p>
      <w:pPr>
        <w:jc w:val="both"/>
        <w:ind w:left="880"/>
        <w:spacing w:after="0" w:line="266" w:lineRule="auto"/>
        <w:rPr>
          <w:sz w:val="20"/>
          <w:szCs w:val="20"/>
          <w:color w:val="auto"/>
        </w:rPr>
      </w:pPr>
      <w:r>
        <w:rPr>
          <w:rFonts w:ascii="Times New Roman" w:cs="Times New Roman" w:eastAsia="Times New Roman" w:hAnsi="Times New Roman"/>
          <w:sz w:val="18"/>
          <w:szCs w:val="18"/>
          <w:color w:val="auto"/>
        </w:rPr>
        <w:t>If we accomplish covenant defeasance, holders can still look to us for repayment of the debt securities if there were a shortfall in the trust deposit or the trustee is prevented from making payment. In fact, if one of the remaining Events of Default occurred (such as our bankruptcy) and the debt securities became immediately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9" w:name="page20"/>
    <w:bookmarkEnd w:id="19"/>
    <w:p>
      <w:pPr>
        <w:jc w:val="both"/>
        <w:ind w:left="880"/>
        <w:spacing w:after="0" w:line="282" w:lineRule="auto"/>
        <w:rPr>
          <w:sz w:val="20"/>
          <w:szCs w:val="20"/>
          <w:color w:val="auto"/>
        </w:rPr>
      </w:pPr>
      <w:r>
        <w:rPr>
          <w:rFonts w:ascii="Times New Roman" w:cs="Times New Roman" w:eastAsia="Times New Roman" w:hAnsi="Times New Roman"/>
          <w:sz w:val="18"/>
          <w:szCs w:val="18"/>
          <w:color w:val="auto"/>
        </w:rPr>
        <w:t>due and payable, there might be a shortfall. Depending on the event causing the default, holders may not be able to obtain payment of the shortfall.</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Legal Defeasance</w:t>
      </w:r>
    </w:p>
    <w:p>
      <w:pPr>
        <w:spacing w:after="0" w:line="229" w:lineRule="exact"/>
        <w:rPr>
          <w:sz w:val="20"/>
          <w:szCs w:val="20"/>
          <w:color w:val="auto"/>
        </w:rPr>
      </w:pPr>
    </w:p>
    <w:p>
      <w:pPr>
        <w:jc w:val="both"/>
        <w:ind w:left="880"/>
        <w:spacing w:after="0" w:line="266" w:lineRule="auto"/>
        <w:rPr>
          <w:sz w:val="20"/>
          <w:szCs w:val="20"/>
          <w:color w:val="auto"/>
        </w:rPr>
      </w:pPr>
      <w:r>
        <w:rPr>
          <w:rFonts w:ascii="Times New Roman" w:cs="Times New Roman" w:eastAsia="Times New Roman" w:hAnsi="Times New Roman"/>
          <w:sz w:val="18"/>
          <w:szCs w:val="18"/>
          <w:color w:val="auto"/>
        </w:rPr>
        <w:t>As described below, we can legally release ourselves from all payment and other obligations on the debt securities of a particular series (called “legal defeasance”), (1) if there is a change in U.S. Federal tax law that allows us to effect the release without causing the holders to be taxed any differently than if the release had not occurred, and (2) if we put in place the following other arrangements for holders to be repaid:</w:t>
      </w:r>
    </w:p>
    <w:p>
      <w:pPr>
        <w:spacing w:after="0" w:line="176" w:lineRule="exact"/>
        <w:rPr>
          <w:sz w:val="20"/>
          <w:szCs w:val="20"/>
          <w:color w:val="auto"/>
        </w:rPr>
      </w:pPr>
    </w:p>
    <w:p>
      <w:pPr>
        <w:jc w:val="both"/>
        <w:ind w:left="1740" w:hanging="436"/>
        <w:spacing w:after="0" w:line="266" w:lineRule="auto"/>
        <w:tabs>
          <w:tab w:leader="none" w:pos="1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56" w:lineRule="auto"/>
        <w:tabs>
          <w:tab w:leader="none" w:pos="1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deliver to the trustee a legal opinion confirming that there has been a change in current U.S. Federal tax law or an Internal Revenue Service ruling that allows us to make the above deposit without causing the holders to be taxed on the debt securities any differently than if we did not make the deposit and just repaid the debt securities ourselves at maturity. Under current U.S. Federal tax law, the deposit and our legal release from the debt securities would be treated as though we paid each holder its share of the cash and notes or bonds at the time the cash and notes or bonds were deposited in trust in exchange for its debt securities and holders would recognize gain or loss on the debt securities at the time of the deposit; and</w:t>
      </w:r>
    </w:p>
    <w:p>
      <w:pPr>
        <w:spacing w:after="0" w:line="79" w:lineRule="exact"/>
        <w:rPr>
          <w:rFonts w:ascii="Times New Roman" w:cs="Times New Roman" w:eastAsia="Times New Roman" w:hAnsi="Times New Roman"/>
          <w:sz w:val="18"/>
          <w:szCs w:val="18"/>
          <w:color w:val="auto"/>
        </w:rPr>
      </w:pPr>
    </w:p>
    <w:p>
      <w:pPr>
        <w:ind w:left="1740" w:right="20" w:hanging="436"/>
        <w:spacing w:after="0" w:line="282" w:lineRule="auto"/>
        <w:tabs>
          <w:tab w:leader="none" w:pos="1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and officers’ certificate stating that all conditions precedent to legal defeasance have been complied with.</w:t>
      </w:r>
    </w:p>
    <w:p>
      <w:pPr>
        <w:spacing w:after="0" w:line="162" w:lineRule="exact"/>
        <w:rPr>
          <w:sz w:val="20"/>
          <w:szCs w:val="20"/>
          <w:color w:val="auto"/>
        </w:rPr>
      </w:pPr>
    </w:p>
    <w:p>
      <w:pPr>
        <w:jc w:val="both"/>
        <w:ind w:left="880"/>
        <w:spacing w:after="0" w:line="261" w:lineRule="auto"/>
        <w:rPr>
          <w:sz w:val="20"/>
          <w:szCs w:val="20"/>
          <w:color w:val="auto"/>
        </w:rPr>
      </w:pPr>
      <w:r>
        <w:rPr>
          <w:rFonts w:ascii="Times New Roman" w:cs="Times New Roman" w:eastAsia="Times New Roman" w:hAnsi="Times New Roman"/>
          <w:sz w:val="18"/>
          <w:szCs w:val="18"/>
          <w:color w:val="auto"/>
        </w:rPr>
        <w:t>If we ever did accomplish legal defeasance, as described above, holders would have to rely solely on the trust deposit for repayment of the debt securities. Holders could not look to us for repayment in the unlikely event of any shortfall. Conversely, the trust deposit would most likely be protected from claims of our lenders and other creditors if we ever became bankrupt or insolvent. If applicable, holders would also be released from the subordination provisions described later under “Description of Debt Securities—Indenture Provisions—Subordination.”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indenture securities provided that a successor trustee is appointed to act with respect to such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Indenture Provisions—Subordination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any distribution of our assets upon our dissolution, winding up, liquidation or reorganization, the payment of the principal of (and premium, if any) and interest on any indenture securities denominated as subordinated debt securities is to be subordinated to the extent provided in the indenture in right of payment to the prior payment in full of all Senior Indebtedness (defined below), but our obligation to holders to make payment of the principal of (and premium, if any) and interest on such subordinated debt securities will not otherwise be affected. In addition, no payment on account of principal (or premium, if any), interest or sinking fund, if any, may be made on such subordinated debt securities at any time unless full payment of all amounts due in respect of the principal (and premium, if any), interest and sinking fund, if any, on Senior Indebtedness has been made or duly provided for in money or money’s worth.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that, notwithstanding the foregoing, any payment from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reason of this subordination, in the event of a distribution of our assets upon our insolvency, certain of our senior creditors may recover more, ratably, than holders of any subordinated debt securities. The related indenture will provide that these subordination provisions will not apply to money and securities held in trust under the defeasance provisions of the indenture.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Indebtedness” will be defined in an applicable indenture as the principal of (and premium, if any) and unpaid interest on:</w:t>
      </w:r>
    </w:p>
    <w:p>
      <w:pPr>
        <w:spacing w:after="0" w:line="225" w:lineRule="exact"/>
        <w:rPr>
          <w:sz w:val="20"/>
          <w:szCs w:val="20"/>
          <w:color w:val="auto"/>
        </w:rPr>
      </w:pPr>
    </w:p>
    <w:p>
      <w:pPr>
        <w:jc w:val="both"/>
        <w:ind w:left="880" w:hanging="440"/>
        <w:spacing w:after="0" w:line="261"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7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and refinancings of any of such indebtedness.</w:t>
      </w:r>
    </w:p>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prospectus supplement accompanying any series of indenture securities denominated as subordinated debt securities will set forth the approximate amount of our Senior Indebtedness outstanding as of a recent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name the indenture trustee for each series of indenture securities in the related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Considerations Relating to Foreign Currencies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rights we may issue from time to time unless we provide otherwise in the applicable prospectus supplement. Particular terms of any rights we offer will be described in the prospectus supplement relating to such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issue rights to purchase common stock, preferred stock, debt securities or units. Rights may be issued independently or together with other securities and may or may not be transferable by the person purchasing or receiving the rights. In connection with any rights offering to our stockholders, we may enter into a standby underwriting, backstop or other arrangement with one or more underwriters or other persons pursuant to which such underwriters or other persons would purchase any offered securities remaining unsubscribed for after such rights offering. In connection with a rights offering to our stockholders, we would distribute certificates evidencing the rights and a prospectus supplement to our stockholders on or about the record date that we set for receiving rights in such rights offering.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applicable prospectus supplement will describe the following terms of any rights we may issue, including some or all of the following:</w:t>
      </w:r>
    </w:p>
    <w:p>
      <w:pPr>
        <w:spacing w:after="0" w:line="225" w:lineRule="exact"/>
        <w:rPr>
          <w:sz w:val="20"/>
          <w:szCs w:val="20"/>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number of the rights;</w:t>
      </w:r>
    </w:p>
    <w:p>
      <w:pPr>
        <w:spacing w:after="0" w:line="144"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price or a formula for the determination of the subscription price for the rights and the currency or currencies in which the subscription price may be payable;</w:t>
      </w:r>
    </w:p>
    <w:p>
      <w:pPr>
        <w:spacing w:after="0" w:line="53"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rights are issued and the number of rights issued with each such security or each principal amount of such security;</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 formula for the determination of the number of the rights issued to each stockholder;</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are transferable;</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rights to purchase debt securities, the principal amount of debt securities purchasable upon exercise of one right;</w:t>
      </w:r>
    </w:p>
    <w:p>
      <w:pPr>
        <w:spacing w:after="0" w:line="144"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rights to purchase common stock or preferred stock, the type of stock and number of shares of stock purchasable upon exercise of one right;</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rights will expire (subject to any extension);</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rights that may be exercised at any one time;</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rights include an over-subscription privilege with respect to unsubscribed securities;</w:t>
      </w:r>
    </w:p>
    <w:p>
      <w:pPr>
        <w:spacing w:after="0" w:line="144"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procedures for adjusting the subscription price and number of shares of common stock or preferred stock purchasable upon the exercise of each right upon the occurrence of certain events, including stock splits, reverse stock splits, combinations, subdivisions or reclassifications of common stock or preferred stock;</w:t>
      </w:r>
    </w:p>
    <w:p>
      <w:pPr>
        <w:spacing w:after="0" w:line="6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the rights of any merger, consolidation, sale or other disposition of our business;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rights;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rights;</w:t>
      </w:r>
    </w:p>
    <w:p>
      <w:pPr>
        <w:spacing w:after="0" w:line="144"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backstop or other purchase arrangement that we may enter into in connection with the rights offering;</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exchange and exercise of the rights.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right will entitle the holder to purchase for cash or other consideration such shares of stock or principal amount of securities at the subscription price as shall in each case be set forth in, or be determinable as set forth in, the prospectus supplement relating to the rights offered thereby. Rights may be exercised as set forth in the applicable prospectus supplement beginning on the date specified therein and continuing until the close of business on the expiration date set forth in the prospectus supplement relating to the rights offered thereby. After the close of business on the expiration date, unexercised rights will become void.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Upon receipt of payment and a subscription certificate properly completed and duly executed at the corporate trust office of the subscription agent or any other office indicated in the prospectus supplement, we will, as soon as practicable, forward the securities purchasable upon such exercise. If less than all of the rights represented by such subscription certificate are exercised, a new subscription certificate will be issued for the remaining rights. If we so indicate in the applicable prospectus supplement, holders of the rights may surrender securities as all or part of the exercise price for rights.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determine to offer any unsubscribed offered securities directly to stockholders, persons other than stockholders, to or through agents, underwriters or dealers or through a combination of such methods, including pursuant to standby underwriting, backstop or other arrangements, as set forth in the applicable prospectus supplement.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exercising their rights, holders of rights will not have any of the rights of holders of the securities purchasable upon subscription, including, in the case of rights to purchase common stock or preferred stock, the right to receive dividends, if any, or payments upon our liquidation, dissolution or winding up or to exercise any voting rights or, in the case of rights to purchase debt securities, the right to receive principal, premium, if any, or interest payments, on the debt securities purchasable upon exercise or to enforce covenants in the applicable indenture.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units comprising one or more securities described in this prospectus in any combination.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“Where You Can Find More Information.”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units will describe the terms of those units, including, to the extent applicable, the following:</w:t>
      </w:r>
    </w:p>
    <w:p>
      <w:pPr>
        <w:spacing w:after="0" w:line="162" w:lineRule="exact"/>
        <w:rPr>
          <w:sz w:val="20"/>
          <w:szCs w:val="20"/>
          <w:color w:val="auto"/>
        </w:rPr>
      </w:pPr>
    </w:p>
    <w:p>
      <w:pPr>
        <w:ind w:left="880" w:hanging="440"/>
        <w:spacing w:after="0" w:line="282"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the issuance, payment, settlement, transfer or exchange of the units or of the securities comprising the units; and</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sell the securities offered by this prospectus in any one or more of the following ways from time to time:</w:t>
      </w:r>
    </w:p>
    <w:p>
      <w:pPr>
        <w:spacing w:after="0" w:line="225" w:lineRule="exact"/>
        <w:rPr>
          <w:sz w:val="20"/>
          <w:szCs w:val="20"/>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one or more underwriters, initial purchasers, brokers or dealers;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to investors or the public;</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or long transactions;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put or call option transactions relating to our common stock;</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agents or other purchasers;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ind w:left="880" w:right="20" w:hanging="440"/>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to or through a market maker or into an existing trading market, on an exchange or otherwise;</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though a combination of any such methods of sale; or</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described in the applicable prospectus supplement.</w:t>
      </w:r>
    </w:p>
    <w:p>
      <w:pPr>
        <w:spacing w:after="0" w:line="3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set forth the terms of the offering and the method of distribution and will identify any firms acting as underwriters, initial purchasers, dealers or agents in connection with the offering, including:</w:t>
      </w:r>
    </w:p>
    <w:p>
      <w:pPr>
        <w:spacing w:after="0" w:line="162" w:lineRule="exact"/>
        <w:rPr>
          <w:sz w:val="20"/>
          <w:szCs w:val="20"/>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dealers or agents;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to us from the sale;</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the underwriters may purchase additional shares of common stock from us;</w:t>
      </w:r>
    </w:p>
    <w:p>
      <w:pPr>
        <w:spacing w:after="0" w:line="144"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concessions, commissions or agency fees and other items constituting compensation to underwriters, dealers or agents;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by underwriters or dealers to other dealers; or</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common stock offered in the prospectus supplement may be listed.</w:t>
      </w:r>
    </w:p>
    <w:p>
      <w:pPr>
        <w:spacing w:after="0" w:line="3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use underwriters for a sale of securities, the underwriters will acquire the securities for their own account for resale to the public, either on a firm commitment basis or a best efforts basis. The underwriters may resell the securities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If an underwriter or underwriters are used in the sale of securities hereunder, an underwriting agreement will be executed with the underwriter or underwriters at the time an agreement for sale is reached. Unless we inform you otherwise in the applicable prospectus supplement, the obligations of the underwriters to purchase the securities will be subject to certain conditions. We may change from time to time any public offering price and any discounts or concessions the underwriters allow or pay to dealers.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If dealers are used for the sale of securities, we, or an underwriter, will sell the securities to them as principals. The dealers may then resell those securities to the public at varying prices determined by the dealers at the time of resale. We will include in the applicable prospectus supplement the names of the dealers and the terms of the transaction.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sell the securities through agents designated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sell the securities directly in transactions not involving underwriters, dealers or agents.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Underwriters, dealers and agents that participate in the distribution of the securities may be underwriters as defined in the applicable securities laws and any discounts or commissions they receive from us and any profit on their resale of the securities may be treated as underwriting discounts and commissions under the applicable securities laws.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applicable securities laws.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Underwriters, dealers and agents may engage in transactions with or perform services for us in the ordinary course of their businesses for which they may receive customary fees and reimbursement of expenses.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use underwriters with whom we have a material relationship. We will describe the nature of such relationship in the applicable prospectus supplement.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securities laws of some states, the securities offered by this prospectus may be sold in those states only through registered or licensed brokers or dealers.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enter into hedging transactions with broker-dealers and the broker-dealers may engage in short sales of the securities in the course of hedging the positions they assume with us, including, without limitation, in connection with distributions of the securities by those broker-dealers. We may enter into option or other transactions with broker-dealers that involve the delivery of the securities offered hereby to the broker-dealers, who may then resell or otherwise transfer those securities. We may also loan or pledge the securities offered hereby to a broker-dealer and the broker-dealer may sell the securities offered hereby so loaned or upon a default may sell or otherwise transfer the pledged securities offered hereby.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securities being offered hereby will be passed upon for us by DLA Piper LLP (US), Short Hills, New Jersey.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fiscal year ended December 31, 2021, and the effectiveness of our internal control over financial reporting as of December 31, 2021, as set forth in their reports, which are incorporated by reference in this prospectus and elsewhere in the registration statement. Our consolidated financial statements are incorporated herein by reference in reliance on Ernst &amp; Young LLP’s report, given on their authority as experts in accounting and auditing.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file annual, quarterly and other reports, proxy and information statements and other information with the Securities and Exchange Commission. The SEC maintains a website that contains reports, proxy statements and other information regarding us. The address of the SEC website is www.sec.gov. We maintain a website at www.axsome.com. Information contained on our website is not incorporated into this prospectus and you should not consider information contained on our website to be part of this prospectus or any prospectus supplement.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contained in documents that we file with them,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before the date of this prospectus, while information that we file later with the SEC will automatically update and supersede prior information. Any information so updated and superseded shall not be deemed, except as so updated and superseded, to constitute a part of this prospectus. We incorporate by reference the documents listed below and any future filings we will make with the SEC under Sections 13(a), 13(c), 14 or 15(d) of the Securities Exchange Act of 1934, as amended, prior to the termination of the offering. Notwithstanding the foregoing, unless specifically stated to the contrary, none of the information that is not deemed “filed” with the SEC, including information furnished under Items 2.02 or 7.01 of any Current Report on Form 8-K, will be incorporated by reference into, or otherwise included in, this prospectus:</w:t>
      </w:r>
    </w:p>
    <w:p>
      <w:pPr>
        <w:spacing w:after="0" w:line="188" w:lineRule="exact"/>
        <w:rPr>
          <w:sz w:val="20"/>
          <w:szCs w:val="20"/>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3">
        <w:r>
          <w:rPr>
            <w:rFonts w:ascii="Times New Roman" w:cs="Times New Roman" w:eastAsia="Times New Roman" w:hAnsi="Times New Roman"/>
            <w:sz w:val="18"/>
            <w:szCs w:val="18"/>
            <w:u w:val="single" w:color="auto"/>
            <w:color w:val="auto"/>
          </w:rPr>
          <w:t>Form 10-K for the fiscal year ended December 31, 2021 filed with the SEC on March 1, 2022</w:t>
        </w:r>
      </w:hyperlink>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28"/>
        </w:numPr>
        <w:rPr>
          <w:rFonts w:ascii="Times New Roman" w:cs="Times New Roman" w:eastAsia="Times New Roman" w:hAnsi="Times New Roman"/>
          <w:sz w:val="18"/>
          <w:szCs w:val="18"/>
          <w:color w:val="auto"/>
        </w:rPr>
      </w:pPr>
      <w:hyperlink r:id="rId44">
        <w:r>
          <w:rPr>
            <w:rFonts w:ascii="Times New Roman" w:cs="Times New Roman" w:eastAsia="Times New Roman" w:hAnsi="Times New Roman"/>
            <w:sz w:val="18"/>
            <w:szCs w:val="18"/>
            <w:u w:val="single" w:color="auto"/>
            <w:color w:val="auto"/>
          </w:rPr>
          <w:t>the information contained in our definitive proxy statement on Schedule 14A for our 2022 annual meeting of stockholders filed with the SEC</w:t>
        </w:r>
      </w:hyperlink>
      <w:r>
        <w:rPr>
          <w:rFonts w:ascii="Times New Roman" w:cs="Times New Roman" w:eastAsia="Times New Roman" w:hAnsi="Times New Roman"/>
          <w:sz w:val="18"/>
          <w:szCs w:val="18"/>
          <w:u w:val="single" w:color="auto"/>
          <w:color w:val="auto"/>
        </w:rPr>
        <w:t xml:space="preserve"> </w:t>
      </w:r>
      <w:hyperlink r:id="rId44">
        <w:r>
          <w:rPr>
            <w:rFonts w:ascii="Times New Roman" w:cs="Times New Roman" w:eastAsia="Times New Roman" w:hAnsi="Times New Roman"/>
            <w:sz w:val="18"/>
            <w:szCs w:val="18"/>
            <w:u w:val="single" w:color="auto"/>
            <w:color w:val="auto"/>
          </w:rPr>
          <w:t>on April 22, 2022, to the extent incorporated by reference in Part III of the Form 10-K for the fiscal year ended December 31, 2021</w:t>
        </w:r>
        <w:r>
          <w:rPr>
            <w:rFonts w:ascii="Times New Roman" w:cs="Times New Roman" w:eastAsia="Times New Roman" w:hAnsi="Times New Roman"/>
            <w:sz w:val="18"/>
            <w:szCs w:val="18"/>
            <w:color w:val="auto"/>
          </w:rPr>
          <w:t>;</w:t>
        </w:r>
      </w:hyperlink>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5">
        <w:r>
          <w:rPr>
            <w:rFonts w:ascii="Times New Roman" w:cs="Times New Roman" w:eastAsia="Times New Roman" w:hAnsi="Times New Roman"/>
            <w:sz w:val="18"/>
            <w:szCs w:val="18"/>
            <w:u w:val="single" w:color="auto"/>
            <w:color w:val="auto"/>
          </w:rPr>
          <w:t>Form 10-Q for the quarter ended March 31, 2022 filed with the SEC on May 2, 2022</w:t>
        </w:r>
      </w:hyperlink>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6">
        <w:r>
          <w:rPr>
            <w:rFonts w:ascii="Times New Roman" w:cs="Times New Roman" w:eastAsia="Times New Roman" w:hAnsi="Times New Roman"/>
            <w:sz w:val="18"/>
            <w:szCs w:val="18"/>
            <w:u w:val="single" w:color="auto"/>
            <w:color w:val="auto"/>
          </w:rPr>
          <w:t>Form 10-Q for the quarter ended June 30, 2022 filed with the SEC on August 9, 2022</w:t>
        </w:r>
      </w:hyperlink>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7">
        <w:r>
          <w:rPr>
            <w:rFonts w:ascii="Times New Roman" w:cs="Times New Roman" w:eastAsia="Times New Roman" w:hAnsi="Times New Roman"/>
            <w:sz w:val="18"/>
            <w:szCs w:val="18"/>
            <w:u w:val="single" w:color="auto"/>
            <w:color w:val="auto"/>
          </w:rPr>
          <w:t>Form 10-Q for the quarter ended September 30, 2022 filed with the SEC on November 7, 2022</w:t>
        </w:r>
      </w:hyperlink>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880" w:hanging="440"/>
        <w:spacing w:after="0" w:line="258" w:lineRule="auto"/>
        <w:tabs>
          <w:tab w:leader="none" w:pos="880" w:val="left"/>
        </w:tabs>
        <w:numPr>
          <w:ilvl w:val="0"/>
          <w:numId w:val="28"/>
        </w:numPr>
        <w:rPr>
          <w:rFonts w:ascii="Times New Roman" w:cs="Times New Roman" w:eastAsia="Times New Roman" w:hAnsi="Times New Roman"/>
          <w:sz w:val="18"/>
          <w:szCs w:val="18"/>
          <w:color w:val="auto"/>
        </w:rPr>
      </w:pPr>
      <w:hyperlink r:id="rId48">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auto"/>
          </w:rPr>
          <w:t>January 18,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February 7,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March 1, 2022 (Film No. 22699556)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March 28,</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auto"/>
          </w:rPr>
          <w:t>2022</w:t>
        </w:r>
        <w:r>
          <w:rPr>
            <w:rFonts w:ascii="Times New Roman" w:cs="Times New Roman" w:eastAsia="Times New Roman" w:hAnsi="Times New Roman"/>
            <w:sz w:val="18"/>
            <w:szCs w:val="18"/>
            <w:color w:val="auto"/>
          </w:rPr>
          <w:t xml:space="preserve">, </w:t>
        </w:r>
      </w:hyperlink>
      <w:hyperlink r:id="rId49">
        <w:r>
          <w:rPr>
            <w:rFonts w:ascii="Times New Roman" w:cs="Times New Roman" w:eastAsia="Times New Roman" w:hAnsi="Times New Roman"/>
            <w:sz w:val="18"/>
            <w:szCs w:val="18"/>
            <w:u w:val="single" w:color="auto"/>
            <w:color w:val="auto"/>
          </w:rPr>
          <w:t>March 31, 2022</w:t>
        </w:r>
      </w:hyperlink>
      <w:hyperlink r:id="rId48">
        <w:r>
          <w:rPr>
            <w:rFonts w:ascii="Times New Roman" w:cs="Times New Roman" w:eastAsia="Times New Roman" w:hAnsi="Times New Roman"/>
            <w:sz w:val="18"/>
            <w:szCs w:val="18"/>
            <w:color w:val="auto"/>
          </w:rPr>
          <w:t xml:space="preserve">, </w:t>
        </w:r>
      </w:hyperlink>
      <w:hyperlink r:id="rId50">
        <w:r>
          <w:rPr>
            <w:rFonts w:ascii="Times New Roman" w:cs="Times New Roman" w:eastAsia="Times New Roman" w:hAnsi="Times New Roman"/>
            <w:sz w:val="18"/>
            <w:szCs w:val="18"/>
            <w:u w:val="single" w:color="auto"/>
            <w:color w:val="auto"/>
          </w:rPr>
          <w:t>April 19, 2022</w:t>
        </w:r>
      </w:hyperlink>
      <w:hyperlink r:id="rId48">
        <w:r>
          <w:rPr>
            <w:rFonts w:ascii="Times New Roman" w:cs="Times New Roman" w:eastAsia="Times New Roman" w:hAnsi="Times New Roman"/>
            <w:sz w:val="18"/>
            <w:szCs w:val="18"/>
            <w:color w:val="auto"/>
          </w:rPr>
          <w:t xml:space="preserve">, </w:t>
        </w:r>
      </w:hyperlink>
      <w:hyperlink r:id="rId51">
        <w:r>
          <w:rPr>
            <w:rFonts w:ascii="Times New Roman" w:cs="Times New Roman" w:eastAsia="Times New Roman" w:hAnsi="Times New Roman"/>
            <w:sz w:val="18"/>
            <w:szCs w:val="18"/>
            <w:u w:val="single" w:color="auto"/>
            <w:color w:val="auto"/>
          </w:rPr>
          <w:t>April 25, 2022</w:t>
        </w:r>
      </w:hyperlink>
      <w:hyperlink r:id="rId48">
        <w:r>
          <w:rPr>
            <w:rFonts w:ascii="Times New Roman" w:cs="Times New Roman" w:eastAsia="Times New Roman" w:hAnsi="Times New Roman"/>
            <w:sz w:val="18"/>
            <w:szCs w:val="18"/>
            <w:color w:val="auto"/>
          </w:rPr>
          <w:t xml:space="preserve">, </w:t>
        </w:r>
      </w:hyperlink>
      <w:hyperlink r:id="rId52">
        <w:r>
          <w:rPr>
            <w:rFonts w:ascii="Times New Roman" w:cs="Times New Roman" w:eastAsia="Times New Roman" w:hAnsi="Times New Roman"/>
            <w:sz w:val="18"/>
            <w:szCs w:val="18"/>
            <w:u w:val="single" w:color="auto"/>
            <w:color w:val="auto"/>
          </w:rPr>
          <w:t xml:space="preserve">May 2, 2022 </w:t>
        </w:r>
      </w:hyperlink>
      <w:hyperlink r:id="rId48">
        <w:r>
          <w:rPr>
            <w:rFonts w:ascii="Times New Roman" w:cs="Times New Roman" w:eastAsia="Times New Roman" w:hAnsi="Times New Roman"/>
            <w:sz w:val="18"/>
            <w:szCs w:val="18"/>
            <w:color w:val="auto"/>
          </w:rPr>
          <w:t xml:space="preserve">(only Item 8.01 and Exhibit 99.2 thereto), </w:t>
        </w:r>
      </w:hyperlink>
      <w:hyperlink r:id="rId53">
        <w:r>
          <w:rPr>
            <w:rFonts w:ascii="Times New Roman" w:cs="Times New Roman" w:eastAsia="Times New Roman" w:hAnsi="Times New Roman"/>
            <w:sz w:val="18"/>
            <w:szCs w:val="18"/>
            <w:u w:val="single" w:color="auto"/>
            <w:color w:val="auto"/>
          </w:rPr>
          <w:t xml:space="preserve">May 9, 2022, </w:t>
        </w:r>
      </w:hyperlink>
      <w:hyperlink r:id="rId54">
        <w:r>
          <w:rPr>
            <w:rFonts w:ascii="Times New Roman" w:cs="Times New Roman" w:eastAsia="Times New Roman" w:hAnsi="Times New Roman"/>
            <w:sz w:val="18"/>
            <w:szCs w:val="18"/>
            <w:u w:val="single" w:color="auto"/>
            <w:color w:val="auto"/>
          </w:rPr>
          <w:t>May 18, 2022</w:t>
        </w:r>
      </w:hyperlink>
      <w:hyperlink r:id="rId48">
        <w:r>
          <w:rPr>
            <w:rFonts w:ascii="Times New Roman" w:cs="Times New Roman" w:eastAsia="Times New Roman" w:hAnsi="Times New Roman"/>
            <w:sz w:val="18"/>
            <w:szCs w:val="18"/>
            <w:color w:val="auto"/>
          </w:rPr>
          <w:t>,</w:t>
        </w:r>
      </w:hyperlink>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u w:val="single" w:color="auto"/>
            <w:color w:val="auto"/>
          </w:rPr>
          <w:t>May 31,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June 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June 2,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June 7,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June 27,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June 28,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July 21,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August 9,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August 19,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August</w:t>
        </w:r>
      </w:hyperlink>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u w:val="single" w:color="auto"/>
            <w:color w:val="auto"/>
          </w:rPr>
          <w:t>22, 2022</w:t>
        </w:r>
        <w:r>
          <w:rPr>
            <w:rFonts w:ascii="Times New Roman" w:cs="Times New Roman" w:eastAsia="Times New Roman" w:hAnsi="Times New Roman"/>
            <w:sz w:val="18"/>
            <w:szCs w:val="18"/>
            <w:color w:val="auto"/>
          </w:rPr>
          <w:t xml:space="preserve">, </w:t>
        </w:r>
      </w:hyperlink>
      <w:hyperlink r:id="rId56">
        <w:r>
          <w:rPr>
            <w:rFonts w:ascii="Times New Roman" w:cs="Times New Roman" w:eastAsia="Times New Roman" w:hAnsi="Times New Roman"/>
            <w:sz w:val="18"/>
            <w:szCs w:val="18"/>
            <w:u w:val="single" w:color="auto"/>
            <w:color w:val="auto"/>
          </w:rPr>
          <w:t xml:space="preserve">August 23, 2022 </w:t>
        </w:r>
      </w:hyperlink>
      <w:hyperlink r:id="rId55">
        <w:r>
          <w:rPr>
            <w:rFonts w:ascii="Times New Roman" w:cs="Times New Roman" w:eastAsia="Times New Roman" w:hAnsi="Times New Roman"/>
            <w:sz w:val="18"/>
            <w:szCs w:val="18"/>
            <w:color w:val="auto"/>
          </w:rPr>
          <w:t xml:space="preserve">(only Item 8.01), </w:t>
        </w:r>
      </w:hyperlink>
      <w:hyperlink r:id="rId57">
        <w:r>
          <w:rPr>
            <w:rFonts w:ascii="Times New Roman" w:cs="Times New Roman" w:eastAsia="Times New Roman" w:hAnsi="Times New Roman"/>
            <w:sz w:val="18"/>
            <w:szCs w:val="18"/>
            <w:u w:val="single" w:color="auto"/>
            <w:color w:val="auto"/>
          </w:rPr>
          <w:t>September 1, 2022</w:t>
        </w:r>
      </w:hyperlink>
      <w:hyperlink r:id="rId55">
        <w:r>
          <w:rPr>
            <w:rFonts w:ascii="Times New Roman" w:cs="Times New Roman" w:eastAsia="Times New Roman" w:hAnsi="Times New Roman"/>
            <w:sz w:val="18"/>
            <w:szCs w:val="18"/>
            <w:color w:val="auto"/>
          </w:rPr>
          <w:t xml:space="preserve">, </w:t>
        </w:r>
      </w:hyperlink>
      <w:hyperlink r:id="rId58">
        <w:r>
          <w:rPr>
            <w:rFonts w:ascii="Times New Roman" w:cs="Times New Roman" w:eastAsia="Times New Roman" w:hAnsi="Times New Roman"/>
            <w:sz w:val="18"/>
            <w:szCs w:val="18"/>
            <w:u w:val="single" w:color="auto"/>
            <w:color w:val="auto"/>
          </w:rPr>
          <w:t>September 8, 2022</w:t>
        </w:r>
      </w:hyperlink>
      <w:hyperlink r:id="rId55">
        <w:r>
          <w:rPr>
            <w:rFonts w:ascii="Times New Roman" w:cs="Times New Roman" w:eastAsia="Times New Roman" w:hAnsi="Times New Roman"/>
            <w:sz w:val="18"/>
            <w:szCs w:val="18"/>
            <w:color w:val="auto"/>
          </w:rPr>
          <w:t xml:space="preserve">, </w:t>
        </w:r>
      </w:hyperlink>
      <w:hyperlink r:id="rId59">
        <w:r>
          <w:rPr>
            <w:rFonts w:ascii="Times New Roman" w:cs="Times New Roman" w:eastAsia="Times New Roman" w:hAnsi="Times New Roman"/>
            <w:sz w:val="18"/>
            <w:szCs w:val="18"/>
            <w:u w:val="single" w:color="auto"/>
            <w:color w:val="auto"/>
          </w:rPr>
          <w:t>September 29, 2022</w:t>
        </w:r>
      </w:hyperlink>
      <w:hyperlink r:id="rId55">
        <w:r>
          <w:rPr>
            <w:rFonts w:ascii="Times New Roman" w:cs="Times New Roman" w:eastAsia="Times New Roman" w:hAnsi="Times New Roman"/>
            <w:sz w:val="18"/>
            <w:szCs w:val="18"/>
            <w:color w:val="auto"/>
          </w:rPr>
          <w:t xml:space="preserve">, </w:t>
        </w:r>
      </w:hyperlink>
      <w:hyperlink r:id="rId60">
        <w:r>
          <w:rPr>
            <w:rFonts w:ascii="Times New Roman" w:cs="Times New Roman" w:eastAsia="Times New Roman" w:hAnsi="Times New Roman"/>
            <w:sz w:val="18"/>
            <w:szCs w:val="18"/>
            <w:u w:val="single" w:color="auto"/>
            <w:color w:val="auto"/>
          </w:rPr>
          <w:t>October 3, 2022</w:t>
        </w:r>
      </w:hyperlink>
      <w:hyperlink r:id="rId55">
        <w:r>
          <w:rPr>
            <w:rFonts w:ascii="Times New Roman" w:cs="Times New Roman" w:eastAsia="Times New Roman" w:hAnsi="Times New Roman"/>
            <w:sz w:val="18"/>
            <w:szCs w:val="18"/>
            <w:color w:val="auto"/>
          </w:rPr>
          <w:t xml:space="preserve">, </w:t>
        </w:r>
      </w:hyperlink>
      <w:hyperlink r:id="rId61">
        <w:r>
          <w:rPr>
            <w:rFonts w:ascii="Times New Roman" w:cs="Times New Roman" w:eastAsia="Times New Roman" w:hAnsi="Times New Roman"/>
            <w:sz w:val="18"/>
            <w:szCs w:val="18"/>
            <w:u w:val="single" w:color="auto"/>
            <w:color w:val="auto"/>
          </w:rPr>
          <w:t>October 20, 2022</w:t>
        </w:r>
      </w:hyperlink>
      <w:hyperlink r:id="rId55">
        <w:r>
          <w:rPr>
            <w:rFonts w:ascii="Times New Roman" w:cs="Times New Roman" w:eastAsia="Times New Roman" w:hAnsi="Times New Roman"/>
            <w:sz w:val="18"/>
            <w:szCs w:val="18"/>
            <w:color w:val="auto"/>
          </w:rPr>
          <w:t>,</w:t>
        </w:r>
      </w:hyperlink>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u w:val="single" w:color="auto"/>
            <w:color w:val="auto"/>
          </w:rPr>
          <w:t>November 14, 2022</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63">
        <w:r>
          <w:rPr>
            <w:rFonts w:ascii="Times New Roman" w:cs="Times New Roman" w:eastAsia="Times New Roman" w:hAnsi="Times New Roman"/>
            <w:sz w:val="18"/>
            <w:szCs w:val="18"/>
            <w:u w:val="single" w:color="auto"/>
            <w:color w:val="auto"/>
          </w:rPr>
          <w:t>November 28, 2022</w:t>
        </w:r>
      </w:hyperlink>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description of our common stock contained in our registration statement on Form 8-A, filed with the SEC on November 16, 2015 (File No. 001-37635), and all amendments or reports filed for the purpose of updating such description.</w:t>
      </w: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6" w:name="page27"/>
    <w:bookmarkEnd w:id="26"/>
    <w:p>
      <w:pPr>
        <w:jc w:val="both"/>
        <w:spacing w:after="0" w:line="254" w:lineRule="auto"/>
        <w:rPr>
          <w:sz w:val="20"/>
          <w:szCs w:val="20"/>
          <w:color w:val="auto"/>
        </w:rPr>
      </w:pPr>
      <w:r>
        <w:rPr>
          <w:rFonts w:ascii="Times New Roman" w:cs="Times New Roman" w:eastAsia="Times New Roman" w:hAnsi="Times New Roman"/>
          <w:sz w:val="18"/>
          <w:szCs w:val="18"/>
          <w:color w:val="auto"/>
        </w:rPr>
        <w:t>We make available, free of charge, through our website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Except for the specific incorporated documents listed above, no information available on or through our website shall be deemed to be incorporated in this prospectus or the registration statement of which it forms a part. We will provide, upon written or oral request, to each person to whom a prospectus is delivered, including any beneficial owner, a copy of any or all of the information that has been incorporated by reference in the prospectus but not delivered with the prospectus (other than exhibits to these documents unless the exhibits are specifically incorporated by reference into these documents or referred to in this prospectus), free of charge, by writing or calling us at the following address and telephone number: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 Cortlandt Street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10007</w:t>
      </w:r>
    </w:p>
    <w:p>
      <w:pPr>
        <w:spacing w:after="0" w:line="9" w:lineRule="exact"/>
        <w:rPr>
          <w:sz w:val="20"/>
          <w:szCs w:val="20"/>
          <w:color w:val="auto"/>
        </w:rPr>
      </w:pPr>
    </w:p>
    <w:p>
      <w:pPr>
        <w:ind w:left="5500" w:hanging="439"/>
        <w:spacing w:after="0"/>
        <w:tabs>
          <w:tab w:leader="none" w:pos="5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332-3241</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2882900</wp:posOffset>
            </wp:positionH>
            <wp:positionV relativeFrom="page">
              <wp:posOffset>500380</wp:posOffset>
            </wp:positionV>
            <wp:extent cx="1791335" cy="10115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79133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Rights to Purchase Common Stock, Preferred Stock, Debt Securities or Units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2277110</wp:posOffset>
            </wp:positionH>
            <wp:positionV relativeFrom="paragraph">
              <wp:posOffset>-125095</wp:posOffset>
            </wp:positionV>
            <wp:extent cx="1165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7">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2277110</wp:posOffset>
            </wp:positionH>
            <wp:positionV relativeFrom="paragraph">
              <wp:posOffset>-125095</wp:posOffset>
            </wp:positionV>
            <wp:extent cx="11658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8">
                      <a:extLst>
                        <a:ext uri="{28A0092B-C50C-407E-A947-70E740481C1C}"/>
                      </a:extLst>
                    </a:blip>
                    <a:srcRect/>
                    <a:stretch>
                      <a:fillRect/>
                    </a:stretch>
                  </pic:blipFill>
                  <pic:spPr bwMode="auto">
                    <a:xfrm>
                      <a:off x="0" y="0"/>
                      <a:ext cx="116586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624205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Up to $250,000,000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13335</wp:posOffset>
            </wp:positionV>
            <wp:extent cx="1791335" cy="10115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0">
                      <a:extLst>
                        <a:ext uri="{28A0092B-C50C-407E-A947-70E740481C1C}"/>
                      </a:extLst>
                    </a:blip>
                    <a:srcRect/>
                    <a:stretch>
                      <a:fillRect/>
                    </a:stretch>
                  </pic:blipFill>
                  <pic:spPr bwMode="auto">
                    <a:xfrm>
                      <a:off x="0" y="0"/>
                      <a:ext cx="179133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Axsome Therapeutics,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a sales agreement, or the Sales Agreement, with SVB Securities LLC, or SVB Securities, dated March 1, 2022, relating to shares of our common stock, par value $0.0001 per share, offered by this prospectus. In accordance with the terms of the Sales Agreement, we may offer and sell shares of our common stock having an aggregate offering price of up to $250 million from time to time through SVB Securities, acting as our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-433070</wp:posOffset>
            </wp:positionV>
            <wp:extent cx="1165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“AXSM.” On November 30, 2022, the last reported sale price of our common stock was $72.29 per share.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of our common stock, if any, under this prospectus will be made in sales deemed to be “at the market offerings” as defined in Rule 415 promulgated under the Securities Act of 1933, as amended, or the Securities Act. SVB Securities is not required to sell any specific number or dollar amount of shares of our common stock, but will act as our sales agent using commercially reasonable efforts consistent with its normal trading and sales practices, on mutually agreed terms between SVB Securities and us. There is no arrangement for funds to be received in any escrow, trust or similar arrangement.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payable to SVB Securities for sales of common stock sold pursuant to the Sales Agreement will be an amount up to 3.0% of the gross proceeds of any shares of common stock sold under the Sales Agreement. See “Plan of Distribution” beginning on page S-10 for additional information regarding the compensation to be paid to SVB Securities. In connection with the sale of the common stock on our behalf, SVB Securities will be deemed to be an "underwriter" within the meaning of the Securities Act and the compensation paid to SVB Securities will be deemed to be underwriting commissions or discounts. We have also agreed in the Sales Agreement to provide indemnification and contribution to SVB Securities with respect to certain liabilities, including liabilities under the Securities Act or the Securities Exchange Act of 1934, as amended.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See "Risk Factors" beginning on page S-4 of this prospectus and the risk factors in the documents incorporated by reference in this prospectus.</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SVB Securities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9" w:name="page30"/>
    <w:bookmarkEnd w:id="29"/>
    <w:tbl>
      <w:tblPr>
        <w:tblLayout w:type="fixed"/>
        <w:tblInd w:w="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20" w:type="dxa"/>
            <w:vAlign w:val="bottom"/>
            <w:gridSpan w:val="2"/>
          </w:tcPr>
          <w:p>
            <w:pPr>
              <w:jc w:val="right"/>
              <w:ind w:right="457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432"/>
        </w:trPr>
        <w:tc>
          <w:tcPr>
            <w:tcW w:w="440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Sales Agreement Prospectus</w:t>
            </w:r>
          </w:p>
        </w:tc>
        <w:tc>
          <w:tcPr>
            <w:tcW w:w="5800" w:type="dxa"/>
            <w:vAlign w:val="bottom"/>
          </w:tcPr>
          <w:p>
            <w:pPr>
              <w:spacing w:after="0"/>
              <w:rPr>
                <w:sz w:val="24"/>
                <w:szCs w:val="24"/>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1"/>
        </w:trPr>
        <w:tc>
          <w:tcPr>
            <w:tcW w:w="4400" w:type="dxa"/>
            <w:vAlign w:val="bottom"/>
            <w:gridSpan w:val="12"/>
            <w:vMerge w:val="continue"/>
          </w:tcPr>
          <w:p>
            <w:pPr>
              <w:spacing w:after="0"/>
              <w:rPr>
                <w:sz w:val="16"/>
                <w:szCs w:val="16"/>
                <w:color w:val="auto"/>
              </w:rPr>
            </w:pPr>
          </w:p>
        </w:tc>
        <w:tc>
          <w:tcPr>
            <w:tcW w:w="5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80" w:type="dxa"/>
            <w:vAlign w:val="bottom"/>
            <w:tcBorders>
              <w:bottom w:val="single" w:sz="8" w:color="0000EE"/>
            </w:tcBorders>
            <w:gridSpan w:val="8"/>
          </w:tcPr>
          <w:p>
            <w:pPr>
              <w:spacing w:after="0" w:line="194"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2820" w:type="dxa"/>
            <w:vAlign w:val="bottom"/>
            <w:gridSpan w:val="4"/>
          </w:tcPr>
          <w:p>
            <w:pPr>
              <w:spacing w:after="0"/>
              <w:rPr>
                <w:sz w:val="16"/>
                <w:szCs w:val="16"/>
                <w:color w:val="auto"/>
              </w:rPr>
            </w:pPr>
          </w:p>
        </w:tc>
        <w:tc>
          <w:tcPr>
            <w:tcW w:w="580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S-ii</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Cautionary Note Regarding Forward-Looking Statements</w:t>
            </w:r>
          </w:p>
        </w:tc>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S-iii</w:t>
            </w:r>
          </w:p>
        </w:tc>
        <w:tc>
          <w:tcPr>
            <w:tcW w:w="0" w:type="dxa"/>
            <w:vAlign w:val="bottom"/>
          </w:tcPr>
          <w:p>
            <w:pPr>
              <w:spacing w:after="0"/>
              <w:rPr>
                <w:sz w:val="1"/>
                <w:szCs w:val="1"/>
                <w:color w:val="auto"/>
              </w:rPr>
            </w:pPr>
          </w:p>
        </w:tc>
      </w:tr>
      <w:tr>
        <w:trPr>
          <w:trHeight w:val="196"/>
        </w:trPr>
        <w:tc>
          <w:tcPr>
            <w:tcW w:w="15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Prospectus Summary</w:t>
            </w:r>
          </w:p>
        </w:tc>
        <w:tc>
          <w:tcPr>
            <w:tcW w:w="2880" w:type="dxa"/>
            <w:vAlign w:val="bottom"/>
            <w:gridSpan w:val="5"/>
          </w:tcPr>
          <w:p>
            <w:pPr>
              <w:spacing w:after="0"/>
              <w:rPr>
                <w:sz w:val="17"/>
                <w:szCs w:val="17"/>
                <w:color w:val="auto"/>
              </w:rPr>
            </w:pPr>
          </w:p>
        </w:tc>
        <w:tc>
          <w:tcPr>
            <w:tcW w:w="58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3500" w:type="dxa"/>
            <w:vAlign w:val="bottom"/>
            <w:gridSpan w:val="9"/>
          </w:tcPr>
          <w:p>
            <w:pPr>
              <w:spacing w:after="0"/>
              <w:rPr>
                <w:sz w:val="17"/>
                <w:szCs w:val="17"/>
                <w:color w:val="auto"/>
              </w:rPr>
            </w:pPr>
          </w:p>
        </w:tc>
        <w:tc>
          <w:tcPr>
            <w:tcW w:w="58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196"/>
        </w:trPr>
        <w:tc>
          <w:tcPr>
            <w:tcW w:w="44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58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Dilution</w:t>
            </w:r>
          </w:p>
        </w:tc>
        <w:tc>
          <w:tcPr>
            <w:tcW w:w="560" w:type="dxa"/>
            <w:vAlign w:val="bottom"/>
            <w:tcBorders>
              <w:top w:val="single" w:sz="8" w:color="0000EE"/>
            </w:tcBorders>
            <w:gridSpan w:val="3"/>
          </w:tcPr>
          <w:p>
            <w:pPr>
              <w:spacing w:after="0"/>
              <w:rPr>
                <w:sz w:val="17"/>
                <w:szCs w:val="17"/>
                <w:color w:val="auto"/>
              </w:rPr>
            </w:pPr>
          </w:p>
        </w:tc>
        <w:tc>
          <w:tcPr>
            <w:tcW w:w="3240" w:type="dxa"/>
            <w:vAlign w:val="bottom"/>
            <w:gridSpan w:val="7"/>
          </w:tcPr>
          <w:p>
            <w:pPr>
              <w:spacing w:after="0"/>
              <w:rPr>
                <w:sz w:val="17"/>
                <w:szCs w:val="17"/>
                <w:color w:val="auto"/>
              </w:rPr>
            </w:pPr>
          </w:p>
        </w:tc>
        <w:tc>
          <w:tcPr>
            <w:tcW w:w="58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44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58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420" w:type="dxa"/>
            <w:vAlign w:val="bottom"/>
            <w:tcBorders>
              <w:top w:val="single" w:sz="8" w:color="0000EE"/>
            </w:tcBorders>
            <w:gridSpan w:val="2"/>
          </w:tcPr>
          <w:p>
            <w:pPr>
              <w:spacing w:after="0"/>
              <w:rPr>
                <w:sz w:val="17"/>
                <w:szCs w:val="17"/>
                <w:color w:val="auto"/>
              </w:rPr>
            </w:pPr>
          </w:p>
        </w:tc>
        <w:tc>
          <w:tcPr>
            <w:tcW w:w="2980" w:type="dxa"/>
            <w:vAlign w:val="bottom"/>
            <w:gridSpan w:val="6"/>
          </w:tcPr>
          <w:p>
            <w:pPr>
              <w:spacing w:after="0"/>
              <w:rPr>
                <w:sz w:val="17"/>
                <w:szCs w:val="17"/>
                <w:color w:val="auto"/>
              </w:rPr>
            </w:pPr>
          </w:p>
        </w:tc>
        <w:tc>
          <w:tcPr>
            <w:tcW w:w="58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44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58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Where You Can Find More Information</w:t>
            </w:r>
          </w:p>
        </w:tc>
        <w:tc>
          <w:tcPr>
            <w:tcW w:w="1540" w:type="dxa"/>
            <w:vAlign w:val="bottom"/>
            <w:gridSpan w:val="2"/>
          </w:tcPr>
          <w:p>
            <w:pPr>
              <w:spacing w:after="0"/>
              <w:rPr>
                <w:sz w:val="17"/>
                <w:szCs w:val="17"/>
                <w:color w:val="auto"/>
              </w:rPr>
            </w:pPr>
          </w:p>
        </w:tc>
        <w:tc>
          <w:tcPr>
            <w:tcW w:w="58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Information Incorporated by Reference</w:t>
            </w:r>
          </w:p>
        </w:tc>
        <w:tc>
          <w:tcPr>
            <w:tcW w:w="1580" w:type="dxa"/>
            <w:vAlign w:val="bottom"/>
            <w:gridSpan w:val="3"/>
          </w:tcPr>
          <w:p>
            <w:pPr>
              <w:spacing w:after="0"/>
              <w:rPr>
                <w:sz w:val="17"/>
                <w:szCs w:val="17"/>
                <w:color w:val="auto"/>
              </w:rPr>
            </w:pPr>
          </w:p>
        </w:tc>
        <w:tc>
          <w:tcPr>
            <w:tcW w:w="58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Neither we nor SVB Securities have authorized anyone to provide any information or to make any representations other than those contained or incorporated by reference in this prospectus or in any free writing prospectus that we have authorized for use in connection with this offering. We and SVB Securities take no responsibility for, and can provide no assurance as to the reliability of, any other information that others may give you. This prospectus constitutes an offer to sell only the securities offered hereby, but only under circumstances and in jurisdictions where it is lawful to do so. The information contained in this prospectus and any free writing prospectus that we have authorized for use in connection with this offering is current only as of its date. Our business, financial condition, results of operations and prospects may have changed since those dates. You should read this prospectus, the documents incorporated by reference herein, and any free writing prospectus that we have authorized for use in connection with this offering when making your investment decision. You should also read and consider the information in the documents we have referred you to in the sections of this prospectus entitled "Where You Can Find More Information" and "Information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forms part of an automatic “shelf” registration statement on Form S-3 that we filed with the Securities and Exchange Commission, or SEC, as a “well-known seasoned issuer” as defined in Rule 405 under the Securities Act of 1933, as amended, or the Securities Act. By using a shelf registration statement, we may offer shares of our common stock having an aggregate offering price of up to $250 million from time to time under this prospectus at prices and on terms to be determined by market conditions at the time of offering.</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describes the terms of this offering of common stock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However,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that we have included or incorporated by reference in this prospectus and any related free writing prospectus that we have authorized for use in connection with this offering. Neither we nor SVB Securities have authorized any dealer, salesman or other person to give any information or to make any representation other than those contained or incorporated by reference in this prospectus or any related free writing prospectus that we have authorized for use in connection with this offering.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and any related free writing prospectus do not constitute an offer to sell or the solicitation of an offer to buy any securities other than the registered securities to which they relate, nor do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or any related free writing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or any related free writing prospectus is delivered, or securities are sold, on a later date. You should assume that the information appearing in this prospectus,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contains or incorporates by reference summaries of certain provisions contained in some of the documents described herein, but all such summaries are qualified in their entirety by the actual documents. Copies of some of the documents referred to herein have been or will be filed or have been or will be incorporated by reference into this prospectus, and you may obtain copies of those documents as described in this prospectus under the heading “Where You Can Find More Information” or “Information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prospectus including matters discussed under the heading “Management’s Discussion and Analysis of Financial Condition and Results of Operations,” incorporated by reference herein from our most recent Annual Report on Form 10-K and Quarterly Reports on Form 10-Q for the quarterly periods ended subsequent to our filing of such Annual Report on Form 10-K, may constitute forward-looking statements for purposes of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Our actual results may differ materially from the results anticipated in these forward-looking statements due to a variety of factors, including, without limitation, those discussed under the headings “Risk Factors” and “Management's Discussion and Analysis of Financial Condition and Results of Operations” and elsewhere in this prospectus and the documents incorporated by reference herein, as well as other factors which may be identified from time to time in our other filings with the SEC, or in the documents in which such forward-looking statements appear. All written or oral forward-looking statements attributable to us are expressly qualified in their entirety by these cautionary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forward-looking statements include risks and uncertainties, including, but not limited to:</w:t>
      </w:r>
    </w:p>
    <w:p>
      <w:pPr>
        <w:spacing w:after="0" w:line="225" w:lineRule="exact"/>
        <w:rPr>
          <w:sz w:val="20"/>
          <w:szCs w:val="20"/>
          <w:color w:val="auto"/>
        </w:rPr>
      </w:pPr>
    </w:p>
    <w:p>
      <w:pPr>
        <w:ind w:left="880" w:hanging="440"/>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commercial success of our Sunosi and Auvelity products and the success of our efforts to obtain any additional indication(s) with respect to solriamfetol and/or AXS-05;</w:t>
      </w:r>
    </w:p>
    <w:p>
      <w:pPr>
        <w:spacing w:after="0" w:line="53" w:lineRule="exact"/>
        <w:rPr>
          <w:rFonts w:ascii="Times New Roman" w:cs="Times New Roman" w:eastAsia="Times New Roman" w:hAnsi="Times New Roman"/>
          <w:sz w:val="18"/>
          <w:szCs w:val="18"/>
          <w:color w:val="auto"/>
        </w:rPr>
      </w:pPr>
    </w:p>
    <w:p>
      <w:pPr>
        <w:jc w:val="both"/>
        <w:ind w:left="880" w:hanging="440"/>
        <w:spacing w:after="0" w:line="258"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or NDA, for any of our current product candidates;</w:t>
      </w:r>
    </w:p>
    <w:p>
      <w:pPr>
        <w:spacing w:after="0" w:line="7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additional clinical trials to continue the advancement of our product candidates;</w:t>
      </w:r>
    </w:p>
    <w:p>
      <w:pPr>
        <w:spacing w:after="0" w:line="144"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U.S. Food and Drug Administration, or FDA, or other regulatory authority approval of, or other action with respect to, our product candidates;</w:t>
      </w:r>
    </w:p>
    <w:p>
      <w:pPr>
        <w:spacing w:after="0" w:line="53" w:lineRule="exact"/>
        <w:rPr>
          <w:rFonts w:ascii="Times New Roman" w:cs="Times New Roman" w:eastAsia="Times New Roman" w:hAnsi="Times New Roman"/>
          <w:sz w:val="18"/>
          <w:szCs w:val="18"/>
          <w:color w:val="auto"/>
        </w:rPr>
      </w:pPr>
    </w:p>
    <w:p>
      <w:pPr>
        <w:jc w:val="both"/>
        <w:ind w:left="880" w:right="20" w:hanging="440"/>
        <w:spacing w:after="0" w:line="266"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issues identified by FDA in the complete response letter may impact the potential approvability of the Company’s NDA for AXS-07 for the acute treatment of migraine in adults with or without aura, pursuant to our special protocol assessment for the MOMENTUM clinical trial;</w:t>
      </w:r>
    </w:p>
    <w:p>
      <w:pPr>
        <w:spacing w:after="0" w:line="67"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defend its intellectual property or obtain the necessary licenses at a cost acceptable to the Company, if at all;</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implementation of the Company’s research and development programs and collaborations;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Company’s license agreements;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by the market of the Company’s products and product candidates, if approved;</w:t>
      </w:r>
    </w:p>
    <w:p>
      <w:pPr>
        <w:spacing w:after="0" w:line="144"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anticipated capital requirements, including the amount of capital required for the continued commercialization of Sunosi and Auvelity and for the Company’s commercial launch of its other product candidates, and the potential impact on the Company’s anticipated cash runway;</w:t>
      </w:r>
    </w:p>
    <w:p>
      <w:pPr>
        <w:spacing w:after="0" w:line="6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arising from or related to COVID-19; and</w:t>
      </w:r>
    </w:p>
    <w:p>
      <w:pPr>
        <w:spacing w:after="0" w:line="144"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including general economic conditions and regulatory developments, not within the Company’s control. The factors discussed herein could cause actual results and developments to be materially different from those expressed in or implied by such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2" w:name="page33"/>
    <w:bookmarkEnd w:id="32"/>
    <w:p>
      <w:pPr>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reflect our views and assumptions only as of the date of this prospectus. Except as required by law, we assume no responsibility for updating any forward-looking statements.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or incorporated by reference into, this prospectus. Because it is only a summary, it does not contain all of the information that you should consider before investing in shares of our common stock and it is qualified in its entirety by, and should be read in conjunction with, the more detailed information appearing elsewhere in this prospectus, any free writing prospectus that we have authorized for use in connection with this offering and the documents incorporated by reference in this prospectus. You should read all such documents carefully and you should pay special attention to the information contained under the caption entitled "Risk Factors" in this prospectus, in our Annual Reports on Form 10-K, in any subsequent Quarterly Reports on Form 10-Q and in our other reports filed from time to time with the SEC, which are incorporated by reference into this prospectus, before deciding to buy shares of our common stock. Unless the context requires otherwise, references in this prospectus to "Axsome," "we," "us" and "our" refer to Axsome Therapeutics, Inc. and our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a commercial-stage biopharmaceutical company developing and delivering novel therapies for central nervous system, or CNS conditions that have limited treatment options. By focusing on this therapeutic area, we are addressing significant and growing markets where current treatment options are limited or inadequate. We were incorporated on January 12, 2012 in the State of Delaware. Our portfolio primarily consists of two commercial products and the development programs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Products</w:t>
      </w:r>
    </w:p>
    <w:p>
      <w:pPr>
        <w:spacing w:after="0" w:line="225" w:lineRule="exact"/>
        <w:rPr>
          <w:sz w:val="20"/>
          <w:szCs w:val="20"/>
          <w:color w:val="auto"/>
        </w:rPr>
      </w:pPr>
    </w:p>
    <w:p>
      <w:pPr>
        <w:ind w:left="880" w:right="380" w:hanging="440"/>
        <w:spacing w:after="0" w:line="262"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Auvelity®. </w:t>
      </w:r>
      <w:r>
        <w:rPr>
          <w:rFonts w:ascii="Times New Roman" w:cs="Times New Roman" w:eastAsia="Times New Roman" w:hAnsi="Times New Roman"/>
          <w:sz w:val="18"/>
          <w:szCs w:val="18"/>
          <w:color w:val="auto"/>
        </w:rPr>
        <w:t>Auvelity (dextromethorphan-bupropion) is a novel, oral, N-methyl-D-aspartate (NMDA) receptor antagonist with multimodal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activity indicated for the treatment of major depressive disorder (also known as “MDD”). Auvelity was developed by the Company and approved by the FDA for the treatment of MDD in August 2022. We commenced the commercial sale of Auvelity in the United States in October 2022.</w:t>
      </w:r>
    </w:p>
    <w:p>
      <w:pPr>
        <w:spacing w:after="0" w:line="176" w:lineRule="exact"/>
        <w:rPr>
          <w:rFonts w:ascii="Times New Roman" w:cs="Times New Roman" w:eastAsia="Times New Roman" w:hAnsi="Times New Roman"/>
          <w:sz w:val="18"/>
          <w:szCs w:val="18"/>
          <w:color w:val="auto"/>
        </w:rPr>
      </w:pPr>
    </w:p>
    <w:p>
      <w:pPr>
        <w:ind w:left="880" w:right="40" w:hanging="440"/>
        <w:spacing w:after="0" w:line="259"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Sunosi®</w:t>
      </w:r>
      <w:r>
        <w:rPr>
          <w:rFonts w:ascii="Times New Roman" w:cs="Times New Roman" w:eastAsia="Times New Roman" w:hAnsi="Times New Roman"/>
          <w:sz w:val="18"/>
          <w:szCs w:val="18"/>
          <w:color w:val="auto"/>
        </w:rPr>
        <w:t>. Sunosi (solriamfetol) is a novel, oral medication indicated to the treatment of excessive daytime sleepiness (also known as “EDS”)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with narcolepsy or obstructive sleep apnea. Sunosi was approved in the United States in 2019 and by the European Commission in 2022. We acquired the U.S. rights to Sunosi from Jazz Pharmaceuticals plc (“Jazz”) in May 2022, and worldwide ex-U.S. rights (excluding certain Asian markets) from Jazz in November 2022. We have been commercializing Sunosi since we completed these acquisitions. SK Biopharmaceuticals is the originator of Sunosi and retains rights in 12 Asian markets, including China, Korea, and Japan.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Programs</w:t>
      </w:r>
    </w:p>
    <w:p>
      <w:pPr>
        <w:spacing w:after="0" w:line="225" w:lineRule="exact"/>
        <w:rPr>
          <w:sz w:val="20"/>
          <w:szCs w:val="20"/>
          <w:color w:val="auto"/>
        </w:rPr>
      </w:pPr>
    </w:p>
    <w:p>
      <w:pPr>
        <w:jc w:val="both"/>
        <w:ind w:left="880" w:hanging="440"/>
        <w:spacing w:after="0" w:line="254" w:lineRule="auto"/>
        <w:tabs>
          <w:tab w:leader="none" w:pos="8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AXS-05</w:t>
      </w:r>
      <w:r>
        <w:rPr>
          <w:rFonts w:ascii="Times New Roman" w:cs="Times New Roman" w:eastAsia="Times New Roman" w:hAnsi="Times New Roman"/>
          <w:sz w:val="18"/>
          <w:szCs w:val="18"/>
          <w:color w:val="auto"/>
        </w:rPr>
        <w:t>. When used in programs for further development, we refer to the proprietary dextromethorphan-bupropion formulation contained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Auvelity as “AXS-05.” AXS-05 is a novel, oral, investigational NMDA receptor antagonist with multimodal activity under development for the treatment of Alzheimer’s disease agitation, or AD agitation, and smoking cessation. AXS-05 utilizes a proprietary formulation and dose of dextromethorphan and bupropion, and Axsome’s metabolic inhibition technology, to modulate the delivery of the components. We have completed a Phase 2/3 trial of AXS-05 in AD agitation, which we refer to as the ADVANCE-1 trial. AXS-05 achieved the primary endpoint in the ADVANCE-1 trial. We have also completed the ACCORD trial, a Phase 3, double blind, placebo-controlled, randomized withdrawal trial in patients with AD agitation, and we are conducting an open-label long-term safety study in AD agitation. We have recently commenced the ADVANCE-2 trial, another Phase 3, double blind, placebo-controlled, randomized withdrawal trial in patients with AD agitation. A positive Phase 2 trial for the use of AXS-05 in smoking cessation has been completed under a research collaboration with Duke University.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4" w:name="page35"/>
    <w:bookmarkEnd w:id="34"/>
    <w:p>
      <w:pPr>
        <w:jc w:val="both"/>
        <w:ind w:left="880" w:hanging="440"/>
        <w:spacing w:after="0" w:line="255" w:lineRule="auto"/>
        <w:tabs>
          <w:tab w:leader="none" w:pos="8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AXS-07</w:t>
      </w:r>
      <w:r>
        <w:rPr>
          <w:rFonts w:ascii="Times New Roman" w:cs="Times New Roman" w:eastAsia="Times New Roman" w:hAnsi="Times New Roman"/>
          <w:sz w:val="18"/>
          <w:szCs w:val="18"/>
          <w:color w:val="auto"/>
        </w:rPr>
        <w:t>. AXS-07 is a novel, oral, rapidly absorbed, multi-mechanistic, investigational medicine under development for the acute treatment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migraine. AXS-07 consists of MoSEIC™, or Molecular Solubility Enhanced Inclusion Complex, meloxicam and rizatriptan. We have completed two Phase 3 trials of AXS-07 for the acute treatment of migraine, which we refer to as the MOMENTUM and INTERCEPT trials. AXS-07 achieved the co-primary endpoints in both the MOMENTUM and INTERCEPT trials. An open-label, long-term, safety study of AXS-07 in patients with migraine known as the MOVEMENT trial has also been completed. In the MOVEMENT trial, administration of AXS-07 resulted in rapid, and substantial relief of migraine pain and associated symptoms and was well tolerated with long term dosing. We submitted an NDA for AXS-07 in 2021, which was accepted, and received a complete response letter, or CRL, from the FDA in April 2022. The principal reasons given in the CRL relate to chemistry, manufacturing, and controls (“CMC”) considerations.</w:t>
      </w:r>
    </w:p>
    <w:p>
      <w:pPr>
        <w:spacing w:after="0" w:line="184" w:lineRule="exact"/>
        <w:rPr>
          <w:rFonts w:ascii="Times New Roman" w:cs="Times New Roman" w:eastAsia="Times New Roman" w:hAnsi="Times New Roman"/>
          <w:sz w:val="18"/>
          <w:szCs w:val="18"/>
          <w:b w:val="1"/>
          <w:bCs w:val="1"/>
          <w:color w:val="auto"/>
        </w:rPr>
      </w:pPr>
    </w:p>
    <w:p>
      <w:pPr>
        <w:jc w:val="both"/>
        <w:ind w:left="880" w:hanging="440"/>
        <w:spacing w:after="0" w:line="255" w:lineRule="auto"/>
        <w:tabs>
          <w:tab w:leader="none" w:pos="8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AXS-12</w:t>
      </w:r>
      <w:r>
        <w:rPr>
          <w:rFonts w:ascii="Times New Roman" w:cs="Times New Roman" w:eastAsia="Times New Roman" w:hAnsi="Times New Roman"/>
          <w:sz w:val="18"/>
          <w:szCs w:val="18"/>
          <w:color w:val="auto"/>
        </w:rPr>
        <w:t>. AXS-12, reboxetine, is a novel, oral, investigational medicine in development for the treatment of narcolepsy. AXS-12 is a highly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selective and potent norepinephrine reuptake inhibitor. AXS-12 has been granted FDA Orphan Drug Designation for the treatment of narcolepsy. We have completed a Phase 2 trial with AXS-12, which we refer to as the CONCERT study. A randomized, placebo-controlled Phase 3 trial with AXS-12 in narcolepsy was initiated in the third quarter of 2021, which we refer to as the SYMPHONY study, and one open-label long-term safety extension study was also initiated.</w:t>
      </w:r>
    </w:p>
    <w:p>
      <w:pPr>
        <w:spacing w:after="0" w:line="2" w:lineRule="exact"/>
        <w:rPr>
          <w:rFonts w:ascii="Times New Roman" w:cs="Times New Roman" w:eastAsia="Times New Roman" w:hAnsi="Times New Roman"/>
          <w:sz w:val="18"/>
          <w:szCs w:val="18"/>
          <w:b w:val="1"/>
          <w:bCs w:val="1"/>
          <w:color w:val="auto"/>
        </w:rPr>
      </w:pPr>
    </w:p>
    <w:p>
      <w:pPr>
        <w:jc w:val="both"/>
        <w:ind w:left="880" w:hanging="440"/>
        <w:spacing w:after="0" w:line="253" w:lineRule="auto"/>
        <w:tabs>
          <w:tab w:leader="none" w:pos="8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AXS-14</w:t>
      </w:r>
      <w:r>
        <w:rPr>
          <w:rFonts w:ascii="Times New Roman" w:cs="Times New Roman" w:eastAsia="Times New Roman" w:hAnsi="Times New Roman"/>
          <w:sz w:val="18"/>
          <w:szCs w:val="18"/>
          <w:color w:val="auto"/>
        </w:rPr>
        <w:t>. AXS-14, esreboxetine, is a novel, oral, investigational medicine in development for the treatment of fibromyalgia. AXS-14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highly selective and potent norepinephrine reuptake inhibitor. Esreboxetine, the SS-enantiomer of reboxetine, is more potent and selective than racemic reboxetine. We have in-licensed data from Pfizer which includes a completed Phase 2 trial and Phase 3 trial in fibromyalgia, both of which were positive.</w:t>
      </w:r>
    </w:p>
    <w:p>
      <w:pPr>
        <w:spacing w:after="0" w:line="184" w:lineRule="exact"/>
        <w:rPr>
          <w:rFonts w:ascii="Times New Roman" w:cs="Times New Roman" w:eastAsia="Times New Roman" w:hAnsi="Times New Roman"/>
          <w:sz w:val="18"/>
          <w:szCs w:val="18"/>
          <w:b w:val="1"/>
          <w:bCs w:val="1"/>
          <w:color w:val="auto"/>
        </w:rPr>
      </w:pPr>
    </w:p>
    <w:p>
      <w:pPr>
        <w:jc w:val="both"/>
        <w:ind w:left="880" w:right="400" w:hanging="440"/>
        <w:spacing w:after="0" w:line="268"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Solriamfetol</w:t>
      </w:r>
      <w:r>
        <w:rPr>
          <w:rFonts w:ascii="Times New Roman" w:cs="Times New Roman" w:eastAsia="Times New Roman" w:hAnsi="Times New Roman"/>
          <w:sz w:val="18"/>
          <w:szCs w:val="18"/>
          <w:color w:val="auto"/>
        </w:rPr>
        <w:t>. Solriamfetol is the active ingredient in our Sunosi product. It is an oral, dual-acting dopamine and norepinephrine reuptake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inhibitor. We recently announced our intent to conduct a Phase 3 trial of solriamfetol in adults with attention-deficit/hyperactivity disorder (“ADHD”).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22 Cortlandt Street, 16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New York 10007, and our telephone number is (212) 332-3241. Our website address is www.axsome.com. The information contained on our website is not incorporated by reference into this prospectus, and you should not consider any information contained on, or that can be accessed through, our website as part of this prospectus or in deciding whether to purchase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5" w:name="page36"/>
    <w:bookmarkEnd w:id="35"/>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offered by us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Manner of offering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43"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having an aggregate offering price of up to $250 million.</w:t>
      </w:r>
    </w:p>
    <w:p>
      <w:pPr>
        <w:spacing w:after="0" w:line="162"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our sales agent, SVB Securities LLC. See “Plan of Distribution” on page S-10.</w:t>
      </w:r>
    </w:p>
    <w:p>
      <w:pPr>
        <w:spacing w:after="0" w:line="162" w:lineRule="exact"/>
        <w:rPr>
          <w:sz w:val="20"/>
          <w:szCs w:val="20"/>
          <w:color w:val="auto"/>
        </w:rPr>
      </w:pPr>
    </w:p>
    <w:p>
      <w:pPr>
        <w:jc w:val="both"/>
        <w:ind w:left="180" w:right="2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this offering to continue to fund the ongoing clinical development of our late stage product candidates and for other general corporate purposes, including commercializing our products, and funding existing and potential new clinical programs and product candidates. See “Use of Proceeds.”</w:t>
      </w:r>
    </w:p>
    <w:p>
      <w:pPr>
        <w:spacing w:after="0" w:line="180"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read the “Risk Factors” section of this prospectus beginning on page S-4 as well as those risk factors that are incorporated by reference in this prospectus for a discussion of factors to consider carefully before deciding to invest in shares of our common stock.</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AXSM</w:t>
      </w:r>
    </w:p>
    <w:p>
      <w:pPr>
        <w:spacing w:after="0" w:line="200" w:lineRule="exact"/>
        <w:rPr>
          <w:sz w:val="20"/>
          <w:szCs w:val="20"/>
          <w:color w:val="auto"/>
        </w:rPr>
      </w:pPr>
    </w:p>
    <w:p>
      <w:pPr>
        <w:spacing w:after="0" w:line="2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73025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4200" w:space="720"/>
            <w:col w:w="6300"/>
          </w:cols>
          <w:pgMar w:left="340" w:top="549"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Before deciding whether to invest in our common stock, you should carefully consider the risks described below and those discussed under the caption entitled "Risk Factors" in our Annual Reports on Form 10-K and any subsequent Quarterly Reports on Form 10-Q, which are incorporated by reference in this prospectus, together with other information in this prospectus, the information and documents incorporated by reference herein, and in any free writing prospectus that we have authorized for use in connection with this offering. If any of these risks actually occurs, our business, financial condition, results of operations or cash flow could be seriously harmed. This could cause the trading price of our common stock to decline, resulting in a loss of all or part of your investment.</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anticipate that we will incur substantial losses for the foreseeable future, and may never achieve or maintain profitability.</w:t>
      </w:r>
    </w:p>
    <w:p>
      <w:pPr>
        <w:spacing w:after="0" w:line="159"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8"/>
          <w:szCs w:val="18"/>
          <w:color w:val="auto"/>
        </w:rPr>
        <w:t>We are a biopharmaceutical company with a limited operating history. For the last several years, we have focused our efforts primarily on developing CNS product candidates, AXS-05, AXS-07, AXS-12, and AXS-14, with the goal of achieving regulatory approval and commercialization. Since inception, we have incurred significant operating losses. Our net losses were $125.9 million for the nine months ended September 30, 2022 and $130.4 million for the year ended December 31, 2021. As of September 30, 2022, we had an accumulated deficit of $535.1 million. To date, we have not received regulatory approvals for any product candidates we developed apart from Auvelity. We recently begun the commercial sale of Sunosi and Auvelity in the US. We expect to continue to incur substantial expenses and operating losses over the next several years, as we continue to develop our current and future product candidates. In addition, we expect to incur significant sales, marketing, and manufacturing expenses related to the commercialization of Sunosi, Auvelity, and our current and future product candidates, if any are approved by the FDA. As a result, we expect to continue to incur significant losses for the foreseeable future. We anticipate that our expenses will increase substantially as we:</w:t>
      </w:r>
    </w:p>
    <w:p>
      <w:pPr>
        <w:spacing w:after="0" w:line="186" w:lineRule="exact"/>
        <w:rPr>
          <w:sz w:val="20"/>
          <w:szCs w:val="20"/>
          <w:color w:val="auto"/>
        </w:rPr>
      </w:pPr>
    </w:p>
    <w:p>
      <w:pPr>
        <w:ind w:left="880" w:hanging="440"/>
        <w:spacing w:after="0"/>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seek regulatory approval for any additional product candidates;</w:t>
      </w:r>
    </w:p>
    <w:p>
      <w:pPr>
        <w:spacing w:after="0" w:line="252"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hire additional commercial, clinical, medical, quality, regulatory, and scientific personnel;</w:t>
      </w:r>
    </w:p>
    <w:p>
      <w:pPr>
        <w:spacing w:after="0" w:line="252" w:lineRule="exact"/>
        <w:rPr>
          <w:rFonts w:ascii="Times New Roman" w:cs="Times New Roman" w:eastAsia="Times New Roman" w:hAnsi="Times New Roman"/>
          <w:sz w:val="16"/>
          <w:szCs w:val="16"/>
          <w:color w:val="auto"/>
        </w:rPr>
      </w:pPr>
    </w:p>
    <w:p>
      <w:pPr>
        <w:ind w:left="880" w:hanging="440"/>
        <w:spacing w:after="0" w:line="282" w:lineRule="auto"/>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candidate development and planned commercialization efforts;</w:t>
      </w:r>
    </w:p>
    <w:p>
      <w:pPr>
        <w:spacing w:after="0" w:line="161"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further establish a sales, marketing, and distribution infrastructure;</w:t>
      </w:r>
    </w:p>
    <w:p>
      <w:pPr>
        <w:spacing w:after="0" w:line="252" w:lineRule="exact"/>
        <w:rPr>
          <w:rFonts w:ascii="Times New Roman" w:cs="Times New Roman" w:eastAsia="Times New Roman" w:hAnsi="Times New Roman"/>
          <w:sz w:val="16"/>
          <w:szCs w:val="16"/>
          <w:color w:val="auto"/>
        </w:rPr>
      </w:pPr>
    </w:p>
    <w:p>
      <w:pPr>
        <w:ind w:left="880" w:hanging="440"/>
        <w:spacing w:after="0" w:line="282" w:lineRule="auto"/>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expand external manufacturing capabilities and production to commercialize any products for which we may obtain regulatory approval and that we choose not to license to a third-party;</w:t>
      </w:r>
    </w:p>
    <w:p>
      <w:pPr>
        <w:spacing w:after="0" w:line="161"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undertake additional manufacturing activities of our product candidates to satisfy FDA requirements for marketing application submissions;</w:t>
      </w:r>
    </w:p>
    <w:p>
      <w:pPr>
        <w:spacing w:after="0" w:line="223" w:lineRule="exact"/>
        <w:rPr>
          <w:rFonts w:ascii="Times New Roman" w:cs="Times New Roman" w:eastAsia="Times New Roman" w:hAnsi="Times New Roman"/>
          <w:sz w:val="16"/>
          <w:szCs w:val="16"/>
          <w:color w:val="auto"/>
        </w:rPr>
      </w:pPr>
    </w:p>
    <w:p>
      <w:pPr>
        <w:ind w:left="880" w:hanging="440"/>
        <w:spacing w:after="0" w:line="207" w:lineRule="exact"/>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conduct our clinical trials with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in AD agitation;</w:t>
      </w:r>
    </w:p>
    <w:p>
      <w:pPr>
        <w:spacing w:after="0" w:line="280"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conduct our clinical trials with AXS-12 in narcolepsy;</w:t>
      </w:r>
    </w:p>
    <w:p>
      <w:pPr>
        <w:spacing w:after="0" w:line="252"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continue to evaluate, plan for, and conduct, clinical trials for AXS-05 as an aid to smoking cessation treatment and other CNS disorders;</w:t>
      </w:r>
    </w:p>
    <w:p>
      <w:pPr>
        <w:spacing w:after="0" w:line="252"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continue to evaluate, plan for, and conduct, clinical trials for Sunosi in ADHD;</w:t>
      </w:r>
    </w:p>
    <w:p>
      <w:pPr>
        <w:spacing w:after="0" w:line="252"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continue to evaluate, plan for, and potentially submit an NDA for AXS-14 in fibromyalgia;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7" w:name="page38"/>
    <w:bookmarkEnd w:id="37"/>
    <w:p>
      <w:pPr>
        <w:ind w:left="880" w:hanging="440"/>
        <w:spacing w:after="0"/>
        <w:tabs>
          <w:tab w:leader="none" w:pos="8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continue to expand commercial sales of Sunosi and Auvelity;</w:t>
      </w:r>
    </w:p>
    <w:p>
      <w:pPr>
        <w:spacing w:after="0" w:line="223" w:lineRule="exact"/>
        <w:rPr>
          <w:rFonts w:ascii="Times New Roman" w:cs="Times New Roman" w:eastAsia="Times New Roman" w:hAnsi="Times New Roman"/>
          <w:sz w:val="16"/>
          <w:szCs w:val="16"/>
          <w:color w:val="auto"/>
        </w:rPr>
      </w:pPr>
    </w:p>
    <w:p>
      <w:pPr>
        <w:ind w:left="880" w:hanging="440"/>
        <w:spacing w:after="0" w:line="207" w:lineRule="exact"/>
        <w:tabs>
          <w:tab w:leader="none" w:pos="8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develop,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or acquire additional product candidates;</w:t>
      </w:r>
    </w:p>
    <w:p>
      <w:pPr>
        <w:spacing w:after="0" w:line="252" w:lineRule="exact"/>
        <w:rPr>
          <w:rFonts w:ascii="Times New Roman" w:cs="Times New Roman" w:eastAsia="Times New Roman" w:hAnsi="Times New Roman"/>
          <w:sz w:val="16"/>
          <w:szCs w:val="16"/>
          <w:color w:val="auto"/>
        </w:rPr>
      </w:pPr>
    </w:p>
    <w:p>
      <w:pPr>
        <w:ind w:left="880" w:hanging="440"/>
        <w:spacing w:after="0" w:line="207" w:lineRule="exact"/>
        <w:tabs>
          <w:tab w:leader="none" w:pos="8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conduct late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for any product candidates;</w:t>
      </w:r>
    </w:p>
    <w:p>
      <w:pPr>
        <w:spacing w:after="0" w:line="252" w:lineRule="exact"/>
        <w:rPr>
          <w:rFonts w:ascii="Times New Roman" w:cs="Times New Roman" w:eastAsia="Times New Roman" w:hAnsi="Times New Roman"/>
          <w:sz w:val="16"/>
          <w:szCs w:val="16"/>
          <w:color w:val="auto"/>
        </w:rPr>
      </w:pPr>
    </w:p>
    <w:p>
      <w:pPr>
        <w:ind w:left="880" w:hanging="440"/>
        <w:spacing w:after="0" w:line="207" w:lineRule="exact"/>
        <w:tabs>
          <w:tab w:leader="none" w:pos="8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conduct additional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with any product candidates;</w:t>
      </w:r>
    </w:p>
    <w:p>
      <w:pPr>
        <w:spacing w:after="0" w:line="280"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conduct clinical studies with any additional product candidates;</w:t>
      </w:r>
    </w:p>
    <w:p>
      <w:pPr>
        <w:spacing w:after="0" w:line="252"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require larger quantities of product; and</w:t>
      </w:r>
    </w:p>
    <w:p>
      <w:pPr>
        <w:spacing w:after="0" w:line="252"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52"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and/or commercializing products that generate significant revenue.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may never succeed in these activities and, even if we do, may never achieve profitability.</w:t>
      </w:r>
    </w:p>
    <w:p>
      <w:pPr>
        <w:spacing w:after="0" w:line="187" w:lineRule="exact"/>
        <w:rPr>
          <w:sz w:val="20"/>
          <w:szCs w:val="20"/>
          <w:color w:val="auto"/>
        </w:rPr>
      </w:pPr>
    </w:p>
    <w:p>
      <w:pPr>
        <w:jc w:val="both"/>
        <w:ind w:firstLine="864"/>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80" w:lineRule="exact"/>
        <w:rPr>
          <w:sz w:val="20"/>
          <w:szCs w:val="20"/>
          <w:color w:val="auto"/>
        </w:rPr>
      </w:pPr>
    </w:p>
    <w:p>
      <w:pPr>
        <w:jc w:val="both"/>
        <w:ind w:firstLine="864"/>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7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75" w:lineRule="exact"/>
        <w:rPr>
          <w:sz w:val="20"/>
          <w:szCs w:val="20"/>
          <w:color w:val="auto"/>
        </w:rPr>
      </w:pPr>
    </w:p>
    <w:p>
      <w:pPr>
        <w:jc w:val="both"/>
        <w:ind w:firstLine="864"/>
        <w:spacing w:after="0" w:line="222" w:lineRule="exact"/>
        <w:rPr>
          <w:sz w:val="20"/>
          <w:szCs w:val="20"/>
          <w:color w:val="auto"/>
        </w:rPr>
      </w:pPr>
      <w:r>
        <w:rPr>
          <w:rFonts w:ascii="Times New Roman" w:cs="Times New Roman" w:eastAsia="Times New Roman" w:hAnsi="Times New Roman"/>
          <w:sz w:val="18"/>
          <w:szCs w:val="18"/>
          <w:color w:val="auto"/>
        </w:rPr>
        <w:t>Conducting clinical trials, pursuing regulatory approvals, establishing outsourced manufacturing relationships, and successfully manufacturing and commercializing our product candidates is a very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expensive, and uncertain process that takes years to complete. We may need to raise additional capital to:</w:t>
      </w:r>
    </w:p>
    <w:p>
      <w:pPr>
        <w:spacing w:after="0" w:line="199" w:lineRule="exact"/>
        <w:rPr>
          <w:sz w:val="20"/>
          <w:szCs w:val="20"/>
          <w:color w:val="auto"/>
        </w:rPr>
      </w:pPr>
    </w:p>
    <w:p>
      <w:pPr>
        <w:ind w:left="880" w:hanging="440"/>
        <w:spacing w:after="0" w:line="282" w:lineRule="auto"/>
        <w:tabs>
          <w:tab w:leader="none" w:pos="8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fund our future clinical trials for our current product candidates, especially if we encounter any unforeseen delays or difficulties in our planned development activities;</w:t>
      </w:r>
    </w:p>
    <w:p>
      <w:pPr>
        <w:spacing w:after="0" w:line="161" w:lineRule="exact"/>
        <w:rPr>
          <w:rFonts w:ascii="Times New Roman" w:cs="Times New Roman" w:eastAsia="Times New Roman" w:hAnsi="Times New Roman"/>
          <w:sz w:val="16"/>
          <w:szCs w:val="16"/>
          <w:color w:val="auto"/>
        </w:rPr>
      </w:pPr>
    </w:p>
    <w:p>
      <w:pPr>
        <w:ind w:left="880" w:hanging="440"/>
        <w:spacing w:after="0" w:line="282" w:lineRule="auto"/>
        <w:tabs>
          <w:tab w:leader="none" w:pos="8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fund our operations and continue our efforts to hire additional personnel and expand our commercial infrastructure for the commercialization of our current and future product candidates, if approved by the FDA or other comparable foreign regulatory authorities;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8" w:name="page39"/>
    <w:bookmarkEnd w:id="38"/>
    <w:p>
      <w:pPr>
        <w:ind w:left="880" w:hanging="440"/>
        <w:spacing w:after="0" w:line="207" w:lineRule="exact"/>
        <w:tabs>
          <w:tab w:leader="none" w:pos="8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qualify and outsource the commercial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manufacturing of our products under current good manufacturing practices, or cGMP;</w:t>
      </w:r>
    </w:p>
    <w:p>
      <w:pPr>
        <w:spacing w:after="0" w:line="280"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develop additional product candidates; and</w:t>
      </w:r>
    </w:p>
    <w:p>
      <w:pPr>
        <w:spacing w:after="0" w:line="223" w:lineRule="exact"/>
        <w:rPr>
          <w:rFonts w:ascii="Times New Roman" w:cs="Times New Roman" w:eastAsia="Times New Roman" w:hAnsi="Times New Roman"/>
          <w:sz w:val="16"/>
          <w:szCs w:val="16"/>
          <w:color w:val="auto"/>
        </w:rPr>
      </w:pPr>
    </w:p>
    <w:p>
      <w:pPr>
        <w:ind w:left="880" w:hanging="440"/>
        <w:spacing w:after="0" w:line="207" w:lineRule="exact"/>
        <w:tabs>
          <w:tab w:leader="none" w:pos="8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other product candidates.</w:t>
      </w:r>
    </w:p>
    <w:p>
      <w:pPr>
        <w:spacing w:after="0" w:line="281"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8"/>
          <w:szCs w:val="18"/>
          <w:color w:val="auto"/>
        </w:rPr>
        <w:t>We believe that our current available cash, along with the remaining committed capital from our $300 million term loan facility from Hercules Capital (described in more detail in our Quarterly Report on Form 10-Q for the quarter ended September 30, 2022 filed with the SEC on November 7, 2022), is sufficient to fund anticipated operations into 2025, based on the current operating plan, which includes the commercialization of Auvelity and Sunosi. Our assumptions may prove to be wrong, and we could spend our available financial resources faster than we currently expect. Further, we may not have sufficient financial resources to meet all of our objectives if any product candidate is approved, which could require us to postpone, scale back, or eliminate some, or all, of these objectives, including our potential launch activities relating to our product candidates. Our future funding requirements will depend on many factors, including, but not limited to:</w:t>
      </w:r>
    </w:p>
    <w:p>
      <w:pPr>
        <w:spacing w:after="0" w:line="189" w:lineRule="exact"/>
        <w:rPr>
          <w:sz w:val="20"/>
          <w:szCs w:val="20"/>
          <w:color w:val="auto"/>
        </w:rPr>
      </w:pPr>
    </w:p>
    <w:p>
      <w:pPr>
        <w:ind w:left="880" w:hanging="440"/>
        <w:spacing w:after="0"/>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rate of progress and costs related to the development of our product candidates;</w:t>
      </w:r>
    </w:p>
    <w:p>
      <w:pPr>
        <w:spacing w:after="0" w:line="252"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associated with conducting additional clinical and non-clinical studies with any of our product candidates;</w:t>
      </w:r>
    </w:p>
    <w:p>
      <w:pPr>
        <w:spacing w:after="0" w:line="252"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potential for delays in our efforts to seek regulatory approval for our product candidates, and any costs associated with such delays;</w:t>
      </w:r>
    </w:p>
    <w:p>
      <w:pPr>
        <w:spacing w:after="0" w:line="252"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of expanding our commercial organization to sell, market, and distribute our product candidates;</w:t>
      </w:r>
    </w:p>
    <w:p>
      <w:pPr>
        <w:spacing w:after="0" w:line="223" w:lineRule="exact"/>
        <w:rPr>
          <w:rFonts w:ascii="Times New Roman" w:cs="Times New Roman" w:eastAsia="Times New Roman" w:hAnsi="Times New Roman"/>
          <w:sz w:val="16"/>
          <w:szCs w:val="16"/>
          <w:color w:val="auto"/>
        </w:rPr>
      </w:pPr>
    </w:p>
    <w:p>
      <w:pPr>
        <w:jc w:val="both"/>
        <w:ind w:left="880" w:hanging="440"/>
        <w:spacing w:after="0" w:line="232" w:lineRule="exact"/>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rate of progress and costs of our efforts to prepare for the submission of an NDA, for any product candidates that we may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or acquire in the future, and the potential that we may need to conduct additional clinical or preclinical trials to support applications for regulatory approval;</w:t>
      </w:r>
    </w:p>
    <w:p>
      <w:pPr>
        <w:spacing w:after="0" w:line="199" w:lineRule="exact"/>
        <w:rPr>
          <w:rFonts w:ascii="Times New Roman" w:cs="Times New Roman" w:eastAsia="Times New Roman" w:hAnsi="Times New Roman"/>
          <w:sz w:val="16"/>
          <w:szCs w:val="16"/>
          <w:color w:val="auto"/>
        </w:rPr>
      </w:pPr>
    </w:p>
    <w:p>
      <w:pPr>
        <w:ind w:left="880" w:hanging="440"/>
        <w:spacing w:after="0" w:line="282" w:lineRule="auto"/>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 associated with our product candidates;</w:t>
      </w:r>
    </w:p>
    <w:p>
      <w:pPr>
        <w:spacing w:after="0" w:line="161" w:lineRule="exact"/>
        <w:rPr>
          <w:rFonts w:ascii="Times New Roman" w:cs="Times New Roman" w:eastAsia="Times New Roman" w:hAnsi="Times New Roman"/>
          <w:sz w:val="16"/>
          <w:szCs w:val="16"/>
          <w:color w:val="auto"/>
        </w:rPr>
      </w:pPr>
    </w:p>
    <w:p>
      <w:pPr>
        <w:ind w:left="880" w:hanging="440"/>
        <w:spacing w:after="0" w:line="282" w:lineRule="auto"/>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 and timing of manufacturing, or having third parties manufacture, sufficient supplies of our product candidates in preparation for commercialization;</w:t>
      </w:r>
    </w:p>
    <w:p>
      <w:pPr>
        <w:spacing w:after="0" w:line="161"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effect of competing technological and market developments;</w:t>
      </w:r>
    </w:p>
    <w:p>
      <w:pPr>
        <w:spacing w:after="0" w:line="252"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revenue received from commercial sales of our products or product candidates, if any, subject to the receipt of regulatory approval;</w:t>
      </w:r>
    </w:p>
    <w:p>
      <w:pPr>
        <w:spacing w:after="0" w:line="223" w:lineRule="exact"/>
        <w:rPr>
          <w:rFonts w:ascii="Times New Roman" w:cs="Times New Roman" w:eastAsia="Times New Roman" w:hAnsi="Times New Roman"/>
          <w:sz w:val="16"/>
          <w:szCs w:val="16"/>
          <w:color w:val="auto"/>
        </w:rPr>
      </w:pPr>
    </w:p>
    <w:p>
      <w:pPr>
        <w:ind w:left="880" w:hanging="440"/>
        <w:spacing w:after="0" w:line="207" w:lineRule="exact"/>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terms and timing of any collaborative, licensing,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promotion, or other arrangements that we may establish; and</w:t>
      </w:r>
    </w:p>
    <w:p>
      <w:pPr>
        <w:spacing w:after="0" w:line="280"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success of the commercialization of any of our current or future product candidates.</w:t>
      </w:r>
    </w:p>
    <w:p>
      <w:pPr>
        <w:spacing w:after="0" w:line="252"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18"/>
          <w:szCs w:val="18"/>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will have broad discretion as to the use of any proceeds from this offering, and we may not use the proceeds effectively.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with respect to the use of any proceeds of this offering, including for any of the purposes described in "Use of Proceeds." You will be relying on the judgment of our management regarding the application of any proceeds of this offering. The results and effectiveness of the use of proceeds are uncertain, and we could spend the proceeds in ways that you do not agree with or that do not improve our results of operations or enhance the value of our common stock. Our failure to apply these funds effectively could have a material adverse effect on our business, delay the development of our product candidates and cause the price of our common stock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aggregate proceeds resulting from sales made under the Sales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SVB Securities at any time throughout the term of the Sales Agreement. The number of shares that are sold through SVB Securities after delivering a placement notice will fluctuate based on a number of factors, including the market price of our common stock during the sales period, any limits we may set with SVB Securities in any applicable placement notice and the demand for our common stock. Because the price per share of each share sold pursuant to the Sales Agreement will fluctuate over time, it is not currently possible to predict the aggregate proceeds to be raised in connection with sales under the sales agreement.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"at-the-market offerings" and investors who buy shares at different times will likely pay different prices.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common stock in this offering, you may incur immediate and substantial dilution in the book value of your shares.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offering price per share of common stock in this offering may exceed the net tangible book value per share of our common stock outstanding prior to this offering. Therefore, if you purchase common stock in this offering, you may pay a price per share that exceeds our as adjusted net tangible book value per share of common stock. Assuming that an aggregate of 3,458,292 shares of our common stock are sold at an assumed offering price of $72.29 per share, the last reported sale price of our common stock on the Nasdaq Global Market on November 30, 2022, for aggregate gross proceeds of $250 million, and after deducting commissions and estimated offering expenses payable by us, you would experience immediate dilution of $65.33 per share, representing the difference between our as adjusted net tangible book value per share as of September 30, 2022, after giving effect to this offering, and the assumed offering price. To the extent outstanding options or warrants are exercised, you will experience further dilution. See the section titled "Dilution" below for a more detailed illustration of the dilution you would incur if you participate in this offering. Because the sales of the shares offered hereby will be made directly into the market, the prices at which we sell these shares will vary and these variations may be significant. Purchasers of the shares we sell, as well as our existing shareholders, will experience significant dilution if we sell shares at prices significantly below the price at which they invested.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pursuant to our equity compensation plans could result in additional dilution of the percentage ownership of our stockholders and could cause the price of our common stock to decline.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or if we issue common stock pursuant to our equity compensation plans, investors may be materially diluted by subsequent sales or issuances. These sales or issuances may also result in material dilution to our existing stockholders, and new investors could gain rights superior to our existing stockholders.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and sell shares of our common stock having an aggregate offering price of up to $250 million from time to time. Because there is no minimum offering amount required as a condition to close this offering, the actual total public offering amount, commissions to SVB Securities and proceeds to us, if any, are not determinable at this time. There can be no assurance that we will sell any shares under the Sales Agreement as a source of financing.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to continue to fund the ongoing clinical development of our late stage product candidates and for other general corporate purposes, including commercializing our products, and funding existing and potential new clinical programs and product candidates.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expected use of the net proceeds to us from this offering represents our current intentions based upon our present plans and business condition. The amounts and timing of our actual expenditures will depend on numerous factors, including the progress of our research and development efforts, the status of and results from our current or future clinical trials, the timing of regulatory submissions and any unforeseen cash needs. Accordingly, our management will have broad discretion in the application of any net proceeds from this offering.</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Until we use the net proceeds of this offering for the purposes described above, we intend to invest any funds we receive in short-term, investment-grade, interest-bearing instruments and U.S. government securities. We cannot predict whether these investments will yield a favorable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in this offering, your interest will be diluted immediately to the extent of the difference between the price per share you pay in this offering and the as adjusted net tangible book value per share of our common stock after giving effect to this offering. Net tangible book value per share represents our total assets, less total liabilities, divided by the number of shares of our common stock outstanding.</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September 30, 2022, our net tangible book value was $84.2 million or $1.94 per share of common stock, based on 43,425,707 shares of common stock then outstanding. After giving effect to the assumed sale by us of an aggregate of 3,458,292 shares of our common stock at an assumed offering price of $72.29 per share, the last reported sale price of our common stock on the Nasdaq Global Market on November 30, 2022, for aggregate gross proceeds of approximately $250 million, and after deducting commissions and estimated offering expenses payable by us, our net tangible book value at September 30, 2022 would have been $326.5 million or $6.96 per share of common stock. This represents an immediate increase in net tangible book value to existing stockholders of $5.02 per share and an immediate dilution of $65.33 per share to new investors purchasing common stock at the assumed offering price of $72.29 per share in this offering.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this per share dilution to the new investors purchasing shares of common stock in this offering: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Assumed offering price per share</w:t>
            </w:r>
          </w:p>
        </w:tc>
        <w:tc>
          <w:tcPr>
            <w:tcW w:w="5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72.29</w:t>
            </w:r>
          </w:p>
        </w:tc>
      </w:tr>
      <w:tr>
        <w:trPr>
          <w:trHeight w:val="203"/>
        </w:trPr>
        <w:tc>
          <w:tcPr>
            <w:tcW w:w="8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tangible book value per share at September 30, 2022</w:t>
            </w:r>
          </w:p>
        </w:tc>
        <w:tc>
          <w:tcPr>
            <w:tcW w:w="5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8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Increase in net tangible book value per share attributable to new investors purchasing shares in this offering</w:t>
            </w:r>
          </w:p>
        </w:tc>
        <w:tc>
          <w:tcPr>
            <w:tcW w:w="5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96"/>
        </w:trPr>
        <w:tc>
          <w:tcPr>
            <w:tcW w:w="8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 adjusted net tangible book value per share at September 30, 2022, after giving effect to this offering</w:t>
            </w: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r>
      <w:tr>
        <w:trPr>
          <w:trHeight w:val="203"/>
        </w:trPr>
        <w:tc>
          <w:tcPr>
            <w:tcW w:w="856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207"/>
        </w:trPr>
        <w:tc>
          <w:tcPr>
            <w:tcW w:w="8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Dilution per share to new investors in this offering</w:t>
            </w:r>
          </w:p>
        </w:tc>
        <w:tc>
          <w:tcPr>
            <w:tcW w:w="5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65.33</w:t>
            </w:r>
          </w:p>
        </w:tc>
      </w:tr>
      <w:tr>
        <w:trPr>
          <w:trHeight w:val="20"/>
        </w:trPr>
        <w:tc>
          <w:tcPr>
            <w:tcW w:w="8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table and calculations are based on 43,425,707 shares of our common stock outstanding as of September 30, 2022, and excludes:</w:t>
      </w:r>
    </w:p>
    <w:p>
      <w:pPr>
        <w:spacing w:after="0" w:line="158" w:lineRule="exact"/>
        <w:rPr>
          <w:sz w:val="20"/>
          <w:szCs w:val="20"/>
          <w:color w:val="auto"/>
        </w:rPr>
      </w:pPr>
    </w:p>
    <w:p>
      <w:pPr>
        <w:ind w:left="1740" w:hanging="436"/>
        <w:spacing w:after="0" w:line="282" w:lineRule="auto"/>
        <w:tabs>
          <w:tab w:leader="none" w:pos="1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686,933 shares of common stock covering an equal amount of restricted stock units outstanding as of September 30, 2022, at a weighted-average grant date fair value price of $31.49 per share;</w:t>
      </w:r>
    </w:p>
    <w:p>
      <w:pPr>
        <w:spacing w:after="0" w:line="53" w:lineRule="exact"/>
        <w:rPr>
          <w:rFonts w:ascii="Times New Roman" w:cs="Times New Roman" w:eastAsia="Times New Roman" w:hAnsi="Times New Roman"/>
          <w:sz w:val="18"/>
          <w:szCs w:val="18"/>
          <w:color w:val="auto"/>
        </w:rPr>
      </w:pPr>
    </w:p>
    <w:p>
      <w:pPr>
        <w:ind w:left="1740" w:hanging="436"/>
        <w:spacing w:after="0" w:line="282" w:lineRule="auto"/>
        <w:tabs>
          <w:tab w:leader="none" w:pos="1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6,544,883 shares of common stock issuable upon exercise of stock options outstanding as of September 30, 2022, at a weighted average exercise price of $31.26 per share;</w:t>
      </w:r>
    </w:p>
    <w:p>
      <w:pPr>
        <w:spacing w:after="0" w:line="53" w:lineRule="exact"/>
        <w:rPr>
          <w:rFonts w:ascii="Times New Roman" w:cs="Times New Roman" w:eastAsia="Times New Roman" w:hAnsi="Times New Roman"/>
          <w:sz w:val="18"/>
          <w:szCs w:val="18"/>
          <w:color w:val="auto"/>
        </w:rPr>
      </w:pPr>
    </w:p>
    <w:p>
      <w:pPr>
        <w:ind w:left="1740" w:hanging="436"/>
        <w:spacing w:after="0" w:line="282" w:lineRule="auto"/>
        <w:tabs>
          <w:tab w:leader="none" w:pos="1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50,796 shares of common stock issuable upon the exercise of outstanding warrants as of September 30, 2022, with an exercise price of $46.75 per share; and</w:t>
      </w:r>
    </w:p>
    <w:p>
      <w:pPr>
        <w:spacing w:after="0" w:line="53" w:lineRule="exact"/>
        <w:rPr>
          <w:rFonts w:ascii="Times New Roman" w:cs="Times New Roman" w:eastAsia="Times New Roman" w:hAnsi="Times New Roman"/>
          <w:sz w:val="18"/>
          <w:szCs w:val="18"/>
          <w:color w:val="auto"/>
        </w:rPr>
      </w:pPr>
    </w:p>
    <w:p>
      <w:pPr>
        <w:ind w:left="1740" w:right="20" w:hanging="436"/>
        <w:spacing w:after="0" w:line="282" w:lineRule="auto"/>
        <w:tabs>
          <w:tab w:leader="none" w:pos="1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3,097,314 shares of common stock available for future grant under our 2015 Omnibus Incentive Compensation Plan as of September 30, 2022;</w:t>
      </w:r>
    </w:p>
    <w:p>
      <w:pPr>
        <w:spacing w:after="0" w:line="2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increase of $10.00 per share in the price at which the shares are sold from the assumed offering price of $72.29 per share shown in the table above, assuming all of our common stock in the aggregate amount of approximately $250 million during the term of the Sales Agreement with SVB Securities is sold at that price, would increase our as adjusted net tangible book value per share to $7.03 per share and would increase the dilution in net tangible book value per share to new investors in this offering to $75.26 per share, after deducting commissions and estimated offering expenses payable by us. A decrease of $10.00 per share in the price at which the shares are sold from the assumed offering price of $72.29 per share shown in the table above, assuming all of our common stock in the aggregate amount of approximately $250 million during the term of the Sales Agreement with SVB Securities is sold at that price, would decrease our as adjusted net tangible book value per share to $6.88 per share and would decrease the dilution in net tangible book value per share to new investors in this offering to $55.41 per share, after deducting commissions and estimated offering expenses payable by 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42" w:name="page43"/>
    <w:bookmarkEnd w:id="42"/>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discussed above is illustrative only and the shares subject to our Sales Agreement with SVB Securities are being sold from time to time at various prices. Furthermore, to the extent outstanding options or warrants are exercised, you will experience further dilution. In addition, we may choose to raise additional capital due to market conditions or strategic considerations even if we believe we have sufficient funds for our current or future operating plans. If we raise additional capital through the sale of equity or convertible debt securities, you will experience further dilution.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 Sales Agreement with SVB Securities LLC, or SVB Securities, under which we may issue and sell up to $250 million of shares of our common stock from time to time through SVB Securities as our sales agent. Sales of our common stock, if any, will be made by any method that is deemed to be an “at the market offering” as defined in Rule 415 under the Securities Act, including sales made directly on or through the Nasdaq Global Market, on or through any other existing trading market for the common stock or to or through a market maker.</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SVB Securities will offer our common stock subject to the terms and conditions of the Sales Agreement on a daily basis or as otherwise agreed upon by us and SVB Securities. We will designate the maximum number or amount of common stock to be sold through SVB Securities on a daily basis or otherwise determine such maximum number or amount together with SVB Securities. Subject to the terms and conditions of the Sales Agreement, SVB Securities will use commercially reasonable efforts consistent with its normal trading and sales practices to sell on our behalf all of the common stock requested to be sold by us. We may instruct SVB Securities not to sell common stock if the sales cannot be effected at or above a minimum price designated by us in any such instruction. SVB Securities or we may suspend the offering of our common stock being made through SVB Securities under the Sales Agreement upon proper notice to the other party. SVB Securities and we each have the right, by giving written notice as specified in the Sales Agreement, to terminate the Sales Agreement in each party’s sole discretion at any time. The offering of our common stock pursuant to the Sales Agreement will otherwise terminate upon the termination of the Sales Agreement as provided therein.</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compensation payable to SVB Securities as sales agent will be an amount up to 3.0% of the gross proceeds of any shares of common stock sold through it pursuant to the Sales Agreement. We have also agreed to reimburse SVB Securities for actual outside legal expenses incurred by SVB Securities in connection with the initial establishment of this offering program, including SVB Securities’ counsel fees in an amount up to $50,000, plus an additional amount of up to $15,000 in connection with determining our compliance with the rules and regulations of the Financial Industry Regulatory Authority, Inc., or FINRA. In accordance with FINRA Rule 5110 these reimbursed fees and expenses are deemed sales compensation to SVB Securities in connection with this offering. We estimate that the total expenses of the offering payable by us, excluding commissions payable to SVB Securities under the Sales Agreement, will be approximately $150,000.</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remaining sales proceeds, after deducting any expenses payable by us and any transaction fees imposed by any governmental, regulatory or self-regulatory organization in connection with the sales of our common stock, will equal our net proceeds for the sale of such common stock. SVB Securities will provide written confirmation to us no later than the next succeeding trading day on the Nasdaq Global Market after each day on which common stock is sold through it as sales agent under the Sales Agreement. Each confirmation will include the number or amount of shares sold through it as sales agent on that day, the volume weighted average price of the shares sold, the percentage of the daily trading volume and the net proceeds to us from such sales.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report at least quarterly the number of shares of common stock sold through SVB Securities under the Sales Agreement, the net proceeds to us and the compensation paid by us to SVB Securities in connection with the sales of common stock during the relevant period. Settlement for sales of common stock will occur, unless the parties agree otherwise, on the second trading day following the date on which any sales were made in return for payment of the net proceeds to us. There is no arrangement for funds to be received in an escrow, trust or similar arrangement.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sale of the common stock on our behalf pursuant to the Sales Agreement, SVB Securities will be deemed to be an “underwriter” within the meaning of the Securities Act and the compensation paid to SVB Securities will be deemed to be underwriting commissions or discounts. We have agreed in the Sales Agreement to provide indemnification and contribution to SVB Securities with respect to certain liabilities, including liabilities under the Securities Act or the Exchange Act. As sales agent, SVB Securities will not engage in any transactions that stabilize our common stock.</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and trade under the symbol “AXSM.” The transfer agent of our common stock is American Stock Transfer &amp; Trust Company, LLC.</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SVB Securities and/or its affiliates have provided, and may in the future provide, various investment banking and other financial services for us for which services they have received, and may in the future receive, customary fees.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common stock being offered by this prospectus will be passed upon for us by DLA Piper LLP (US), Short Hills, New Jersey. Covington</w:t>
      </w:r>
    </w:p>
    <w:p>
      <w:pPr>
        <w:spacing w:after="0" w:line="27" w:lineRule="exact"/>
        <w:rPr>
          <w:sz w:val="20"/>
          <w:szCs w:val="20"/>
          <w:color w:val="auto"/>
        </w:rPr>
      </w:pPr>
    </w:p>
    <w:p>
      <w:pPr>
        <w:ind w:left="200" w:hanging="192"/>
        <w:spacing w:after="0"/>
        <w:tabs>
          <w:tab w:leader="none" w:pos="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Burling LLP, New York, New York, is counsel to SVB Securities in connection with this offering.</w:t>
      </w:r>
    </w:p>
    <w:p>
      <w:pPr>
        <w:spacing w:after="0" w:line="202" w:lineRule="exact"/>
        <w:rPr>
          <w:rFonts w:ascii="Times New Roman" w:cs="Times New Roman" w:eastAsia="Times New Roman" w:hAnsi="Times New Roman"/>
          <w:sz w:val="18"/>
          <w:szCs w:val="18"/>
          <w:color w:val="auto"/>
        </w:rPr>
      </w:pPr>
    </w:p>
    <w:p>
      <w:pPr>
        <w:ind w:left="5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fiscal year ended December 31, 2021, and the effectiveness of our internal control over financial reporting as of December 31, 2021, as set forth in their reports, which are incorporated by reference in this prospectus and elsewhere in the registration statement of which this prospectus forms a part. Our financial statements are, and audited financial statements to be included in subsequently filed documents will be, incorporated herein by reference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as experts in accounting and auditing.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is a part of the automatic “shelf” registration statement on Form S-3ASR that we filed with the SEC as a “well-known seasoned issuer” as defined in Rule 405 under the Securities Act. This prospectus does not contain all of the information set forth in the registration statement and the exhibits to the registration statement or the documents incorporated by reference herein and therein. For further information with respect to us and the securities that we are offering under this prospectus, we refer you to the registration statement and the exhibits and schedules filed as a part of the registration statement and the documents incorporated by reference herein and therein. You should rely only on the information contained in this prospectus or incorporated by reference herein.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hereby.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other reports, proxy and information statements and other information with the Securities and Exchange Commission. The SEC maintains a website that contains reports, proxy statements and other information regarding us. The address of the SEC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maintain a website at </w:t>
      </w:r>
      <w:r>
        <w:rPr>
          <w:rFonts w:ascii="Times New Roman" w:cs="Times New Roman" w:eastAsia="Times New Roman" w:hAnsi="Times New Roman"/>
          <w:sz w:val="18"/>
          <w:szCs w:val="18"/>
          <w:i w:val="1"/>
          <w:iCs w:val="1"/>
          <w:color w:val="auto"/>
        </w:rPr>
        <w:t>www.axsome.com</w:t>
      </w:r>
      <w:r>
        <w:rPr>
          <w:rFonts w:ascii="Times New Roman" w:cs="Times New Roman" w:eastAsia="Times New Roman" w:hAnsi="Times New Roman"/>
          <w:sz w:val="18"/>
          <w:szCs w:val="18"/>
          <w:color w:val="auto"/>
        </w:rPr>
        <w:t>. The information contained on, or that can be accessed through, our website is not a part of this prospectus. Investors should not rely on any such information in deciding whether to purchase our common stock. We have included our website address in this prospectus solely as an inactive textual reference.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certain information we file with it, which means that we can disclose important information by referring you to those documents. The information incorporated by reference is considered to be a part of this prospectus and information that we file later with the SEC will automatically update and supersede information contained in this prospectus.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documents are incorporated by reference into this document (other than the portions of these documents deemed to be “furnished” or not deemed to be “filed,” including the portions of these documents that are furnished under Item 2.02 or Item 7.01 of a Current Report on Form 8-K, including any exhibits included with such Items):</w:t>
      </w:r>
    </w:p>
    <w:p>
      <w:pPr>
        <w:spacing w:after="0" w:line="68" w:lineRule="exact"/>
        <w:rPr>
          <w:sz w:val="20"/>
          <w:szCs w:val="20"/>
          <w:color w:val="auto"/>
        </w:rPr>
      </w:pPr>
    </w:p>
    <w:p>
      <w:pPr>
        <w:ind w:left="880" w:hanging="440"/>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3">
        <w:r>
          <w:rPr>
            <w:rFonts w:ascii="Times New Roman" w:cs="Times New Roman" w:eastAsia="Times New Roman" w:hAnsi="Times New Roman"/>
            <w:sz w:val="18"/>
            <w:szCs w:val="18"/>
            <w:u w:val="single" w:color="auto"/>
            <w:color w:val="auto"/>
          </w:rPr>
          <w:t>Form 10-K for the fiscal year ended December 31, 2021 filed with the SEC on March 1, 2022</w:t>
        </w:r>
      </w:hyperlink>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41"/>
        </w:numPr>
        <w:rPr>
          <w:rFonts w:ascii="Times New Roman" w:cs="Times New Roman" w:eastAsia="Times New Roman" w:hAnsi="Times New Roman"/>
          <w:sz w:val="18"/>
          <w:szCs w:val="18"/>
          <w:color w:val="auto"/>
        </w:rPr>
      </w:pPr>
      <w:hyperlink r:id="rId44">
        <w:r>
          <w:rPr>
            <w:rFonts w:ascii="Times New Roman" w:cs="Times New Roman" w:eastAsia="Times New Roman" w:hAnsi="Times New Roman"/>
            <w:sz w:val="18"/>
            <w:szCs w:val="18"/>
            <w:u w:val="single" w:color="auto"/>
            <w:color w:val="auto"/>
          </w:rPr>
          <w:t>the information contained in our definitive proxy statement on Schedule 14A for our 2022 annual meeting of stockholders filed with the SEC</w:t>
        </w:r>
      </w:hyperlink>
      <w:r>
        <w:rPr>
          <w:rFonts w:ascii="Times New Roman" w:cs="Times New Roman" w:eastAsia="Times New Roman" w:hAnsi="Times New Roman"/>
          <w:sz w:val="18"/>
          <w:szCs w:val="18"/>
          <w:u w:val="single" w:color="auto"/>
          <w:color w:val="auto"/>
        </w:rPr>
        <w:t xml:space="preserve"> </w:t>
      </w:r>
      <w:hyperlink r:id="rId44">
        <w:r>
          <w:rPr>
            <w:rFonts w:ascii="Times New Roman" w:cs="Times New Roman" w:eastAsia="Times New Roman" w:hAnsi="Times New Roman"/>
            <w:sz w:val="18"/>
            <w:szCs w:val="18"/>
            <w:u w:val="single" w:color="auto"/>
            <w:color w:val="auto"/>
          </w:rPr>
          <w:t>on April 22, 2022, to the extent incorporated by reference in Part III of the Form 10-K for the fiscal year ended December 31, 2021</w:t>
        </w:r>
        <w:r>
          <w:rPr>
            <w:rFonts w:ascii="Times New Roman" w:cs="Times New Roman" w:eastAsia="Times New Roman" w:hAnsi="Times New Roman"/>
            <w:sz w:val="18"/>
            <w:szCs w:val="18"/>
            <w:color w:val="auto"/>
          </w:rPr>
          <w:t>;</w:t>
        </w:r>
      </w:hyperlink>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5">
        <w:r>
          <w:rPr>
            <w:rFonts w:ascii="Times New Roman" w:cs="Times New Roman" w:eastAsia="Times New Roman" w:hAnsi="Times New Roman"/>
            <w:sz w:val="18"/>
            <w:szCs w:val="18"/>
            <w:u w:val="single" w:color="auto"/>
            <w:color w:val="auto"/>
          </w:rPr>
          <w:t>Form 10-Q for the quarter ended March 31, 2022 filed with the SEC on May 2, 2022</w:t>
        </w:r>
      </w:hyperlink>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6">
        <w:r>
          <w:rPr>
            <w:rFonts w:ascii="Times New Roman" w:cs="Times New Roman" w:eastAsia="Times New Roman" w:hAnsi="Times New Roman"/>
            <w:sz w:val="18"/>
            <w:szCs w:val="18"/>
            <w:u w:val="single" w:color="auto"/>
            <w:color w:val="auto"/>
          </w:rPr>
          <w:t>Form 10-Q for the quarter ended June 30, 2022 filed with the SEC on August 9, 2022</w:t>
        </w:r>
      </w:hyperlink>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7">
        <w:r>
          <w:rPr>
            <w:rFonts w:ascii="Times New Roman" w:cs="Times New Roman" w:eastAsia="Times New Roman" w:hAnsi="Times New Roman"/>
            <w:sz w:val="18"/>
            <w:szCs w:val="18"/>
            <w:u w:val="single" w:color="auto"/>
            <w:color w:val="auto"/>
          </w:rPr>
          <w:t>Form 10-Q for the quarter ended September 30, 2022 filed with the SEC on November 7, 2022</w:t>
        </w:r>
      </w:hyperlink>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880" w:hanging="440"/>
        <w:spacing w:after="0" w:line="258" w:lineRule="auto"/>
        <w:tabs>
          <w:tab w:leader="none" w:pos="880" w:val="left"/>
        </w:tabs>
        <w:numPr>
          <w:ilvl w:val="0"/>
          <w:numId w:val="41"/>
        </w:numPr>
        <w:rPr>
          <w:rFonts w:ascii="Times New Roman" w:cs="Times New Roman" w:eastAsia="Times New Roman" w:hAnsi="Times New Roman"/>
          <w:sz w:val="18"/>
          <w:szCs w:val="18"/>
          <w:color w:val="auto"/>
        </w:rPr>
      </w:pPr>
      <w:hyperlink r:id="rId48">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auto"/>
          </w:rPr>
          <w:t>January 18,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February 7,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March 1, 2022 (Film No. 22699556)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March 28,</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auto"/>
          </w:rPr>
          <w:t>2022</w:t>
        </w:r>
        <w:r>
          <w:rPr>
            <w:rFonts w:ascii="Times New Roman" w:cs="Times New Roman" w:eastAsia="Times New Roman" w:hAnsi="Times New Roman"/>
            <w:sz w:val="18"/>
            <w:szCs w:val="18"/>
            <w:color w:val="auto"/>
          </w:rPr>
          <w:t xml:space="preserve">, </w:t>
        </w:r>
      </w:hyperlink>
      <w:hyperlink r:id="rId49">
        <w:r>
          <w:rPr>
            <w:rFonts w:ascii="Times New Roman" w:cs="Times New Roman" w:eastAsia="Times New Roman" w:hAnsi="Times New Roman"/>
            <w:sz w:val="18"/>
            <w:szCs w:val="18"/>
            <w:u w:val="single" w:color="auto"/>
            <w:color w:val="auto"/>
          </w:rPr>
          <w:t>March 31, 2022</w:t>
        </w:r>
      </w:hyperlink>
      <w:hyperlink r:id="rId48">
        <w:r>
          <w:rPr>
            <w:rFonts w:ascii="Times New Roman" w:cs="Times New Roman" w:eastAsia="Times New Roman" w:hAnsi="Times New Roman"/>
            <w:sz w:val="18"/>
            <w:szCs w:val="18"/>
            <w:color w:val="auto"/>
          </w:rPr>
          <w:t xml:space="preserve">, </w:t>
        </w:r>
      </w:hyperlink>
      <w:hyperlink r:id="rId50">
        <w:r>
          <w:rPr>
            <w:rFonts w:ascii="Times New Roman" w:cs="Times New Roman" w:eastAsia="Times New Roman" w:hAnsi="Times New Roman"/>
            <w:sz w:val="18"/>
            <w:szCs w:val="18"/>
            <w:u w:val="single" w:color="auto"/>
            <w:color w:val="auto"/>
          </w:rPr>
          <w:t>April 19, 2022</w:t>
        </w:r>
      </w:hyperlink>
      <w:hyperlink r:id="rId48">
        <w:r>
          <w:rPr>
            <w:rFonts w:ascii="Times New Roman" w:cs="Times New Roman" w:eastAsia="Times New Roman" w:hAnsi="Times New Roman"/>
            <w:sz w:val="18"/>
            <w:szCs w:val="18"/>
            <w:color w:val="auto"/>
          </w:rPr>
          <w:t xml:space="preserve">, </w:t>
        </w:r>
      </w:hyperlink>
      <w:hyperlink r:id="rId51">
        <w:r>
          <w:rPr>
            <w:rFonts w:ascii="Times New Roman" w:cs="Times New Roman" w:eastAsia="Times New Roman" w:hAnsi="Times New Roman"/>
            <w:sz w:val="18"/>
            <w:szCs w:val="18"/>
            <w:u w:val="single" w:color="auto"/>
            <w:color w:val="auto"/>
          </w:rPr>
          <w:t>April 25, 2022</w:t>
        </w:r>
      </w:hyperlink>
      <w:hyperlink r:id="rId48">
        <w:r>
          <w:rPr>
            <w:rFonts w:ascii="Times New Roman" w:cs="Times New Roman" w:eastAsia="Times New Roman" w:hAnsi="Times New Roman"/>
            <w:sz w:val="18"/>
            <w:szCs w:val="18"/>
            <w:color w:val="auto"/>
          </w:rPr>
          <w:t xml:space="preserve">, </w:t>
        </w:r>
      </w:hyperlink>
      <w:hyperlink r:id="rId52">
        <w:r>
          <w:rPr>
            <w:rFonts w:ascii="Times New Roman" w:cs="Times New Roman" w:eastAsia="Times New Roman" w:hAnsi="Times New Roman"/>
            <w:sz w:val="18"/>
            <w:szCs w:val="18"/>
            <w:u w:val="single" w:color="auto"/>
            <w:color w:val="auto"/>
          </w:rPr>
          <w:t xml:space="preserve">May 2, 2022 </w:t>
        </w:r>
      </w:hyperlink>
      <w:hyperlink r:id="rId48">
        <w:r>
          <w:rPr>
            <w:rFonts w:ascii="Times New Roman" w:cs="Times New Roman" w:eastAsia="Times New Roman" w:hAnsi="Times New Roman"/>
            <w:sz w:val="18"/>
            <w:szCs w:val="18"/>
            <w:color w:val="auto"/>
          </w:rPr>
          <w:t xml:space="preserve">(only Item 8.01 and Exhibit 99.2 thereto), </w:t>
        </w:r>
      </w:hyperlink>
      <w:hyperlink r:id="rId53">
        <w:r>
          <w:rPr>
            <w:rFonts w:ascii="Times New Roman" w:cs="Times New Roman" w:eastAsia="Times New Roman" w:hAnsi="Times New Roman"/>
            <w:sz w:val="18"/>
            <w:szCs w:val="18"/>
            <w:u w:val="single" w:color="auto"/>
            <w:color w:val="auto"/>
          </w:rPr>
          <w:t>May 9, 2022</w:t>
        </w:r>
      </w:hyperlink>
      <w:hyperlink r:id="rId48">
        <w:r>
          <w:rPr>
            <w:rFonts w:ascii="Times New Roman" w:cs="Times New Roman" w:eastAsia="Times New Roman" w:hAnsi="Times New Roman"/>
            <w:sz w:val="18"/>
            <w:szCs w:val="18"/>
            <w:color w:val="auto"/>
          </w:rPr>
          <w:t xml:space="preserve">, </w:t>
        </w:r>
      </w:hyperlink>
      <w:hyperlink r:id="rId54">
        <w:r>
          <w:rPr>
            <w:rFonts w:ascii="Times New Roman" w:cs="Times New Roman" w:eastAsia="Times New Roman" w:hAnsi="Times New Roman"/>
            <w:sz w:val="18"/>
            <w:szCs w:val="18"/>
            <w:u w:val="single" w:color="auto"/>
            <w:color w:val="auto"/>
          </w:rPr>
          <w:t>May 18, 2022</w:t>
        </w:r>
      </w:hyperlink>
      <w:hyperlink r:id="rId48">
        <w:r>
          <w:rPr>
            <w:rFonts w:ascii="Times New Roman" w:cs="Times New Roman" w:eastAsia="Times New Roman" w:hAnsi="Times New Roman"/>
            <w:sz w:val="18"/>
            <w:szCs w:val="18"/>
            <w:color w:val="auto"/>
          </w:rPr>
          <w:t>,</w:t>
        </w:r>
      </w:hyperlink>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u w:val="single" w:color="auto"/>
            <w:color w:val="auto"/>
          </w:rPr>
          <w:t>May 31,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June 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June 2,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June 7,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June 27,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June 28,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July 21,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August 9,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August 19,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August</w:t>
        </w:r>
      </w:hyperlink>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u w:val="single" w:color="auto"/>
            <w:color w:val="auto"/>
          </w:rPr>
          <w:t>22, 2022</w:t>
        </w:r>
        <w:r>
          <w:rPr>
            <w:rFonts w:ascii="Times New Roman" w:cs="Times New Roman" w:eastAsia="Times New Roman" w:hAnsi="Times New Roman"/>
            <w:sz w:val="18"/>
            <w:szCs w:val="18"/>
            <w:color w:val="auto"/>
          </w:rPr>
          <w:t xml:space="preserve">, </w:t>
        </w:r>
      </w:hyperlink>
      <w:hyperlink r:id="rId56">
        <w:r>
          <w:rPr>
            <w:rFonts w:ascii="Times New Roman" w:cs="Times New Roman" w:eastAsia="Times New Roman" w:hAnsi="Times New Roman"/>
            <w:sz w:val="18"/>
            <w:szCs w:val="18"/>
            <w:u w:val="single" w:color="auto"/>
            <w:color w:val="auto"/>
          </w:rPr>
          <w:t xml:space="preserve">August 23, 2022 </w:t>
        </w:r>
      </w:hyperlink>
      <w:hyperlink r:id="rId55">
        <w:r>
          <w:rPr>
            <w:rFonts w:ascii="Times New Roman" w:cs="Times New Roman" w:eastAsia="Times New Roman" w:hAnsi="Times New Roman"/>
            <w:sz w:val="18"/>
            <w:szCs w:val="18"/>
            <w:color w:val="auto"/>
          </w:rPr>
          <w:t xml:space="preserve">(only Item 8.01), </w:t>
        </w:r>
      </w:hyperlink>
      <w:hyperlink r:id="rId57">
        <w:r>
          <w:rPr>
            <w:rFonts w:ascii="Times New Roman" w:cs="Times New Roman" w:eastAsia="Times New Roman" w:hAnsi="Times New Roman"/>
            <w:sz w:val="18"/>
            <w:szCs w:val="18"/>
            <w:u w:val="single" w:color="auto"/>
            <w:color w:val="auto"/>
          </w:rPr>
          <w:t>September 1, 2022</w:t>
        </w:r>
      </w:hyperlink>
      <w:hyperlink r:id="rId55">
        <w:r>
          <w:rPr>
            <w:rFonts w:ascii="Times New Roman" w:cs="Times New Roman" w:eastAsia="Times New Roman" w:hAnsi="Times New Roman"/>
            <w:sz w:val="18"/>
            <w:szCs w:val="18"/>
            <w:color w:val="auto"/>
          </w:rPr>
          <w:t xml:space="preserve">, </w:t>
        </w:r>
      </w:hyperlink>
      <w:hyperlink r:id="rId58">
        <w:r>
          <w:rPr>
            <w:rFonts w:ascii="Times New Roman" w:cs="Times New Roman" w:eastAsia="Times New Roman" w:hAnsi="Times New Roman"/>
            <w:sz w:val="18"/>
            <w:szCs w:val="18"/>
            <w:u w:val="single" w:color="auto"/>
            <w:color w:val="auto"/>
          </w:rPr>
          <w:t>September 8, 2022</w:t>
        </w:r>
      </w:hyperlink>
      <w:hyperlink r:id="rId55">
        <w:r>
          <w:rPr>
            <w:rFonts w:ascii="Times New Roman" w:cs="Times New Roman" w:eastAsia="Times New Roman" w:hAnsi="Times New Roman"/>
            <w:sz w:val="18"/>
            <w:szCs w:val="18"/>
            <w:color w:val="auto"/>
          </w:rPr>
          <w:t xml:space="preserve">, </w:t>
        </w:r>
      </w:hyperlink>
      <w:hyperlink r:id="rId59">
        <w:r>
          <w:rPr>
            <w:rFonts w:ascii="Times New Roman" w:cs="Times New Roman" w:eastAsia="Times New Roman" w:hAnsi="Times New Roman"/>
            <w:sz w:val="18"/>
            <w:szCs w:val="18"/>
            <w:u w:val="single" w:color="auto"/>
            <w:color w:val="auto"/>
          </w:rPr>
          <w:t>September 29, 2022</w:t>
        </w:r>
      </w:hyperlink>
      <w:hyperlink r:id="rId55">
        <w:r>
          <w:rPr>
            <w:rFonts w:ascii="Times New Roman" w:cs="Times New Roman" w:eastAsia="Times New Roman" w:hAnsi="Times New Roman"/>
            <w:sz w:val="18"/>
            <w:szCs w:val="18"/>
            <w:color w:val="auto"/>
          </w:rPr>
          <w:t xml:space="preserve">, </w:t>
        </w:r>
      </w:hyperlink>
      <w:hyperlink r:id="rId60">
        <w:r>
          <w:rPr>
            <w:rFonts w:ascii="Times New Roman" w:cs="Times New Roman" w:eastAsia="Times New Roman" w:hAnsi="Times New Roman"/>
            <w:sz w:val="18"/>
            <w:szCs w:val="18"/>
            <w:u w:val="single" w:color="auto"/>
            <w:color w:val="auto"/>
          </w:rPr>
          <w:t>October 3, 2022</w:t>
        </w:r>
      </w:hyperlink>
      <w:hyperlink r:id="rId55">
        <w:r>
          <w:rPr>
            <w:rFonts w:ascii="Times New Roman" w:cs="Times New Roman" w:eastAsia="Times New Roman" w:hAnsi="Times New Roman"/>
            <w:sz w:val="18"/>
            <w:szCs w:val="18"/>
            <w:color w:val="auto"/>
          </w:rPr>
          <w:t xml:space="preserve">, </w:t>
        </w:r>
      </w:hyperlink>
      <w:hyperlink r:id="rId61">
        <w:r>
          <w:rPr>
            <w:rFonts w:ascii="Times New Roman" w:cs="Times New Roman" w:eastAsia="Times New Roman" w:hAnsi="Times New Roman"/>
            <w:sz w:val="18"/>
            <w:szCs w:val="18"/>
            <w:u w:val="single" w:color="auto"/>
            <w:color w:val="auto"/>
          </w:rPr>
          <w:t>October 20, 2022</w:t>
        </w:r>
      </w:hyperlink>
      <w:hyperlink r:id="rId55">
        <w:r>
          <w:rPr>
            <w:rFonts w:ascii="Times New Roman" w:cs="Times New Roman" w:eastAsia="Times New Roman" w:hAnsi="Times New Roman"/>
            <w:sz w:val="18"/>
            <w:szCs w:val="18"/>
            <w:color w:val="auto"/>
          </w:rPr>
          <w:t>,</w:t>
        </w:r>
      </w:hyperlink>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u w:val="single" w:color="auto"/>
            <w:color w:val="auto"/>
          </w:rPr>
          <w:t>November 14, 2022</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63">
        <w:r>
          <w:rPr>
            <w:rFonts w:ascii="Times New Roman" w:cs="Times New Roman" w:eastAsia="Times New Roman" w:hAnsi="Times New Roman"/>
            <w:sz w:val="18"/>
            <w:szCs w:val="18"/>
            <w:u w:val="single" w:color="auto"/>
            <w:color w:val="auto"/>
          </w:rPr>
          <w:t>November 28, 2022</w:t>
        </w:r>
      </w:hyperlink>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ind w:left="880" w:right="100" w:hanging="440"/>
        <w:spacing w:after="0" w:line="282" w:lineRule="auto"/>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with the SEC on November 16, 2015 (File No. 001-37635), and all amendments or reports filed for the purpose of updating such description.</w:t>
      </w:r>
    </w:p>
    <w:p>
      <w:pPr>
        <w:spacing w:after="0" w:line="54"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after the date of this prospectus and until the completion or termination of the offering contemplated hereby. These documents include periodic reports, such as Annual Reports on Form 10-K, Quarterly Reports on Form 10-Q and Current Reports on Form 8-K.</w:t>
      </w:r>
    </w:p>
    <w:p>
      <w:pPr>
        <w:spacing w:after="0" w:line="72"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68" w:lineRule="exact"/>
        <w:rPr>
          <w:rFonts w:ascii="Times New Roman" w:cs="Times New Roman" w:eastAsia="Times New Roman" w:hAnsi="Times New Roman"/>
          <w:sz w:val="18"/>
          <w:szCs w:val="18"/>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through our website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You may also obtain, free of charge, a copy of any of these documents (other than exhibits to these documents, unless the exhibits are specifically incorporated by reference into these documents or referred to in this prospectus) by writing or calling us at the following address and telephone number:</w:t>
      </w:r>
    </w:p>
    <w:p>
      <w:pPr>
        <w:spacing w:after="0" w:line="7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22 Cortlandt Street</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16th Floor</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10007</w:t>
      </w:r>
    </w:p>
    <w:p>
      <w:pPr>
        <w:spacing w:after="0" w:line="9" w:lineRule="exact"/>
        <w:rPr>
          <w:rFonts w:ascii="Times New Roman" w:cs="Times New Roman" w:eastAsia="Times New Roman" w:hAnsi="Times New Roman"/>
          <w:sz w:val="18"/>
          <w:szCs w:val="18"/>
          <w:color w:val="auto"/>
        </w:rPr>
      </w:pPr>
    </w:p>
    <w:p>
      <w:pPr>
        <w:ind w:left="5460" w:right="5060" w:hanging="398"/>
        <w:spacing w:after="0" w:line="820" w:lineRule="auto"/>
        <w:tabs>
          <w:tab w:leader="none" w:pos="5503"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332-3241 S-12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Up to $250,000,000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150495</wp:posOffset>
            </wp:positionV>
            <wp:extent cx="1791335" cy="10115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179133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Axsome Therapeutics,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2277110</wp:posOffset>
            </wp:positionH>
            <wp:positionV relativeFrom="paragraph">
              <wp:posOffset>304800</wp:posOffset>
            </wp:positionV>
            <wp:extent cx="11658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SVB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2277110</wp:posOffset>
            </wp:positionH>
            <wp:positionV relativeFrom="paragraph">
              <wp:posOffset>-183515</wp:posOffset>
            </wp:positionV>
            <wp:extent cx="11658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608965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estimated expenses to be paid by us, other than any underwriting discounts and commissions, in connection with the offering of the securities described in this registration statement. All the amounts shown are estimates, except for the SEC registration fee and FINRA filing fee.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registration fee</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27,550</w:t>
            </w:r>
          </w:p>
        </w:tc>
        <w:tc>
          <w:tcPr>
            <w:tcW w:w="7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w:t>
            </w:r>
          </w:p>
        </w:tc>
      </w:tr>
      <w:tr>
        <w:trPr>
          <w:trHeight w:val="256"/>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FINRA filing fee</w:t>
            </w:r>
          </w:p>
        </w:tc>
        <w:tc>
          <w:tcPr>
            <w:tcW w:w="6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fees and expenses</w:t>
            </w:r>
          </w:p>
        </w:tc>
        <w:tc>
          <w:tcPr>
            <w:tcW w:w="6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6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Trustees’ and transfer agent and registrar fees</w:t>
            </w:r>
          </w:p>
        </w:tc>
        <w:tc>
          <w:tcPr>
            <w:tcW w:w="6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w:t>
            </w:r>
          </w:p>
        </w:tc>
      </w:tr>
      <w:tr>
        <w:trPr>
          <w:trHeight w:val="283"/>
        </w:trPr>
        <w:tc>
          <w:tcPr>
            <w:tcW w:w="8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Printing and miscellaneous expenses</w:t>
            </w:r>
          </w:p>
        </w:tc>
        <w:tc>
          <w:tcPr>
            <w:tcW w:w="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20" w:type="dxa"/>
            <w:vAlign w:val="bottom"/>
            <w:tcBorders>
              <w:bottom w:val="single" w:sz="8" w:color="CCEEFF"/>
            </w:tcBorders>
          </w:tcPr>
          <w:p>
            <w:pPr>
              <w:jc w:val="right"/>
              <w:ind w:right="35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720" w:type="dxa"/>
            <w:vAlign w:val="bottom"/>
            <w:tcBorders>
              <w:bottom w:val="single" w:sz="8" w:color="CCEEFF"/>
            </w:tcBorders>
            <w:shd w:val="clear" w:color="auto" w:fill="CCEEFF"/>
          </w:tcPr>
          <w:p>
            <w:pPr>
              <w:spacing w:after="0"/>
              <w:rPr>
                <w:sz w:val="19"/>
                <w:szCs w:val="19"/>
                <w:color w:val="auto"/>
              </w:rPr>
            </w:pPr>
          </w:p>
        </w:tc>
      </w:tr>
      <w:tr>
        <w:trPr>
          <w:trHeight w:val="20"/>
        </w:trPr>
        <w:tc>
          <w:tcPr>
            <w:tcW w:w="174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16"/>
        </w:trPr>
        <w:tc>
          <w:tcPr>
            <w:tcW w:w="1740" w:type="dxa"/>
            <w:vAlign w:val="bottom"/>
            <w:tcBorders>
              <w:bottom w:val="single" w:sz="8" w:color="auto"/>
            </w:tcBorders>
          </w:tcPr>
          <w:p>
            <w:pPr>
              <w:spacing w:after="0"/>
              <w:rPr>
                <w:sz w:val="10"/>
                <w:szCs w:val="10"/>
                <w:color w:val="auto"/>
              </w:rPr>
            </w:pPr>
          </w:p>
        </w:tc>
        <w:tc>
          <w:tcPr>
            <w:tcW w:w="70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r>
    </w:tbl>
    <w:p>
      <w:pPr>
        <w:spacing w:after="0" w:line="76" w:lineRule="exact"/>
        <w:rPr>
          <w:sz w:val="20"/>
          <w:szCs w:val="20"/>
          <w:color w:val="auto"/>
        </w:rPr>
      </w:pPr>
    </w:p>
    <w:p>
      <w:pPr>
        <w:ind w:left="440" w:hanging="415"/>
        <w:spacing w:after="0" w:line="282" w:lineRule="auto"/>
        <w:tabs>
          <w:tab w:leader="none" w:pos="34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registration fee applicable to an amount included in a prospectus for $250 million in shares of common stock. Additional registration fees were deferred in accordance with rules 456(b) and 457(r) of the Securities Act.</w:t>
      </w:r>
    </w:p>
    <w:p>
      <w:pPr>
        <w:spacing w:after="0" w:line="26" w:lineRule="exact"/>
        <w:rPr>
          <w:rFonts w:ascii="Times New Roman" w:cs="Times New Roman" w:eastAsia="Times New Roman" w:hAnsi="Times New Roman"/>
          <w:sz w:val="18"/>
          <w:szCs w:val="18"/>
          <w:color w:val="auto"/>
        </w:rPr>
      </w:pPr>
    </w:p>
    <w:p>
      <w:pPr>
        <w:ind w:left="440" w:hanging="415"/>
        <w:spacing w:after="0" w:line="266" w:lineRule="auto"/>
        <w:tabs>
          <w:tab w:leader="none" w:pos="33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will be dependent on the number and amount of offerings under this registration statement and, therefore, cannot be estimated at this time. In accordance with Rule 430B, additional information regarding estimated fees and expenses will be provided at the time information as to an offering is included in a prospectus supplement.</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permitted by the DGCL, we have adopted provisions in our Amended and Restated Certificate of Incorporation and Amended and Restated Bylaws that limit or eliminate the personal liability of our directors to the maximum extent permitted under applicable law. Consequently, a director will not be personally liable to us or our stockholders for monetary damages for breach of fiduciary duty as a director, except for liability for:</w:t>
      </w:r>
    </w:p>
    <w:p>
      <w:pPr>
        <w:spacing w:after="0" w:line="176" w:lineRule="exact"/>
        <w:rPr>
          <w:sz w:val="20"/>
          <w:szCs w:val="20"/>
          <w:color w:val="auto"/>
        </w:rPr>
      </w:pPr>
    </w:p>
    <w:p>
      <w:pPr>
        <w:ind w:left="880" w:hanging="440"/>
        <w:spacing w:after="0"/>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unlawful payments related to dividends or unlawful stock repurchases, redemptions or other distributions; or</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3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alter director liability under the federal securities laws and do not affect the availability of equitable remedies such as an injunction or rescission.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our Amended and Restated Bylaws provide that:</w:t>
      </w:r>
    </w:p>
    <w:p>
      <w:pPr>
        <w:spacing w:after="0" w:line="225" w:lineRule="exact"/>
        <w:rPr>
          <w:sz w:val="20"/>
          <w:szCs w:val="20"/>
          <w:color w:val="auto"/>
        </w:rPr>
      </w:pPr>
    </w:p>
    <w:p>
      <w:pPr>
        <w:ind w:left="1300" w:right="20" w:hanging="442"/>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officers and, in the discretion of our board of directors, certain employees to the fullest extent permitted by the DGCL; and</w:t>
      </w:r>
    </w:p>
    <w:p>
      <w:pPr>
        <w:spacing w:after="0" w:line="53" w:lineRule="exact"/>
        <w:rPr>
          <w:rFonts w:ascii="Times New Roman" w:cs="Times New Roman" w:eastAsia="Times New Roman" w:hAnsi="Times New Roman"/>
          <w:sz w:val="18"/>
          <w:szCs w:val="18"/>
          <w:color w:val="auto"/>
        </w:rPr>
      </w:pPr>
    </w:p>
    <w:p>
      <w:pPr>
        <w:ind w:left="1300" w:hanging="442"/>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expenses, including attorneys’ fees, to our directors and, in the discretion of our board of directors, to our officers and certain employees, in connection with legal proceedings, subject to limited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47" w:name="page48"/>
    <w:bookmarkEnd w:id="47"/>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we will indemnify each of our executive officers and directors to the fullest extent permitted by the DGCL against liabilities that may arise by reason of their service to us or at our direction, and to advance expenses to each indemnitee in connection with any proceeding in which indemnification is available.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maintain general liability insurance to provide insurance coverage to our directors and officers for losses arising out of claims based on acts or omissions in their capacities as directors or officers, including liabilities under the Securities Act of 1933, as amended, or the Securities Act. Insofar as indemnification for liabilities arising under the Securities Act may be permitted to directors, officers, or persons controlling the registrant pursuant to the foregoing provisions, we have been informed that in the opinion of the Securities and Exchange Commission such indemnification is against public policy as expressed in the Securities Act and is therefore unenforceable.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our directors in the future for any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officers and certain employees pursuant to these indemnification provisions. We believe that these provisions, the indemnification agreements and the insurance are necessary to attract and retain talented and experienced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documents are filed as exhibits to this registration statement, including those exhibits incorporated herein by reference to one of our prior filing under the Securities Act or the Exchange Act as indicated in parentheses: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360" w:type="dxa"/>
            <w:vAlign w:val="bottom"/>
            <w:gridSpan w:val="7"/>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73"/>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36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6"/>
                <w:szCs w:val="16"/>
                <w:color w:val="auto"/>
              </w:rPr>
            </w:pPr>
          </w:p>
        </w:tc>
        <w:tc>
          <w:tcPr>
            <w:tcW w:w="9920" w:type="dxa"/>
            <w:vAlign w:val="bottom"/>
            <w:tcBorders>
              <w:top w:val="single" w:sz="8" w:color="auto"/>
            </w:tcBorders>
            <w:gridSpan w:val="12"/>
          </w:tcPr>
          <w:p>
            <w:pPr>
              <w:spacing w:after="0" w:line="191" w:lineRule="exact"/>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6"/>
                <w:szCs w:val="16"/>
                <w:color w:val="auto"/>
              </w:rPr>
            </w:pPr>
          </w:p>
        </w:tc>
        <w:tc>
          <w:tcPr>
            <w:tcW w:w="9920" w:type="dxa"/>
            <w:vAlign w:val="bottom"/>
            <w:gridSpan w:val="12"/>
          </w:tcPr>
          <w:p>
            <w:pPr>
              <w:spacing w:after="0" w:line="194"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 xml:space="preserve">Sales Agreement dated March 1, 2022 by and between Axsome Therapeutics, Inc. and SVB Securities LLC.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rPr>
              <w:t>Exhibit 1.1 to the Company’s Form 8-K (No. 001-37635) filed March 1, 2022).</w:t>
            </w:r>
          </w:p>
        </w:tc>
        <w:tc>
          <w:tcPr>
            <w:tcW w:w="2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7"/>
                <w:szCs w:val="17"/>
                <w:color w:val="auto"/>
              </w:rPr>
            </w:pPr>
          </w:p>
        </w:tc>
        <w:tc>
          <w:tcPr>
            <w:tcW w:w="9920" w:type="dxa"/>
            <w:vAlign w:val="bottom"/>
            <w:gridSpan w:val="12"/>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Amended and Restated Certificate of Incorporation of the Company (Incorporated by reference, Exhibit 3.1 to the Company’s Form 8-K</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(No. 001-37635) filed November 24, 2015)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7"/>
                <w:szCs w:val="17"/>
                <w:color w:val="auto"/>
              </w:rPr>
            </w:pPr>
          </w:p>
        </w:tc>
        <w:tc>
          <w:tcPr>
            <w:tcW w:w="99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Amended and Restated Bylaws of the Company (Incorporated by reference, Exhibit 3.2 to the Company’s Form 8-K (No. 001-37635)</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filed November 24, 2015).</w:t>
              </w:r>
            </w:hyperlink>
          </w:p>
        </w:tc>
        <w:tc>
          <w:tcPr>
            <w:tcW w:w="80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7"/>
                <w:szCs w:val="17"/>
                <w:color w:val="auto"/>
              </w:rPr>
            </w:pPr>
          </w:p>
        </w:tc>
        <w:tc>
          <w:tcPr>
            <w:tcW w:w="99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Specimen Certificate evidencing shares of Company’s common stock (Incorporated by reference, Exhibit 4.1 to Amendment No. 1 to the</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Company’s Registration Statement on Form S-1 (No. 333-207393) filed October 30, 2015.).</w:t>
              </w:r>
            </w:hyperlink>
          </w:p>
        </w:tc>
        <w:tc>
          <w:tcPr>
            <w:tcW w:w="32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8"/>
                <w:szCs w:val="18"/>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certificate of designation with respect to any preferred stock issued hereunder and the related form of preferred stock certificate.</w:t>
            </w:r>
          </w:p>
        </w:tc>
        <w:tc>
          <w:tcPr>
            <w:tcW w:w="0" w:type="dxa"/>
            <w:vAlign w:val="bottom"/>
          </w:tcPr>
          <w:p>
            <w:pPr>
              <w:spacing w:after="0"/>
              <w:rPr>
                <w:sz w:val="1"/>
                <w:szCs w:val="1"/>
                <w:color w:val="auto"/>
              </w:rPr>
            </w:pPr>
          </w:p>
        </w:tc>
      </w:tr>
      <w:tr>
        <w:trPr>
          <w:trHeight w:val="216"/>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warrant agreement.</w:t>
            </w:r>
          </w:p>
        </w:tc>
        <w:tc>
          <w:tcPr>
            <w:tcW w:w="0" w:type="dxa"/>
            <w:vAlign w:val="bottom"/>
          </w:tcPr>
          <w:p>
            <w:pPr>
              <w:spacing w:after="0"/>
              <w:rPr>
                <w:sz w:val="1"/>
                <w:szCs w:val="1"/>
                <w:color w:val="auto"/>
              </w:rPr>
            </w:pPr>
          </w:p>
        </w:tc>
      </w:tr>
      <w:tr>
        <w:trPr>
          <w:trHeight w:val="216"/>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warrant certificate.</w:t>
            </w:r>
          </w:p>
        </w:tc>
        <w:tc>
          <w:tcPr>
            <w:tcW w:w="0" w:type="dxa"/>
            <w:vAlign w:val="bottom"/>
          </w:tcPr>
          <w:p>
            <w:pPr>
              <w:spacing w:after="0"/>
              <w:rPr>
                <w:sz w:val="1"/>
                <w:szCs w:val="1"/>
                <w:color w:val="auto"/>
              </w:rPr>
            </w:pP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6"/>
                <w:szCs w:val="16"/>
                <w:color w:val="auto"/>
              </w:rPr>
            </w:pPr>
          </w:p>
        </w:tc>
        <w:tc>
          <w:tcPr>
            <w:tcW w:w="6960" w:type="dxa"/>
            <w:vAlign w:val="bottom"/>
            <w:tcBorders>
              <w:bottom w:val="single" w:sz="8" w:color="0000EE"/>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EE"/>
                <w:w w:val="99"/>
              </w:rPr>
              <w:t>Form of indenture to be entered into between registrant and a trustee acceptable to the registrant.</w:t>
            </w:r>
          </w:p>
        </w:tc>
        <w:tc>
          <w:tcPr>
            <w:tcW w:w="29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debt security.</w:t>
            </w:r>
          </w:p>
        </w:tc>
        <w:tc>
          <w:tcPr>
            <w:tcW w:w="0" w:type="dxa"/>
            <w:vAlign w:val="bottom"/>
          </w:tcPr>
          <w:p>
            <w:pPr>
              <w:spacing w:after="0"/>
              <w:rPr>
                <w:sz w:val="1"/>
                <w:szCs w:val="1"/>
                <w:color w:val="auto"/>
              </w:rPr>
            </w:pPr>
          </w:p>
        </w:tc>
      </w:tr>
      <w:tr>
        <w:trPr>
          <w:trHeight w:val="216"/>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rights certificate.</w:t>
            </w:r>
          </w:p>
        </w:tc>
        <w:tc>
          <w:tcPr>
            <w:tcW w:w="0" w:type="dxa"/>
            <w:vAlign w:val="bottom"/>
          </w:tcPr>
          <w:p>
            <w:pPr>
              <w:spacing w:after="0"/>
              <w:rPr>
                <w:sz w:val="1"/>
                <w:szCs w:val="1"/>
                <w:color w:val="auto"/>
              </w:rPr>
            </w:pPr>
          </w:p>
        </w:tc>
      </w:tr>
      <w:tr>
        <w:trPr>
          <w:trHeight w:val="216"/>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18"/>
                <w:szCs w:val="18"/>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unit agreement.</w:t>
            </w:r>
          </w:p>
        </w:tc>
        <w:tc>
          <w:tcPr>
            <w:tcW w:w="0" w:type="dxa"/>
            <w:vAlign w:val="bottom"/>
          </w:tcPr>
          <w:p>
            <w:pPr>
              <w:spacing w:after="0"/>
              <w:rPr>
                <w:sz w:val="1"/>
                <w:szCs w:val="1"/>
                <w:color w:val="auto"/>
              </w:rPr>
            </w:pPr>
          </w:p>
        </w:tc>
      </w:tr>
      <w:tr>
        <w:trPr>
          <w:trHeight w:val="216"/>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Pr>
          <w:p>
            <w:pPr>
              <w:spacing w:after="0"/>
              <w:rPr>
                <w:sz w:val="18"/>
                <w:szCs w:val="18"/>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unit certificate.</w:t>
            </w:r>
          </w:p>
        </w:tc>
        <w:tc>
          <w:tcPr>
            <w:tcW w:w="0" w:type="dxa"/>
            <w:vAlign w:val="bottom"/>
          </w:tcPr>
          <w:p>
            <w:pPr>
              <w:spacing w:after="0"/>
              <w:rPr>
                <w:sz w:val="1"/>
                <w:szCs w:val="1"/>
                <w:color w:val="auto"/>
              </w:rPr>
            </w:pP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6"/>
                <w:szCs w:val="16"/>
                <w:color w:val="auto"/>
              </w:rPr>
            </w:pPr>
          </w:p>
        </w:tc>
        <w:tc>
          <w:tcPr>
            <w:tcW w:w="2440" w:type="dxa"/>
            <w:vAlign w:val="bottom"/>
            <w:tcBorders>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w w:val="99"/>
              </w:rPr>
              <w:t>Opinion of DLA Piper LLP (US).</w:t>
            </w:r>
          </w:p>
        </w:tc>
        <w:tc>
          <w:tcPr>
            <w:tcW w:w="748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7"/>
                <w:szCs w:val="17"/>
                <w:color w:val="auto"/>
              </w:rPr>
            </w:pPr>
          </w:p>
        </w:tc>
        <w:tc>
          <w:tcPr>
            <w:tcW w:w="54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Opinion of DLA Piper LLP (US) related to the sales agreement prospectus.</w:t>
            </w:r>
          </w:p>
        </w:tc>
        <w:tc>
          <w:tcPr>
            <w:tcW w:w="45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17"/>
                <w:szCs w:val="17"/>
                <w:color w:val="auto"/>
              </w:rPr>
            </w:pPr>
          </w:p>
        </w:tc>
        <w:tc>
          <w:tcPr>
            <w:tcW w:w="99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Consent of Ernst &amp; Young LLP.</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3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18"/>
                <w:szCs w:val="18"/>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Consent of DLA Piper LLP (US) (included in its Opinion filed as Exhibit 5.1 hereto).</w:t>
            </w:r>
          </w:p>
        </w:tc>
        <w:tc>
          <w:tcPr>
            <w:tcW w:w="0" w:type="dxa"/>
            <w:vAlign w:val="bottom"/>
          </w:tcPr>
          <w:p>
            <w:pPr>
              <w:spacing w:after="0"/>
              <w:rPr>
                <w:sz w:val="1"/>
                <w:szCs w:val="1"/>
                <w:color w:val="auto"/>
              </w:rPr>
            </w:pPr>
          </w:p>
        </w:tc>
      </w:tr>
      <w:tr>
        <w:trPr>
          <w:trHeight w:val="216"/>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tcPr>
          <w:p>
            <w:pPr>
              <w:spacing w:after="0"/>
              <w:rPr>
                <w:sz w:val="18"/>
                <w:szCs w:val="18"/>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Consent of DLA Piper LLP (US) (included in its Opinion filed as Exhibit 5.2 hereto).</w:t>
            </w:r>
          </w:p>
        </w:tc>
        <w:tc>
          <w:tcPr>
            <w:tcW w:w="0" w:type="dxa"/>
            <w:vAlign w:val="bottom"/>
          </w:tcPr>
          <w:p>
            <w:pPr>
              <w:spacing w:after="0"/>
              <w:rPr>
                <w:sz w:val="1"/>
                <w:szCs w:val="1"/>
                <w:color w:val="auto"/>
              </w:rPr>
            </w:pP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16"/>
                <w:szCs w:val="16"/>
                <w:color w:val="auto"/>
              </w:rPr>
            </w:pPr>
          </w:p>
        </w:tc>
        <w:tc>
          <w:tcPr>
            <w:tcW w:w="356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9"/>
              </w:rPr>
              <w:t>Powers of Attorney (included on signature page).</w:t>
            </w:r>
          </w:p>
        </w:tc>
        <w:tc>
          <w:tcPr>
            <w:tcW w:w="636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spacing w:after="0"/>
              <w:rPr>
                <w:sz w:val="20"/>
                <w:szCs w:val="20"/>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Statement of Eligibility of Trustee on Form T-1 under Trust Indenture Act of 1939.</w:t>
            </w:r>
          </w:p>
        </w:tc>
        <w:tc>
          <w:tcPr>
            <w:tcW w:w="0" w:type="dxa"/>
            <w:vAlign w:val="bottom"/>
          </w:tcPr>
          <w:p>
            <w:pPr>
              <w:spacing w:after="0"/>
              <w:rPr>
                <w:sz w:val="1"/>
                <w:szCs w:val="1"/>
                <w:color w:val="auto"/>
              </w:rPr>
            </w:pPr>
          </w:p>
        </w:tc>
      </w:tr>
    </w:tbl>
    <w:p>
      <w:pPr>
        <w:ind w:left="1320" w:hanging="1308"/>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0972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14" w:lineRule="exact"/>
        <w:rPr>
          <w:sz w:val="20"/>
          <w:szCs w:val="20"/>
          <w:color w:val="auto"/>
        </w:rPr>
      </w:pPr>
    </w:p>
    <w:p>
      <w:pPr>
        <w:ind w:left="880" w:hanging="690"/>
        <w:spacing w:after="0" w:line="261" w:lineRule="auto"/>
        <w:tabs>
          <w:tab w:leader="none" w:pos="30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as an exhibit to a document filed under the Securities Exchange Act of 1934, as amended, and incorporated by reference herein.</w:t>
      </w:r>
    </w:p>
    <w:p>
      <w:pPr>
        <w:ind w:left="880" w:hanging="806"/>
        <w:spacing w:after="0" w:line="260" w:lineRule="auto"/>
        <w:tabs>
          <w:tab w:leader="none" w:pos="3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separately pursuant to Section 305(b)(2) of the Trust Indenture Act of 1939, as amended, and the appropriate rules and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880" w:hanging="440"/>
        <w:spacing w:after="0"/>
        <w:tabs>
          <w:tab w:leader="none" w:pos="8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44" w:lineRule="exact"/>
        <w:rPr>
          <w:rFonts w:ascii="Times New Roman" w:cs="Times New Roman" w:eastAsia="Times New Roman" w:hAnsi="Times New Roman"/>
          <w:sz w:val="16"/>
          <w:szCs w:val="16"/>
          <w:color w:val="auto"/>
        </w:rPr>
      </w:pPr>
    </w:p>
    <w:p>
      <w:pPr>
        <w:ind w:left="1740" w:hanging="436"/>
        <w:spacing w:after="0"/>
        <w:tabs>
          <w:tab w:leader="none" w:pos="17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44" w:lineRule="exact"/>
        <w:rPr>
          <w:rFonts w:ascii="Times New Roman" w:cs="Times New Roman" w:eastAsia="Times New Roman" w:hAnsi="Times New Roman"/>
          <w:sz w:val="18"/>
          <w:szCs w:val="18"/>
          <w:color w:val="auto"/>
        </w:rPr>
      </w:pPr>
    </w:p>
    <w:p>
      <w:pPr>
        <w:jc w:val="both"/>
        <w:ind w:left="1740" w:hanging="436"/>
        <w:spacing w:after="0" w:line="255" w:lineRule="auto"/>
        <w:tabs>
          <w:tab w:leader="none" w:pos="17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0" w:lineRule="exact"/>
        <w:rPr>
          <w:rFonts w:ascii="Times New Roman" w:cs="Times New Roman" w:eastAsia="Times New Roman" w:hAnsi="Times New Roman"/>
          <w:sz w:val="18"/>
          <w:szCs w:val="18"/>
          <w:color w:val="auto"/>
        </w:rPr>
      </w:pPr>
    </w:p>
    <w:p>
      <w:pPr>
        <w:ind w:left="1740" w:right="20" w:hanging="436"/>
        <w:spacing w:after="0" w:line="282" w:lineRule="auto"/>
        <w:tabs>
          <w:tab w:leader="none" w:pos="17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(1)(i), (1)(ii) and (1)(iii) above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left="880" w:hanging="440"/>
        <w:spacing w:after="0" w:line="266" w:lineRule="auto"/>
        <w:tabs>
          <w:tab w:leader="none" w:pos="8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67" w:lineRule="exact"/>
        <w:rPr>
          <w:rFonts w:ascii="Times New Roman" w:cs="Times New Roman" w:eastAsia="Times New Roman" w:hAnsi="Times New Roman"/>
          <w:sz w:val="16"/>
          <w:szCs w:val="16"/>
          <w:color w:val="auto"/>
        </w:rPr>
      </w:pPr>
    </w:p>
    <w:p>
      <w:pPr>
        <w:ind w:left="880" w:hanging="440"/>
        <w:spacing w:after="0" w:line="282" w:lineRule="auto"/>
        <w:tabs>
          <w:tab w:leader="none" w:pos="8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44" w:lineRule="exact"/>
        <w:rPr>
          <w:rFonts w:ascii="Times New Roman" w:cs="Times New Roman" w:eastAsia="Times New Roman" w:hAnsi="Times New Roman"/>
          <w:sz w:val="16"/>
          <w:szCs w:val="16"/>
          <w:color w:val="auto"/>
        </w:rPr>
      </w:pPr>
    </w:p>
    <w:p>
      <w:pPr>
        <w:ind w:left="1740" w:hanging="436"/>
        <w:spacing w:after="0" w:line="282" w:lineRule="auto"/>
        <w:tabs>
          <w:tab w:leader="none" w:pos="17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8"/>
          <w:szCs w:val="18"/>
          <w:color w:val="auto"/>
        </w:rPr>
      </w:pPr>
    </w:p>
    <w:p>
      <w:pPr>
        <w:jc w:val="both"/>
        <w:ind w:left="1740" w:hanging="436"/>
        <w:spacing w:after="0" w:line="253" w:lineRule="auto"/>
        <w:tabs>
          <w:tab w:leader="none" w:pos="17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this registration statement or made in a document incorporated or deemed incorporated by reference into this registration statement or prospectus that is a part of this registration statement will, as to a purchaser with a time of contract of sale prior to such effective date, supersede or modify any statement that was made in this registration statement or prospectus that was a part of this registration statement or made in any such document immediately prior to such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393700</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0" w:name="page51"/>
    <w:bookmarkEnd w:id="50"/>
    <w:p>
      <w:pPr>
        <w:jc w:val="both"/>
        <w:ind w:left="440" w:hanging="440"/>
        <w:spacing w:after="0" w:line="258" w:lineRule="auto"/>
        <w:tabs>
          <w:tab w:leader="none" w:pos="4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rFonts w:ascii="Times New Roman" w:cs="Times New Roman" w:eastAsia="Times New Roman" w:hAnsi="Times New Roman"/>
          <w:sz w:val="16"/>
          <w:szCs w:val="16"/>
          <w:color w:val="auto"/>
        </w:rPr>
      </w:pPr>
    </w:p>
    <w:p>
      <w:pPr>
        <w:ind w:left="1300" w:hanging="436"/>
        <w:spacing w:after="0" w:line="282"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300" w:hanging="436"/>
        <w:spacing w:after="0" w:line="282"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1300" w:hanging="436"/>
        <w:spacing w:after="0" w:line="282"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1300" w:hanging="436"/>
        <w:spacing w:after="0"/>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44" w:lineRule="exact"/>
        <w:rPr>
          <w:rFonts w:ascii="Times New Roman" w:cs="Times New Roman" w:eastAsia="Times New Roman" w:hAnsi="Times New Roman"/>
          <w:sz w:val="18"/>
          <w:szCs w:val="18"/>
          <w:color w:val="auto"/>
        </w:rPr>
      </w:pPr>
    </w:p>
    <w:p>
      <w:pPr>
        <w:jc w:val="both"/>
        <w:ind w:left="440" w:hanging="440"/>
        <w:spacing w:after="0" w:line="261" w:lineRule="auto"/>
        <w:tabs>
          <w:tab w:leader="none" w:pos="4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1" w:lineRule="exact"/>
        <w:rPr>
          <w:rFonts w:ascii="Times New Roman" w:cs="Times New Roman" w:eastAsia="Times New Roman" w:hAnsi="Times New Roman"/>
          <w:sz w:val="16"/>
          <w:szCs w:val="16"/>
          <w:color w:val="auto"/>
        </w:rPr>
      </w:pPr>
    </w:p>
    <w:p>
      <w:pPr>
        <w:jc w:val="both"/>
        <w:ind w:left="440" w:hanging="440"/>
        <w:spacing w:after="0" w:line="254" w:lineRule="auto"/>
        <w:tabs>
          <w:tab w:leader="none" w:pos="4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83" w:lineRule="exact"/>
        <w:rPr>
          <w:rFonts w:ascii="Times New Roman" w:cs="Times New Roman" w:eastAsia="Times New Roman" w:hAnsi="Times New Roman"/>
          <w:sz w:val="16"/>
          <w:szCs w:val="16"/>
          <w:color w:val="auto"/>
        </w:rPr>
      </w:pPr>
    </w:p>
    <w:p>
      <w:pPr>
        <w:ind w:left="440" w:hanging="440"/>
        <w:spacing w:after="0" w:line="282" w:lineRule="auto"/>
        <w:tabs>
          <w:tab w:leader="none" w:pos="4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If and when applicable, to file an application for the purpose of determining the eligibility of the trustee to act under subsection (a) of Section 310 of the Trust Indenture Act in accordance with the rules and regulations prescribed by the SEC under Section 305(b)(2)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538480</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37"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S-3ASR and has duly caused this registration statement to be signed on its behalf by the undersigned, thereunto duly authorized, in the City of New York, State of New York, on December 2, 2022.</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247" w:lineRule="exact"/>
        <w:rPr>
          <w:sz w:val="20"/>
          <w:szCs w:val="20"/>
          <w:color w:val="auto"/>
        </w:rPr>
      </w:pPr>
    </w:p>
    <w:tbl>
      <w:tblPr>
        <w:tblLayout w:type="fixed"/>
        <w:tblInd w:w="5660" w:type="dxa"/>
        <w:tblCellMar>
          <w:top w:w="0" w:type="dxa"/>
          <w:left w:w="0" w:type="dxa"/>
          <w:bottom w:w="0" w:type="dxa"/>
          <w:right w:w="0" w:type="dxa"/>
        </w:tblCellMar>
      </w:tblPr>
      <w:tr>
        <w:trPr>
          <w:trHeight w:val="24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Herriot Tabuteau, M.D.</w:t>
            </w:r>
          </w:p>
        </w:tc>
      </w:tr>
      <w:tr>
        <w:trPr>
          <w:trHeight w:val="209"/>
        </w:trPr>
        <w:tc>
          <w:tcPr>
            <w:tcW w:w="5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Herriot Tabuteau, M.D.</w:t>
            </w:r>
          </w:p>
        </w:tc>
      </w:tr>
      <w:tr>
        <w:trPr>
          <w:trHeight w:val="236"/>
        </w:trPr>
        <w:tc>
          <w:tcPr>
            <w:tcW w:w="50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Herriot Tabuteau, M.D. and Nick Pizzie, CPA, M.B.A.,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sign any registration statement for the same offering covered by the registration statement that is to be effective upon filing pursuant to Rule 462 promulgated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December 2, 2022.</w:t>
      </w:r>
    </w:p>
    <w:p>
      <w:pPr>
        <w:spacing w:after="0" w:line="200" w:lineRule="exact"/>
        <w:rPr>
          <w:sz w:val="20"/>
          <w:szCs w:val="20"/>
          <w:color w:val="auto"/>
        </w:rPr>
      </w:pPr>
    </w:p>
    <w:p>
      <w:pPr>
        <w:spacing w:after="0" w:line="239" w:lineRule="exact"/>
        <w:rPr>
          <w:sz w:val="20"/>
          <w:szCs w:val="20"/>
          <w:color w:val="auto"/>
        </w:rPr>
      </w:pPr>
    </w:p>
    <w:p>
      <w:pPr>
        <w:ind w:left="1560"/>
        <w:spacing w:after="0"/>
        <w:tabs>
          <w:tab w:leader="none" w:pos="730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9519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3">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Herriot Tabuteau, M.D.</w:t>
            </w:r>
          </w:p>
        </w:tc>
        <w:tc>
          <w:tcPr>
            <w:tcW w:w="40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Chief Executive Officer and Chairman of the Board</w:t>
            </w:r>
          </w:p>
        </w:tc>
      </w:tr>
      <w:tr>
        <w:trPr>
          <w:trHeight w:val="304"/>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Herriot Tabuteau, M.D.</w:t>
            </w:r>
          </w:p>
        </w:tc>
        <w:tc>
          <w:tcPr>
            <w:tcW w:w="4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24"/>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Nick Pizzie</w:t>
            </w:r>
          </w:p>
        </w:tc>
        <w:tc>
          <w:tcPr>
            <w:tcW w:w="4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04"/>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Nick Pizzie</w:t>
            </w:r>
          </w:p>
        </w:tc>
        <w:tc>
          <w:tcPr>
            <w:tcW w:w="4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324"/>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Mark Coleman, M.D.</w:t>
            </w:r>
          </w:p>
        </w:tc>
        <w:tc>
          <w:tcPr>
            <w:tcW w:w="4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304"/>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 Coleman, M.D.</w:t>
            </w:r>
          </w:p>
        </w:tc>
        <w:tc>
          <w:tcPr>
            <w:tcW w:w="4020" w:type="dxa"/>
            <w:vAlign w:val="bottom"/>
          </w:tcPr>
          <w:p>
            <w:pPr>
              <w:spacing w:after="0"/>
              <w:rPr>
                <w:sz w:val="24"/>
                <w:szCs w:val="24"/>
                <w:color w:val="auto"/>
              </w:rPr>
            </w:pPr>
          </w:p>
        </w:tc>
      </w:tr>
      <w:tr>
        <w:trPr>
          <w:trHeight w:val="324"/>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Roger Jeffs, Ph.D.</w:t>
            </w:r>
          </w:p>
        </w:tc>
        <w:tc>
          <w:tcPr>
            <w:tcW w:w="4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304"/>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Roger Jeffs, Ph.D.</w:t>
            </w:r>
          </w:p>
        </w:tc>
        <w:tc>
          <w:tcPr>
            <w:tcW w:w="4020" w:type="dxa"/>
            <w:vAlign w:val="bottom"/>
          </w:tcPr>
          <w:p>
            <w:pPr>
              <w:spacing w:after="0"/>
              <w:rPr>
                <w:sz w:val="24"/>
                <w:szCs w:val="24"/>
                <w:color w:val="auto"/>
              </w:rPr>
            </w:pPr>
          </w:p>
        </w:tc>
      </w:tr>
      <w:tr>
        <w:trPr>
          <w:trHeight w:val="324"/>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Saad</w:t>
            </w:r>
          </w:p>
        </w:tc>
        <w:tc>
          <w:tcPr>
            <w:tcW w:w="4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304"/>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 Saad</w:t>
            </w:r>
          </w:p>
        </w:tc>
        <w:tc>
          <w:tcPr>
            <w:tcW w:w="4020" w:type="dxa"/>
            <w:vAlign w:val="bottom"/>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18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AXSOME THERAPEUTICS, INC.</w:t>
      </w:r>
    </w:p>
    <w:p>
      <w:pPr>
        <w:spacing w:after="0" w:line="21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8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INDENTURE</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 as of [•]</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Trustee</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815975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8"/>
        </w:trPr>
        <w:tc>
          <w:tcPr>
            <w:tcW w:w="1600" w:type="dxa"/>
            <w:vAlign w:val="bottom"/>
          </w:tcPr>
          <w:p>
            <w:pPr>
              <w:spacing w:after="0"/>
              <w:rPr>
                <w:sz w:val="20"/>
                <w:szCs w:val="20"/>
                <w:color w:val="auto"/>
              </w:rPr>
            </w:pPr>
          </w:p>
        </w:tc>
        <w:tc>
          <w:tcPr>
            <w:tcW w:w="7940" w:type="dxa"/>
            <w:vAlign w:val="bottom"/>
          </w:tcPr>
          <w:p>
            <w:pPr>
              <w:ind w:left="30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1600" w:type="dxa"/>
            <w:vAlign w:val="bottom"/>
          </w:tcPr>
          <w:p>
            <w:pPr>
              <w:spacing w:after="0"/>
              <w:rPr>
                <w:sz w:val="24"/>
                <w:szCs w:val="24"/>
                <w:color w:val="auto"/>
              </w:rPr>
            </w:pPr>
          </w:p>
        </w:tc>
        <w:tc>
          <w:tcPr>
            <w:tcW w:w="79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ARTICLE 1</w:t>
            </w:r>
          </w:p>
        </w:tc>
        <w:tc>
          <w:tcPr>
            <w:tcW w:w="13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79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DEFINITIONS</w:t>
            </w: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Certain Terms Defined</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Definitions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Rules of Construction</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19"/>
        </w:trPr>
        <w:tc>
          <w:tcPr>
            <w:tcW w:w="1600" w:type="dxa"/>
            <w:vAlign w:val="bottom"/>
          </w:tcPr>
          <w:p>
            <w:pPr>
              <w:spacing w:after="0"/>
              <w:rPr>
                <w:sz w:val="24"/>
                <w:szCs w:val="24"/>
                <w:color w:val="auto"/>
              </w:rPr>
            </w:pPr>
          </w:p>
        </w:tc>
        <w:tc>
          <w:tcPr>
            <w:tcW w:w="79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ARTICLE 2</w:t>
            </w: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7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SECURITY FORMS</w:t>
            </w: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Forms Generally</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Guarantees by Guarantor; Form of Guarantee; Release of Guarantee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Trustee’s Certificate of Authentication</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19"/>
        </w:trPr>
        <w:tc>
          <w:tcPr>
            <w:tcW w:w="1600" w:type="dxa"/>
            <w:vAlign w:val="bottom"/>
          </w:tcPr>
          <w:p>
            <w:pPr>
              <w:spacing w:after="0"/>
              <w:rPr>
                <w:sz w:val="24"/>
                <w:szCs w:val="24"/>
                <w:color w:val="auto"/>
              </w:rPr>
            </w:pPr>
          </w:p>
        </w:tc>
        <w:tc>
          <w:tcPr>
            <w:tcW w:w="79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ARTICLE 3</w:t>
            </w: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79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ISSUE, EXECUTION, FORM AND REGISTRATION OF SECURITIES</w:t>
            </w: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Amount Unlimited; Issuable in Series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Authentication and Delivery of Securities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Execution of Securities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Certificate of Authentication</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Denomination, Currency and Date of Securities; Payments of Interest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Global Security Legend</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Registration, Transfer and Exchange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Book-Entry Provisions for Global Securities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Mutilated, Defaced, Destroyed, Lost and Stolen Securities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Cancellation of Securities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Temporary Securities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CUSIP and ISIN Numbers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19"/>
        </w:trPr>
        <w:tc>
          <w:tcPr>
            <w:tcW w:w="1600" w:type="dxa"/>
            <w:vAlign w:val="bottom"/>
          </w:tcPr>
          <w:p>
            <w:pPr>
              <w:spacing w:after="0"/>
              <w:rPr>
                <w:sz w:val="24"/>
                <w:szCs w:val="24"/>
                <w:color w:val="auto"/>
              </w:rPr>
            </w:pPr>
          </w:p>
        </w:tc>
        <w:tc>
          <w:tcPr>
            <w:tcW w:w="79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ARTICLE 4</w:t>
            </w: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7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CERTAIN COVENANTS</w:t>
            </w: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Payment of Principal, Premium and Interest on Securities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Money for Securities Payments to be Held in Trust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Existence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Statement by Officers as to Default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Waiver of Certain Covenants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19"/>
        </w:trPr>
        <w:tc>
          <w:tcPr>
            <w:tcW w:w="1600" w:type="dxa"/>
            <w:vAlign w:val="bottom"/>
          </w:tcPr>
          <w:p>
            <w:pPr>
              <w:spacing w:after="0"/>
              <w:rPr>
                <w:sz w:val="24"/>
                <w:szCs w:val="24"/>
                <w:color w:val="auto"/>
              </w:rPr>
            </w:pPr>
          </w:p>
        </w:tc>
        <w:tc>
          <w:tcPr>
            <w:tcW w:w="79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ARTICLE 5</w:t>
            </w: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79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REMEDIES OF THE TRUSTEE AND HOLDERS ON EVENT OF DEFAULT</w:t>
            </w: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Events of Default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Acceleration</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Remedies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Waiver of Past Defaults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Control by Majority</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Limitation on Suits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Rights of Holders to Receive Payment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Collection Suit by Trustee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Priorities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Undertaking for Costs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Restoration of Rights and Remedies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Rights and Remedies Cumulative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Delay or Omission Not Waiver</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335915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1089"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6.01.</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Duties and Responsibilities of the Trustee; During Default; Prior to Default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6.02.</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Certain Rights of the Trustee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6.03.</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Trustee Not Responsible for Recitals, Disposition of Securities or Application of Proceeds Thereof</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6.04.</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Trustee and Agents May Hold Securities; Collections, Etc</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6.05.</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Moneys Held by Trustee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6.06.</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Notice of Default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6.07.</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Compensation and Indemnification of Trustee and Its Prior Claim</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6.08.</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Right of Trustee to Rely on Officers’ Certificate, Etc</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6.09.</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Persons Eligible for Appointment as Trustee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6.10.</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Resignation and Removal; Appointment of Successor Trustee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6.11.</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6.12.</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 of Trustee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6.13.</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Preferential Collection of Claims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6.14.</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Communications with the Trustee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6.15.</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Paying Agent/Registrar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4"/>
        </w:trPr>
        <w:tc>
          <w:tcPr>
            <w:tcW w:w="1660" w:type="dxa"/>
            <w:vAlign w:val="bottom"/>
          </w:tcPr>
          <w:p>
            <w:pPr>
              <w:spacing w:after="0"/>
              <w:rPr>
                <w:sz w:val="24"/>
                <w:szCs w:val="24"/>
                <w:color w:val="auto"/>
              </w:rPr>
            </w:pPr>
          </w:p>
        </w:tc>
        <w:tc>
          <w:tcPr>
            <w:tcW w:w="84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8"/>
              </w:rPr>
              <w:t>ARTICLE 7</w:t>
            </w:r>
          </w:p>
        </w:tc>
        <w:tc>
          <w:tcPr>
            <w:tcW w:w="1140" w:type="dxa"/>
            <w:vAlign w:val="bottom"/>
          </w:tcPr>
          <w:p>
            <w:pPr>
              <w:spacing w:after="0"/>
              <w:rPr>
                <w:sz w:val="24"/>
                <w:szCs w:val="24"/>
                <w:color w:val="auto"/>
              </w:rPr>
            </w:pPr>
          </w:p>
        </w:tc>
      </w:tr>
      <w:tr>
        <w:trPr>
          <w:trHeight w:val="234"/>
        </w:trPr>
        <w:tc>
          <w:tcPr>
            <w:tcW w:w="1660" w:type="dxa"/>
            <w:vAlign w:val="bottom"/>
          </w:tcPr>
          <w:p>
            <w:pPr>
              <w:spacing w:after="0"/>
              <w:rPr>
                <w:sz w:val="20"/>
                <w:szCs w:val="20"/>
                <w:color w:val="auto"/>
              </w:rPr>
            </w:pPr>
          </w:p>
        </w:tc>
        <w:tc>
          <w:tcPr>
            <w:tcW w:w="8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CONCERNING THE HOLDERS</w:t>
            </w:r>
          </w:p>
        </w:tc>
        <w:tc>
          <w:tcPr>
            <w:tcW w:w="1140" w:type="dxa"/>
            <w:vAlign w:val="bottom"/>
          </w:tcPr>
          <w:p>
            <w:pPr>
              <w:spacing w:after="0"/>
              <w:rPr>
                <w:sz w:val="20"/>
                <w:szCs w:val="20"/>
                <w:color w:val="auto"/>
              </w:rPr>
            </w:pPr>
          </w:p>
        </w:tc>
      </w:tr>
      <w:tr>
        <w:trPr>
          <w:trHeight w:val="41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7.01.</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Evidence of Action Taken by Holders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7.02.</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Proof of Execution of Instruments and of Holding of Securities; Record Date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7.03.</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Who May Be Deemed Owners of Securities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7.04.</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Securities Owned by Company Deemed Not Outstanding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7.05.</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Record Date for Action by Holders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7.06.</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Right of Revocation of Action Taken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4"/>
        </w:trPr>
        <w:tc>
          <w:tcPr>
            <w:tcW w:w="1660" w:type="dxa"/>
            <w:vAlign w:val="bottom"/>
          </w:tcPr>
          <w:p>
            <w:pPr>
              <w:spacing w:after="0"/>
              <w:rPr>
                <w:sz w:val="24"/>
                <w:szCs w:val="24"/>
                <w:color w:val="auto"/>
              </w:rPr>
            </w:pPr>
          </w:p>
        </w:tc>
        <w:tc>
          <w:tcPr>
            <w:tcW w:w="84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8"/>
              </w:rPr>
              <w:t>ARTICLE 8</w:t>
            </w:r>
          </w:p>
        </w:tc>
        <w:tc>
          <w:tcPr>
            <w:tcW w:w="1140" w:type="dxa"/>
            <w:vAlign w:val="bottom"/>
          </w:tcPr>
          <w:p>
            <w:pPr>
              <w:spacing w:after="0"/>
              <w:rPr>
                <w:sz w:val="24"/>
                <w:szCs w:val="24"/>
                <w:color w:val="auto"/>
              </w:rPr>
            </w:pPr>
          </w:p>
        </w:tc>
      </w:tr>
      <w:tr>
        <w:trPr>
          <w:trHeight w:val="234"/>
        </w:trPr>
        <w:tc>
          <w:tcPr>
            <w:tcW w:w="1660" w:type="dxa"/>
            <w:vAlign w:val="bottom"/>
          </w:tcPr>
          <w:p>
            <w:pPr>
              <w:spacing w:after="0"/>
              <w:rPr>
                <w:sz w:val="20"/>
                <w:szCs w:val="20"/>
                <w:color w:val="auto"/>
              </w:rPr>
            </w:pPr>
          </w:p>
        </w:tc>
        <w:tc>
          <w:tcPr>
            <w:tcW w:w="8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MEETINGS OF HOLDERS</w:t>
            </w:r>
          </w:p>
        </w:tc>
        <w:tc>
          <w:tcPr>
            <w:tcW w:w="1140" w:type="dxa"/>
            <w:vAlign w:val="bottom"/>
          </w:tcPr>
          <w:p>
            <w:pPr>
              <w:spacing w:after="0"/>
              <w:rPr>
                <w:sz w:val="20"/>
                <w:szCs w:val="20"/>
                <w:color w:val="auto"/>
              </w:rPr>
            </w:pPr>
          </w:p>
        </w:tc>
      </w:tr>
      <w:tr>
        <w:trPr>
          <w:trHeight w:val="41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8.01.</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Purposes for Which Meeting May Be Called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8.02.</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Manner of Calling Meetings; Record Date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8.03.</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Call of Meeting by Company or Holders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8.04.</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Who May Attend and Vote at Meeting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8.05.</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Regulations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8.06.</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Manner of Voting at Meetings and Record to be Kept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8.07.</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Exercise of Rights of Trustee and Holders Not to be Hindered or Delayed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14"/>
        </w:trPr>
        <w:tc>
          <w:tcPr>
            <w:tcW w:w="1660" w:type="dxa"/>
            <w:vAlign w:val="bottom"/>
          </w:tcPr>
          <w:p>
            <w:pPr>
              <w:spacing w:after="0"/>
              <w:rPr>
                <w:sz w:val="24"/>
                <w:szCs w:val="24"/>
                <w:color w:val="auto"/>
              </w:rPr>
            </w:pPr>
          </w:p>
        </w:tc>
        <w:tc>
          <w:tcPr>
            <w:tcW w:w="84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8"/>
              </w:rPr>
              <w:t>ARTICLE 9</w:t>
            </w:r>
          </w:p>
        </w:tc>
        <w:tc>
          <w:tcPr>
            <w:tcW w:w="1140" w:type="dxa"/>
            <w:vAlign w:val="bottom"/>
          </w:tcPr>
          <w:p>
            <w:pPr>
              <w:spacing w:after="0"/>
              <w:rPr>
                <w:sz w:val="24"/>
                <w:szCs w:val="24"/>
                <w:color w:val="auto"/>
              </w:rPr>
            </w:pPr>
          </w:p>
        </w:tc>
      </w:tr>
      <w:tr>
        <w:trPr>
          <w:trHeight w:val="234"/>
        </w:trPr>
        <w:tc>
          <w:tcPr>
            <w:tcW w:w="1660" w:type="dxa"/>
            <w:vAlign w:val="bottom"/>
          </w:tcPr>
          <w:p>
            <w:pPr>
              <w:spacing w:after="0"/>
              <w:rPr>
                <w:sz w:val="20"/>
                <w:szCs w:val="20"/>
                <w:color w:val="auto"/>
              </w:rPr>
            </w:pPr>
          </w:p>
        </w:tc>
        <w:tc>
          <w:tcPr>
            <w:tcW w:w="84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SUPPLEMENTAL INDENTURES</w:t>
            </w:r>
          </w:p>
        </w:tc>
        <w:tc>
          <w:tcPr>
            <w:tcW w:w="1140" w:type="dxa"/>
            <w:vAlign w:val="bottom"/>
          </w:tcPr>
          <w:p>
            <w:pPr>
              <w:spacing w:after="0"/>
              <w:rPr>
                <w:sz w:val="20"/>
                <w:szCs w:val="20"/>
                <w:color w:val="auto"/>
              </w:rPr>
            </w:pPr>
          </w:p>
        </w:tc>
      </w:tr>
      <w:tr>
        <w:trPr>
          <w:trHeight w:val="41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9.01.</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Supplemental Indentures Without Consent of Holders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9.02.</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With Consent of Holders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9.03.</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Effect of Supplemental Indenture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9.04.</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Documents to Be Given to Trustee; Compliance with TIA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9.05.</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Notation on Securities in Respect of Supplemental Indentures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4"/>
        </w:trPr>
        <w:tc>
          <w:tcPr>
            <w:tcW w:w="1660" w:type="dxa"/>
            <w:vAlign w:val="bottom"/>
          </w:tcPr>
          <w:p>
            <w:pPr>
              <w:spacing w:after="0"/>
              <w:rPr>
                <w:sz w:val="24"/>
                <w:szCs w:val="24"/>
                <w:color w:val="auto"/>
              </w:rPr>
            </w:pPr>
          </w:p>
        </w:tc>
        <w:tc>
          <w:tcPr>
            <w:tcW w:w="8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ARTICLE 10</w:t>
            </w:r>
          </w:p>
        </w:tc>
        <w:tc>
          <w:tcPr>
            <w:tcW w:w="1140" w:type="dxa"/>
            <w:vAlign w:val="bottom"/>
          </w:tcPr>
          <w:p>
            <w:pPr>
              <w:spacing w:after="0"/>
              <w:rPr>
                <w:sz w:val="24"/>
                <w:szCs w:val="24"/>
                <w:color w:val="auto"/>
              </w:rPr>
            </w:pPr>
          </w:p>
        </w:tc>
      </w:tr>
      <w:tr>
        <w:trPr>
          <w:trHeight w:val="234"/>
        </w:trPr>
        <w:tc>
          <w:tcPr>
            <w:tcW w:w="1660" w:type="dxa"/>
            <w:vAlign w:val="bottom"/>
          </w:tcPr>
          <w:p>
            <w:pPr>
              <w:spacing w:after="0"/>
              <w:rPr>
                <w:sz w:val="20"/>
                <w:szCs w:val="20"/>
                <w:color w:val="auto"/>
              </w:rPr>
            </w:pPr>
          </w:p>
        </w:tc>
        <w:tc>
          <w:tcPr>
            <w:tcW w:w="8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CONSOLIDATION, MERGER OR SALE OF ASSETS</w:t>
            </w:r>
          </w:p>
        </w:tc>
        <w:tc>
          <w:tcPr>
            <w:tcW w:w="1140" w:type="dxa"/>
            <w:vAlign w:val="bottom"/>
          </w:tcPr>
          <w:p>
            <w:pPr>
              <w:spacing w:after="0"/>
              <w:rPr>
                <w:sz w:val="20"/>
                <w:szCs w:val="20"/>
                <w:color w:val="auto"/>
              </w:rPr>
            </w:pPr>
          </w:p>
        </w:tc>
      </w:tr>
      <w:tr>
        <w:trPr>
          <w:trHeight w:val="41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10.01.</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When the Company May Merge, Etc</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10.02.</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Successor Person Substituted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10.03.</w:t>
            </w:r>
          </w:p>
        </w:tc>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Opinion of Counsel to Trustee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547"/>
        </w:trPr>
        <w:tc>
          <w:tcPr>
            <w:tcW w:w="1660" w:type="dxa"/>
            <w:vAlign w:val="bottom"/>
            <w:tcBorders>
              <w:bottom w:val="single" w:sz="8" w:color="9A9A9A"/>
            </w:tcBorders>
          </w:tcPr>
          <w:p>
            <w:pPr>
              <w:spacing w:after="0"/>
              <w:rPr>
                <w:sz w:val="24"/>
                <w:szCs w:val="24"/>
                <w:color w:val="auto"/>
              </w:rPr>
            </w:pPr>
          </w:p>
        </w:tc>
        <w:tc>
          <w:tcPr>
            <w:tcW w:w="84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55" w:name="page56"/>
    <w:bookmarkEnd w:id="55"/>
    <w:p>
      <w:pPr>
        <w:jc w:val="center"/>
        <w:ind w:right="560"/>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REDEMPTION OF SECURITIES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11.01.</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Applicability of Article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11.02.</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 of Redemption; Partial Redemptions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r>
      <w:tr>
        <w:trPr>
          <w:trHeight w:val="234"/>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11.03.</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Securities Called for Redemption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0"/>
                <w:szCs w:val="20"/>
                <w:color w:val="auto"/>
              </w:rPr>
            </w:pPr>
          </w:p>
        </w:tc>
      </w:tr>
      <w:tr>
        <w:trPr>
          <w:trHeight w:val="400"/>
        </w:trPr>
        <w:tc>
          <w:tcPr>
            <w:tcW w:w="1500" w:type="dxa"/>
            <w:vAlign w:val="bottom"/>
          </w:tcPr>
          <w:p>
            <w:pPr>
              <w:spacing w:after="0"/>
              <w:rPr>
                <w:sz w:val="24"/>
                <w:szCs w:val="24"/>
                <w:color w:val="auto"/>
              </w:rPr>
            </w:pPr>
          </w:p>
        </w:tc>
        <w:tc>
          <w:tcPr>
            <w:tcW w:w="928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w w:val="99"/>
              </w:rPr>
              <w:t>ARTICLE 12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500" w:type="dxa"/>
            <w:vAlign w:val="bottom"/>
          </w:tcPr>
          <w:p>
            <w:pPr>
              <w:spacing w:after="0"/>
              <w:rPr>
                <w:sz w:val="20"/>
                <w:szCs w:val="20"/>
                <w:color w:val="auto"/>
              </w:rPr>
            </w:pPr>
          </w:p>
        </w:tc>
        <w:tc>
          <w:tcPr>
            <w:tcW w:w="928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rPr>
              <w:t>DEFEASANCE AND COVENANT DEFEASANCE</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0"/>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12.01.</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Applicability of the Article; Company’s Option to Effect Defeasance or Covenant Defeasance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4"/>
                <w:szCs w:val="24"/>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12.02.</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Legal Defeasance and Discharge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12.03.</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Covenant Defeasance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12.04.</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Conditions to Legal or Covenant Defeasance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12.05.</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Deposited Money and Government Securities to be Held in Trust; Other Miscellaneous Provisions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12.06.</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to the Company or Guarantor</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r>
      <w:tr>
        <w:trPr>
          <w:trHeight w:val="234"/>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12.07.</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Reinstatement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0"/>
                <w:szCs w:val="20"/>
                <w:color w:val="auto"/>
              </w:rPr>
            </w:pPr>
          </w:p>
        </w:tc>
      </w:tr>
      <w:tr>
        <w:trPr>
          <w:trHeight w:val="400"/>
        </w:trPr>
        <w:tc>
          <w:tcPr>
            <w:tcW w:w="1500" w:type="dxa"/>
            <w:vAlign w:val="bottom"/>
          </w:tcPr>
          <w:p>
            <w:pPr>
              <w:spacing w:after="0"/>
              <w:rPr>
                <w:sz w:val="24"/>
                <w:szCs w:val="24"/>
                <w:color w:val="auto"/>
              </w:rPr>
            </w:pPr>
          </w:p>
        </w:tc>
        <w:tc>
          <w:tcPr>
            <w:tcW w:w="928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w w:val="99"/>
              </w:rPr>
              <w:t>ARTICLE 13</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500" w:type="dxa"/>
            <w:vAlign w:val="bottom"/>
          </w:tcPr>
          <w:p>
            <w:pPr>
              <w:spacing w:after="0"/>
              <w:rPr>
                <w:sz w:val="20"/>
                <w:szCs w:val="20"/>
                <w:color w:val="auto"/>
              </w:rPr>
            </w:pPr>
          </w:p>
        </w:tc>
        <w:tc>
          <w:tcPr>
            <w:tcW w:w="928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8"/>
              </w:rPr>
              <w:t>SATISFACTION AND DISCHARGE</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0"/>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13.01.</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4"/>
                <w:szCs w:val="24"/>
                <w:color w:val="auto"/>
              </w:rPr>
            </w:pPr>
          </w:p>
        </w:tc>
      </w:tr>
      <w:tr>
        <w:trPr>
          <w:trHeight w:val="234"/>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13.02.</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Application of Trust Money</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0"/>
                <w:szCs w:val="20"/>
                <w:color w:val="auto"/>
              </w:rPr>
            </w:pPr>
          </w:p>
        </w:tc>
      </w:tr>
      <w:tr>
        <w:trPr>
          <w:trHeight w:val="400"/>
        </w:trPr>
        <w:tc>
          <w:tcPr>
            <w:tcW w:w="1500" w:type="dxa"/>
            <w:vAlign w:val="bottom"/>
          </w:tcPr>
          <w:p>
            <w:pPr>
              <w:spacing w:after="0"/>
              <w:rPr>
                <w:sz w:val="24"/>
                <w:szCs w:val="24"/>
                <w:color w:val="auto"/>
              </w:rPr>
            </w:pPr>
          </w:p>
        </w:tc>
        <w:tc>
          <w:tcPr>
            <w:tcW w:w="928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w w:val="99"/>
              </w:rPr>
              <w:t>ARTICLE 14</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500" w:type="dxa"/>
            <w:vAlign w:val="bottom"/>
          </w:tcPr>
          <w:p>
            <w:pPr>
              <w:spacing w:after="0"/>
              <w:rPr>
                <w:sz w:val="20"/>
                <w:szCs w:val="20"/>
                <w:color w:val="auto"/>
              </w:rPr>
            </w:pPr>
          </w:p>
        </w:tc>
        <w:tc>
          <w:tcPr>
            <w:tcW w:w="928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9"/>
              </w:rPr>
              <w:t>HOLDERS’ LISTS AND REPORTS BY TRUSTEE, COMPANY AND GUARANTORS</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0"/>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14.01.</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to Furnish Trustee Names and Addresses of Holders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4"/>
                <w:szCs w:val="24"/>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14.02.</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Preservation of Information; Communications to Holders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14.03.</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Reports by the Trustee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r>
      <w:tr>
        <w:trPr>
          <w:trHeight w:val="234"/>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14.04.</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Reports by the Company and Guarantors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0"/>
                <w:szCs w:val="20"/>
                <w:color w:val="auto"/>
              </w:rPr>
            </w:pPr>
          </w:p>
        </w:tc>
      </w:tr>
      <w:tr>
        <w:trPr>
          <w:trHeight w:val="400"/>
        </w:trPr>
        <w:tc>
          <w:tcPr>
            <w:tcW w:w="1500" w:type="dxa"/>
            <w:vAlign w:val="bottom"/>
          </w:tcPr>
          <w:p>
            <w:pPr>
              <w:spacing w:after="0"/>
              <w:rPr>
                <w:sz w:val="24"/>
                <w:szCs w:val="24"/>
                <w:color w:val="auto"/>
              </w:rPr>
            </w:pPr>
          </w:p>
        </w:tc>
        <w:tc>
          <w:tcPr>
            <w:tcW w:w="928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w w:val="99"/>
              </w:rPr>
              <w:t>ARTICLE 15</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500" w:type="dxa"/>
            <w:vAlign w:val="bottom"/>
          </w:tcPr>
          <w:p>
            <w:pPr>
              <w:spacing w:after="0"/>
              <w:rPr>
                <w:sz w:val="20"/>
                <w:szCs w:val="20"/>
                <w:color w:val="auto"/>
              </w:rPr>
            </w:pPr>
          </w:p>
        </w:tc>
        <w:tc>
          <w:tcPr>
            <w:tcW w:w="928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9"/>
              </w:rPr>
              <w:t>MISCELLANEOUS PROVISIONS</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0"/>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15.01.</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Incorporators, Stockholders, Members, Partners, Officers, Managers and Directors of Company or any Guarantor Exempt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from Individual Liability</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15.02.</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Provisions of Indenture for the Sole Benefit of Parties and Holders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15.03.</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Successors and Assigns of Company or Guarantor Bound by Indenture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15.04.</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 Etc., to Trustee, the Company and Guarantors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15.05.</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 to Holders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15.06.</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Officers’ Certificates and Opinions of Counsel; Statements to Be Contained Therein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15.07.</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Due on Saturdays, Sundays and Holidays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15.08.</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Conflict of Any Provision of Indenture with Trust Indenture Act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15.09.</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Conflict of Any Provision of Securities with Indenture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15.10.</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York Law to Govern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15.11.</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Waiver of Jury Trial</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15.12.</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Consent to Jurisdiction and Service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15.13.</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Third Party Beneficiaries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15.14.</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Counterparts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15.15.</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 of Headings, Table of Contents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15.16.</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15.17.</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Severability</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15.18.</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Patriot Act Compliance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r>
      <w:tr>
        <w:trPr>
          <w:trHeight w:val="234"/>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15.19.</w:t>
            </w:r>
          </w:p>
        </w:tc>
        <w:tc>
          <w:tcPr>
            <w:tcW w:w="9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Force Majeure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0"/>
                <w:szCs w:val="20"/>
                <w:color w:val="auto"/>
              </w:rPr>
            </w:pPr>
          </w:p>
        </w:tc>
      </w:tr>
      <w:tr>
        <w:trPr>
          <w:trHeight w:val="777"/>
        </w:trPr>
        <w:tc>
          <w:tcPr>
            <w:tcW w:w="150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871"/>
        </w:trPr>
        <w:tc>
          <w:tcPr>
            <w:tcW w:w="1500" w:type="dxa"/>
            <w:vAlign w:val="bottom"/>
            <w:tcBorders>
              <w:bottom w:val="single" w:sz="8" w:color="9A9A9A"/>
            </w:tcBorders>
          </w:tcPr>
          <w:p>
            <w:pPr>
              <w:spacing w:after="0"/>
              <w:rPr>
                <w:sz w:val="24"/>
                <w:szCs w:val="24"/>
                <w:color w:val="auto"/>
              </w:rPr>
            </w:pPr>
          </w:p>
        </w:tc>
        <w:tc>
          <w:tcPr>
            <w:tcW w:w="9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9100" w:type="dxa"/>
            <w:vAlign w:val="bottom"/>
            <w:gridSpan w:val="3"/>
          </w:tcPr>
          <w:p>
            <w:pPr>
              <w:jc w:val="center"/>
              <w:ind w:right="1992"/>
              <w:spacing w:after="0"/>
              <w:rPr>
                <w:sz w:val="20"/>
                <w:szCs w:val="20"/>
                <w:color w:val="auto"/>
              </w:rPr>
            </w:pPr>
            <w:r>
              <w:rPr>
                <w:rFonts w:ascii="Times New Roman" w:cs="Times New Roman" w:eastAsia="Times New Roman" w:hAnsi="Times New Roman"/>
                <w:sz w:val="18"/>
                <w:szCs w:val="18"/>
                <w:color w:val="auto"/>
                <w:w w:val="99"/>
              </w:rPr>
              <w:t>AXSOME THERAPEUTICS, INC.</w:t>
            </w:r>
          </w:p>
        </w:tc>
      </w:tr>
      <w:tr>
        <w:trPr>
          <w:trHeight w:val="414"/>
        </w:trPr>
        <w:tc>
          <w:tcPr>
            <w:tcW w:w="2120" w:type="dxa"/>
            <w:vAlign w:val="bottom"/>
          </w:tcPr>
          <w:p>
            <w:pPr>
              <w:spacing w:after="0"/>
              <w:rPr>
                <w:sz w:val="24"/>
                <w:szCs w:val="24"/>
                <w:color w:val="auto"/>
              </w:rPr>
            </w:pPr>
          </w:p>
        </w:tc>
        <w:tc>
          <w:tcPr>
            <w:tcW w:w="9100" w:type="dxa"/>
            <w:vAlign w:val="bottom"/>
            <w:gridSpan w:val="3"/>
          </w:tcPr>
          <w:p>
            <w:pPr>
              <w:jc w:val="center"/>
              <w:ind w:right="1992"/>
              <w:spacing w:after="0"/>
              <w:rPr>
                <w:sz w:val="20"/>
                <w:szCs w:val="20"/>
                <w:color w:val="auto"/>
              </w:rPr>
            </w:pPr>
            <w:r>
              <w:rPr>
                <w:rFonts w:ascii="Times New Roman" w:cs="Times New Roman" w:eastAsia="Times New Roman" w:hAnsi="Times New Roman"/>
                <w:sz w:val="18"/>
                <w:szCs w:val="18"/>
                <w:color w:val="auto"/>
                <w:w w:val="99"/>
              </w:rPr>
              <w:t>Reconciliation and tie between Trust Indenture Act of 1939, as amended,</w:t>
            </w:r>
          </w:p>
        </w:tc>
      </w:tr>
      <w:tr>
        <w:trPr>
          <w:trHeight w:val="234"/>
        </w:trPr>
        <w:tc>
          <w:tcPr>
            <w:tcW w:w="2120" w:type="dxa"/>
            <w:vAlign w:val="bottom"/>
          </w:tcPr>
          <w:p>
            <w:pPr>
              <w:spacing w:after="0"/>
              <w:rPr>
                <w:sz w:val="20"/>
                <w:szCs w:val="20"/>
                <w:color w:val="auto"/>
              </w:rPr>
            </w:pPr>
          </w:p>
        </w:tc>
        <w:tc>
          <w:tcPr>
            <w:tcW w:w="9100" w:type="dxa"/>
            <w:vAlign w:val="bottom"/>
            <w:gridSpan w:val="3"/>
          </w:tcPr>
          <w:p>
            <w:pPr>
              <w:jc w:val="center"/>
              <w:ind w:right="1992"/>
              <w:spacing w:after="0"/>
              <w:rPr>
                <w:sz w:val="20"/>
                <w:szCs w:val="20"/>
                <w:color w:val="auto"/>
              </w:rPr>
            </w:pPr>
            <w:r>
              <w:rPr>
                <w:rFonts w:ascii="Times New Roman" w:cs="Times New Roman" w:eastAsia="Times New Roman" w:hAnsi="Times New Roman"/>
                <w:sz w:val="18"/>
                <w:szCs w:val="18"/>
                <w:color w:val="auto"/>
                <w:w w:val="99"/>
              </w:rPr>
              <w:t>and this Indenture</w:t>
            </w:r>
          </w:p>
        </w:tc>
      </w:tr>
      <w:tr>
        <w:trPr>
          <w:trHeight w:val="299"/>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Trust Indenture Act</w:t>
            </w:r>
          </w:p>
        </w:tc>
        <w:tc>
          <w:tcPr>
            <w:tcW w:w="4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0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Indenture</w:t>
            </w:r>
          </w:p>
        </w:tc>
      </w:tr>
      <w:tr>
        <w:trPr>
          <w:trHeight w:val="173"/>
        </w:trPr>
        <w:tc>
          <w:tcPr>
            <w:tcW w:w="2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4860" w:type="dxa"/>
            <w:vAlign w:val="bottom"/>
            <w:tcBorders>
              <w:bottom w:val="single" w:sz="8" w:color="auto"/>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390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223"/>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§310 (a)(1)</w:t>
            </w:r>
          </w:p>
        </w:tc>
        <w:tc>
          <w:tcPr>
            <w:tcW w:w="4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6.09</w:t>
            </w:r>
          </w:p>
        </w:tc>
      </w:tr>
      <w:tr>
        <w:trPr>
          <w:trHeight w:val="230"/>
        </w:trPr>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(a)(2)</w:t>
            </w:r>
          </w:p>
        </w:tc>
        <w:tc>
          <w:tcPr>
            <w:tcW w:w="9100" w:type="dxa"/>
            <w:vAlign w:val="bottom"/>
            <w:gridSpan w:val="3"/>
          </w:tcPr>
          <w:p>
            <w:pPr>
              <w:ind w:left="5200"/>
              <w:spacing w:after="0"/>
              <w:rPr>
                <w:sz w:val="20"/>
                <w:szCs w:val="20"/>
                <w:color w:val="auto"/>
              </w:rPr>
            </w:pPr>
            <w:r>
              <w:rPr>
                <w:rFonts w:ascii="Times New Roman" w:cs="Times New Roman" w:eastAsia="Times New Roman" w:hAnsi="Times New Roman"/>
                <w:sz w:val="18"/>
                <w:szCs w:val="18"/>
                <w:color w:val="auto"/>
              </w:rPr>
              <w:t>6.09</w:t>
            </w:r>
          </w:p>
        </w:tc>
      </w:tr>
      <w:tr>
        <w:trPr>
          <w:trHeight w:val="229"/>
        </w:trPr>
        <w:tc>
          <w:tcPr>
            <w:tcW w:w="2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(a)(3)</w:t>
            </w:r>
          </w:p>
        </w:tc>
        <w:tc>
          <w:tcPr>
            <w:tcW w:w="4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29"/>
        </w:trPr>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(a)(4)</w:t>
            </w:r>
          </w:p>
        </w:tc>
        <w:tc>
          <w:tcPr>
            <w:tcW w:w="4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30"/>
        </w:trPr>
        <w:tc>
          <w:tcPr>
            <w:tcW w:w="2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(a)(5)</w:t>
            </w:r>
          </w:p>
        </w:tc>
        <w:tc>
          <w:tcPr>
            <w:tcW w:w="9100" w:type="dxa"/>
            <w:vAlign w:val="bottom"/>
            <w:gridSpan w:val="3"/>
            <w:shd w:val="clear" w:color="auto" w:fill="CCEEFF"/>
          </w:tcPr>
          <w:p>
            <w:pPr>
              <w:ind w:left="5200"/>
              <w:spacing w:after="0"/>
              <w:rPr>
                <w:sz w:val="20"/>
                <w:szCs w:val="20"/>
                <w:color w:val="auto"/>
              </w:rPr>
            </w:pPr>
            <w:r>
              <w:rPr>
                <w:rFonts w:ascii="Times New Roman" w:cs="Times New Roman" w:eastAsia="Times New Roman" w:hAnsi="Times New Roman"/>
                <w:sz w:val="18"/>
                <w:szCs w:val="18"/>
                <w:color w:val="auto"/>
              </w:rPr>
              <w:t>6.09</w:t>
            </w:r>
          </w:p>
        </w:tc>
      </w:tr>
      <w:tr>
        <w:trPr>
          <w:trHeight w:val="229"/>
        </w:trPr>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w:t>
            </w:r>
          </w:p>
        </w:tc>
        <w:tc>
          <w:tcPr>
            <w:tcW w:w="9100" w:type="dxa"/>
            <w:vAlign w:val="bottom"/>
            <w:gridSpan w:val="3"/>
          </w:tcPr>
          <w:p>
            <w:pPr>
              <w:ind w:left="5200"/>
              <w:spacing w:after="0"/>
              <w:rPr>
                <w:sz w:val="20"/>
                <w:szCs w:val="20"/>
                <w:color w:val="auto"/>
              </w:rPr>
            </w:pPr>
            <w:r>
              <w:rPr>
                <w:rFonts w:ascii="Times New Roman" w:cs="Times New Roman" w:eastAsia="Times New Roman" w:hAnsi="Times New Roman"/>
                <w:sz w:val="18"/>
                <w:szCs w:val="18"/>
                <w:color w:val="auto"/>
              </w:rPr>
              <w:t>6.04, 6.10</w:t>
            </w:r>
          </w:p>
        </w:tc>
      </w:tr>
      <w:tr>
        <w:trPr>
          <w:trHeight w:val="23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§311 (a)</w:t>
            </w:r>
          </w:p>
        </w:tc>
        <w:tc>
          <w:tcPr>
            <w:tcW w:w="9100" w:type="dxa"/>
            <w:vAlign w:val="bottom"/>
            <w:gridSpan w:val="3"/>
            <w:shd w:val="clear" w:color="auto" w:fill="CCEEFF"/>
          </w:tcPr>
          <w:p>
            <w:pPr>
              <w:ind w:left="5200"/>
              <w:spacing w:after="0"/>
              <w:rPr>
                <w:sz w:val="20"/>
                <w:szCs w:val="20"/>
                <w:color w:val="auto"/>
              </w:rPr>
            </w:pPr>
            <w:r>
              <w:rPr>
                <w:rFonts w:ascii="Times New Roman" w:cs="Times New Roman" w:eastAsia="Times New Roman" w:hAnsi="Times New Roman"/>
                <w:sz w:val="18"/>
                <w:szCs w:val="18"/>
                <w:color w:val="auto"/>
              </w:rPr>
              <w:t>6.13</w:t>
            </w:r>
          </w:p>
        </w:tc>
      </w:tr>
      <w:tr>
        <w:trPr>
          <w:trHeight w:val="229"/>
        </w:trPr>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w:t>
            </w:r>
          </w:p>
        </w:tc>
        <w:tc>
          <w:tcPr>
            <w:tcW w:w="9100" w:type="dxa"/>
            <w:vAlign w:val="bottom"/>
            <w:gridSpan w:val="3"/>
          </w:tcPr>
          <w:p>
            <w:pPr>
              <w:ind w:left="5200"/>
              <w:spacing w:after="0"/>
              <w:rPr>
                <w:sz w:val="20"/>
                <w:szCs w:val="20"/>
                <w:color w:val="auto"/>
              </w:rPr>
            </w:pPr>
            <w:r>
              <w:rPr>
                <w:rFonts w:ascii="Times New Roman" w:cs="Times New Roman" w:eastAsia="Times New Roman" w:hAnsi="Times New Roman"/>
                <w:sz w:val="18"/>
                <w:szCs w:val="18"/>
                <w:color w:val="auto"/>
              </w:rPr>
              <w:t>6.13</w:t>
            </w:r>
          </w:p>
        </w:tc>
      </w:tr>
      <w:tr>
        <w:trPr>
          <w:trHeight w:val="22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 (a)</w:t>
            </w:r>
          </w:p>
        </w:tc>
        <w:tc>
          <w:tcPr>
            <w:tcW w:w="4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14.01, 14.02(a)</w:t>
            </w:r>
          </w:p>
        </w:tc>
      </w:tr>
      <w:tr>
        <w:trPr>
          <w:trHeight w:val="230"/>
        </w:trPr>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w:t>
            </w:r>
          </w:p>
        </w:tc>
        <w:tc>
          <w:tcPr>
            <w:tcW w:w="4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14.02(b)</w:t>
            </w:r>
          </w:p>
        </w:tc>
      </w:tr>
      <w:tr>
        <w:trPr>
          <w:trHeight w:val="229"/>
        </w:trPr>
        <w:tc>
          <w:tcPr>
            <w:tcW w:w="2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w:t>
            </w:r>
          </w:p>
        </w:tc>
        <w:tc>
          <w:tcPr>
            <w:tcW w:w="4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14.02(c)</w:t>
            </w:r>
          </w:p>
        </w:tc>
      </w:tr>
      <w:tr>
        <w:trPr>
          <w:trHeight w:val="229"/>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§313 (a)</w:t>
            </w:r>
          </w:p>
        </w:tc>
        <w:tc>
          <w:tcPr>
            <w:tcW w:w="4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14.03(a)</w:t>
            </w:r>
          </w:p>
        </w:tc>
      </w:tr>
      <w:tr>
        <w:trPr>
          <w:trHeight w:val="230"/>
        </w:trPr>
        <w:tc>
          <w:tcPr>
            <w:tcW w:w="2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w:t>
            </w:r>
          </w:p>
        </w:tc>
        <w:tc>
          <w:tcPr>
            <w:tcW w:w="4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14.03(a)</w:t>
            </w:r>
          </w:p>
        </w:tc>
      </w:tr>
      <w:tr>
        <w:trPr>
          <w:trHeight w:val="229"/>
        </w:trPr>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w:t>
            </w:r>
          </w:p>
        </w:tc>
        <w:tc>
          <w:tcPr>
            <w:tcW w:w="4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14.03(a), 14.03(b)</w:t>
            </w:r>
          </w:p>
        </w:tc>
      </w:tr>
      <w:tr>
        <w:trPr>
          <w:trHeight w:val="230"/>
        </w:trPr>
        <w:tc>
          <w:tcPr>
            <w:tcW w:w="2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w:t>
            </w:r>
          </w:p>
        </w:tc>
        <w:tc>
          <w:tcPr>
            <w:tcW w:w="4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14.03(b)</w:t>
            </w:r>
          </w:p>
        </w:tc>
      </w:tr>
      <w:tr>
        <w:trPr>
          <w:trHeight w:val="229"/>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§314 (a)</w:t>
            </w:r>
          </w:p>
        </w:tc>
        <w:tc>
          <w:tcPr>
            <w:tcW w:w="9100" w:type="dxa"/>
            <w:vAlign w:val="bottom"/>
            <w:gridSpan w:val="3"/>
          </w:tcPr>
          <w:p>
            <w:pPr>
              <w:ind w:left="5200"/>
              <w:spacing w:after="0"/>
              <w:rPr>
                <w:sz w:val="20"/>
                <w:szCs w:val="20"/>
                <w:color w:val="auto"/>
              </w:rPr>
            </w:pPr>
            <w:r>
              <w:rPr>
                <w:rFonts w:ascii="Times New Roman" w:cs="Times New Roman" w:eastAsia="Times New Roman" w:hAnsi="Times New Roman"/>
                <w:sz w:val="18"/>
                <w:szCs w:val="18"/>
                <w:color w:val="auto"/>
              </w:rPr>
              <w:t>4.05, 14.04</w:t>
            </w:r>
          </w:p>
        </w:tc>
      </w:tr>
      <w:tr>
        <w:trPr>
          <w:trHeight w:val="229"/>
        </w:trPr>
        <w:tc>
          <w:tcPr>
            <w:tcW w:w="2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w:t>
            </w:r>
          </w:p>
        </w:tc>
        <w:tc>
          <w:tcPr>
            <w:tcW w:w="4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30"/>
        </w:trPr>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(c)(1)</w:t>
            </w:r>
          </w:p>
        </w:tc>
        <w:tc>
          <w:tcPr>
            <w:tcW w:w="9100" w:type="dxa"/>
            <w:vAlign w:val="bottom"/>
            <w:gridSpan w:val="3"/>
          </w:tcPr>
          <w:p>
            <w:pPr>
              <w:ind w:left="5200"/>
              <w:spacing w:after="0"/>
              <w:rPr>
                <w:sz w:val="20"/>
                <w:szCs w:val="20"/>
                <w:color w:val="auto"/>
              </w:rPr>
            </w:pPr>
            <w:r>
              <w:rPr>
                <w:rFonts w:ascii="Times New Roman" w:cs="Times New Roman" w:eastAsia="Times New Roman" w:hAnsi="Times New Roman"/>
                <w:sz w:val="18"/>
                <w:szCs w:val="18"/>
                <w:color w:val="auto"/>
              </w:rPr>
              <w:t>15.06</w:t>
            </w:r>
          </w:p>
        </w:tc>
      </w:tr>
      <w:tr>
        <w:trPr>
          <w:trHeight w:val="229"/>
        </w:trPr>
        <w:tc>
          <w:tcPr>
            <w:tcW w:w="2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(c)(2)</w:t>
            </w:r>
          </w:p>
        </w:tc>
        <w:tc>
          <w:tcPr>
            <w:tcW w:w="9100" w:type="dxa"/>
            <w:vAlign w:val="bottom"/>
            <w:gridSpan w:val="3"/>
            <w:shd w:val="clear" w:color="auto" w:fill="CCEEFF"/>
          </w:tcPr>
          <w:p>
            <w:pPr>
              <w:ind w:left="5200"/>
              <w:spacing w:after="0"/>
              <w:rPr>
                <w:sz w:val="20"/>
                <w:szCs w:val="20"/>
                <w:color w:val="auto"/>
              </w:rPr>
            </w:pPr>
            <w:r>
              <w:rPr>
                <w:rFonts w:ascii="Times New Roman" w:cs="Times New Roman" w:eastAsia="Times New Roman" w:hAnsi="Times New Roman"/>
                <w:sz w:val="18"/>
                <w:szCs w:val="18"/>
                <w:color w:val="auto"/>
              </w:rPr>
              <w:t>15.06</w:t>
            </w:r>
          </w:p>
        </w:tc>
      </w:tr>
      <w:tr>
        <w:trPr>
          <w:trHeight w:val="230"/>
        </w:trPr>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(c)(3)</w:t>
            </w:r>
          </w:p>
        </w:tc>
        <w:tc>
          <w:tcPr>
            <w:tcW w:w="4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30"/>
        </w:trPr>
        <w:tc>
          <w:tcPr>
            <w:tcW w:w="2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w:t>
            </w:r>
          </w:p>
        </w:tc>
        <w:tc>
          <w:tcPr>
            <w:tcW w:w="4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29"/>
        </w:trPr>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w:t>
            </w:r>
          </w:p>
        </w:tc>
        <w:tc>
          <w:tcPr>
            <w:tcW w:w="9100" w:type="dxa"/>
            <w:vAlign w:val="bottom"/>
            <w:gridSpan w:val="3"/>
          </w:tcPr>
          <w:p>
            <w:pPr>
              <w:ind w:left="5200"/>
              <w:spacing w:after="0"/>
              <w:rPr>
                <w:sz w:val="20"/>
                <w:szCs w:val="20"/>
                <w:color w:val="auto"/>
              </w:rPr>
            </w:pPr>
            <w:r>
              <w:rPr>
                <w:rFonts w:ascii="Times New Roman" w:cs="Times New Roman" w:eastAsia="Times New Roman" w:hAnsi="Times New Roman"/>
                <w:sz w:val="18"/>
                <w:szCs w:val="18"/>
                <w:color w:val="auto"/>
              </w:rPr>
              <w:t>15.06</w:t>
            </w:r>
          </w:p>
        </w:tc>
      </w:tr>
      <w:tr>
        <w:trPr>
          <w:trHeight w:val="23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§315 (a)</w:t>
            </w:r>
          </w:p>
        </w:tc>
        <w:tc>
          <w:tcPr>
            <w:tcW w:w="9100" w:type="dxa"/>
            <w:vAlign w:val="bottom"/>
            <w:gridSpan w:val="3"/>
            <w:shd w:val="clear" w:color="auto" w:fill="CCEEFF"/>
          </w:tcPr>
          <w:p>
            <w:pPr>
              <w:ind w:left="5200"/>
              <w:spacing w:after="0"/>
              <w:rPr>
                <w:sz w:val="20"/>
                <w:szCs w:val="20"/>
                <w:color w:val="auto"/>
              </w:rPr>
            </w:pPr>
            <w:r>
              <w:rPr>
                <w:rFonts w:ascii="Times New Roman" w:cs="Times New Roman" w:eastAsia="Times New Roman" w:hAnsi="Times New Roman"/>
                <w:sz w:val="18"/>
                <w:szCs w:val="18"/>
                <w:color w:val="auto"/>
              </w:rPr>
              <w:t>6.01</w:t>
            </w:r>
          </w:p>
        </w:tc>
      </w:tr>
      <w:tr>
        <w:trPr>
          <w:trHeight w:val="230"/>
        </w:trPr>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w:t>
            </w:r>
          </w:p>
        </w:tc>
        <w:tc>
          <w:tcPr>
            <w:tcW w:w="4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6.06, 14.03(a)</w:t>
            </w:r>
          </w:p>
        </w:tc>
      </w:tr>
      <w:tr>
        <w:trPr>
          <w:trHeight w:val="230"/>
        </w:trPr>
        <w:tc>
          <w:tcPr>
            <w:tcW w:w="2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w:t>
            </w:r>
          </w:p>
        </w:tc>
        <w:tc>
          <w:tcPr>
            <w:tcW w:w="9100" w:type="dxa"/>
            <w:vAlign w:val="bottom"/>
            <w:gridSpan w:val="3"/>
            <w:shd w:val="clear" w:color="auto" w:fill="CCEEFF"/>
          </w:tcPr>
          <w:p>
            <w:pPr>
              <w:ind w:left="5200"/>
              <w:spacing w:after="0"/>
              <w:rPr>
                <w:sz w:val="20"/>
                <w:szCs w:val="20"/>
                <w:color w:val="auto"/>
              </w:rPr>
            </w:pPr>
            <w:r>
              <w:rPr>
                <w:rFonts w:ascii="Times New Roman" w:cs="Times New Roman" w:eastAsia="Times New Roman" w:hAnsi="Times New Roman"/>
                <w:sz w:val="18"/>
                <w:szCs w:val="18"/>
                <w:color w:val="auto"/>
              </w:rPr>
              <w:t>6.01</w:t>
            </w:r>
          </w:p>
        </w:tc>
      </w:tr>
      <w:tr>
        <w:trPr>
          <w:trHeight w:val="229"/>
        </w:trPr>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w:t>
            </w:r>
          </w:p>
        </w:tc>
        <w:tc>
          <w:tcPr>
            <w:tcW w:w="9100" w:type="dxa"/>
            <w:vAlign w:val="bottom"/>
            <w:gridSpan w:val="3"/>
          </w:tcPr>
          <w:p>
            <w:pPr>
              <w:ind w:left="5200"/>
              <w:spacing w:after="0"/>
              <w:rPr>
                <w:sz w:val="20"/>
                <w:szCs w:val="20"/>
                <w:color w:val="auto"/>
              </w:rPr>
            </w:pPr>
            <w:r>
              <w:rPr>
                <w:rFonts w:ascii="Times New Roman" w:cs="Times New Roman" w:eastAsia="Times New Roman" w:hAnsi="Times New Roman"/>
                <w:sz w:val="18"/>
                <w:szCs w:val="18"/>
                <w:color w:val="auto"/>
              </w:rPr>
              <w:t>6.01</w:t>
            </w:r>
          </w:p>
        </w:tc>
      </w:tr>
      <w:tr>
        <w:trPr>
          <w:trHeight w:val="230"/>
        </w:trPr>
        <w:tc>
          <w:tcPr>
            <w:tcW w:w="2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w:t>
            </w:r>
          </w:p>
        </w:tc>
        <w:tc>
          <w:tcPr>
            <w:tcW w:w="9100" w:type="dxa"/>
            <w:vAlign w:val="bottom"/>
            <w:gridSpan w:val="3"/>
            <w:shd w:val="clear" w:color="auto" w:fill="CCEEFF"/>
          </w:tcPr>
          <w:p>
            <w:pPr>
              <w:ind w:left="5200"/>
              <w:spacing w:after="0"/>
              <w:rPr>
                <w:sz w:val="20"/>
                <w:szCs w:val="20"/>
                <w:color w:val="auto"/>
              </w:rPr>
            </w:pPr>
            <w:r>
              <w:rPr>
                <w:rFonts w:ascii="Times New Roman" w:cs="Times New Roman" w:eastAsia="Times New Roman" w:hAnsi="Times New Roman"/>
                <w:sz w:val="18"/>
                <w:szCs w:val="18"/>
                <w:color w:val="auto"/>
              </w:rPr>
              <w:t>5.11</w:t>
            </w:r>
          </w:p>
        </w:tc>
      </w:tr>
      <w:tr>
        <w:trPr>
          <w:trHeight w:val="230"/>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§316 (a)(1)(A)</w:t>
            </w:r>
          </w:p>
        </w:tc>
        <w:tc>
          <w:tcPr>
            <w:tcW w:w="9100" w:type="dxa"/>
            <w:vAlign w:val="bottom"/>
            <w:gridSpan w:val="3"/>
          </w:tcPr>
          <w:p>
            <w:pPr>
              <w:ind w:left="5200"/>
              <w:spacing w:after="0"/>
              <w:rPr>
                <w:sz w:val="20"/>
                <w:szCs w:val="20"/>
                <w:color w:val="auto"/>
              </w:rPr>
            </w:pPr>
            <w:r>
              <w:rPr>
                <w:rFonts w:ascii="Times New Roman" w:cs="Times New Roman" w:eastAsia="Times New Roman" w:hAnsi="Times New Roman"/>
                <w:sz w:val="18"/>
                <w:szCs w:val="18"/>
                <w:color w:val="auto"/>
              </w:rPr>
              <w:t>5.05</w:t>
            </w:r>
          </w:p>
        </w:tc>
      </w:tr>
      <w:tr>
        <w:trPr>
          <w:trHeight w:val="230"/>
        </w:trPr>
        <w:tc>
          <w:tcPr>
            <w:tcW w:w="2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(a)(1)(B)</w:t>
            </w:r>
          </w:p>
        </w:tc>
        <w:tc>
          <w:tcPr>
            <w:tcW w:w="9100" w:type="dxa"/>
            <w:vAlign w:val="bottom"/>
            <w:gridSpan w:val="3"/>
            <w:shd w:val="clear" w:color="auto" w:fill="CCEEFF"/>
          </w:tcPr>
          <w:p>
            <w:pPr>
              <w:ind w:left="5200"/>
              <w:spacing w:after="0"/>
              <w:rPr>
                <w:sz w:val="20"/>
                <w:szCs w:val="20"/>
                <w:color w:val="auto"/>
              </w:rPr>
            </w:pPr>
            <w:r>
              <w:rPr>
                <w:rFonts w:ascii="Times New Roman" w:cs="Times New Roman" w:eastAsia="Times New Roman" w:hAnsi="Times New Roman"/>
                <w:sz w:val="18"/>
                <w:szCs w:val="18"/>
                <w:color w:val="auto"/>
              </w:rPr>
              <w:t>5.02, 5.04</w:t>
            </w:r>
          </w:p>
        </w:tc>
      </w:tr>
      <w:tr>
        <w:trPr>
          <w:trHeight w:val="230"/>
        </w:trPr>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(a)(2)</w:t>
            </w:r>
          </w:p>
        </w:tc>
        <w:tc>
          <w:tcPr>
            <w:tcW w:w="4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29"/>
        </w:trPr>
        <w:tc>
          <w:tcPr>
            <w:tcW w:w="2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w:t>
            </w:r>
          </w:p>
        </w:tc>
        <w:tc>
          <w:tcPr>
            <w:tcW w:w="9100" w:type="dxa"/>
            <w:vAlign w:val="bottom"/>
            <w:gridSpan w:val="3"/>
            <w:shd w:val="clear" w:color="auto" w:fill="CCEEFF"/>
          </w:tcPr>
          <w:p>
            <w:pPr>
              <w:ind w:left="5200"/>
              <w:spacing w:after="0"/>
              <w:rPr>
                <w:sz w:val="20"/>
                <w:szCs w:val="20"/>
                <w:color w:val="auto"/>
              </w:rPr>
            </w:pPr>
            <w:r>
              <w:rPr>
                <w:rFonts w:ascii="Times New Roman" w:cs="Times New Roman" w:eastAsia="Times New Roman" w:hAnsi="Times New Roman"/>
                <w:sz w:val="18"/>
                <w:szCs w:val="18"/>
                <w:color w:val="auto"/>
              </w:rPr>
              <w:t>5.07</w:t>
            </w:r>
          </w:p>
        </w:tc>
      </w:tr>
      <w:tr>
        <w:trPr>
          <w:trHeight w:val="230"/>
        </w:trPr>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w:t>
            </w:r>
          </w:p>
        </w:tc>
        <w:tc>
          <w:tcPr>
            <w:tcW w:w="9100" w:type="dxa"/>
            <w:vAlign w:val="bottom"/>
            <w:gridSpan w:val="3"/>
          </w:tcPr>
          <w:p>
            <w:pPr>
              <w:ind w:left="5200"/>
              <w:spacing w:after="0"/>
              <w:rPr>
                <w:sz w:val="20"/>
                <w:szCs w:val="20"/>
                <w:color w:val="auto"/>
              </w:rPr>
            </w:pPr>
            <w:r>
              <w:rPr>
                <w:rFonts w:ascii="Times New Roman" w:cs="Times New Roman" w:eastAsia="Times New Roman" w:hAnsi="Times New Roman"/>
                <w:sz w:val="18"/>
                <w:szCs w:val="18"/>
                <w:color w:val="auto"/>
              </w:rPr>
              <w:t>7.02, 8.03</w:t>
            </w:r>
          </w:p>
        </w:tc>
      </w:tr>
      <w:tr>
        <w:trPr>
          <w:trHeight w:val="23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§317 (a)(1)</w:t>
            </w:r>
          </w:p>
        </w:tc>
        <w:tc>
          <w:tcPr>
            <w:tcW w:w="9100" w:type="dxa"/>
            <w:vAlign w:val="bottom"/>
            <w:gridSpan w:val="3"/>
            <w:shd w:val="clear" w:color="auto" w:fill="CCEEFF"/>
          </w:tcPr>
          <w:p>
            <w:pPr>
              <w:ind w:left="5200"/>
              <w:spacing w:after="0"/>
              <w:rPr>
                <w:sz w:val="20"/>
                <w:szCs w:val="20"/>
                <w:color w:val="auto"/>
              </w:rPr>
            </w:pPr>
            <w:r>
              <w:rPr>
                <w:rFonts w:ascii="Times New Roman" w:cs="Times New Roman" w:eastAsia="Times New Roman" w:hAnsi="Times New Roman"/>
                <w:sz w:val="18"/>
                <w:szCs w:val="18"/>
                <w:color w:val="auto"/>
              </w:rPr>
              <w:t>5.08</w:t>
            </w:r>
          </w:p>
        </w:tc>
      </w:tr>
      <w:tr>
        <w:trPr>
          <w:trHeight w:val="230"/>
        </w:trPr>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(a)(2)</w:t>
            </w:r>
          </w:p>
        </w:tc>
        <w:tc>
          <w:tcPr>
            <w:tcW w:w="9100" w:type="dxa"/>
            <w:vAlign w:val="bottom"/>
            <w:gridSpan w:val="3"/>
          </w:tcPr>
          <w:p>
            <w:pPr>
              <w:ind w:left="5200"/>
              <w:spacing w:after="0"/>
              <w:rPr>
                <w:sz w:val="20"/>
                <w:szCs w:val="20"/>
                <w:color w:val="auto"/>
              </w:rPr>
            </w:pPr>
            <w:r>
              <w:rPr>
                <w:rFonts w:ascii="Times New Roman" w:cs="Times New Roman" w:eastAsia="Times New Roman" w:hAnsi="Times New Roman"/>
                <w:sz w:val="18"/>
                <w:szCs w:val="18"/>
                <w:color w:val="auto"/>
              </w:rPr>
              <w:t>5.09</w:t>
            </w:r>
          </w:p>
        </w:tc>
      </w:tr>
      <w:tr>
        <w:trPr>
          <w:trHeight w:val="229"/>
        </w:trPr>
        <w:tc>
          <w:tcPr>
            <w:tcW w:w="2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w:t>
            </w:r>
          </w:p>
        </w:tc>
        <w:tc>
          <w:tcPr>
            <w:tcW w:w="9100" w:type="dxa"/>
            <w:vAlign w:val="bottom"/>
            <w:gridSpan w:val="3"/>
            <w:shd w:val="clear" w:color="auto" w:fill="CCEEFF"/>
          </w:tcPr>
          <w:p>
            <w:pPr>
              <w:ind w:left="5200"/>
              <w:spacing w:after="0"/>
              <w:rPr>
                <w:sz w:val="20"/>
                <w:szCs w:val="20"/>
                <w:color w:val="auto"/>
              </w:rPr>
            </w:pPr>
            <w:r>
              <w:rPr>
                <w:rFonts w:ascii="Times New Roman" w:cs="Times New Roman" w:eastAsia="Times New Roman" w:hAnsi="Times New Roman"/>
                <w:sz w:val="18"/>
                <w:szCs w:val="18"/>
                <w:color w:val="auto"/>
              </w:rPr>
              <w:t>4.03</w:t>
            </w:r>
          </w:p>
        </w:tc>
      </w:tr>
      <w:tr>
        <w:trPr>
          <w:trHeight w:val="231"/>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318 (a)</w:t>
            </w:r>
          </w:p>
        </w:tc>
        <w:tc>
          <w:tcPr>
            <w:tcW w:w="9100" w:type="dxa"/>
            <w:vAlign w:val="bottom"/>
            <w:gridSpan w:val="3"/>
          </w:tcPr>
          <w:p>
            <w:pPr>
              <w:ind w:left="5200"/>
              <w:spacing w:after="0"/>
              <w:rPr>
                <w:sz w:val="20"/>
                <w:szCs w:val="20"/>
                <w:color w:val="auto"/>
              </w:rPr>
            </w:pPr>
            <w:r>
              <w:rPr>
                <w:rFonts w:ascii="Times New Roman" w:cs="Times New Roman" w:eastAsia="Times New Roman" w:hAnsi="Times New Roman"/>
                <w:sz w:val="18"/>
                <w:szCs w:val="18"/>
                <w:color w:val="auto"/>
              </w:rPr>
              <w:t>15.08</w:t>
            </w:r>
          </w:p>
        </w:tc>
      </w:tr>
    </w:tbl>
    <w:p>
      <w:pPr>
        <w:spacing w:after="0"/>
        <w:rPr>
          <w:sz w:val="20"/>
          <w:szCs w:val="20"/>
          <w:color w:val="auto"/>
        </w:rPr>
      </w:pPr>
      <w:r>
        <w:rPr>
          <w:rFonts w:ascii="Times New Roman" w:cs="Times New Roman" w:eastAsia="Times New Roman" w:hAnsi="Times New Roman"/>
          <w:sz w:val="18"/>
          <w:szCs w:val="18"/>
          <w:color w:val="auto"/>
        </w:rPr>
        <w:t>This cross-reference table shall not, for any purpose, be deemed to be part of this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909320</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7" w:name="page58"/>
    <w:bookmarkEnd w:id="57"/>
    <w:p>
      <w:pPr>
        <w:ind w:right="40" w:firstLine="864"/>
        <w:spacing w:after="0" w:line="282" w:lineRule="auto"/>
        <w:rPr>
          <w:sz w:val="20"/>
          <w:szCs w:val="20"/>
          <w:color w:val="auto"/>
        </w:rPr>
      </w:pPr>
      <w:r>
        <w:rPr>
          <w:rFonts w:ascii="Times New Roman" w:cs="Times New Roman" w:eastAsia="Times New Roman" w:hAnsi="Times New Roman"/>
          <w:sz w:val="18"/>
          <w:szCs w:val="18"/>
          <w:color w:val="auto"/>
        </w:rPr>
        <w:t>INDENTURE dated as of [•] between Axsome Therapeutics, Inc., a Delaware corporation (the “Company”), the Guarantors (as defined herein) and [•], as trustee (the “Trustee”).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198" w:lineRule="exact"/>
        <w:rPr>
          <w:sz w:val="20"/>
          <w:szCs w:val="20"/>
          <w:color w:val="auto"/>
        </w:rPr>
      </w:pPr>
    </w:p>
    <w:p>
      <w:pPr>
        <w:ind w:firstLine="864"/>
        <w:spacing w:after="0" w:line="266" w:lineRule="auto"/>
        <w:rPr>
          <w:sz w:val="20"/>
          <w:szCs w:val="20"/>
          <w:color w:val="auto"/>
        </w:rPr>
      </w:pPr>
      <w:r>
        <w:rPr>
          <w:rFonts w:ascii="Times New Roman" w:cs="Times New Roman" w:eastAsia="Times New Roman" w:hAnsi="Times New Roman"/>
          <w:sz w:val="18"/>
          <w:szCs w:val="18"/>
          <w:color w:val="auto"/>
        </w:rPr>
        <w:t>WHEREAS, the Company and the Guarantors have duly authorized the execution and delivery of this Indenture to provide for the issuance from time to time of its unsecured debentures, notes or other evidences of indebtedness (herein called the “Securities”), to be issued in one or more series as in this Indenture provided; and</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WHEREAS, all things necessary to make the Indenture a valid indenture and agreement according to its terms, have been done.</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NOW, THEREFORE:</w:t>
      </w:r>
    </w:p>
    <w:p>
      <w:pPr>
        <w:spacing w:after="0" w:line="198" w:lineRule="exact"/>
        <w:rPr>
          <w:sz w:val="20"/>
          <w:szCs w:val="20"/>
          <w:color w:val="auto"/>
        </w:rPr>
      </w:pPr>
    </w:p>
    <w:p>
      <w:pPr>
        <w:ind w:right="520" w:firstLine="864"/>
        <w:spacing w:after="0" w:line="282" w:lineRule="auto"/>
        <w:rPr>
          <w:sz w:val="20"/>
          <w:szCs w:val="20"/>
          <w:color w:val="auto"/>
        </w:rPr>
      </w:pPr>
      <w:r>
        <w:rPr>
          <w:rFonts w:ascii="Times New Roman" w:cs="Times New Roman" w:eastAsia="Times New Roman" w:hAnsi="Times New Roman"/>
          <w:sz w:val="18"/>
          <w:szCs w:val="18"/>
          <w:color w:val="auto"/>
        </w:rPr>
        <w:t>In consideration of the premises and the purchases of the Securities by the Holders thereof, the Company, the Guarantors and the Trustee mutually covenant and agree for the equal and proportionate benefit of the respective Holders from time to time of the Securities as follows: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166" w:lineRule="exact"/>
        <w:rPr>
          <w:sz w:val="20"/>
          <w:szCs w:val="20"/>
          <w:color w:val="auto"/>
        </w:rPr>
      </w:pPr>
    </w:p>
    <w:p>
      <w:pPr>
        <w:ind w:right="120" w:firstLine="864"/>
        <w:spacing w:after="0" w:line="254"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Certain Terms Defined</w:t>
      </w:r>
      <w:r>
        <w:rPr>
          <w:rFonts w:ascii="Times New Roman" w:cs="Times New Roman" w:eastAsia="Times New Roman" w:hAnsi="Times New Roman"/>
          <w:sz w:val="18"/>
          <w:szCs w:val="18"/>
          <w:color w:val="auto"/>
        </w:rPr>
        <w:t>.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which are defined in the Trust Indenture Act or the definitions of which in the Securities Act are referred to in the Trust Indenture Act (except as herein otherwise expressly provided or unless the context otherwise clearly requires), shall have the meanings assigned to such terms in the Trust Indenture Act and in the Securities Act as in force at the date of this Indenture. All accounting terms used herein and not expressly defined shall have the meanings given to them in accordance with generally accepted accounting principles in the United States (whether or not such is indicated herein). The words “herein,” “hereof” and “hereunder” and other words of similar import refer to this Indenture as a whole and not to any particular Article, Section or other subdivision. The terms defined in this Article include the plural as well as the singular.</w:t>
      </w:r>
    </w:p>
    <w:p>
      <w:pPr>
        <w:spacing w:after="0" w:line="16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“Agent Members” has the meaning provided in Section 3.08(a).</w:t>
      </w:r>
    </w:p>
    <w:p>
      <w:pPr>
        <w:spacing w:after="0" w:line="185" w:lineRule="exact"/>
        <w:rPr>
          <w:sz w:val="20"/>
          <w:szCs w:val="20"/>
          <w:color w:val="auto"/>
        </w:rPr>
      </w:pPr>
    </w:p>
    <w:p>
      <w:pPr>
        <w:ind w:right="60" w:firstLine="864"/>
        <w:spacing w:after="0" w:line="266" w:lineRule="auto"/>
        <w:rPr>
          <w:sz w:val="20"/>
          <w:szCs w:val="20"/>
          <w:color w:val="auto"/>
        </w:rPr>
      </w:pPr>
      <w:r>
        <w:rPr>
          <w:rFonts w:ascii="Times New Roman" w:cs="Times New Roman" w:eastAsia="Times New Roman" w:hAnsi="Times New Roman"/>
          <w:sz w:val="18"/>
          <w:szCs w:val="18"/>
          <w:color w:val="auto"/>
        </w:rPr>
        <w:t>“Board of Directors” means, with respect to any Person, the board of directors or board of managers of such Person, or any authorized committee of the board of directors or board of managers of such Person or any officer of such Person duly authorized by the board of directors or board of managers of such Person to take a specific action.</w:t>
      </w:r>
    </w:p>
    <w:p>
      <w:pPr>
        <w:spacing w:after="0" w:line="135" w:lineRule="exact"/>
        <w:rPr>
          <w:sz w:val="20"/>
          <w:szCs w:val="20"/>
          <w:color w:val="auto"/>
        </w:rPr>
      </w:pPr>
    </w:p>
    <w:p>
      <w:pPr>
        <w:ind w:right="400" w:firstLine="864"/>
        <w:spacing w:after="0" w:line="266" w:lineRule="auto"/>
        <w:rPr>
          <w:sz w:val="20"/>
          <w:szCs w:val="20"/>
          <w:color w:val="auto"/>
        </w:rPr>
      </w:pPr>
      <w:r>
        <w:rPr>
          <w:rFonts w:ascii="Times New Roman" w:cs="Times New Roman" w:eastAsia="Times New Roman" w:hAnsi="Times New Roman"/>
          <w:sz w:val="18"/>
          <w:szCs w:val="18"/>
          <w:color w:val="auto"/>
        </w:rPr>
        <w:t>“Board Resolution” means, with respect to the Company or any Guarantor, a copy of a resolution certified by the Secretary or an Assistant Secretary of the Company or such Guarantor, respectively, to have been duly adopted by the Board of Directors of the Company or such Guarantor, respectively, and to be in full force and effect on the date of such certification, and delivered to the Trustee.</w:t>
      </w:r>
    </w:p>
    <w:p>
      <w:pPr>
        <w:spacing w:after="0" w:line="149" w:lineRule="exact"/>
        <w:rPr>
          <w:sz w:val="20"/>
          <w:szCs w:val="20"/>
          <w:color w:val="auto"/>
        </w:rPr>
      </w:pPr>
    </w:p>
    <w:p>
      <w:pPr>
        <w:jc w:val="both"/>
        <w:ind w:right="280" w:firstLine="864"/>
        <w:spacing w:after="0" w:line="266" w:lineRule="auto"/>
        <w:rPr>
          <w:sz w:val="20"/>
          <w:szCs w:val="20"/>
          <w:color w:val="auto"/>
        </w:rPr>
      </w:pPr>
      <w:r>
        <w:rPr>
          <w:rFonts w:ascii="Times New Roman" w:cs="Times New Roman" w:eastAsia="Times New Roman" w:hAnsi="Times New Roman"/>
          <w:sz w:val="18"/>
          <w:szCs w:val="18"/>
          <w:color w:val="auto"/>
        </w:rPr>
        <w:t>“Business Day” means any day except a Saturday, Sunday or other day on which banking institutions or trust companies located in the same jurisdiction as the Payment Office specified pursuant to Section 3.01 are authorized or obligated by law or executive order to close, except as otherwise specified pursuant to Section 3.01.</w:t>
      </w:r>
    </w:p>
    <w:p>
      <w:pPr>
        <w:spacing w:after="0" w:line="135" w:lineRule="exact"/>
        <w:rPr>
          <w:sz w:val="20"/>
          <w:szCs w:val="20"/>
          <w:color w:val="auto"/>
        </w:rPr>
      </w:pPr>
    </w:p>
    <w:p>
      <w:pPr>
        <w:jc w:val="both"/>
        <w:ind w:right="220" w:firstLine="864"/>
        <w:spacing w:after="0" w:line="266" w:lineRule="auto"/>
        <w:rPr>
          <w:sz w:val="20"/>
          <w:szCs w:val="20"/>
          <w:color w:val="auto"/>
        </w:rPr>
      </w:pPr>
      <w:r>
        <w:rPr>
          <w:rFonts w:ascii="Times New Roman" w:cs="Times New Roman" w:eastAsia="Times New Roman" w:hAnsi="Times New Roman"/>
          <w:sz w:val="18"/>
          <w:szCs w:val="18"/>
          <w:color w:val="auto"/>
        </w:rPr>
        <w:t>“Commission” means the United States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35" w:lineRule="exact"/>
        <w:rPr>
          <w:sz w:val="20"/>
          <w:szCs w:val="20"/>
          <w:color w:val="auto"/>
        </w:rPr>
      </w:pPr>
    </w:p>
    <w:p>
      <w:pPr>
        <w:ind w:right="560" w:firstLine="864"/>
        <w:spacing w:after="0" w:line="282" w:lineRule="auto"/>
        <w:rPr>
          <w:sz w:val="20"/>
          <w:szCs w:val="20"/>
          <w:color w:val="auto"/>
        </w:rPr>
      </w:pPr>
      <w:r>
        <w:rPr>
          <w:rFonts w:ascii="Times New Roman" w:cs="Times New Roman" w:eastAsia="Times New Roman" w:hAnsi="Times New Roman"/>
          <w:sz w:val="18"/>
          <w:szCs w:val="18"/>
          <w:color w:val="auto"/>
        </w:rPr>
        <w:t>“Company” means the Person named as the “Company” in the first paragraph of this Indenture until a successor shall have become such pursuant to the applicable provisions of this Indenture, and thereafter “Company” shall mean such 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ind w:firstLine="864"/>
        <w:spacing w:after="0" w:line="266" w:lineRule="auto"/>
        <w:rPr>
          <w:sz w:val="20"/>
          <w:szCs w:val="20"/>
          <w:color w:val="auto"/>
        </w:rPr>
      </w:pPr>
      <w:r>
        <w:rPr>
          <w:rFonts w:ascii="Times New Roman" w:cs="Times New Roman" w:eastAsia="Times New Roman" w:hAnsi="Times New Roman"/>
          <w:sz w:val="18"/>
          <w:szCs w:val="18"/>
          <w:color w:val="auto"/>
        </w:rPr>
        <w:t>“Company Request” or “Company Order” means a written request or order signed in the name of the Company by its Chairman of the Board of Directors, its President, its Chief Executive Officer, its Chief Financial Officer, its Treasurer, its Controller, its Secretary or an Assistant Secretary, and delivered to the Trustee.</w:t>
      </w:r>
    </w:p>
    <w:p>
      <w:pPr>
        <w:spacing w:after="0" w:line="149" w:lineRule="exact"/>
        <w:rPr>
          <w:sz w:val="20"/>
          <w:szCs w:val="20"/>
          <w:color w:val="auto"/>
        </w:rPr>
      </w:pPr>
    </w:p>
    <w:p>
      <w:pPr>
        <w:ind w:right="580" w:firstLine="864"/>
        <w:spacing w:after="0" w:line="282" w:lineRule="auto"/>
        <w:rPr>
          <w:sz w:val="20"/>
          <w:szCs w:val="20"/>
          <w:color w:val="auto"/>
        </w:rPr>
      </w:pPr>
      <w:r>
        <w:rPr>
          <w:rFonts w:ascii="Times New Roman" w:cs="Times New Roman" w:eastAsia="Times New Roman" w:hAnsi="Times New Roman"/>
          <w:sz w:val="18"/>
          <w:szCs w:val="18"/>
          <w:color w:val="auto"/>
        </w:rPr>
        <w:t>“Corporate Trust Office” means the corporate trust office of the Trustee at which the corporate trust business of the Trustee shall, at any particular time, be principally administered, which office is, at the date as of which this Indenture is dated, located at [•].</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“Default” means any event that is or with the passage of time or the giving of notice or both would be an Event of Default.</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“Depositary” means The Depository Trust Company, its nominees, and their respective successors.</w:t>
      </w:r>
    </w:p>
    <w:p>
      <w:pPr>
        <w:spacing w:after="0" w:line="198" w:lineRule="exact"/>
        <w:rPr>
          <w:sz w:val="20"/>
          <w:szCs w:val="20"/>
          <w:color w:val="auto"/>
        </w:rPr>
      </w:pPr>
    </w:p>
    <w:p>
      <w:pPr>
        <w:ind w:right="160" w:firstLine="864"/>
        <w:spacing w:after="0" w:line="282" w:lineRule="auto"/>
        <w:rPr>
          <w:sz w:val="20"/>
          <w:szCs w:val="20"/>
          <w:color w:val="auto"/>
        </w:rPr>
      </w:pPr>
      <w:r>
        <w:rPr>
          <w:rFonts w:ascii="Times New Roman" w:cs="Times New Roman" w:eastAsia="Times New Roman" w:hAnsi="Times New Roman"/>
          <w:sz w:val="18"/>
          <w:szCs w:val="18"/>
          <w:color w:val="auto"/>
        </w:rPr>
        <w:t>“Dollar” or “$” means a dollar or other equivalent unit in such coin or currency of the United States as at the time shall be legal tender for the payment of public and private debt.</w:t>
      </w:r>
    </w:p>
    <w:p>
      <w:pPr>
        <w:spacing w:after="0" w:line="121" w:lineRule="exact"/>
        <w:rPr>
          <w:sz w:val="20"/>
          <w:szCs w:val="20"/>
          <w:color w:val="auto"/>
        </w:rPr>
      </w:pPr>
    </w:p>
    <w:p>
      <w:pPr>
        <w:ind w:right="300" w:firstLine="864"/>
        <w:spacing w:after="0" w:line="282" w:lineRule="auto"/>
        <w:rPr>
          <w:sz w:val="20"/>
          <w:szCs w:val="20"/>
          <w:color w:val="auto"/>
        </w:rPr>
      </w:pPr>
      <w:r>
        <w:rPr>
          <w:rFonts w:ascii="Times New Roman" w:cs="Times New Roman" w:eastAsia="Times New Roman" w:hAnsi="Times New Roman"/>
          <w:sz w:val="18"/>
          <w:szCs w:val="18"/>
          <w:color w:val="auto"/>
        </w:rPr>
        <w:t>“Event of Default” means any event or condition specified as such in Section 5.01 which shall have continued for the period of time, if any, therein designated.</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198" w:lineRule="exact"/>
        <w:rPr>
          <w:sz w:val="20"/>
          <w:szCs w:val="20"/>
          <w:color w:val="auto"/>
        </w:rPr>
      </w:pPr>
    </w:p>
    <w:p>
      <w:pPr>
        <w:ind w:right="20" w:firstLine="864"/>
        <w:spacing w:after="0" w:line="256" w:lineRule="auto"/>
        <w:rPr>
          <w:sz w:val="20"/>
          <w:szCs w:val="20"/>
          <w:color w:val="auto"/>
        </w:rPr>
      </w:pPr>
      <w:r>
        <w:rPr>
          <w:rFonts w:ascii="Times New Roman" w:cs="Times New Roman" w:eastAsia="Times New Roman" w:hAnsi="Times New Roman"/>
          <w:sz w:val="18"/>
          <w:szCs w:val="18"/>
          <w:color w:val="auto"/>
        </w:rPr>
        <w:t>“GAAP”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 At any time after the Issue Date with respect to a series of Securities, the Company may elect to apply IFRS in lieu of GAAP and, upon any such election, references in this Indenture to GAAP shall thereafter be construed to mean IFRS as in effect from time to time. The Company shall give notice of any such election to the Trustee.</w:t>
      </w:r>
    </w:p>
    <w:p>
      <w:pPr>
        <w:spacing w:after="0" w:line="147" w:lineRule="exact"/>
        <w:rPr>
          <w:sz w:val="20"/>
          <w:szCs w:val="20"/>
          <w:color w:val="auto"/>
        </w:rPr>
      </w:pPr>
    </w:p>
    <w:p>
      <w:pPr>
        <w:ind w:right="20" w:firstLine="864"/>
        <w:spacing w:after="0" w:line="312" w:lineRule="auto"/>
        <w:rPr>
          <w:sz w:val="20"/>
          <w:szCs w:val="20"/>
          <w:color w:val="auto"/>
        </w:rPr>
      </w:pPr>
      <w:r>
        <w:rPr>
          <w:rFonts w:ascii="Times New Roman" w:cs="Times New Roman" w:eastAsia="Times New Roman" w:hAnsi="Times New Roman"/>
          <w:sz w:val="17"/>
          <w:szCs w:val="17"/>
          <w:color w:val="auto"/>
        </w:rPr>
        <w:t>“Global Security” means a Security, and any Guarantees endorsed thereon, evidencing all or part of a series of Securities and the corresponding Guarantees, if any, issued to the Depositary for that series in accordance with Section 3.05 and bearing the appropriate legend prescribed in Section 3.06.</w:t>
      </w:r>
    </w:p>
    <w:p>
      <w:pPr>
        <w:spacing w:after="0" w:line="99" w:lineRule="exact"/>
        <w:rPr>
          <w:sz w:val="20"/>
          <w:szCs w:val="20"/>
          <w:color w:val="auto"/>
        </w:rPr>
      </w:pPr>
    </w:p>
    <w:p>
      <w:pPr>
        <w:ind w:right="200" w:firstLine="864"/>
        <w:spacing w:after="0" w:line="282" w:lineRule="auto"/>
        <w:rPr>
          <w:sz w:val="20"/>
          <w:szCs w:val="20"/>
          <w:color w:val="auto"/>
        </w:rPr>
      </w:pPr>
      <w:r>
        <w:rPr>
          <w:rFonts w:ascii="Times New Roman" w:cs="Times New Roman" w:eastAsia="Times New Roman" w:hAnsi="Times New Roman"/>
          <w:sz w:val="18"/>
          <w:szCs w:val="18"/>
          <w:color w:val="auto"/>
        </w:rPr>
        <w:t>“Government Securities” means direct obligations of, or obligations guaranteed by, the United States of America, and the payment for which the United States pledges its full faith and credit.</w:t>
      </w:r>
    </w:p>
    <w:p>
      <w:pPr>
        <w:spacing w:after="0" w:line="135" w:lineRule="exact"/>
        <w:rPr>
          <w:sz w:val="20"/>
          <w:szCs w:val="20"/>
          <w:color w:val="auto"/>
        </w:rPr>
      </w:pPr>
    </w:p>
    <w:p>
      <w:pPr>
        <w:ind w:right="360" w:firstLine="864"/>
        <w:spacing w:after="0" w:line="282" w:lineRule="auto"/>
        <w:rPr>
          <w:sz w:val="20"/>
          <w:szCs w:val="20"/>
          <w:color w:val="auto"/>
        </w:rPr>
      </w:pPr>
      <w:r>
        <w:rPr>
          <w:rFonts w:ascii="Times New Roman" w:cs="Times New Roman" w:eastAsia="Times New Roman" w:hAnsi="Times New Roman"/>
          <w:sz w:val="18"/>
          <w:szCs w:val="18"/>
          <w:color w:val="auto"/>
        </w:rPr>
        <w:t>“Guarantee” means with respect to the Securities of any series, the Guarantee with respect to the Securities of such series by the applicable Guarantor or Guarantors pursuant to Section 2.02 hereof and a supplemental indenture.</w:t>
      </w:r>
    </w:p>
    <w:p>
      <w:pPr>
        <w:spacing w:after="0" w:line="121" w:lineRule="exact"/>
        <w:rPr>
          <w:sz w:val="20"/>
          <w:szCs w:val="20"/>
          <w:color w:val="auto"/>
        </w:rPr>
      </w:pPr>
    </w:p>
    <w:p>
      <w:pPr>
        <w:ind w:right="20" w:firstLine="864"/>
        <w:spacing w:after="0" w:line="261" w:lineRule="auto"/>
        <w:rPr>
          <w:sz w:val="20"/>
          <w:szCs w:val="20"/>
          <w:color w:val="auto"/>
        </w:rPr>
      </w:pPr>
      <w:r>
        <w:rPr>
          <w:rFonts w:ascii="Times New Roman" w:cs="Times New Roman" w:eastAsia="Times New Roman" w:hAnsi="Times New Roman"/>
          <w:sz w:val="18"/>
          <w:szCs w:val="18"/>
          <w:color w:val="auto"/>
        </w:rPr>
        <w:t xml:space="preserve">“Guarantor” means, with respect to Securities of any series, any of the Company’s direct and indirect Subsidiaries, but only if such entity has guaranteed the Company’s obligations under this Indenture and with respect to such series of Securities pursuant to Section 2.01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release and discharge of any Person from its Guarantee in accordance with this Indenture or as specified pursuant to Section 3.01, such Person shall cease to be a Guarantor.</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“Holder,” “Holder of Securities” or other similar terms mean the registered holder of any Security.</w:t>
      </w:r>
    </w:p>
    <w:p>
      <w:pPr>
        <w:spacing w:after="0" w:line="198" w:lineRule="exact"/>
        <w:rPr>
          <w:sz w:val="20"/>
          <w:szCs w:val="20"/>
          <w:color w:val="auto"/>
        </w:rPr>
      </w:pPr>
    </w:p>
    <w:p>
      <w:pPr>
        <w:ind w:right="280" w:firstLine="864"/>
        <w:spacing w:after="0" w:line="282" w:lineRule="auto"/>
        <w:rPr>
          <w:sz w:val="20"/>
          <w:szCs w:val="20"/>
          <w:color w:val="auto"/>
        </w:rPr>
      </w:pPr>
      <w:r>
        <w:rPr>
          <w:rFonts w:ascii="Times New Roman" w:cs="Times New Roman" w:eastAsia="Times New Roman" w:hAnsi="Times New Roman"/>
          <w:sz w:val="18"/>
          <w:szCs w:val="18"/>
          <w:color w:val="auto"/>
        </w:rPr>
        <w:t>“IFRS” means International Financial Reporting Standards promulgated by the International Accounting Standards Board (or any successor board or agency) and as adopted by the European Union, as in effect from time to time.</w:t>
      </w:r>
    </w:p>
    <w:p>
      <w:pPr>
        <w:spacing w:after="0" w:line="121" w:lineRule="exact"/>
        <w:rPr>
          <w:sz w:val="20"/>
          <w:szCs w:val="20"/>
          <w:color w:val="auto"/>
        </w:rPr>
      </w:pPr>
    </w:p>
    <w:p>
      <w:pPr>
        <w:ind w:right="60" w:firstLine="864"/>
        <w:spacing w:after="0" w:line="266" w:lineRule="auto"/>
        <w:rPr>
          <w:sz w:val="20"/>
          <w:szCs w:val="20"/>
          <w:color w:val="auto"/>
        </w:rPr>
      </w:pPr>
      <w:r>
        <w:rPr>
          <w:rFonts w:ascii="Times New Roman" w:cs="Times New Roman" w:eastAsia="Times New Roman" w:hAnsi="Times New Roman"/>
          <w:sz w:val="18"/>
          <w:szCs w:val="18"/>
          <w:color w:val="auto"/>
        </w:rPr>
        <w:t>“Indenture” means this indenture as originally executed or as it may from time to time be supplemented or amended by one or more indentures supplemental hereto entered into pursuant to the applicable provisions hereof and shall include the terms of particular series of Securities established as contemplated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59" w:name="page60"/>
    <w:bookmarkEnd w:id="59"/>
    <w:p>
      <w:pPr>
        <w:ind w:left="880"/>
        <w:spacing w:after="0"/>
        <w:rPr>
          <w:sz w:val="20"/>
          <w:szCs w:val="20"/>
          <w:color w:val="auto"/>
        </w:rPr>
      </w:pPr>
      <w:r>
        <w:rPr>
          <w:rFonts w:ascii="Times New Roman" w:cs="Times New Roman" w:eastAsia="Times New Roman" w:hAnsi="Times New Roman"/>
          <w:sz w:val="18"/>
          <w:szCs w:val="18"/>
          <w:color w:val="auto"/>
        </w:rPr>
        <w:t>“Interest Payment Date” means, when used with respect to any Security, the Stated Maturity of an installment of interest on such Security.</w:t>
      </w:r>
    </w:p>
    <w:p>
      <w:pPr>
        <w:spacing w:after="0" w:line="1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“Issue Date” means, with respect to Securities of a series, the first date on which the Securities of such series are originally issued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166" w:lineRule="exact"/>
        <w:rPr>
          <w:sz w:val="20"/>
          <w:szCs w:val="20"/>
          <w:color w:val="auto"/>
        </w:rPr>
      </w:pPr>
    </w:p>
    <w:p>
      <w:pPr>
        <w:ind w:right="100" w:firstLine="864"/>
        <w:spacing w:after="0" w:line="312" w:lineRule="auto"/>
        <w:rPr>
          <w:sz w:val="20"/>
          <w:szCs w:val="20"/>
          <w:color w:val="auto"/>
        </w:rPr>
      </w:pPr>
      <w:r>
        <w:rPr>
          <w:rFonts w:ascii="Times New Roman" w:cs="Times New Roman" w:eastAsia="Times New Roman" w:hAnsi="Times New Roman"/>
          <w:sz w:val="17"/>
          <w:szCs w:val="17"/>
          <w:color w:val="auto"/>
        </w:rPr>
        <w:t>“Maturity,” means, when used with respect to any Security, the date on which the principal of such Security or an installment of principal becomes due and payable as therein or herein provided, whether at the Stated Maturity or by declaration of acceleration, call for redemption or otherwise.</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“Notice of Default” has the meaning provided in Section 6.06.</w:t>
      </w:r>
    </w:p>
    <w:p>
      <w:pPr>
        <w:spacing w:after="0" w:line="198" w:lineRule="exact"/>
        <w:rPr>
          <w:sz w:val="20"/>
          <w:szCs w:val="20"/>
          <w:color w:val="auto"/>
        </w:rPr>
      </w:pPr>
    </w:p>
    <w:p>
      <w:pPr>
        <w:ind w:right="180" w:firstLine="864"/>
        <w:spacing w:after="0" w:line="282" w:lineRule="auto"/>
        <w:rPr>
          <w:sz w:val="20"/>
          <w:szCs w:val="20"/>
          <w:color w:val="auto"/>
        </w:rPr>
      </w:pPr>
      <w:r>
        <w:rPr>
          <w:rFonts w:ascii="Times New Roman" w:cs="Times New Roman" w:eastAsia="Times New Roman" w:hAnsi="Times New Roman"/>
          <w:sz w:val="18"/>
          <w:szCs w:val="18"/>
          <w:color w:val="auto"/>
        </w:rPr>
        <w:t>“Officers’ Certificate” means a certificate signed on behalf of the Company by an officer of the Company (or on behalf of a Guarantor by an officer of such Guarantor, as the case may be) that meets the requirements of Section 15.06 hereof.</w:t>
      </w:r>
    </w:p>
    <w:p>
      <w:pPr>
        <w:spacing w:after="0" w:line="121" w:lineRule="exact"/>
        <w:rPr>
          <w:sz w:val="20"/>
          <w:szCs w:val="20"/>
          <w:color w:val="auto"/>
        </w:rPr>
      </w:pPr>
    </w:p>
    <w:p>
      <w:pPr>
        <w:ind w:right="540" w:firstLine="864"/>
        <w:spacing w:after="0" w:line="282" w:lineRule="auto"/>
        <w:rPr>
          <w:sz w:val="20"/>
          <w:szCs w:val="20"/>
          <w:color w:val="auto"/>
        </w:rPr>
      </w:pPr>
      <w:r>
        <w:rPr>
          <w:rFonts w:ascii="Times New Roman" w:cs="Times New Roman" w:eastAsia="Times New Roman" w:hAnsi="Times New Roman"/>
          <w:sz w:val="18"/>
          <w:szCs w:val="18"/>
          <w:color w:val="auto"/>
        </w:rPr>
        <w:t>“Opinion of Counsel” means an opinion in writing signed by legal counsel who may be an employee of or counsel to the Company or a Guarantor or who may be other counsel satisfactory to the Trustee.</w:t>
      </w:r>
    </w:p>
    <w:p>
      <w:pPr>
        <w:spacing w:after="0" w:line="121" w:lineRule="exact"/>
        <w:rPr>
          <w:sz w:val="20"/>
          <w:szCs w:val="20"/>
          <w:color w:val="auto"/>
        </w:rPr>
      </w:pPr>
    </w:p>
    <w:p>
      <w:pPr>
        <w:ind w:right="340" w:firstLine="864"/>
        <w:spacing w:after="0" w:line="282" w:lineRule="auto"/>
        <w:rPr>
          <w:sz w:val="20"/>
          <w:szCs w:val="20"/>
          <w:color w:val="auto"/>
        </w:rPr>
      </w:pPr>
      <w:r>
        <w:rPr>
          <w:rFonts w:ascii="Times New Roman" w:cs="Times New Roman" w:eastAsia="Times New Roman" w:hAnsi="Times New Roman"/>
          <w:sz w:val="18"/>
          <w:szCs w:val="18"/>
          <w:color w:val="auto"/>
        </w:rPr>
        <w:t>“outstanding” means, when used with reference to Securities, subject to the provisions of Article 7, as of any particular time, all Securities authenticated and delivered by the Trustee under this Indenture, except</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(a)Securities theretofore canceled by the Trustee or delivered to the Trustee for cancellation;</w:t>
      </w:r>
    </w:p>
    <w:p>
      <w:pPr>
        <w:spacing w:after="0" w:line="185"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18"/>
          <w:szCs w:val="18"/>
          <w:color w:val="auto"/>
        </w:rPr>
        <w:t xml:space="preserve">(b)Securities, or portions thereof, for the payment or redemption of which moneys in the necessary amount shall have been deposited in trust with the Trustee or with any Paying Agent (other than the Company or a Guarantor) or shall have been set aside, segregated and held in trust by the Company or a Guarantor (if the Company or a Guarantor shall act as Paying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Securities are to be redeemed prior to the maturity thereof, notice of such redemption shall have been given as herein provided, or provision satisfactory to a Responsible Officer of the Trustee shall have been made for giving such notice;</w:t>
      </w:r>
    </w:p>
    <w:p>
      <w:pPr>
        <w:spacing w:after="0" w:line="143" w:lineRule="exact"/>
        <w:rPr>
          <w:sz w:val="20"/>
          <w:szCs w:val="20"/>
          <w:color w:val="auto"/>
        </w:rPr>
      </w:pPr>
    </w:p>
    <w:p>
      <w:pPr>
        <w:ind w:right="100" w:firstLine="864"/>
        <w:spacing w:after="0" w:line="266" w:lineRule="auto"/>
        <w:rPr>
          <w:sz w:val="20"/>
          <w:szCs w:val="20"/>
          <w:color w:val="auto"/>
        </w:rPr>
      </w:pPr>
      <w:r>
        <w:rPr>
          <w:rFonts w:ascii="Times New Roman" w:cs="Times New Roman" w:eastAsia="Times New Roman" w:hAnsi="Times New Roman"/>
          <w:sz w:val="18"/>
          <w:szCs w:val="18"/>
          <w:color w:val="auto"/>
        </w:rPr>
        <w:t>(c)Securities in substitution for which other Securities shall have been authenticated and delivered, or which shall have been paid, pursuant to the terms of Section 3.09 (unless proof satisfactory to the Trustee and the Company is presented that any of such Securities is held by a person in whose hands such Security is a legal, valid and binding obligation of the Company); and</w:t>
      </w:r>
    </w:p>
    <w:p>
      <w:pPr>
        <w:spacing w:after="0" w:line="14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(d)Securities that have been defeased pursuant to Section 12.01.</w:t>
      </w:r>
    </w:p>
    <w:p>
      <w:pPr>
        <w:spacing w:after="0" w:line="185" w:lineRule="exact"/>
        <w:rPr>
          <w:sz w:val="20"/>
          <w:szCs w:val="20"/>
          <w:color w:val="auto"/>
        </w:rPr>
      </w:pPr>
    </w:p>
    <w:p>
      <w:pPr>
        <w:ind w:right="560" w:firstLine="864"/>
        <w:spacing w:after="0" w:line="282" w:lineRule="auto"/>
        <w:rPr>
          <w:sz w:val="20"/>
          <w:szCs w:val="20"/>
          <w:color w:val="auto"/>
        </w:rPr>
      </w:pPr>
      <w:r>
        <w:rPr>
          <w:rFonts w:ascii="Times New Roman" w:cs="Times New Roman" w:eastAsia="Times New Roman" w:hAnsi="Times New Roman"/>
          <w:sz w:val="18"/>
          <w:szCs w:val="18"/>
          <w:color w:val="auto"/>
        </w:rPr>
        <w:t>“Paying Agent” means any Person authorized by the Company to pay the principal of (and premium, if any) and interest, if any, on any Securities on behalf of the Company. The Company or a Guarantor may act as Paying Agent with respect to any Securities issued hereunder.</w:t>
      </w:r>
    </w:p>
    <w:p>
      <w:pPr>
        <w:spacing w:after="0" w:line="121" w:lineRule="exact"/>
        <w:rPr>
          <w:sz w:val="20"/>
          <w:szCs w:val="20"/>
          <w:color w:val="auto"/>
        </w:rPr>
      </w:pPr>
    </w:p>
    <w:p>
      <w:pPr>
        <w:ind w:right="440" w:firstLine="864"/>
        <w:spacing w:after="0" w:line="282" w:lineRule="auto"/>
        <w:rPr>
          <w:sz w:val="20"/>
          <w:szCs w:val="20"/>
          <w:color w:val="auto"/>
        </w:rPr>
      </w:pPr>
      <w:r>
        <w:rPr>
          <w:rFonts w:ascii="Times New Roman" w:cs="Times New Roman" w:eastAsia="Times New Roman" w:hAnsi="Times New Roman"/>
          <w:sz w:val="18"/>
          <w:szCs w:val="18"/>
          <w:color w:val="auto"/>
        </w:rPr>
        <w:t>“Payment Office” means, when used with respect to the Securities of or within any series, the place or places where the principal of (and premium, if any) and interest on such Securities are payable as specified pursuant to Section 3.01.</w:t>
      </w:r>
    </w:p>
    <w:p>
      <w:pPr>
        <w:spacing w:after="0" w:line="135" w:lineRule="exact"/>
        <w:rPr>
          <w:sz w:val="20"/>
          <w:szCs w:val="20"/>
          <w:color w:val="auto"/>
        </w:rPr>
      </w:pPr>
    </w:p>
    <w:p>
      <w:pPr>
        <w:ind w:firstLine="864"/>
        <w:spacing w:after="0" w:line="282" w:lineRule="auto"/>
        <w:rPr>
          <w:sz w:val="20"/>
          <w:szCs w:val="20"/>
          <w:color w:val="auto"/>
        </w:rPr>
      </w:pPr>
      <w:r>
        <w:rPr>
          <w:rFonts w:ascii="Times New Roman" w:cs="Times New Roman" w:eastAsia="Times New Roman" w:hAnsi="Times New Roman"/>
          <w:sz w:val="18"/>
          <w:szCs w:val="18"/>
          <w:color w:val="auto"/>
        </w:rPr>
        <w:t>“Person” means any individual, corporation, partnership, joint stock company, business trust, trust, unincorporated association, joint venture or other entity or organization, including a government or political subdivision or an agency or instrumentality thereof.</w:t>
      </w:r>
    </w:p>
    <w:p>
      <w:pPr>
        <w:spacing w:after="0" w:line="121" w:lineRule="exact"/>
        <w:rPr>
          <w:sz w:val="20"/>
          <w:szCs w:val="20"/>
          <w:color w:val="auto"/>
        </w:rPr>
      </w:pPr>
    </w:p>
    <w:p>
      <w:pPr>
        <w:ind w:right="220" w:firstLine="864"/>
        <w:spacing w:after="0" w:line="282" w:lineRule="auto"/>
        <w:rPr>
          <w:sz w:val="20"/>
          <w:szCs w:val="20"/>
          <w:color w:val="auto"/>
        </w:rPr>
      </w:pPr>
      <w:r>
        <w:rPr>
          <w:rFonts w:ascii="Times New Roman" w:cs="Times New Roman" w:eastAsia="Times New Roman" w:hAnsi="Times New Roman"/>
          <w:sz w:val="18"/>
          <w:szCs w:val="18"/>
          <w:color w:val="auto"/>
        </w:rPr>
        <w:t>“Physical Securities” means Securities issued pursuant to Section 3.02 in exchange for interest in the Global Security or pursuant to Section 3.08(b) in registered form substantially in the form hereinabove recited.</w:t>
      </w:r>
    </w:p>
    <w:p>
      <w:pPr>
        <w:spacing w:after="0" w:line="121" w:lineRule="exact"/>
        <w:rPr>
          <w:sz w:val="20"/>
          <w:szCs w:val="20"/>
          <w:color w:val="auto"/>
        </w:rPr>
      </w:pPr>
    </w:p>
    <w:p>
      <w:pPr>
        <w:ind w:right="160" w:firstLine="864"/>
        <w:spacing w:after="0" w:line="282" w:lineRule="auto"/>
        <w:rPr>
          <w:sz w:val="20"/>
          <w:szCs w:val="20"/>
          <w:color w:val="auto"/>
        </w:rPr>
      </w:pPr>
      <w:r>
        <w:rPr>
          <w:rFonts w:ascii="Times New Roman" w:cs="Times New Roman" w:eastAsia="Times New Roman" w:hAnsi="Times New Roman"/>
          <w:sz w:val="18"/>
          <w:szCs w:val="18"/>
          <w:color w:val="auto"/>
        </w:rPr>
        <w:t>“Principal Amount” means, when used with respect to any Security, the amount of principal of such Security that could then be declared due and payable pursuant to Section 5.02.</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“Registrar” has the meaning provided in Section 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13" w:right="419" w:bottom="1440" w:gutter="0" w:footer="0" w:header="0"/>
        </w:sectPr>
      </w:pPr>
    </w:p>
    <w:bookmarkStart w:id="60" w:name="page61"/>
    <w:bookmarkEnd w:id="60"/>
    <w:p>
      <w:pPr>
        <w:ind w:right="240" w:firstLine="864"/>
        <w:spacing w:after="0" w:line="282" w:lineRule="auto"/>
        <w:rPr>
          <w:sz w:val="20"/>
          <w:szCs w:val="20"/>
          <w:color w:val="auto"/>
        </w:rPr>
      </w:pPr>
      <w:r>
        <w:rPr>
          <w:rFonts w:ascii="Times New Roman" w:cs="Times New Roman" w:eastAsia="Times New Roman" w:hAnsi="Times New Roman"/>
          <w:sz w:val="18"/>
          <w:szCs w:val="18"/>
          <w:color w:val="auto"/>
        </w:rPr>
        <w:t>“Regular Record Date” for the interest payable on any Interest Payment Date on the Securities of any series means the date specified for that purpose as contemplated by Section 3.01.</w:t>
      </w:r>
    </w:p>
    <w:p>
      <w:pPr>
        <w:spacing w:after="0" w:line="135" w:lineRule="exact"/>
        <w:rPr>
          <w:sz w:val="20"/>
          <w:szCs w:val="20"/>
          <w:color w:val="auto"/>
        </w:rPr>
      </w:pPr>
    </w:p>
    <w:p>
      <w:pPr>
        <w:ind w:right="20" w:firstLine="864"/>
        <w:spacing w:after="0" w:line="258" w:lineRule="auto"/>
        <w:rPr>
          <w:sz w:val="20"/>
          <w:szCs w:val="20"/>
          <w:color w:val="auto"/>
        </w:rPr>
      </w:pPr>
      <w:r>
        <w:rPr>
          <w:rFonts w:ascii="Times New Roman" w:cs="Times New Roman" w:eastAsia="Times New Roman" w:hAnsi="Times New Roman"/>
          <w:sz w:val="18"/>
          <w:szCs w:val="18"/>
          <w:color w:val="auto"/>
        </w:rPr>
        <w:t>“Responsible Officer” means, when used with respect to the Trustee, any officer within the Corporate Trust Office of the Trustee including any vice president, any trust officer, any assistant vice president, any assistant secretary, any assistant treasurer, or any other officer of the Trustee customarily performing functions similar to those performed by the persons who at the time shall be such officers, respectively, or to whom any corporate trust matter is referred because of his or her knowledge of and familiarity with the particular subject and who shall have direct responsibility for the administration of this Indenture.</w:t>
      </w:r>
    </w:p>
    <w:p>
      <w:pPr>
        <w:spacing w:after="0" w:line="14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“Securities Act” means the Securities Act of 1933, as amended.</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“Security” or “Securities” means any Security or Securities, as the case may be, authenticated and delivered under this Indenture.</w:t>
      </w:r>
    </w:p>
    <w:p>
      <w:pPr>
        <w:spacing w:after="0" w:line="1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“Security Register” has the meaning provided in Section 3.07.</w:t>
      </w:r>
    </w:p>
    <w:p>
      <w:pPr>
        <w:spacing w:after="0" w:line="185"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8"/>
          <w:szCs w:val="18"/>
          <w:color w:val="auto"/>
        </w:rPr>
        <w:t>“Stated Maturity” means, when used with respect to any Security or any installment of principal thereof or interest thereon, the date specified in such Security or a coupon representing such installment of interest as the fixed date on which the principal of such Security or such installment of principal or interest is due and payable.</w:t>
      </w:r>
    </w:p>
    <w:p>
      <w:pPr>
        <w:spacing w:after="0" w:line="135" w:lineRule="exact"/>
        <w:rPr>
          <w:sz w:val="20"/>
          <w:szCs w:val="20"/>
          <w:color w:val="auto"/>
        </w:rPr>
      </w:pPr>
    </w:p>
    <w:p>
      <w:pPr>
        <w:ind w:firstLine="864"/>
        <w:spacing w:after="0" w:line="256" w:lineRule="auto"/>
        <w:rPr>
          <w:sz w:val="20"/>
          <w:szCs w:val="20"/>
          <w:color w:val="auto"/>
        </w:rPr>
      </w:pPr>
      <w:r>
        <w:rPr>
          <w:rFonts w:ascii="Times New Roman" w:cs="Times New Roman" w:eastAsia="Times New Roman" w:hAnsi="Times New Roman"/>
          <w:sz w:val="18"/>
          <w:szCs w:val="18"/>
          <w:color w:val="auto"/>
        </w:rPr>
        <w:t>“Subsidiary” means, as applied, with respect to any Person, any corporation, partnership or other legal entity of which, in the case of a corporation, more than 50% of the issued and outstanding capital stock having ordinary voting power to elect a majority of the board of directors of such corporation (irrespective of whether at the time capital stock of any other class or classes of such corporation has or might have voting power upon the occurrence of any contingency), or, in the case of any partnership or other legal entity, more than 50% of the ordinary equity capital interests, is at the time directly or indirectly owned or controlled by such Person, by such Person and one or more of its other Subsidiaries or by one or more of such Person’s other Subsidiaries.</w:t>
      </w:r>
    </w:p>
    <w:p>
      <w:pPr>
        <w:spacing w:after="0" w:line="160" w:lineRule="exact"/>
        <w:rPr>
          <w:sz w:val="20"/>
          <w:szCs w:val="20"/>
          <w:color w:val="auto"/>
        </w:rPr>
      </w:pPr>
    </w:p>
    <w:p>
      <w:pPr>
        <w:ind w:right="80" w:firstLine="864"/>
        <w:spacing w:after="0" w:line="266" w:lineRule="auto"/>
        <w:rPr>
          <w:sz w:val="20"/>
          <w:szCs w:val="20"/>
          <w:color w:val="auto"/>
        </w:rPr>
      </w:pPr>
      <w:r>
        <w:rPr>
          <w:rFonts w:ascii="Times New Roman" w:cs="Times New Roman" w:eastAsia="Times New Roman" w:hAnsi="Times New Roman"/>
          <w:sz w:val="18"/>
          <w:szCs w:val="18"/>
          <w:color w:val="auto"/>
        </w:rPr>
        <w:t>“Trust Indenture Act” means the Trust Indenture Act of 1939, as amended, as in force at the date as of which this Indenture was originally executed, and “TIA” means, when used in respect of an indenture supplemental hereto, such Act as in force at the time such indenture supplemental hereto becomes effective.</w:t>
      </w:r>
    </w:p>
    <w:p>
      <w:pPr>
        <w:spacing w:after="0" w:line="135" w:lineRule="exact"/>
        <w:rPr>
          <w:sz w:val="20"/>
          <w:szCs w:val="20"/>
          <w:color w:val="auto"/>
        </w:rPr>
      </w:pPr>
    </w:p>
    <w:p>
      <w:pPr>
        <w:ind w:right="260" w:firstLine="864"/>
        <w:spacing w:after="0" w:line="261" w:lineRule="auto"/>
        <w:rPr>
          <w:sz w:val="20"/>
          <w:szCs w:val="20"/>
          <w:color w:val="auto"/>
        </w:rPr>
      </w:pPr>
      <w:r>
        <w:rPr>
          <w:rFonts w:ascii="Times New Roman" w:cs="Times New Roman" w:eastAsia="Times New Roman" w:hAnsi="Times New Roman"/>
          <w:sz w:val="18"/>
          <w:szCs w:val="18"/>
          <w:color w:val="auto"/>
        </w:rPr>
        <w:t xml:space="preserve">“Trustee”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any time there is more than one such Person, “Trustee” as used with respect to the Securities of any series shall mean only the Trustee with respect to Securities of that series.</w:t>
      </w:r>
    </w:p>
    <w:p>
      <w:pPr>
        <w:sectPr>
          <w:pgSz w:w="11900" w:h="16838" w:orient="portrait"/>
          <w:cols w:equalWidth="0" w:num="1">
            <w:col w:w="11240"/>
          </w:cols>
          <w:pgMar w:left="320" w:top="513" w:right="339" w:bottom="1440" w:gutter="0" w:footer="0" w:header="0"/>
        </w:sectPr>
      </w:pP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Other Definitions</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2343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“Authorized Agent”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“Covenant Defeasance”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“Legal Defeasance”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2343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a:extLst>
                        <a:ext uri="{28A0092B-C50C-407E-A947-70E740481C1C}"/>
                      </a:extLst>
                    </a:blip>
                    <a:srcRect/>
                    <a:stretch>
                      <a:fillRect/>
                    </a:stretch>
                  </pic:blipFill>
                  <pic:spPr bwMode="auto">
                    <a:xfrm>
                      <a:off x="0" y="0"/>
                      <a:ext cx="712343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“Specified Courts”</w:t>
      </w:r>
    </w:p>
    <w:p>
      <w:pPr>
        <w:spacing w:after="0" w:line="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a term has the meaning assigned to it;</w:t>
      </w:r>
    </w:p>
    <w:p>
      <w:pPr>
        <w:spacing w:after="0" w:line="198"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8"/>
          <w:szCs w:val="18"/>
          <w:color w:val="auto"/>
        </w:rPr>
        <w:t>(b)an accounting term not otherwise defined has the meaning assigned to it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922020</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Defined in Section</w:t>
      </w:r>
    </w:p>
    <w:p>
      <w:pPr>
        <w:spacing w:after="0" w:line="40"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color w:val="auto"/>
        </w:rPr>
        <w:t>15.12</w:t>
      </w:r>
    </w:p>
    <w:p>
      <w:pPr>
        <w:spacing w:after="0" w:line="27"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color w:val="auto"/>
        </w:rPr>
        <w:t>12.03</w:t>
      </w:r>
    </w:p>
    <w:p>
      <w:pPr>
        <w:spacing w:after="0" w:line="23"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color w:val="auto"/>
        </w:rPr>
        <w:t>12.02</w:t>
      </w:r>
    </w:p>
    <w:p>
      <w:pPr>
        <w:spacing w:after="0" w:line="23"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color w:val="auto"/>
        </w:rPr>
        <w:t>15.12</w:t>
      </w:r>
    </w:p>
    <w:p>
      <w:pPr>
        <w:sectPr>
          <w:pgSz w:w="11900" w:h="16838" w:orient="portrait"/>
          <w:cols w:equalWidth="0" w:num="2">
            <w:col w:w="8920" w:space="720"/>
            <w:col w:w="1600"/>
          </w:cols>
          <w:pgMar w:left="320" w:top="513" w:right="339" w:bottom="1440" w:gutter="0" w:footer="0" w:header="0"/>
          <w:type w:val="continuous"/>
        </w:sectPr>
      </w:pPr>
    </w:p>
    <w:bookmarkStart w:id="61" w:name="page62"/>
    <w:bookmarkEnd w:id="61"/>
    <w:p>
      <w:pPr>
        <w:ind w:left="880"/>
        <w:spacing w:after="0"/>
        <w:rPr>
          <w:sz w:val="20"/>
          <w:szCs w:val="20"/>
          <w:color w:val="auto"/>
        </w:rPr>
      </w:pPr>
      <w:r>
        <w:rPr>
          <w:rFonts w:ascii="Times New Roman" w:cs="Times New Roman" w:eastAsia="Times New Roman" w:hAnsi="Times New Roman"/>
          <w:sz w:val="18"/>
          <w:szCs w:val="18"/>
          <w:color w:val="auto"/>
        </w:rPr>
        <w:t>(c)“or” is not exclusive;</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(d)words in the singular include the plural, and in the plural include the singular;</w:t>
      </w:r>
    </w:p>
    <w:p>
      <w:pPr>
        <w:spacing w:after="0" w:line="1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(e)provisions apply to successive events and transactions; and</w:t>
      </w:r>
    </w:p>
    <w:p>
      <w:pPr>
        <w:spacing w:after="0" w:line="185" w:lineRule="exact"/>
        <w:rPr>
          <w:sz w:val="20"/>
          <w:szCs w:val="20"/>
          <w:color w:val="auto"/>
        </w:rPr>
      </w:pPr>
    </w:p>
    <w:p>
      <w:pPr>
        <w:ind w:right="200" w:firstLine="864"/>
        <w:spacing w:after="0" w:line="282" w:lineRule="auto"/>
        <w:rPr>
          <w:sz w:val="20"/>
          <w:szCs w:val="20"/>
          <w:color w:val="auto"/>
        </w:rPr>
      </w:pPr>
      <w:r>
        <w:rPr>
          <w:rFonts w:ascii="Times New Roman" w:cs="Times New Roman" w:eastAsia="Times New Roman" w:hAnsi="Times New Roman"/>
          <w:sz w:val="18"/>
          <w:szCs w:val="18"/>
          <w:color w:val="auto"/>
        </w:rPr>
        <w:t>(f)all references in this instrument to Articles and Sections are references to the corresponding Articles and Sections in and of this instrument unless the context requires otherwise.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SECURITY FORMS</w:t>
      </w:r>
    </w:p>
    <w:p>
      <w:pPr>
        <w:spacing w:after="0" w:line="180" w:lineRule="exact"/>
        <w:rPr>
          <w:sz w:val="20"/>
          <w:szCs w:val="20"/>
          <w:color w:val="auto"/>
        </w:rPr>
      </w:pPr>
    </w:p>
    <w:p>
      <w:pPr>
        <w:ind w:firstLine="864"/>
        <w:spacing w:after="0" w:line="254"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Forms Generally</w:t>
      </w:r>
      <w:r>
        <w:rPr>
          <w:rFonts w:ascii="Times New Roman" w:cs="Times New Roman" w:eastAsia="Times New Roman" w:hAnsi="Times New Roman"/>
          <w:sz w:val="18"/>
          <w:szCs w:val="18"/>
          <w:color w:val="auto"/>
        </w:rPr>
        <w:t>. The Securities of each series, and all Guarantees endorsed thereon, if any, shall be in substantially the forms as shall be established by or pursuant to a Board Resolution of the Company (and a Board Resolution of each Guarantor with respect to the Guarantees, if any)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and Guarantees, if any, as evidenced by their execution of the Securities and Guarantees. If the form of Securities of any series, and any Guarantees endorsed thereon, is established by action taken pursuant to a Board Resolution, a copy of an appropriate record of such action shall be certified by the Secretary or an Assistant Secretary of the Company, and by the Secretary or Assistant Secretary of the Guarantors, if any, and delivered to the Trustee at or prior to the delivery of the Company Order contemplated by Section 3.02 for the authentication and delivery of such Securities.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Trustee’s certificate of authentication on all Securities shall be in substantially the form set forth in this Article.</w:t>
      </w:r>
    </w:p>
    <w:p>
      <w:pPr>
        <w:spacing w:after="0" w:line="185" w:lineRule="exact"/>
        <w:rPr>
          <w:sz w:val="20"/>
          <w:szCs w:val="20"/>
          <w:color w:val="auto"/>
        </w:rPr>
      </w:pPr>
    </w:p>
    <w:p>
      <w:pPr>
        <w:ind w:right="280" w:firstLine="864"/>
        <w:spacing w:after="0" w:line="282" w:lineRule="auto"/>
        <w:rPr>
          <w:sz w:val="20"/>
          <w:szCs w:val="20"/>
          <w:color w:val="auto"/>
        </w:rPr>
      </w:pPr>
      <w:r>
        <w:rPr>
          <w:rFonts w:ascii="Times New Roman" w:cs="Times New Roman" w:eastAsia="Times New Roman" w:hAnsi="Times New Roman"/>
          <w:sz w:val="18"/>
          <w:szCs w:val="18"/>
          <w:color w:val="auto"/>
        </w:rPr>
        <w:t>The definitive Securities of any series shall be printed, lithographed or engraved on steel-engraved borders or may be produced in any other manner, all as determined by the officers executing such Securities, as evidenced by their execution of such Securities.</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Guarantees by Guarantor; Form of Guarantee; Release of Guarantee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400" w:firstLine="864"/>
        <w:spacing w:after="0" w:line="282" w:lineRule="auto"/>
        <w:rPr>
          <w:sz w:val="20"/>
          <w:szCs w:val="20"/>
          <w:color w:val="auto"/>
        </w:rPr>
      </w:pPr>
      <w:r>
        <w:rPr>
          <w:rFonts w:ascii="Times New Roman" w:cs="Times New Roman" w:eastAsia="Times New Roman" w:hAnsi="Times New Roman"/>
          <w:sz w:val="18"/>
          <w:szCs w:val="18"/>
          <w:color w:val="auto"/>
        </w:rPr>
        <w:t>(a)Except as otherwise specified in or pursuant to the Officers’ Certificate or supplemental indenture contemplated by Section 3.01(b), the provisions of this Section 2.02 will be applicable to any series of Securities that is to be guaranteed by one or more Guarantors.</w:t>
      </w:r>
    </w:p>
    <w:p>
      <w:pPr>
        <w:spacing w:after="0" w:line="121" w:lineRule="exact"/>
        <w:rPr>
          <w:sz w:val="20"/>
          <w:szCs w:val="20"/>
          <w:color w:val="auto"/>
        </w:rPr>
      </w:pPr>
    </w:p>
    <w:p>
      <w:pPr>
        <w:ind w:right="20" w:firstLine="864"/>
        <w:spacing w:after="0" w:line="261" w:lineRule="auto"/>
        <w:rPr>
          <w:sz w:val="20"/>
          <w:szCs w:val="20"/>
          <w:color w:val="auto"/>
        </w:rPr>
      </w:pPr>
      <w:r>
        <w:rPr>
          <w:rFonts w:ascii="Times New Roman" w:cs="Times New Roman" w:eastAsia="Times New Roman" w:hAnsi="Times New Roman"/>
          <w:sz w:val="18"/>
          <w:szCs w:val="18"/>
          <w:color w:val="auto"/>
        </w:rPr>
        <w:t>(b)Each Guarantor by its execution of this Indenture hereby agrees with each Holder of a Security of each series that is guaranteed by such Guarantor and authenticated and delivered by the Trustee and with the Trustee on behalf of each such Holder, to be unconditionally bound by the terms and provisions of the Guarantee set forth below and authorizes the Trustee to confirm such Guarantee to the Holder of each such Security by its execution and delivery of each such Security, with such Guarantee endorsed thereon, authenticated and delivered by the Trustee.</w:t>
      </w:r>
    </w:p>
    <w:p>
      <w:pPr>
        <w:spacing w:after="0" w:line="1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Guarantees to be endorsed on the Securities shall, subject to this Section 2.02, be in substantially the form set forth below:</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GUARANTEE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[GUARANTOR]</w:t>
      </w:r>
    </w:p>
    <w:p>
      <w:pPr>
        <w:spacing w:after="0" w:line="166" w:lineRule="exact"/>
        <w:rPr>
          <w:sz w:val="20"/>
          <w:szCs w:val="20"/>
          <w:color w:val="auto"/>
        </w:rPr>
      </w:pPr>
    </w:p>
    <w:p>
      <w:pPr>
        <w:ind w:right="40" w:firstLine="864"/>
        <w:spacing w:after="0" w:line="258" w:lineRule="auto"/>
        <w:rPr>
          <w:sz w:val="20"/>
          <w:szCs w:val="20"/>
          <w:color w:val="auto"/>
        </w:rPr>
      </w:pPr>
      <w:r>
        <w:rPr>
          <w:rFonts w:ascii="Times New Roman" w:cs="Times New Roman" w:eastAsia="Times New Roman" w:hAnsi="Times New Roman"/>
          <w:sz w:val="18"/>
          <w:szCs w:val="18"/>
          <w:color w:val="auto"/>
        </w:rPr>
        <w:t>For value received, [•] (the “Guarantor”) hereby unconditionally and irrevocably guarantees, jointly and severally, to the Holder of the Security upon which this Guarantee is endorsed and to the Trustee on behalf of each such Holder the due and punctual payment of the principal of, premium, if any, interest and additional amounts, if any, on such Security and the due and punctual payment of any sinking fund or analogous payments referred to therein, if any, when and as the same shall become due and payable, whether on the Stated Maturity, by declaration of acceleration, call for redemption or otherwise, according to the terms thereof and of the Indenture dated as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895350</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2" w:name="page63"/>
    <w:bookmarkEnd w:id="62"/>
    <w:p>
      <w:pPr>
        <w:spacing w:after="0" w:line="256" w:lineRule="auto"/>
        <w:rPr>
          <w:sz w:val="20"/>
          <w:szCs w:val="20"/>
          <w:color w:val="auto"/>
        </w:rPr>
      </w:pPr>
      <w:r>
        <w:rPr>
          <w:rFonts w:ascii="Times New Roman" w:cs="Times New Roman" w:eastAsia="Times New Roman" w:hAnsi="Times New Roman"/>
          <w:sz w:val="18"/>
          <w:szCs w:val="18"/>
          <w:color w:val="auto"/>
        </w:rPr>
        <w:t>among Axsome Therapeutics, Inc. (hereinafter called the “Company,” which term includes any successor Person thereto under the Indenture), the Guarantors (as defined therein) and [•], as trustee (the “Indenture” and as supplemented by any applicable supplemental indenture, the “Indenture”). In case of the failure of the Company punctually to make any such payment of principal, premium, if any, or interest, and additional amounts, if any, or any sinking fund or analogous payment, the Guarantor, for so long as this Guarantee shall be in effect, hereby agrees to cause any such payment to be made to or to the order of the Trustee punctually when and as the same shall become due and payable, whether on the Stated Maturity or by declaration of acceleration, call for redemption or otherwise, and as if such payment were made by the Company.</w:t>
      </w:r>
    </w:p>
    <w:p>
      <w:pPr>
        <w:spacing w:after="0" w:line="147" w:lineRule="exact"/>
        <w:rPr>
          <w:sz w:val="20"/>
          <w:szCs w:val="20"/>
          <w:color w:val="auto"/>
        </w:rPr>
      </w:pPr>
    </w:p>
    <w:p>
      <w:pPr>
        <w:ind w:right="20" w:firstLine="864"/>
        <w:spacing w:after="0" w:line="254" w:lineRule="auto"/>
        <w:rPr>
          <w:sz w:val="20"/>
          <w:szCs w:val="20"/>
          <w:color w:val="auto"/>
        </w:rPr>
      </w:pPr>
      <w:r>
        <w:rPr>
          <w:rFonts w:ascii="Times New Roman" w:cs="Times New Roman" w:eastAsia="Times New Roman" w:hAnsi="Times New Roman"/>
          <w:sz w:val="18"/>
          <w:szCs w:val="18"/>
          <w:color w:val="auto"/>
        </w:rPr>
        <w:t>The Guarantor hereby agrees, to the extent permitted by law, that its obligations hereunder shall be as if it were the principal debtor and not merely surety, and shall be absolute and unconditional, irrespective of, and shall be unaffected by, any invalidity, irregularity or unenforceability of such Security or the Indenture, any failure to enforce the provisions of such Security or the Indenture, or any waiver, modification or indulgence granted to the Company with respect thereto, by the Holder of such Security or the Trustee or any other circumstance which may otherwise constitute a legal or equitable discharge of a surety or guarantor. The Guarantor hereby waives, to the extent permitted by law, diligence, presentment, demand of payment, filing of claims with a court in the event of merger or bankruptcy of the Company, any right to require a proceeding first against the Company, protest or notice with respect to such Security or the indebtedness evidenced thereby or with respect to any sinking fund or analogous payment required under such Security and all demands whatsoever, and covenants that this Guarantee will not be discharged except by payment in full of the principal of, premium, if any, and interest on such Security or as otherwise described in Section 2.02 of the Indenture.</w:t>
      </w:r>
    </w:p>
    <w:p>
      <w:pPr>
        <w:spacing w:after="0" w:line="161" w:lineRule="exact"/>
        <w:rPr>
          <w:sz w:val="20"/>
          <w:szCs w:val="20"/>
          <w:color w:val="auto"/>
        </w:rPr>
      </w:pPr>
    </w:p>
    <w:p>
      <w:pPr>
        <w:ind w:right="100" w:firstLine="864"/>
        <w:spacing w:after="0" w:line="282" w:lineRule="auto"/>
        <w:rPr>
          <w:sz w:val="20"/>
          <w:szCs w:val="20"/>
          <w:color w:val="auto"/>
        </w:rPr>
      </w:pPr>
      <w:r>
        <w:rPr>
          <w:rFonts w:ascii="Times New Roman" w:cs="Times New Roman" w:eastAsia="Times New Roman" w:hAnsi="Times New Roman"/>
          <w:sz w:val="18"/>
          <w:szCs w:val="18"/>
          <w:color w:val="auto"/>
        </w:rPr>
        <w:t>This Guarantee shall be automatically and unconditionally released on the terms set forth in Section 2.02(c) of the Indenture and such terms as have been specified pursuant to Section 3.01.</w:t>
      </w:r>
    </w:p>
    <w:p>
      <w:pPr>
        <w:spacing w:after="0" w:line="121" w:lineRule="exact"/>
        <w:rPr>
          <w:sz w:val="20"/>
          <w:szCs w:val="20"/>
          <w:color w:val="auto"/>
        </w:rPr>
      </w:pPr>
    </w:p>
    <w:p>
      <w:pPr>
        <w:ind w:right="40" w:firstLine="864"/>
        <w:spacing w:after="0" w:line="261" w:lineRule="auto"/>
        <w:rPr>
          <w:sz w:val="20"/>
          <w:szCs w:val="20"/>
          <w:color w:val="auto"/>
        </w:rPr>
      </w:pPr>
      <w:r>
        <w:rPr>
          <w:rFonts w:ascii="Times New Roman" w:cs="Times New Roman" w:eastAsia="Times New Roman" w:hAnsi="Times New Roman"/>
          <w:sz w:val="18"/>
          <w:szCs w:val="18"/>
          <w:color w:val="auto"/>
        </w:rPr>
        <w:t xml:space="preserve">The Guarantor shall be subrogated to all rights of the Holder of such Security and the Trustee against the Company in respect of any amounts paid to such Holder by the Guarantor pursuant to the provisions of this Guarantee;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Guarantor shall not be entitled to enforce, or to receive any payments arising out of or based upon such right of subrogation until the principal of, premium, if any, and interest on all Securities of the same series issued under the Indenture shall have been paid in full.</w:t>
      </w:r>
    </w:p>
    <w:p>
      <w:pPr>
        <w:spacing w:after="0" w:line="139"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8"/>
          <w:szCs w:val="18"/>
          <w:color w:val="auto"/>
        </w:rPr>
        <w:t>The Guarantor hereby agrees that its obligations hereunder shall be direct, unconditioned and unsubordinated and will rank equally and ratably without preference and at least equally with other senior unsecured and unsubordinated obligations of the Guarantor, except to the extent prescribed by law. The Holder of a guaranteed Security will be entitled to payment under the Guarantee without taking any action whatsoever against the Company.</w:t>
      </w:r>
    </w:p>
    <w:p>
      <w:pPr>
        <w:spacing w:after="0" w:line="149" w:lineRule="exact"/>
        <w:rPr>
          <w:sz w:val="20"/>
          <w:szCs w:val="20"/>
          <w:color w:val="auto"/>
        </w:rPr>
      </w:pPr>
    </w:p>
    <w:p>
      <w:pPr>
        <w:jc w:val="both"/>
        <w:ind w:right="40" w:firstLine="864"/>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Guarantee or of the Indenture shall alter or impair the guarantee of the Guarantor, which is absolute and unconditional, of the due and punctual payment of the principal of, premium, if any, and interest on, any additional amounts, and any sinking fund or analogous payments with respect to, the Security upon which this Guarantee is endorsed.</w:t>
      </w:r>
    </w:p>
    <w:p>
      <w:pPr>
        <w:spacing w:after="0" w:line="135" w:lineRule="exact"/>
        <w:rPr>
          <w:sz w:val="20"/>
          <w:szCs w:val="20"/>
          <w:color w:val="auto"/>
        </w:rPr>
      </w:pPr>
    </w:p>
    <w:p>
      <w:pPr>
        <w:ind w:right="60" w:firstLine="864"/>
        <w:spacing w:after="0" w:line="282" w:lineRule="auto"/>
        <w:rPr>
          <w:sz w:val="20"/>
          <w:szCs w:val="20"/>
          <w:color w:val="auto"/>
        </w:rPr>
      </w:pPr>
      <w:r>
        <w:rPr>
          <w:rFonts w:ascii="Times New Roman" w:cs="Times New Roman" w:eastAsia="Times New Roman" w:hAnsi="Times New Roman"/>
          <w:sz w:val="18"/>
          <w:szCs w:val="18"/>
          <w:color w:val="auto"/>
        </w:rPr>
        <w:t>This Guarantee shall not be valid or obligatory for any purpose until the certificate of authentication of such Security shall have been manually executed by or on behalf of the Trustee under the Indenture.</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All terms used in this Guarantee that are defined in the Indenture shall have the meanings assigned to them in the Indenture.</w:t>
      </w:r>
    </w:p>
    <w:p>
      <w:pPr>
        <w:spacing w:after="0" w:line="198" w:lineRule="exact"/>
        <w:rPr>
          <w:sz w:val="20"/>
          <w:szCs w:val="20"/>
          <w:color w:val="auto"/>
        </w:rPr>
      </w:pPr>
    </w:p>
    <w:p>
      <w:pPr>
        <w:ind w:right="720" w:firstLine="864"/>
        <w:spacing w:after="0" w:line="282" w:lineRule="auto"/>
        <w:rPr>
          <w:sz w:val="20"/>
          <w:szCs w:val="20"/>
          <w:color w:val="auto"/>
        </w:rPr>
      </w:pPr>
      <w:r>
        <w:rPr>
          <w:rFonts w:ascii="Times New Roman" w:cs="Times New Roman" w:eastAsia="Times New Roman" w:hAnsi="Times New Roman"/>
          <w:sz w:val="18"/>
          <w:szCs w:val="18"/>
          <w:color w:val="auto"/>
        </w:rPr>
        <w:t>This Guarantee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and dated the date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8"/>
          <w:szCs w:val="18"/>
          <w:color w:val="auto"/>
        </w:rPr>
        <w:t>[GUARANTOR]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Release of Guarantee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80" w:firstLine="864"/>
        <w:spacing w:after="0" w:line="258" w:lineRule="auto"/>
        <w:rPr>
          <w:sz w:val="20"/>
          <w:szCs w:val="20"/>
          <w:color w:val="auto"/>
        </w:rPr>
      </w:pPr>
      <w:r>
        <w:rPr>
          <w:rFonts w:ascii="Times New Roman" w:cs="Times New Roman" w:eastAsia="Times New Roman" w:hAnsi="Times New Roman"/>
          <w:sz w:val="18"/>
          <w:szCs w:val="18"/>
          <w:color w:val="auto"/>
        </w:rPr>
        <w:t>(i)The Guarantee of a Guarantor relating to a series of Securities shall be released automatically and unconditionally, and such Guarantor shall be relieved of all of its obligations under its Guarantee of such Securities, (A) upon defeasance or discharge of such series of Securities as provided in Article 12 or Article 13 of this Indenture, (B) if for any reason, such Guarantor ceases to be a Subsidiary of the Company, or (C) in connection with any sale, disposition or transfer of all or substantially all of the assets of that Guarantor (including by way of merger or consolidation) to a Person that is not (either before or after giving effect to such transaction) the Company or a Subsidiary of the Company.</w:t>
      </w:r>
    </w:p>
    <w:p>
      <w:pPr>
        <w:spacing w:after="0" w:line="143" w:lineRule="exact"/>
        <w:rPr>
          <w:sz w:val="20"/>
          <w:szCs w:val="20"/>
          <w:color w:val="auto"/>
        </w:rPr>
      </w:pPr>
    </w:p>
    <w:p>
      <w:pPr>
        <w:ind w:right="40" w:firstLine="864"/>
        <w:spacing w:after="0" w:line="266" w:lineRule="auto"/>
        <w:rPr>
          <w:sz w:val="20"/>
          <w:szCs w:val="20"/>
          <w:color w:val="auto"/>
        </w:rPr>
      </w:pPr>
      <w:r>
        <w:rPr>
          <w:rFonts w:ascii="Times New Roman" w:cs="Times New Roman" w:eastAsia="Times New Roman" w:hAnsi="Times New Roman"/>
          <w:sz w:val="18"/>
          <w:szCs w:val="18"/>
          <w:color w:val="auto"/>
        </w:rPr>
        <w:t>(ii)The Guarantee of a Guarantor relating to a series of Securities shall be released automatically and unconditionally, and such Guarantor shall be relieved of all of its obligations under its Guarantee of such Securities, in any additional circumstances provided in the terms of the Securities of such series established pursuant to Section 3.01 of this Indenture and any relevant supplemental indenture.</w:t>
      </w:r>
    </w:p>
    <w:p>
      <w:pPr>
        <w:spacing w:after="0" w:line="135" w:lineRule="exact"/>
        <w:rPr>
          <w:sz w:val="20"/>
          <w:szCs w:val="20"/>
          <w:color w:val="auto"/>
        </w:rPr>
      </w:pPr>
    </w:p>
    <w:p>
      <w:pPr>
        <w:ind w:right="100" w:firstLine="864"/>
        <w:spacing w:after="0" w:line="282" w:lineRule="auto"/>
        <w:rPr>
          <w:sz w:val="20"/>
          <w:szCs w:val="20"/>
          <w:color w:val="auto"/>
        </w:rPr>
      </w:pPr>
      <w:r>
        <w:rPr>
          <w:rFonts w:ascii="Times New Roman" w:cs="Times New Roman" w:eastAsia="Times New Roman" w:hAnsi="Times New Roman"/>
          <w:sz w:val="18"/>
          <w:szCs w:val="18"/>
          <w:color w:val="auto"/>
        </w:rPr>
        <w:t>(iii)At such time as a Guarantor’s Guarantee is released with respect to any series of Securities, such Guarantor will no longer be considered a “Guarantor” of such series of Securities.</w:t>
      </w:r>
    </w:p>
    <w:p>
      <w:pPr>
        <w:spacing w:after="0" w:line="135" w:lineRule="exact"/>
        <w:rPr>
          <w:sz w:val="20"/>
          <w:szCs w:val="20"/>
          <w:color w:val="auto"/>
        </w:rPr>
      </w:pPr>
    </w:p>
    <w:p>
      <w:pPr>
        <w:ind w:right="300" w:firstLine="864"/>
        <w:spacing w:after="0" w:line="258" w:lineRule="auto"/>
        <w:rPr>
          <w:sz w:val="20"/>
          <w:szCs w:val="20"/>
          <w:color w:val="auto"/>
        </w:rPr>
      </w:pPr>
      <w:r>
        <w:rPr>
          <w:rFonts w:ascii="Times New Roman" w:cs="Times New Roman" w:eastAsia="Times New Roman" w:hAnsi="Times New Roman"/>
          <w:sz w:val="18"/>
          <w:szCs w:val="18"/>
          <w:color w:val="auto"/>
        </w:rPr>
        <w:t xml:space="preserve">(iv)The Trustee shall promptly execute any documents reasonably requested by the Company or applicable Guarantor relating to a series of Securities in order to evidence the release of such Guarantor from its obligations under its Guarantee of the Securities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 shall not be obligated to execute or deliver any document evidencing the release of a Guarantee pursuant to this Section 2.02(c) unless the Company has delivered an Officers’ Certificate or an Opinion of Counsel to the effect that such release is in accordance with the provisions of this Indenture.</w:t>
      </w:r>
    </w:p>
    <w:p>
      <w:pPr>
        <w:spacing w:after="0" w:line="143" w:lineRule="exact"/>
        <w:rPr>
          <w:sz w:val="20"/>
          <w:szCs w:val="20"/>
          <w:color w:val="auto"/>
        </w:rPr>
      </w:pPr>
    </w:p>
    <w:p>
      <w:pPr>
        <w:ind w:right="620" w:firstLine="864"/>
        <w:spacing w:after="0" w:line="282"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Form of Trustee’s Certificate of Authentication</w:t>
      </w:r>
      <w:r>
        <w:rPr>
          <w:rFonts w:ascii="Times New Roman" w:cs="Times New Roman" w:eastAsia="Times New Roman" w:hAnsi="Times New Roman"/>
          <w:sz w:val="18"/>
          <w:szCs w:val="18"/>
          <w:color w:val="auto"/>
        </w:rPr>
        <w:t>. The Trustee’s certificate of authentication shall be substantially in the following form:</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19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as Trustee</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3</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ISSUE, EXECUTION, FORM AND REGISTRATION OF SECURITIES</w:t>
      </w:r>
    </w:p>
    <w:p>
      <w:pPr>
        <w:spacing w:after="0" w:line="16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Amount Unlimited; Issuable in Series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(a)The aggregate principal amount of Securities which may be authenticated and delivered under this Indenture is unlimited.</w:t>
      </w:r>
    </w:p>
    <w:p>
      <w:pPr>
        <w:spacing w:after="0" w:line="198" w:lineRule="exact"/>
        <w:rPr>
          <w:sz w:val="20"/>
          <w:szCs w:val="20"/>
          <w:color w:val="auto"/>
        </w:rPr>
      </w:pPr>
    </w:p>
    <w:p>
      <w:pPr>
        <w:ind w:firstLine="864"/>
        <w:spacing w:after="0" w:line="261" w:lineRule="auto"/>
        <w:rPr>
          <w:sz w:val="20"/>
          <w:szCs w:val="20"/>
          <w:color w:val="auto"/>
        </w:rPr>
      </w:pPr>
      <w:r>
        <w:rPr>
          <w:rFonts w:ascii="Times New Roman" w:cs="Times New Roman" w:eastAsia="Times New Roman" w:hAnsi="Times New Roman"/>
          <w:sz w:val="18"/>
          <w:szCs w:val="18"/>
          <w:color w:val="auto"/>
        </w:rPr>
        <w:t>(b)The Securities may be issued from time to time in one or more series. Prior to the issuance of Securities of any series, there shall be established in or pursuant to (i) a Board Resolution of the Company and each Guarantor, if any, of the Securities of such series, (ii) action taken pursuant to a Board Resolution and (subject to Sections 3.03 and 3.04) set forth, or determined in the manner provided, in an Officers’ Certificate of the Company and each Guarantor, if any, of the Securities of such series, or (iii) one or more indentures supplemental hereto:</w:t>
      </w:r>
    </w:p>
    <w:p>
      <w:pPr>
        <w:spacing w:after="0" w:line="13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(1)the title of the Securities of the series (which shall distinguish the Securities of the series from all other Securities);</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(2)whether or not such Securities are to be guaranteed pursuant to Section 2.02 and, if so, the Guarantor or Guarantors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64" w:name="page65"/>
    <w:bookmarkEnd w:id="64"/>
    <w:p>
      <w:pPr>
        <w:ind w:right="20" w:firstLine="797"/>
        <w:spacing w:after="0" w:line="266" w:lineRule="auto"/>
        <w:rPr>
          <w:sz w:val="20"/>
          <w:szCs w:val="20"/>
          <w:color w:val="auto"/>
        </w:rPr>
      </w:pPr>
      <w:r>
        <w:rPr>
          <w:rFonts w:ascii="Times New Roman" w:cs="Times New Roman" w:eastAsia="Times New Roman" w:hAnsi="Times New Roman"/>
          <w:sz w:val="18"/>
          <w:szCs w:val="18"/>
          <w:color w:val="auto"/>
        </w:rPr>
        <w:t>(3)the purchase price, denomination and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Sections 3.07, 3.09, 3.11, 9.05 or 11.03);</w:t>
      </w:r>
    </w:p>
    <w:p>
      <w:pPr>
        <w:spacing w:after="0" w:line="135" w:lineRule="exact"/>
        <w:rPr>
          <w:sz w:val="20"/>
          <w:szCs w:val="20"/>
          <w:color w:val="auto"/>
        </w:rPr>
      </w:pPr>
    </w:p>
    <w:p>
      <w:pPr>
        <w:ind w:right="520" w:firstLine="797"/>
        <w:spacing w:after="0" w:line="282" w:lineRule="auto"/>
        <w:rPr>
          <w:sz w:val="20"/>
          <w:szCs w:val="20"/>
          <w:color w:val="auto"/>
        </w:rPr>
      </w:pPr>
      <w:r>
        <w:rPr>
          <w:rFonts w:ascii="Times New Roman" w:cs="Times New Roman" w:eastAsia="Times New Roman" w:hAnsi="Times New Roman"/>
          <w:sz w:val="18"/>
          <w:szCs w:val="18"/>
          <w:color w:val="auto"/>
        </w:rPr>
        <w:t>(4)the date or dates on which the principal of and premium, if any, on the Securities of the series is payable or the method of determination thereof;</w:t>
      </w:r>
    </w:p>
    <w:p>
      <w:pPr>
        <w:spacing w:after="0" w:line="135" w:lineRule="exact"/>
        <w:rPr>
          <w:sz w:val="20"/>
          <w:szCs w:val="20"/>
          <w:color w:val="auto"/>
        </w:rPr>
      </w:pPr>
    </w:p>
    <w:p>
      <w:pPr>
        <w:ind w:right="160" w:firstLine="797"/>
        <w:spacing w:after="0" w:line="261" w:lineRule="auto"/>
        <w:rPr>
          <w:sz w:val="20"/>
          <w:szCs w:val="20"/>
          <w:color w:val="auto"/>
        </w:rPr>
      </w:pPr>
      <w:r>
        <w:rPr>
          <w:rFonts w:ascii="Times New Roman" w:cs="Times New Roman" w:eastAsia="Times New Roman" w:hAnsi="Times New Roman"/>
          <w:sz w:val="18"/>
          <w:szCs w:val="18"/>
          <w:color w:val="auto"/>
        </w:rPr>
        <w:t>(5)the rate or rates at which the Securities of the series shall bear interest, if any, or the method of calculating such rate or rates of interest, the date or dates from which such interest shall accrue or the method by which such date or dates shall be determined, the Interest Payment Dates on which any such interest shall be payable and the Regular Record Date, if any, for the interest payable on any Interest Payment Date;</w:t>
      </w:r>
    </w:p>
    <w:p>
      <w:pPr>
        <w:spacing w:after="0" w:line="13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(6)the place or places where the principal of (and premium, if any) and interest, if any, on Securities of the series shall be payable;</w:t>
      </w:r>
    </w:p>
    <w:p>
      <w:pPr>
        <w:spacing w:after="0" w:line="18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(7)the place or places where the Securities may be exchanged or transferred;</w:t>
      </w:r>
    </w:p>
    <w:p>
      <w:pPr>
        <w:spacing w:after="0" w:line="198" w:lineRule="exact"/>
        <w:rPr>
          <w:sz w:val="20"/>
          <w:szCs w:val="20"/>
          <w:color w:val="auto"/>
        </w:rPr>
      </w:pPr>
    </w:p>
    <w:p>
      <w:pPr>
        <w:ind w:right="80" w:firstLine="797"/>
        <w:spacing w:after="0" w:line="261" w:lineRule="auto"/>
        <w:rPr>
          <w:sz w:val="20"/>
          <w:szCs w:val="20"/>
          <w:color w:val="auto"/>
        </w:rPr>
      </w:pPr>
      <w:r>
        <w:rPr>
          <w:rFonts w:ascii="Times New Roman" w:cs="Times New Roman" w:eastAsia="Times New Roman" w:hAnsi="Times New Roman"/>
          <w:sz w:val="18"/>
          <w:szCs w:val="18"/>
          <w:color w:val="auto"/>
        </w:rPr>
        <w:t>(8)the period or periods within which, the price or prices at which, the currency or currencies (including currency unit or units) in which, and the other terms and conditions upon which Securities of the series may be redeemed, in whole or in part, at the option of the Company, if the Company is to have that option, and, if other than as provided in Section 11.02, the manner in which the particular Securities of such series (if less than all Securities of such series are to be redeemed) are to be selected for redemption;</w:t>
      </w:r>
    </w:p>
    <w:p>
      <w:pPr>
        <w:spacing w:after="0" w:line="139" w:lineRule="exact"/>
        <w:rPr>
          <w:sz w:val="20"/>
          <w:szCs w:val="20"/>
          <w:color w:val="auto"/>
        </w:rPr>
      </w:pPr>
    </w:p>
    <w:p>
      <w:pPr>
        <w:jc w:val="both"/>
        <w:ind w:right="120" w:firstLine="797"/>
        <w:spacing w:after="0" w:line="261" w:lineRule="auto"/>
        <w:rPr>
          <w:sz w:val="20"/>
          <w:szCs w:val="20"/>
          <w:color w:val="auto"/>
        </w:rPr>
      </w:pPr>
      <w:r>
        <w:rPr>
          <w:rFonts w:ascii="Times New Roman" w:cs="Times New Roman" w:eastAsia="Times New Roman" w:hAnsi="Times New Roman"/>
          <w:sz w:val="18"/>
          <w:szCs w:val="18"/>
          <w:color w:val="auto"/>
        </w:rPr>
        <w:t>(9)the obligation, if any, of the Company to redeem or purchase Securities of the series in whole or in part pursuant to any sinking fund or analogous provisions or upon the happening of a specified event or at the option of a Holder thereof and the period or periods within which, the price or prices at which, and the other terms and conditions upon which Securities of the series shall be redeemed or purchased, in whole or in part, pursuant to such obligation;</w:t>
      </w:r>
    </w:p>
    <w:p>
      <w:pPr>
        <w:spacing w:after="0" w:line="139" w:lineRule="exact"/>
        <w:rPr>
          <w:sz w:val="20"/>
          <w:szCs w:val="20"/>
          <w:color w:val="auto"/>
        </w:rPr>
      </w:pPr>
    </w:p>
    <w:p>
      <w:pPr>
        <w:ind w:right="140" w:firstLine="797"/>
        <w:spacing w:after="0" w:line="282" w:lineRule="auto"/>
        <w:rPr>
          <w:sz w:val="20"/>
          <w:szCs w:val="20"/>
          <w:color w:val="auto"/>
        </w:rPr>
      </w:pPr>
      <w:r>
        <w:rPr>
          <w:rFonts w:ascii="Times New Roman" w:cs="Times New Roman" w:eastAsia="Times New Roman" w:hAnsi="Times New Roman"/>
          <w:sz w:val="18"/>
          <w:szCs w:val="18"/>
          <w:color w:val="auto"/>
        </w:rPr>
        <w:t>(10)if other than denominations of $2,000 and multiples of $1,000 in excess thereof, the denominations in which Securities of the series shall be issuable;</w:t>
      </w:r>
    </w:p>
    <w:p>
      <w:pPr>
        <w:spacing w:after="0" w:line="135" w:lineRule="exact"/>
        <w:rPr>
          <w:sz w:val="20"/>
          <w:szCs w:val="20"/>
          <w:color w:val="auto"/>
        </w:rPr>
      </w:pPr>
    </w:p>
    <w:p>
      <w:pPr>
        <w:ind w:right="280" w:firstLine="797"/>
        <w:spacing w:after="0" w:line="266" w:lineRule="auto"/>
        <w:rPr>
          <w:sz w:val="20"/>
          <w:szCs w:val="20"/>
          <w:color w:val="auto"/>
        </w:rPr>
      </w:pPr>
      <w:r>
        <w:rPr>
          <w:rFonts w:ascii="Times New Roman" w:cs="Times New Roman" w:eastAsia="Times New Roman" w:hAnsi="Times New Roman"/>
          <w:sz w:val="18"/>
          <w:szCs w:val="18"/>
          <w:color w:val="auto"/>
        </w:rPr>
        <w:t>(11)if other than Dollars, the currency or currencies (including currency unit or units) in which payments of principal of (and premium, if any) and interest, if any, on the Securities of the series shall or may by payable, or in which the Securities of the series shall be denominated, and the particular provisions applicable thereto;</w:t>
      </w:r>
    </w:p>
    <w:p>
      <w:pPr>
        <w:spacing w:after="0" w:line="135" w:lineRule="exact"/>
        <w:rPr>
          <w:sz w:val="20"/>
          <w:szCs w:val="20"/>
          <w:color w:val="auto"/>
        </w:rPr>
      </w:pPr>
    </w:p>
    <w:p>
      <w:pPr>
        <w:ind w:firstLine="797"/>
        <w:spacing w:after="0" w:line="258" w:lineRule="auto"/>
        <w:rPr>
          <w:sz w:val="20"/>
          <w:szCs w:val="20"/>
          <w:color w:val="auto"/>
        </w:rPr>
      </w:pPr>
      <w:r>
        <w:rPr>
          <w:rFonts w:ascii="Times New Roman" w:cs="Times New Roman" w:eastAsia="Times New Roman" w:hAnsi="Times New Roman"/>
          <w:sz w:val="18"/>
          <w:szCs w:val="18"/>
          <w:color w:val="auto"/>
        </w:rPr>
        <w:t>(12)if the payments of principal of (and premium, if any) and interest, if any, on the Securities of the series are to be made, at the election of the Company or a Holder, in a currency or currencies (including currency unit or units) other than that in which such Securities are denominated or designated to be payable, the currency or currencies (including currency unit or units) in which such payments are to be made, the terms and conditions of such payments and the manner in which the exchange rate with respect to such payments shall be determined, and the particular provisions applicable thereto;</w:t>
      </w:r>
    </w:p>
    <w:p>
      <w:pPr>
        <w:spacing w:after="0" w:line="143" w:lineRule="exact"/>
        <w:rPr>
          <w:sz w:val="20"/>
          <w:szCs w:val="20"/>
          <w:color w:val="auto"/>
        </w:rPr>
      </w:pPr>
    </w:p>
    <w:p>
      <w:pPr>
        <w:jc w:val="both"/>
        <w:ind w:right="280" w:firstLine="797"/>
        <w:spacing w:after="0" w:line="261" w:lineRule="auto"/>
        <w:rPr>
          <w:sz w:val="20"/>
          <w:szCs w:val="20"/>
          <w:color w:val="auto"/>
        </w:rPr>
      </w:pPr>
      <w:r>
        <w:rPr>
          <w:rFonts w:ascii="Times New Roman" w:cs="Times New Roman" w:eastAsia="Times New Roman" w:hAnsi="Times New Roman"/>
          <w:sz w:val="18"/>
          <w:szCs w:val="18"/>
          <w:color w:val="auto"/>
        </w:rPr>
        <w:t>(13)if the amount of payments of principal of (and premium, if any) and interest, if any, on the Securities of the series shall be determined with reference to any commodities, currencies or indices, values, rates or prices or any other index, formula or method (which index, formula or method may be based, without limitation, on a currency or currencies (including currency unit or units) other than that in which the Securities of the series are denominated or designated to be payable), the manner in which such amounts shall be determined;</w:t>
      </w:r>
    </w:p>
    <w:p>
      <w:pPr>
        <w:spacing w:after="0" w:line="153" w:lineRule="exact"/>
        <w:rPr>
          <w:sz w:val="20"/>
          <w:szCs w:val="20"/>
          <w:color w:val="auto"/>
        </w:rPr>
      </w:pPr>
    </w:p>
    <w:p>
      <w:pPr>
        <w:ind w:right="40" w:firstLine="797"/>
        <w:spacing w:after="0" w:line="312" w:lineRule="auto"/>
        <w:rPr>
          <w:sz w:val="20"/>
          <w:szCs w:val="20"/>
          <w:color w:val="auto"/>
        </w:rPr>
      </w:pPr>
      <w:r>
        <w:rPr>
          <w:rFonts w:ascii="Times New Roman" w:cs="Times New Roman" w:eastAsia="Times New Roman" w:hAnsi="Times New Roman"/>
          <w:sz w:val="17"/>
          <w:szCs w:val="17"/>
          <w:color w:val="auto"/>
        </w:rPr>
        <w:t>(14)if other than the principal amount thereof, the portion of the principal amount of Securities of the series which shall be payable upon declaration of acceleration of the Maturity thereof pursuant to Section 5.02 or the method by which such portion shall be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293370</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60"/>
          </w:cols>
          <w:pgMar w:left="1200" w:top="337" w:right="439" w:bottom="1440" w:gutter="0" w:footer="0" w:header="0"/>
        </w:sectPr>
      </w:pPr>
    </w:p>
    <w:bookmarkStart w:id="65" w:name="page66"/>
    <w:bookmarkEnd w:id="65"/>
    <w:p>
      <w:pPr>
        <w:ind w:left="880" w:right="40" w:firstLine="797"/>
        <w:spacing w:after="0" w:line="266" w:lineRule="auto"/>
        <w:rPr>
          <w:sz w:val="20"/>
          <w:szCs w:val="20"/>
          <w:color w:val="auto"/>
        </w:rPr>
      </w:pPr>
      <w:r>
        <w:rPr>
          <w:rFonts w:ascii="Times New Roman" w:cs="Times New Roman" w:eastAsia="Times New Roman" w:hAnsi="Times New Roman"/>
          <w:sz w:val="18"/>
          <w:szCs w:val="18"/>
          <w:color w:val="auto"/>
        </w:rPr>
        <w:t>(15)any modifications of or additions to the Events of Default set forth in Section 5.01 or the covenants of the Company set forth in Article 4 or Article 10 with respect to Securities of the series; and whether such additional or modified Events of Default or covenants are subject to covenant defeasance pursuant to Section 12.03;</w:t>
      </w:r>
    </w:p>
    <w:p>
      <w:pPr>
        <w:spacing w:after="0" w:line="135" w:lineRule="exact"/>
        <w:rPr>
          <w:sz w:val="20"/>
          <w:szCs w:val="20"/>
          <w:color w:val="auto"/>
        </w:rPr>
      </w:pPr>
    </w:p>
    <w:p>
      <w:pPr>
        <w:ind w:left="880" w:right="20" w:firstLine="797"/>
        <w:spacing w:after="0" w:line="256" w:lineRule="auto"/>
        <w:rPr>
          <w:sz w:val="20"/>
          <w:szCs w:val="20"/>
          <w:color w:val="auto"/>
        </w:rPr>
      </w:pPr>
      <w:r>
        <w:rPr>
          <w:rFonts w:ascii="Times New Roman" w:cs="Times New Roman" w:eastAsia="Times New Roman" w:hAnsi="Times New Roman"/>
          <w:sz w:val="18"/>
          <w:szCs w:val="18"/>
          <w:color w:val="auto"/>
        </w:rPr>
        <w:t>(16)if either or both of Section 12.02 and Section 12.03 shall be inapplicable to the Securities of the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 such inapplicability shall be specified and the Securities of such series are not convertible into or their value is not determined with reference to the Company’s equity securities, then both Section 12.02 and Section 12.03 shall be applicable to the Securities of such series;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no such inapplicability shall be specified and the Securities of such series are convertible into or their value is determined with reference to the Company’s equity securities, then neither Section 12.02 nor Section 12.03 shall be applicable to the Securities of such series) and any other terms upon which the Securities of such series will be defeasible;</w:t>
      </w:r>
    </w:p>
    <w:p>
      <w:pPr>
        <w:spacing w:after="0" w:line="16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(17)if other than the Trustee, the identity of the Registrar and any Paying Agent;</w:t>
      </w:r>
    </w:p>
    <w:p>
      <w:pPr>
        <w:spacing w:after="0" w:line="185" w:lineRule="exact"/>
        <w:rPr>
          <w:sz w:val="20"/>
          <w:szCs w:val="20"/>
          <w:color w:val="auto"/>
        </w:rPr>
      </w:pPr>
    </w:p>
    <w:p>
      <w:pPr>
        <w:ind w:left="880" w:firstLine="797"/>
        <w:spacing w:after="0" w:line="258" w:lineRule="auto"/>
        <w:rPr>
          <w:sz w:val="20"/>
          <w:szCs w:val="20"/>
          <w:color w:val="auto"/>
        </w:rPr>
      </w:pPr>
      <w:r>
        <w:rPr>
          <w:rFonts w:ascii="Times New Roman" w:cs="Times New Roman" w:eastAsia="Times New Roman" w:hAnsi="Times New Roman"/>
          <w:sz w:val="18"/>
          <w:szCs w:val="18"/>
          <w:color w:val="auto"/>
        </w:rPr>
        <w:t>(18)if the Securities of the series shall be issued in whole or in part in global form, (i) the Depositary for such global Securities, (ii) the form of any legend in addition to or in lieu of that in Section 3.06 which shall be borne by such global Security, (iii) whether beneficial owners of interests in any Securities of the series in global form may exchange such interests for certificated Securities of such series and of like tenor of any authorized form and denomination, and (iv) if other than as provided in Section 3.08, the circumstances under which any such exchange may occur;</w:t>
      </w:r>
    </w:p>
    <w:p>
      <w:pPr>
        <w:spacing w:after="0" w:line="143" w:lineRule="exact"/>
        <w:rPr>
          <w:sz w:val="20"/>
          <w:szCs w:val="20"/>
          <w:color w:val="auto"/>
        </w:rPr>
      </w:pPr>
    </w:p>
    <w:p>
      <w:pPr>
        <w:ind w:left="880" w:right="540" w:firstLine="797"/>
        <w:spacing w:after="0" w:line="282" w:lineRule="auto"/>
        <w:rPr>
          <w:sz w:val="20"/>
          <w:szCs w:val="20"/>
          <w:color w:val="auto"/>
        </w:rPr>
      </w:pPr>
      <w:r>
        <w:rPr>
          <w:rFonts w:ascii="Times New Roman" w:cs="Times New Roman" w:eastAsia="Times New Roman" w:hAnsi="Times New Roman"/>
          <w:sz w:val="18"/>
          <w:szCs w:val="18"/>
          <w:color w:val="auto"/>
        </w:rPr>
        <w:t>(19)if, and the terms and conditions upon which, the Securities of such series may or must be converted into securities of the Company or exchanged for securities of the Company or another enterprise; and</w:t>
      </w:r>
    </w:p>
    <w:p>
      <w:pPr>
        <w:spacing w:after="0" w:line="135" w:lineRule="exact"/>
        <w:rPr>
          <w:sz w:val="20"/>
          <w:szCs w:val="20"/>
          <w:color w:val="auto"/>
        </w:rPr>
      </w:pPr>
    </w:p>
    <w:p>
      <w:pPr>
        <w:ind w:left="880" w:right="540" w:firstLine="797"/>
        <w:spacing w:after="0" w:line="282" w:lineRule="auto"/>
        <w:rPr>
          <w:sz w:val="20"/>
          <w:szCs w:val="20"/>
          <w:color w:val="auto"/>
        </w:rPr>
      </w:pPr>
      <w:r>
        <w:rPr>
          <w:rFonts w:ascii="Times New Roman" w:cs="Times New Roman" w:eastAsia="Times New Roman" w:hAnsi="Times New Roman"/>
          <w:sz w:val="18"/>
          <w:szCs w:val="18"/>
          <w:color w:val="auto"/>
        </w:rPr>
        <w:t>(20)any other terms of the series or any Guarantees endorsed thereon (which terms shall not adversely affect a prior series of Securities).</w:t>
      </w:r>
    </w:p>
    <w:p>
      <w:pPr>
        <w:spacing w:after="0" w:line="121" w:lineRule="exact"/>
        <w:rPr>
          <w:sz w:val="20"/>
          <w:szCs w:val="20"/>
          <w:color w:val="auto"/>
        </w:rPr>
      </w:pPr>
    </w:p>
    <w:p>
      <w:pPr>
        <w:ind w:right="120" w:firstLine="864"/>
        <w:spacing w:after="0" w:line="258"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to denomination and except as may otherwise be provided (i) by a Board Resolution of the Company, (ii) by action taken pursuant to a Board Resolution of the Company and (subject to Sections 3.02-3.05) set forth, or determined in the manner provided, in an Officers’ Certificate or (iii) in any such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143" w:lineRule="exact"/>
        <w:rPr>
          <w:sz w:val="20"/>
          <w:szCs w:val="20"/>
          <w:color w:val="auto"/>
        </w:rPr>
      </w:pPr>
    </w:p>
    <w:p>
      <w:pPr>
        <w:ind w:right="260" w:firstLine="864"/>
        <w:spacing w:after="0" w:line="258" w:lineRule="auto"/>
        <w:rPr>
          <w:sz w:val="20"/>
          <w:szCs w:val="20"/>
          <w:color w:val="auto"/>
        </w:rPr>
      </w:pPr>
      <w:r>
        <w:rPr>
          <w:rFonts w:ascii="Times New Roman" w:cs="Times New Roman" w:eastAsia="Times New Roman" w:hAnsi="Times New Roman"/>
          <w:sz w:val="18"/>
          <w:szCs w:val="18"/>
          <w:color w:val="auto"/>
        </w:rPr>
        <w:t>If any of the terms of the Securities of any series, and any Guarantees endorsed thereon, are established by action taken pursuant to a Board Resolution of the Company and the Guarantors, if any, a copy of an appropriate record of such action shall be certified by the Secretary or an Assistant Secretary of the Company and the Guarantors, if any, and delivered to the Trustee at or prior to the delivery of the Officers’ Certificate setting forth, or providing the manner for determining, the terms of the Securities of such series, and an appropriate record of any action taken pursuant thereto in connection with the issuance of any Securities of such series shall be delivered to the Trustee prior to the authentication and delivery thereof.</w:t>
      </w:r>
    </w:p>
    <w:p>
      <w:pPr>
        <w:spacing w:after="0" w:line="156" w:lineRule="exact"/>
        <w:rPr>
          <w:sz w:val="20"/>
          <w:szCs w:val="20"/>
          <w:color w:val="auto"/>
        </w:rPr>
      </w:pPr>
    </w:p>
    <w:p>
      <w:pPr>
        <w:ind w:right="80" w:firstLine="864"/>
        <w:spacing w:after="0" w:line="261"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Authentication and Delivery of Securities</w:t>
      </w:r>
      <w:r>
        <w:rPr>
          <w:rFonts w:ascii="Times New Roman" w:cs="Times New Roman" w:eastAsia="Times New Roman" w:hAnsi="Times New Roman"/>
          <w:sz w:val="18"/>
          <w:szCs w:val="18"/>
          <w:color w:val="auto"/>
        </w:rPr>
        <w:t>. Upon the execution and delivery of this Indenture, or from time to time thereafter, Securities of any series and any Guarantees endorsed thereon may be executed by the Company and the Guarantors, if any, and delivered by the Company to the Trustee for authentication, together with a Company Order, and upon delivery to the Trustee of all documents and certificates as required by this Indenture, the Trustee shall thereupon, in accordance with such Company Order, authenticate and make available for delivery said Securities.</w:t>
      </w:r>
    </w:p>
    <w:p>
      <w:pPr>
        <w:spacing w:after="0" w:line="139" w:lineRule="exact"/>
        <w:rPr>
          <w:sz w:val="20"/>
          <w:szCs w:val="20"/>
          <w:color w:val="auto"/>
        </w:rPr>
      </w:pPr>
    </w:p>
    <w:p>
      <w:pPr>
        <w:ind w:firstLine="864"/>
        <w:spacing w:after="0" w:line="261"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Execution of Securities</w:t>
      </w:r>
      <w:r>
        <w:rPr>
          <w:rFonts w:ascii="Times New Roman" w:cs="Times New Roman" w:eastAsia="Times New Roman" w:hAnsi="Times New Roman"/>
          <w:sz w:val="18"/>
          <w:szCs w:val="18"/>
          <w:color w:val="auto"/>
        </w:rPr>
        <w:t>. The Securities of each series shall be executed on behalf of the Company, and each of the Guarantees, if any, shall be executed on behalf of the applicable Guarantor, by the Chairman of the Board of Directors, the President, the Chief Executive Officer, the Chief Financial Officer, the Treasurer, the Controller, the Secretary or any Assistant Secretary of the Company or of such Guarantor, as the case may be. The signatures of any of such officers on the Securities or the Guarantees may be the manual or 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66" w:name="page67"/>
    <w:bookmarkEnd w:id="66"/>
    <w:p>
      <w:pPr>
        <w:ind w:right="20"/>
        <w:spacing w:after="0" w:line="255" w:lineRule="auto"/>
        <w:rPr>
          <w:sz w:val="20"/>
          <w:szCs w:val="20"/>
          <w:color w:val="auto"/>
        </w:rPr>
      </w:pPr>
      <w:r>
        <w:rPr>
          <w:rFonts w:ascii="Times New Roman" w:cs="Times New Roman" w:eastAsia="Times New Roman" w:hAnsi="Times New Roman"/>
          <w:sz w:val="18"/>
          <w:szCs w:val="18"/>
          <w:color w:val="auto"/>
        </w:rPr>
        <w:t>signatures of the present or any future such officers. In case any officer of the Company or of each Guarantor, if any, who shall have signed any of the Securities and Guarantees, if any, shall cease to be such officer before the Security so signed or to which the Guarantee relates shall be authenticated and delivered by the Trustee or disposed of by the Company, such Security nevertheless may be authenticated and delivered or disposed of as though the person who signed such Security or Guarantee had not ceased to be such officer of the Company or of such Guarantor, as the case may be; and any Security or Guarantee may be signed on behalf of the Company or of a Guarantor, if any, by such persons as shall be the proper officers of the Company or of such Guarantor, as the case may be, at the actual date of the execution of such Security or Guarantee even though any such person was not such officer at the date of the execution and delivery of this Indenture.</w:t>
      </w:r>
    </w:p>
    <w:p>
      <w:pPr>
        <w:spacing w:after="0" w:line="148"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Certificate of Authentication</w:t>
      </w:r>
      <w:r>
        <w:rPr>
          <w:rFonts w:ascii="Times New Roman" w:cs="Times New Roman" w:eastAsia="Times New Roman" w:hAnsi="Times New Roman"/>
          <w:sz w:val="18"/>
          <w:szCs w:val="18"/>
          <w:color w:val="auto"/>
        </w:rPr>
        <w:t>. Only such Securities or Guarantees endorsed thereon, if any, as shall bear thereon a certificate of authentication substantially in the form hereinabove recited, executed by the Trustee by manual signature of one of its authorized signatories, shall be entitled to the benefits of this Indenture or be valid or obligatory for any purpose. Such certificate by the Trustee upon any Security executed by the Company shall be conclusive evidence that the Security so authenticated has been duly authenticated and delivered hereunder and that the Holder is entitled to the benefits of this Indenture.</w:t>
      </w:r>
    </w:p>
    <w:p>
      <w:pPr>
        <w:spacing w:after="0" w:line="1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Denomination, Currency and Date of Securities; Payments of Interest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80" w:firstLine="864"/>
        <w:spacing w:after="0" w:line="258" w:lineRule="auto"/>
        <w:rPr>
          <w:sz w:val="20"/>
          <w:szCs w:val="20"/>
          <w:color w:val="auto"/>
        </w:rPr>
      </w:pPr>
      <w:r>
        <w:rPr>
          <w:rFonts w:ascii="Times New Roman" w:cs="Times New Roman" w:eastAsia="Times New Roman" w:hAnsi="Times New Roman"/>
          <w:sz w:val="18"/>
          <w:szCs w:val="18"/>
          <w:color w:val="auto"/>
        </w:rPr>
        <w:t>(a)The Securities shall be issuable in such denominations and currency as shall be specified as contemplated by Section 3.01. In the absence of any specification pursuant to Section 3.01 with respect to Securities of any series, the Securities of such series shall be denominated in Dollars, issuable only as Securities in denominations of $2,000 and multiples of $1,000 in excess thereof and payable only in Dollars. The Securities shall be numbered, lettered, or otherwise distinguished in such manner or in accordance with such plans as the officers of the Company executing the same may determine with the approval of the Trustee.</w:t>
      </w:r>
    </w:p>
    <w:p>
      <w:pPr>
        <w:spacing w:after="0" w:line="143" w:lineRule="exact"/>
        <w:rPr>
          <w:sz w:val="20"/>
          <w:szCs w:val="20"/>
          <w:color w:val="auto"/>
        </w:rPr>
      </w:pPr>
    </w:p>
    <w:p>
      <w:pPr>
        <w:ind w:right="80" w:firstLine="864"/>
        <w:spacing w:after="0" w:line="261" w:lineRule="auto"/>
        <w:rPr>
          <w:sz w:val="20"/>
          <w:szCs w:val="20"/>
          <w:color w:val="auto"/>
        </w:rPr>
      </w:pPr>
      <w:r>
        <w:rPr>
          <w:rFonts w:ascii="Times New Roman" w:cs="Times New Roman" w:eastAsia="Times New Roman" w:hAnsi="Times New Roman"/>
          <w:sz w:val="18"/>
          <w:szCs w:val="18"/>
          <w:color w:val="auto"/>
        </w:rPr>
        <w:t>Any of the Securities and Guarantees, if any, may be issued with appropriate insertions, omissions, substitutions and variations, and may have imprinted or otherwise reproduced thereon such legend or legends, not inconsistent with the provisions of this Indenture, as may be required to comply with any law or with any rules or regulations pursuant thereto, including those required by Section 3.06, or with the rules of any securities market in which the Securities are admitted to trading, or to conform to general usage.</w:t>
      </w:r>
    </w:p>
    <w:p>
      <w:pPr>
        <w:spacing w:after="0" w:line="153" w:lineRule="exact"/>
        <w:rPr>
          <w:sz w:val="20"/>
          <w:szCs w:val="20"/>
          <w:color w:val="auto"/>
        </w:rPr>
      </w:pPr>
    </w:p>
    <w:p>
      <w:pPr>
        <w:ind w:right="160" w:firstLine="864"/>
        <w:spacing w:after="0" w:line="266" w:lineRule="auto"/>
        <w:rPr>
          <w:sz w:val="20"/>
          <w:szCs w:val="20"/>
          <w:color w:val="auto"/>
        </w:rPr>
      </w:pPr>
      <w:r>
        <w:rPr>
          <w:rFonts w:ascii="Times New Roman" w:cs="Times New Roman" w:eastAsia="Times New Roman" w:hAnsi="Times New Roman"/>
          <w:sz w:val="18"/>
          <w:szCs w:val="18"/>
          <w:color w:val="auto"/>
        </w:rPr>
        <w:t>Each Security shall be dated the date of its authentication, shall bear interest from the applicable date and shall be payable on the dates specified on the face of the form of Security above. Except as otherwise specified as contemplated by Section 3.01 for Securities of any series, interest on the Securities of each series shall be computed on the basis of a 360-day year of twelve 30-day months.</w:t>
      </w:r>
    </w:p>
    <w:p>
      <w:pPr>
        <w:spacing w:after="0" w:line="135" w:lineRule="exact"/>
        <w:rPr>
          <w:sz w:val="20"/>
          <w:szCs w:val="20"/>
          <w:color w:val="auto"/>
        </w:rPr>
      </w:pPr>
    </w:p>
    <w:p>
      <w:pPr>
        <w:ind w:firstLine="864"/>
        <w:spacing w:after="0" w:line="256"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Global Securities</w:t>
      </w:r>
      <w:r>
        <w:rPr>
          <w:rFonts w:ascii="Times New Roman" w:cs="Times New Roman" w:eastAsia="Times New Roman" w:hAnsi="Times New Roman"/>
          <w:sz w:val="18"/>
          <w:szCs w:val="18"/>
          <w:color w:val="auto"/>
        </w:rPr>
        <w:t>. If Securities of or within a series are issuable in whole or in part in global form, then any such Security of such series shall be deposited with the Trustee as custodian for the Depositary and registered in the name of Cede &amp; Co., as nominee for the Depositary. The Global Security shall be deposited on behalf of the purchasers of the Securities represented thereby with the Trustee, as custodian for the Depositary (or with such other custodian as the Depositary may direct), and registered in the name of the Depositary or a nominee of the Depositary, duly executed by the Company and each Guarantor, if any, and authenticated by the Trustee as hereinafter provided. The aggregate principal amount of the Global Securities may from time to time be increased or decreased by adjustments made on the records of the Trustee and the Depositary or its nominee as hereinafter provided.</w:t>
      </w:r>
    </w:p>
    <w:p>
      <w:pPr>
        <w:spacing w:after="0" w:line="147" w:lineRule="exact"/>
        <w:rPr>
          <w:sz w:val="20"/>
          <w:szCs w:val="20"/>
          <w:color w:val="auto"/>
        </w:rPr>
      </w:pPr>
    </w:p>
    <w:p>
      <w:pPr>
        <w:ind w:right="80" w:firstLine="864"/>
        <w:spacing w:after="0" w:line="255" w:lineRule="auto"/>
        <w:rPr>
          <w:sz w:val="20"/>
          <w:szCs w:val="20"/>
          <w:color w:val="auto"/>
        </w:rPr>
      </w:pPr>
      <w:r>
        <w:rPr>
          <w:rFonts w:ascii="Times New Roman" w:cs="Times New Roman" w:eastAsia="Times New Roman" w:hAnsi="Times New Roman"/>
          <w:sz w:val="18"/>
          <w:szCs w:val="18"/>
          <w:color w:val="auto"/>
        </w:rPr>
        <w:t>(c)The person in whose name any Security is registered at the close of business on any Regular Record Date with respect to any Interest Payment Date shall be entitled to receive the interest, if any, payable on such Interest Payment Date notwithstanding any transfer or exchange of such Security subsequent to the Regular Record Date and prior to such Interest Payment Date, except if and to the extent the Company or a Guarantor, if any, shall default in the payment of the interest due on such Interest Payment Date, in which case such defaulted interest, plus (to the extent lawful) any interest payable on the defaulted interest, shall be paid to the persons in whose names outstanding Securities are registered at the close of business on a subsequent record date (which shall be not less than five Business Days prior to the date of such payment) established by notice given by mail by or on behalf of the Company or such Guarantor to the Holders of Securities not less than 15 calendar days preceding such subsequent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ind w:firstLine="864"/>
        <w:spacing w:after="0" w:line="266"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Global Security Legend</w:t>
      </w:r>
      <w:r>
        <w:rPr>
          <w:rFonts w:ascii="Times New Roman" w:cs="Times New Roman" w:eastAsia="Times New Roman" w:hAnsi="Times New Roman"/>
          <w:sz w:val="18"/>
          <w:szCs w:val="18"/>
          <w:color w:val="auto"/>
        </w:rPr>
        <w:t>. Any Security in global form authenticated and delivered hereunder shall bear a legend in substantially the following form, or in such other form as may be necessary or appropriate to reflect the arrangements with or to comply with the requirements of any Depositary:</w:t>
      </w:r>
    </w:p>
    <w:p>
      <w:pPr>
        <w:spacing w:after="0" w:line="135" w:lineRule="exact"/>
        <w:rPr>
          <w:sz w:val="20"/>
          <w:szCs w:val="20"/>
          <w:color w:val="auto"/>
        </w:rPr>
      </w:pPr>
    </w:p>
    <w:p>
      <w:pPr>
        <w:ind w:left="880" w:right="60"/>
        <w:spacing w:after="0" w:line="289" w:lineRule="auto"/>
        <w:rPr>
          <w:sz w:val="20"/>
          <w:szCs w:val="20"/>
          <w:color w:val="auto"/>
        </w:rPr>
      </w:pPr>
      <w:r>
        <w:rPr>
          <w:rFonts w:ascii="Times New Roman" w:cs="Times New Roman" w:eastAsia="Times New Roman" w:hAnsi="Times New Roman"/>
          <w:sz w:val="17"/>
          <w:szCs w:val="17"/>
          <w:color w:val="auto"/>
        </w:rPr>
        <w:t>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spacing w:after="0" w:line="131" w:lineRule="exact"/>
        <w:rPr>
          <w:sz w:val="20"/>
          <w:szCs w:val="20"/>
          <w:color w:val="auto"/>
        </w:rPr>
      </w:pPr>
    </w:p>
    <w:p>
      <w:pPr>
        <w:ind w:left="880" w:right="6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TO THE COMPANY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w:t>
      </w:r>
    </w:p>
    <w:p>
      <w:pPr>
        <w:spacing w:after="0" w:line="148" w:lineRule="exact"/>
        <w:rPr>
          <w:sz w:val="20"/>
          <w:szCs w:val="20"/>
          <w:color w:val="auto"/>
        </w:rPr>
      </w:pPr>
    </w:p>
    <w:p>
      <w:pPr>
        <w:ind w:left="880" w:right="100"/>
        <w:spacing w:after="0" w:line="282" w:lineRule="auto"/>
        <w:rPr>
          <w:sz w:val="20"/>
          <w:szCs w:val="20"/>
          <w:color w:val="auto"/>
        </w:rPr>
      </w:pPr>
      <w:r>
        <w:rPr>
          <w:rFonts w:ascii="Times New Roman" w:cs="Times New Roman" w:eastAsia="Times New Roman" w:hAnsi="Times New Roman"/>
          <w:sz w:val="18"/>
          <w:szCs w:val="18"/>
          <w:color w:val="auto"/>
        </w:rPr>
        <w:t>TRANSFERS OF THIS GLOBAL SECURITY SHALL BE LIMITED TO TRANSFERS IN WHOLE, BUT NOT IN PART, TO NOMINEES OF THE DEPOSITORY TRUST COMPANY OR TO A SUCCESSOR THEREOF OR SUCH SUCCESSOR’S NOMINEE.</w:t>
      </w:r>
    </w:p>
    <w:p>
      <w:pPr>
        <w:spacing w:after="0" w:line="121" w:lineRule="exact"/>
        <w:rPr>
          <w:sz w:val="20"/>
          <w:szCs w:val="20"/>
          <w:color w:val="auto"/>
        </w:rPr>
      </w:pPr>
    </w:p>
    <w:p>
      <w:pPr>
        <w:ind w:right="200" w:firstLine="864"/>
        <w:spacing w:after="0" w:line="258"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Registration, Transfer and Exchange</w:t>
      </w:r>
      <w:r>
        <w:rPr>
          <w:rFonts w:ascii="Times New Roman" w:cs="Times New Roman" w:eastAsia="Times New Roman" w:hAnsi="Times New Roman"/>
          <w:sz w:val="18"/>
          <w:szCs w:val="18"/>
          <w:color w:val="auto"/>
        </w:rPr>
        <w:t>. The Securities are issuable only in registered form. The Company will keep at each office or agency (the “Registrar”) for each series of Securities a register or registers (the “Security Register(s)”) in which, subject to such reasonable regulations as it may prescribe, it will register, and will register the transfer of Securities as provided in this Article. Such Security Register or Security Registers shall be in written form in the English language or in any other form capable of being converted into such form within a reasonable time. At all reasonable times such Security Register or Security Registers shall be open for inspection by the Trustee. The initial Registrar shall be the Trustee.</w:t>
      </w:r>
    </w:p>
    <w:p>
      <w:pPr>
        <w:spacing w:after="0" w:line="156" w:lineRule="exact"/>
        <w:rPr>
          <w:sz w:val="20"/>
          <w:szCs w:val="20"/>
          <w:color w:val="auto"/>
        </w:rPr>
      </w:pPr>
    </w:p>
    <w:p>
      <w:pPr>
        <w:ind w:right="100" w:firstLine="864"/>
        <w:spacing w:after="0" w:line="261" w:lineRule="auto"/>
        <w:rPr>
          <w:sz w:val="20"/>
          <w:szCs w:val="20"/>
          <w:color w:val="auto"/>
        </w:rPr>
      </w:pPr>
      <w:r>
        <w:rPr>
          <w:rFonts w:ascii="Times New Roman" w:cs="Times New Roman" w:eastAsia="Times New Roman" w:hAnsi="Times New Roman"/>
          <w:sz w:val="18"/>
          <w:szCs w:val="18"/>
          <w:color w:val="auto"/>
        </w:rPr>
        <w:t>Upon due presentation for registration of transfer of any Security of any series at each such office or agency, the Company shall execute a new Security or Securities of the same series, in each case, of any authorized denominations and of a like aggregate Principal Amount in the name of the designated transferee or transferees, the applicable Guarantors, if any, shall execute the Guarantees endorsed thereon and, upon receipt of a Company Order, the Trustee shall authenticate and make available for delivery such Securities.</w:t>
      </w:r>
    </w:p>
    <w:p>
      <w:pPr>
        <w:spacing w:after="0" w:line="139"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18"/>
          <w:szCs w:val="18"/>
          <w:color w:val="auto"/>
        </w:rPr>
        <w:t>At the option of the Holder, Securities of any series (except a Security in global form) may be exchanged for other Securities of the same series, of any authorized denominations and of a like aggregate Principal Amount and Stated Maturity, upon surrender of the Securities to be exchanged at such office or agency. Whenever any Securities are so surrendered for exchange, the Company shall execute the Securities which the Holder making the exchange is entitled to receive, the applicable Guarantors, if any, shall execute the Guarantees endorsed thereon and, upon receipt of a Company Order, the Trustee shall authenticate and make available for delivery such Securities.</w:t>
      </w:r>
    </w:p>
    <w:p>
      <w:pPr>
        <w:spacing w:after="0" w:line="143" w:lineRule="exact"/>
        <w:rPr>
          <w:sz w:val="20"/>
          <w:szCs w:val="20"/>
          <w:color w:val="auto"/>
        </w:rPr>
      </w:pPr>
    </w:p>
    <w:p>
      <w:pPr>
        <w:ind w:right="60" w:firstLine="864"/>
        <w:spacing w:after="0" w:line="254" w:lineRule="auto"/>
        <w:rPr>
          <w:sz w:val="20"/>
          <w:szCs w:val="20"/>
          <w:color w:val="auto"/>
        </w:rPr>
      </w:pPr>
      <w:r>
        <w:rPr>
          <w:rFonts w:ascii="Times New Roman" w:cs="Times New Roman" w:eastAsia="Times New Roman" w:hAnsi="Times New Roman"/>
          <w:sz w:val="18"/>
          <w:szCs w:val="18"/>
          <w:color w:val="auto"/>
        </w:rPr>
        <w:t>A Holder may transfer a Security only by written application to the Registrar stating the name of the proposed transferee and otherwise complying with the terms of this Indenture. No such transfer shall be effected until, and such transferee shall succeed to the rights of a Holder only upon, final acceptance and registration of the transfer by the Registrar in the Security Register. Prior to the registration of any transfer by a Holder as provided herein, the Company, the Guarantors, if any, and the Trustee or any of their respective agents shall treat the person in whose name the Security is registered as the owner thereof for all purposes whether or not the Security shall be overdue, and neither the Company, the Guarantors, if any, the Trustee, nor any such agent shall be affected by notice to the contrary. Furthermore, any Holder of a Global Security shall, by acceptance of such Global Security, agree that transfers of beneficial interests in such Global Security may be effected only through a book entry system maintained by the Depository (or its nominee) and that ownership of a beneficial interest in the Security shall be required to be reflected in a book entry. When Securities are presented to the Registrar or a co-Registrar with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ind w:right="40"/>
        <w:spacing w:after="0" w:line="261" w:lineRule="auto"/>
        <w:rPr>
          <w:sz w:val="20"/>
          <w:szCs w:val="20"/>
          <w:color w:val="auto"/>
        </w:rPr>
      </w:pPr>
      <w:r>
        <w:rPr>
          <w:rFonts w:ascii="Times New Roman" w:cs="Times New Roman" w:eastAsia="Times New Roman" w:hAnsi="Times New Roman"/>
          <w:sz w:val="18"/>
          <w:szCs w:val="18"/>
          <w:color w:val="auto"/>
        </w:rPr>
        <w:t>request to register the transfer or to exchange them for an equal Principal Amount of Securities of other authorized denominations, the Registrar shall register the transfer or make the exchange as requested if the requirements for such transactions set forth herein are met. To permit registrations of transfers and exchanges, the Company shall execute the Securities, the applicable Guarantors, if any, shall execute the Guarantees endorsed thereon and the Trustee shall authenticate Securities at the Registrar’s request.</w:t>
      </w:r>
    </w:p>
    <w:p>
      <w:pPr>
        <w:spacing w:after="0" w:line="139" w:lineRule="exact"/>
        <w:rPr>
          <w:sz w:val="20"/>
          <w:szCs w:val="20"/>
          <w:color w:val="auto"/>
        </w:rPr>
      </w:pPr>
    </w:p>
    <w:p>
      <w:pPr>
        <w:ind w:right="100" w:firstLine="864"/>
        <w:spacing w:after="0" w:line="266" w:lineRule="auto"/>
        <w:rPr>
          <w:sz w:val="20"/>
          <w:szCs w:val="20"/>
          <w:color w:val="auto"/>
        </w:rPr>
      </w:pPr>
      <w:r>
        <w:rPr>
          <w:rFonts w:ascii="Times New Roman" w:cs="Times New Roman" w:eastAsia="Times New Roman" w:hAnsi="Times New Roman"/>
          <w:sz w:val="18"/>
          <w:szCs w:val="18"/>
          <w:color w:val="auto"/>
        </w:rPr>
        <w:t>The Company may require payment of a sum sufficient to cover any tax or other governmental charge that may be imposed in connection with any exchange or registration of transfer of Securities (other than any such transfer taxes or other similar governmental charge payable upon exchanges pursuant to Section 3.11, 9.05 or 11.03). No service charge to any Holder shall be made for any such transaction.</w:t>
      </w:r>
    </w:p>
    <w:p>
      <w:pPr>
        <w:spacing w:after="0" w:line="149" w:lineRule="exact"/>
        <w:rPr>
          <w:sz w:val="20"/>
          <w:szCs w:val="20"/>
          <w:color w:val="auto"/>
        </w:rPr>
      </w:pPr>
    </w:p>
    <w:p>
      <w:pPr>
        <w:jc w:val="both"/>
        <w:ind w:right="180" w:firstLine="864"/>
        <w:spacing w:after="0" w:line="261" w:lineRule="auto"/>
        <w:rPr>
          <w:sz w:val="20"/>
          <w:szCs w:val="20"/>
          <w:color w:val="auto"/>
        </w:rPr>
      </w:pPr>
      <w:r>
        <w:rPr>
          <w:rFonts w:ascii="Times New Roman" w:cs="Times New Roman" w:eastAsia="Times New Roman" w:hAnsi="Times New Roman"/>
          <w:sz w:val="18"/>
          <w:szCs w:val="18"/>
          <w:color w:val="auto"/>
        </w:rPr>
        <w:t>The Company shall not be required to exchange or register a transfer of (a) any Securities of any series for a period of 15 calendar days next preceding the first mailing of notice of redemption of Securities of that series to be redeemed, or (b) any Securities of any series selected, called or being called for redemption except, in the case of any Security of any series where public notice has been given that such Security is to be redeemed in part, the portion thereof not so to be redeemed.</w:t>
      </w:r>
    </w:p>
    <w:p>
      <w:pPr>
        <w:spacing w:after="0" w:line="139" w:lineRule="exact"/>
        <w:rPr>
          <w:sz w:val="20"/>
          <w:szCs w:val="20"/>
          <w:color w:val="auto"/>
        </w:rPr>
      </w:pPr>
    </w:p>
    <w:p>
      <w:pPr>
        <w:ind w:right="420" w:firstLine="864"/>
        <w:spacing w:after="0" w:line="282" w:lineRule="auto"/>
        <w:rPr>
          <w:sz w:val="20"/>
          <w:szCs w:val="20"/>
          <w:color w:val="auto"/>
        </w:rPr>
      </w:pPr>
      <w:r>
        <w:rPr>
          <w:rFonts w:ascii="Times New Roman" w:cs="Times New Roman" w:eastAsia="Times New Roman" w:hAnsi="Times New Roman"/>
          <w:sz w:val="18"/>
          <w:szCs w:val="18"/>
          <w:color w:val="auto"/>
        </w:rPr>
        <w:t>All Securities issued upon any transfer or exchange of Securities shall be valid obligations of the Company, evidencing the same debt, and entitled to the same benefits under this Indenture, as the Securities surrendered upon such transfer or exchange.</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Book-Entry Provisions for Global Securities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right="660" w:firstLine="864"/>
        <w:spacing w:after="0" w:line="282" w:lineRule="auto"/>
        <w:rPr>
          <w:sz w:val="20"/>
          <w:szCs w:val="20"/>
          <w:color w:val="auto"/>
        </w:rPr>
      </w:pPr>
      <w:r>
        <w:rPr>
          <w:rFonts w:ascii="Times New Roman" w:cs="Times New Roman" w:eastAsia="Times New Roman" w:hAnsi="Times New Roman"/>
          <w:sz w:val="18"/>
          <w:szCs w:val="18"/>
          <w:color w:val="auto"/>
        </w:rPr>
        <w:t>(a)Each Global Security initially shall (i) be registered in the name of the Depositary for such Global Securities or the nominee of such Depositary, (ii) be delivered to the Trustee as custodian for such Depositary and (iii) bear legends as set forth in Section 3.06.</w:t>
      </w:r>
    </w:p>
    <w:p>
      <w:pPr>
        <w:spacing w:after="0" w:line="121" w:lineRule="exact"/>
        <w:rPr>
          <w:sz w:val="20"/>
          <w:szCs w:val="20"/>
          <w:color w:val="auto"/>
        </w:rPr>
      </w:pPr>
    </w:p>
    <w:p>
      <w:pPr>
        <w:ind w:firstLine="864"/>
        <w:spacing w:after="0" w:line="256" w:lineRule="auto"/>
        <w:rPr>
          <w:sz w:val="20"/>
          <w:szCs w:val="20"/>
          <w:color w:val="auto"/>
        </w:rPr>
      </w:pPr>
      <w:r>
        <w:rPr>
          <w:rFonts w:ascii="Times New Roman" w:cs="Times New Roman" w:eastAsia="Times New Roman" w:hAnsi="Times New Roman"/>
          <w:sz w:val="18"/>
          <w:szCs w:val="18"/>
          <w:color w:val="auto"/>
        </w:rPr>
        <w:t>Members of, or participants in, the Depositary (“Agent Members”) shall have no rights under this Indenture with respect to any Global Security held on their behalf by the Depositary, or the Trustee as its custodian, or under the Global Security, and the Depositary may be treated by the Company, each Guarantor, if any, the Trustee and any of their respective agents as the absolute owner of such Global Security for all purposes whatsoever. Notwithstanding the foregoing, nothing herein shall prevent the Company, each such Guarantor, the Trustee or any of such agents from giving effect to any written certification, proxy or other authorization furnished by the Depositary or impair, as between the Depositary and its Agent Members, the operation of customary practices governing the exercise of the rights of a holder of any Security.</w:t>
      </w:r>
    </w:p>
    <w:p>
      <w:pPr>
        <w:spacing w:after="0" w:line="147" w:lineRule="exact"/>
        <w:rPr>
          <w:sz w:val="20"/>
          <w:szCs w:val="20"/>
          <w:color w:val="auto"/>
        </w:rPr>
      </w:pPr>
    </w:p>
    <w:p>
      <w:pPr>
        <w:ind w:firstLine="864"/>
        <w:spacing w:after="0" w:line="255" w:lineRule="auto"/>
        <w:rPr>
          <w:sz w:val="20"/>
          <w:szCs w:val="20"/>
          <w:color w:val="auto"/>
        </w:rPr>
      </w:pPr>
      <w:r>
        <w:rPr>
          <w:rFonts w:ascii="Times New Roman" w:cs="Times New Roman" w:eastAsia="Times New Roman" w:hAnsi="Times New Roman"/>
          <w:sz w:val="18"/>
          <w:szCs w:val="18"/>
          <w:color w:val="auto"/>
        </w:rPr>
        <w:t>(b)Transfers of a Global Security shall be limited to transfers of such Global Security in whole, but not in part, to the Depositary for such series, its successors or their respective nominees. The Company may at any time and in its sole discretion determine that the Securities of a series issued in the form of one or more Global Securities shall no longer be represented by such Global Securities. In such event, the Company will execute Securities of such series of like tenor and terms in definitive form in an aggregate Principal Amount equal to the Principal Amount of the Global Security or Securities of such series, the applicable Guarantors, if any, shall execute the Guarantees endorsed thereon and the Trustee, upon receipt of a Company Order, will authenticate and deliver such definitive Securities in exchange for such Global Security or Securities. Interests of beneficial owners in a Global Security may be transferred in accordance with the rules and procedures of the Depositary.</w:t>
      </w:r>
    </w:p>
    <w:p>
      <w:pPr>
        <w:spacing w:after="0" w:line="162" w:lineRule="exact"/>
        <w:rPr>
          <w:sz w:val="20"/>
          <w:szCs w:val="20"/>
          <w:color w:val="auto"/>
        </w:rPr>
      </w:pPr>
    </w:p>
    <w:p>
      <w:pPr>
        <w:ind w:firstLine="864"/>
        <w:spacing w:after="0" w:line="254" w:lineRule="auto"/>
        <w:rPr>
          <w:sz w:val="20"/>
          <w:szCs w:val="20"/>
          <w:color w:val="auto"/>
        </w:rPr>
      </w:pPr>
      <w:r>
        <w:rPr>
          <w:rFonts w:ascii="Times New Roman" w:cs="Times New Roman" w:eastAsia="Times New Roman" w:hAnsi="Times New Roman"/>
          <w:sz w:val="18"/>
          <w:szCs w:val="18"/>
          <w:color w:val="auto"/>
        </w:rPr>
        <w:t>In addition, Physical Securities shall be transferred to all beneficial owners identified by the Depositary in exchange for their beneficial interests in a Global Security, if (i) the Depositary (A) notifies the Company that it is unwilling or unable to continue as Depositary for such Global Security, and a successor depositary is not appointed by the Company within 90 calendar days of such notice, or (B) ceases to be qualified to serve as Depositary and a successor depositary is not appointed by the Company within 90 calendar days of such notice, (ii) the Company executes and delivers to the Trustee a Company Order that such Global Security shall be so transferable, registrable and exchangeable, and such transfers shall be registrable, or (iii) an Event of Default of which the Trustee has actual notice has occurred and is continuing and the Registrar has received a request from a beneficial owner to issue such Physical Securities, and if the Trustee is the Registrar, a Company Order or written confirmation from the Depositary identifying the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ind w:right="40" w:firstLine="864"/>
        <w:spacing w:after="0" w:line="261" w:lineRule="auto"/>
        <w:rPr>
          <w:sz w:val="20"/>
          <w:szCs w:val="20"/>
          <w:color w:val="auto"/>
        </w:rPr>
      </w:pPr>
      <w:r>
        <w:rPr>
          <w:rFonts w:ascii="Times New Roman" w:cs="Times New Roman" w:eastAsia="Times New Roman" w:hAnsi="Times New Roman"/>
          <w:sz w:val="18"/>
          <w:szCs w:val="18"/>
          <w:color w:val="auto"/>
        </w:rPr>
        <w:t>(c)Any beneficial interest in one of the Global Securities that is transferred to a person who takes delivery in the form of an interest in the other Global Security will, upon transfer, cease to be an interest in such Global Security and become an interest in the other Global Security and, accordingly, will thereafter be subject to all transfer restrictions, if any, and other procedures applicable to beneficial interests in such other Global Security for as long as it remains such an interest.</w:t>
      </w:r>
    </w:p>
    <w:p>
      <w:pPr>
        <w:spacing w:after="0" w:line="139" w:lineRule="exact"/>
        <w:rPr>
          <w:sz w:val="20"/>
          <w:szCs w:val="20"/>
          <w:color w:val="auto"/>
        </w:rPr>
      </w:pPr>
    </w:p>
    <w:p>
      <w:pPr>
        <w:ind w:right="100" w:firstLine="864"/>
        <w:spacing w:after="0" w:line="261" w:lineRule="auto"/>
        <w:rPr>
          <w:sz w:val="20"/>
          <w:szCs w:val="20"/>
          <w:color w:val="auto"/>
        </w:rPr>
      </w:pPr>
      <w:r>
        <w:rPr>
          <w:rFonts w:ascii="Times New Roman" w:cs="Times New Roman" w:eastAsia="Times New Roman" w:hAnsi="Times New Roman"/>
          <w:sz w:val="18"/>
          <w:szCs w:val="18"/>
          <w:color w:val="auto"/>
        </w:rPr>
        <w:t>(d)In connection with any transfer of a portion of the beneficial interests in a Global Security to beneficial owners pursuant to paragraph (b) of this Section 3.08, the Registrar shall reflect on its books and records the date and a decrease in the Principal Amount of such Global Security in an amount equal to the Principal Amount of the beneficial interest in such Global Security to be transferred, and the Company shall execute, and the Trustee shall authenticate and make available for delivery, one or more Physical Securities of like tenor and amount.</w:t>
      </w:r>
    </w:p>
    <w:p>
      <w:pPr>
        <w:spacing w:after="0" w:line="153" w:lineRule="exact"/>
        <w:rPr>
          <w:sz w:val="20"/>
          <w:szCs w:val="20"/>
          <w:color w:val="auto"/>
        </w:rPr>
      </w:pPr>
    </w:p>
    <w:p>
      <w:pPr>
        <w:ind w:right="140" w:firstLine="864"/>
        <w:spacing w:after="0" w:line="261" w:lineRule="auto"/>
        <w:rPr>
          <w:sz w:val="20"/>
          <w:szCs w:val="20"/>
          <w:color w:val="auto"/>
        </w:rPr>
      </w:pPr>
      <w:r>
        <w:rPr>
          <w:rFonts w:ascii="Times New Roman" w:cs="Times New Roman" w:eastAsia="Times New Roman" w:hAnsi="Times New Roman"/>
          <w:sz w:val="18"/>
          <w:szCs w:val="18"/>
          <w:color w:val="auto"/>
        </w:rPr>
        <w:t>(e)In connection with the transfer of an entire Global Security to beneficial owners pursuant to paragraph (b) of this Section, such Global Security shall be deemed to be surrendered to the Trustee for cancellation, and the Company shall execute, and upon receipt of a Company Order the Trustee shall authenticate and deliver, to each beneficial owner identified by the Depositary in exchange for its beneficial interest in such Global Security, an equal Principal Amount of Physical Securities of authorized denominations.</w:t>
      </w:r>
    </w:p>
    <w:p>
      <w:pPr>
        <w:spacing w:after="0" w:line="139" w:lineRule="exact"/>
        <w:rPr>
          <w:sz w:val="20"/>
          <w:szCs w:val="20"/>
          <w:color w:val="auto"/>
        </w:rPr>
      </w:pPr>
    </w:p>
    <w:p>
      <w:pPr>
        <w:ind w:firstLine="864"/>
        <w:spacing w:after="0" w:line="282" w:lineRule="auto"/>
        <w:rPr>
          <w:sz w:val="20"/>
          <w:szCs w:val="20"/>
          <w:color w:val="auto"/>
        </w:rPr>
      </w:pPr>
      <w:r>
        <w:rPr>
          <w:rFonts w:ascii="Times New Roman" w:cs="Times New Roman" w:eastAsia="Times New Roman" w:hAnsi="Times New Roman"/>
          <w:sz w:val="18"/>
          <w:szCs w:val="18"/>
          <w:color w:val="auto"/>
        </w:rPr>
        <w:t>(f)The registered holder of a Global Security may grant proxies and otherwise authorize any person, including Agent Members and persons that may hold interests through Agent Members, to take any action which a Holder is entitled to take under this Indenture or the Securities of such series.</w:t>
      </w:r>
    </w:p>
    <w:p>
      <w:pPr>
        <w:spacing w:after="0" w:line="121" w:lineRule="exact"/>
        <w:rPr>
          <w:sz w:val="20"/>
          <w:szCs w:val="20"/>
          <w:color w:val="auto"/>
        </w:rPr>
      </w:pPr>
    </w:p>
    <w:p>
      <w:pPr>
        <w:ind w:firstLine="864"/>
        <w:spacing w:after="0" w:line="254"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Mutilated, Defaced, Destroyed, Lost and Stolen Securities</w:t>
      </w:r>
      <w:r>
        <w:rPr>
          <w:rFonts w:ascii="Times New Roman" w:cs="Times New Roman" w:eastAsia="Times New Roman" w:hAnsi="Times New Roman"/>
          <w:sz w:val="18"/>
          <w:szCs w:val="18"/>
          <w:color w:val="auto"/>
        </w:rPr>
        <w:t>. In case any temporary or definitive Security shall become mutilated, defaced or be apparently destroyed, lost or stolen, the Company in its discretion may execute a new Security of the same series bearing a number not contemporaneously outstanding, the applicable Guarantors, if any, shall execute the Guarantees endorsed thereon and, upon the written request of any officer of the Company and delivery to the Trustee of all documents and certificates as required by this Indenture, the Trustee shall authenticate and make available for delivery such Security, in exchange and substitution for the mutilated or defaced Security, or in lieu of and substitution for the Security so apparently destroyed, lost or stolen. In every case the applicant for a substitute Security shall furnish to the Company, each Guarantor, if any, the Trustee and any of their respective agents, such security or indemnity as may be required by each of them to indemnify and defend and to save each of them harmless and, in every case of destruction, loss or theft evidence to their satisfaction of the apparent destruction, loss or theft of such Security and of the ownership thereof.</w:t>
      </w:r>
    </w:p>
    <w:p>
      <w:pPr>
        <w:spacing w:after="0" w:line="161" w:lineRule="exact"/>
        <w:rPr>
          <w:sz w:val="20"/>
          <w:szCs w:val="20"/>
          <w:color w:val="auto"/>
        </w:rPr>
      </w:pPr>
    </w:p>
    <w:p>
      <w:pPr>
        <w:ind w:right="40" w:firstLine="864"/>
        <w:spacing w:after="0" w:line="254" w:lineRule="auto"/>
        <w:rPr>
          <w:sz w:val="20"/>
          <w:szCs w:val="20"/>
          <w:color w:val="auto"/>
        </w:rPr>
      </w:pPr>
      <w:r>
        <w:rPr>
          <w:rFonts w:ascii="Times New Roman" w:cs="Times New Roman" w:eastAsia="Times New Roman" w:hAnsi="Times New Roman"/>
          <w:sz w:val="18"/>
          <w:szCs w:val="18"/>
          <w:color w:val="auto"/>
        </w:rPr>
        <w:t>Upon the issuance of any substitute Security, the Company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shall become mutilated or defaced or be apparently destroyed, lost or stolen, the Company may, instead of issuing a substitute Security of the same series, pay or authorize the payment of the same (without surrender thereof except in the case of a mutilated or defaced Security), if the applicant for such payment shall furnish to the Company, each Guarantor, if any, the Trustee and any of their respective agents such Security or indemnity as any of them may require to save each of them harmless from all risks, however remote, and, in every case of apparent destruction, loss or theft, the applicant shall also furnish to the Company, each such Guarantor, the Trustee and any of such agents evidence to their satisfaction of the apparent destruction, loss or theft of such Security and of the ownership thereof.</w:t>
      </w:r>
    </w:p>
    <w:p>
      <w:pPr>
        <w:spacing w:after="0" w:line="151" w:lineRule="exact"/>
        <w:rPr>
          <w:sz w:val="20"/>
          <w:szCs w:val="20"/>
          <w:color w:val="auto"/>
        </w:rPr>
      </w:pPr>
    </w:p>
    <w:p>
      <w:pPr>
        <w:ind w:right="100" w:firstLine="864"/>
        <w:spacing w:after="0" w:line="254" w:lineRule="auto"/>
        <w:rPr>
          <w:sz w:val="20"/>
          <w:szCs w:val="20"/>
          <w:color w:val="auto"/>
        </w:rPr>
      </w:pPr>
      <w:r>
        <w:rPr>
          <w:rFonts w:ascii="Times New Roman" w:cs="Times New Roman" w:eastAsia="Times New Roman" w:hAnsi="Times New Roman"/>
          <w:sz w:val="18"/>
          <w:szCs w:val="18"/>
          <w:color w:val="auto"/>
        </w:rPr>
        <w:t>Every substitute Security and the Guarantee endorsed thereon, if any, issued pursuant to the provisions of this Section by virtue of the fact that any Security is apparently destroyed, lost or stolen shall constitute an additional contractual obligation of the Company and any Guarantor, as applicable, whether or not the apparently destroyed, lost or stolen Security shall be at any time enforceable by anyone and shall be entitled to all the benefits of (but shall be subject to all the limitations of rights set forth in) this Indenture equally and proportionately with any and all other Securities and the Guarantees endorsed thereon, if any, duly authenticated and delivered hereunder. All Securities shall be held and owned upon the express condition that, to the extent permitted by law, with respect to the holder of a substitute Security, the foregoing provisions are exclusive with respect to the replacement or payment of mutilated, defaced, or apparently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0" w:name="page71"/>
    <w:bookmarkEnd w:id="70"/>
    <w:p>
      <w:pPr>
        <w:ind w:firstLine="864"/>
        <w:spacing w:after="0" w:line="256"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Cancellation of Securities</w:t>
      </w:r>
      <w:r>
        <w:rPr>
          <w:rFonts w:ascii="Times New Roman" w:cs="Times New Roman" w:eastAsia="Times New Roman" w:hAnsi="Times New Roman"/>
          <w:sz w:val="18"/>
          <w:szCs w:val="18"/>
          <w:color w:val="auto"/>
        </w:rPr>
        <w:t>. All Securities surrendered for payment, redemption, registration of transfer or exchange, if surrendered to the Company, any Guarantor, the Trustee or any of their respective agents,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in accordance with its customary procedures. If the Company or any Guarantor shall acquire any of the Securities, such acquisition shall not operate as a redemption or satisfaction of the indebtedness represented by such Securities unless and until the same are delivered to the Trustee for cancellation.</w:t>
      </w:r>
    </w:p>
    <w:p>
      <w:pPr>
        <w:spacing w:after="0" w:line="147" w:lineRule="exact"/>
        <w:rPr>
          <w:sz w:val="20"/>
          <w:szCs w:val="20"/>
          <w:color w:val="auto"/>
        </w:rPr>
      </w:pPr>
    </w:p>
    <w:p>
      <w:pPr>
        <w:ind w:right="20" w:firstLine="864"/>
        <w:spacing w:after="0" w:line="252"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 Pending the preparation of definitive Securities of any series, the Company may execute and the Trustee shall authenticate and make available for delivery temporary Securities of such series (printed, lithographed, typewritten or otherwise reproduced, in each case in form satisfactory to the Trustee). Temporary Securities shall be issuable as registered Securities of such series without coupons, of any authorized denomination, and substantially in the form of the definitive Securities of such series, and if the Securities are to be guaranteed, having endorsed thereon the Guarantees executed by each Guarantor, but in all cases with such appropriate omissions, insertions and variations as may be appropriate for temporary Securities, all as may be determined by the Company and the Guarantors, if any, with the concurrence of the Trustee. Temporary Securities may contain such reference to any provisions of this Indenture as may be appropriate. Every temporary Security shall be executed by the Company and endorsed by each Guarantor, if any, and be authenticated by the Trustee upon the same conditions and in substantially the same manner, and with like effect, as the definitive Securities of such series. Without unreasonable delay the Company shall execute and shall furnish definitive Securities of such series and thereupon temporary Securities of such series may be surrendered in exchange therefor without charge at each office or agency to be maintained by the Company for the purpose pursuant to Section 4.02, and upon delivery to the Trustee of all documents and certificates as required by this Indenture, the Trustee shall authenticate and make available for delivery in exchange for such temporary Securities a like aggregate principal amount of definitive Securities of such series of authorized denominations, and if the Securities are guaranteed, having endorsed thereon the Guarantees executed by each Guarantor. Until so exchanged the temporary Securities of such series shall be entitled to the same benefits under this Indenture as definitive Securities of such series.</w:t>
      </w:r>
    </w:p>
    <w:p>
      <w:pPr>
        <w:spacing w:after="0" w:line="169" w:lineRule="exact"/>
        <w:rPr>
          <w:sz w:val="20"/>
          <w:szCs w:val="20"/>
          <w:color w:val="auto"/>
        </w:rPr>
      </w:pPr>
    </w:p>
    <w:p>
      <w:pPr>
        <w:ind w:right="120" w:firstLine="864"/>
        <w:spacing w:after="0" w:line="256"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CUSIP and ISIN Numbers</w:t>
      </w:r>
      <w:r>
        <w:rPr>
          <w:rFonts w:ascii="Times New Roman" w:cs="Times New Roman" w:eastAsia="Times New Roman" w:hAnsi="Times New Roman"/>
          <w:sz w:val="18"/>
          <w:szCs w:val="18"/>
          <w:color w:val="auto"/>
        </w:rPr>
        <w:t xml:space="preserve">. The Company in issuing the Securities of any series may use a “CUSIP” and “ISIN” number (if then generally in use), and, if so, the Trustee shall use the CUSIP numbers or ISIN numbers, as the case may be, in notices of redemption or exchange as a convenience to Holders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shall state that no representation is made as to the correctness of such numbers either as printed on the Securities or as contained in any notice of redemption or exchange and that reliance may be placed only on the other identification numbers printed on the Securities and any such redemption shall not be affected by any defect in or omission of such numbers. The Company shall promptly notify the Trustee of any change in the CUSIP numbers or ISIN numbers.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CERTAIN COVENANTS</w:t>
      </w:r>
    </w:p>
    <w:p>
      <w:pPr>
        <w:spacing w:after="0" w:line="166" w:lineRule="exact"/>
        <w:rPr>
          <w:sz w:val="20"/>
          <w:szCs w:val="20"/>
          <w:color w:val="auto"/>
        </w:rPr>
      </w:pPr>
    </w:p>
    <w:p>
      <w:pPr>
        <w:jc w:val="both"/>
        <w:ind w:right="200" w:firstLine="864"/>
        <w:spacing w:after="0" w:line="266"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Payment of Principal, Premium and Interest on Securities</w:t>
      </w:r>
      <w:r>
        <w:rPr>
          <w:rFonts w:ascii="Times New Roman" w:cs="Times New Roman" w:eastAsia="Times New Roman" w:hAnsi="Times New Roman"/>
          <w:sz w:val="18"/>
          <w:szCs w:val="18"/>
          <w:color w:val="auto"/>
        </w:rPr>
        <w:t>. The Company, for the benefit of each series of the Securities, will duly and punctually pay or cause to be paid the principal of and any premium and interest on the Securities of that series in accordance with the terms of such Securities and this Indenture.</w:t>
      </w:r>
    </w:p>
    <w:p>
      <w:pPr>
        <w:spacing w:after="0" w:line="149" w:lineRule="exact"/>
        <w:rPr>
          <w:sz w:val="20"/>
          <w:szCs w:val="20"/>
          <w:color w:val="auto"/>
        </w:rPr>
      </w:pPr>
    </w:p>
    <w:p>
      <w:pPr>
        <w:ind w:right="220" w:firstLine="864"/>
        <w:spacing w:after="0" w:line="255"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Maintenance of Office or Agency</w:t>
      </w:r>
      <w:r>
        <w:rPr>
          <w:rFonts w:ascii="Times New Roman" w:cs="Times New Roman" w:eastAsia="Times New Roman" w:hAnsi="Times New Roman"/>
          <w:sz w:val="18"/>
          <w:szCs w:val="18"/>
          <w:color w:val="auto"/>
        </w:rPr>
        <w:t>. The Company will maintain a Payment Office where Securities may be presented or surrendered for payment, where Securities may be surrendered for registration of transfer or exchange, and where notices and demands to or upon the Company in respect of the Securities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initially appoints the Trustee at its office or agency as its agent to receive all such presentations, surrenders, notices and demands.</w:t>
      </w:r>
    </w:p>
    <w:p>
      <w:pPr>
        <w:spacing w:after="0" w:line="148" w:lineRule="exact"/>
        <w:rPr>
          <w:sz w:val="20"/>
          <w:szCs w:val="20"/>
          <w:color w:val="auto"/>
        </w:rPr>
      </w:pPr>
    </w:p>
    <w:p>
      <w:pPr>
        <w:ind w:right="260" w:firstLine="864"/>
        <w:spacing w:after="0" w:line="282" w:lineRule="auto"/>
        <w:rPr>
          <w:sz w:val="20"/>
          <w:szCs w:val="20"/>
          <w:color w:val="auto"/>
        </w:rPr>
      </w:pPr>
      <w:r>
        <w:rPr>
          <w:rFonts w:ascii="Times New Roman" w:cs="Times New Roman" w:eastAsia="Times New Roman" w:hAnsi="Times New Roman"/>
          <w:sz w:val="18"/>
          <w:szCs w:val="18"/>
          <w:color w:val="auto"/>
        </w:rPr>
        <w:t>The Company may also from time to time designate one or more other offices or agencies where the Securities of one or more series may be presented or surrendered for any or all such purposes and may from time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time rescind such designations;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Money for Securities Payments to be Held in Trust</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firstLine="864"/>
        <w:spacing w:after="0" w:line="261" w:lineRule="auto"/>
        <w:rPr>
          <w:sz w:val="20"/>
          <w:szCs w:val="20"/>
          <w:color w:val="auto"/>
        </w:rPr>
      </w:pPr>
      <w:r>
        <w:rPr>
          <w:rFonts w:ascii="Times New Roman" w:cs="Times New Roman" w:eastAsia="Times New Roman" w:hAnsi="Times New Roman"/>
          <w:sz w:val="18"/>
          <w:szCs w:val="18"/>
          <w:color w:val="auto"/>
        </w:rPr>
        <w:t>(a)If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39" w:lineRule="exact"/>
        <w:rPr>
          <w:sz w:val="20"/>
          <w:szCs w:val="20"/>
          <w:color w:val="auto"/>
        </w:rPr>
      </w:pPr>
    </w:p>
    <w:p>
      <w:pPr>
        <w:ind w:right="60" w:firstLine="864"/>
        <w:spacing w:after="0" w:line="261" w:lineRule="auto"/>
        <w:rPr>
          <w:sz w:val="20"/>
          <w:szCs w:val="20"/>
          <w:color w:val="auto"/>
        </w:rPr>
      </w:pPr>
      <w:r>
        <w:rPr>
          <w:rFonts w:ascii="Times New Roman" w:cs="Times New Roman" w:eastAsia="Times New Roman" w:hAnsi="Times New Roman"/>
          <w:sz w:val="18"/>
          <w:szCs w:val="18"/>
          <w:color w:val="auto"/>
        </w:rPr>
        <w:t>(b)Whenever the Company shall have one or more Paying Agents for any series of Securities, it will,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39" w:lineRule="exact"/>
        <w:rPr>
          <w:sz w:val="20"/>
          <w:szCs w:val="20"/>
          <w:color w:val="auto"/>
        </w:rPr>
      </w:pPr>
    </w:p>
    <w:p>
      <w:pPr>
        <w:ind w:right="100" w:firstLine="864"/>
        <w:spacing w:after="0" w:line="254" w:lineRule="auto"/>
        <w:rPr>
          <w:sz w:val="20"/>
          <w:szCs w:val="20"/>
          <w:color w:val="auto"/>
        </w:rPr>
      </w:pPr>
      <w:r>
        <w:rPr>
          <w:rFonts w:ascii="Times New Roman" w:cs="Times New Roman" w:eastAsia="Times New Roman" w:hAnsi="Times New Roman"/>
          <w:sz w:val="18"/>
          <w:szCs w:val="18"/>
          <w:color w:val="auto"/>
        </w:rPr>
        <w:t>(c)The Company will cause each Paying Agent for any series of Securities (other than the Trustee) to execute and deliver to the Trustee an instrument in which such Paying Agent will agree with the Trustee, subject to the provisions of this Section 4.03, that such Paying Agent will (i) comply with the provisions of the Trust Indenture Act applicable to it as a Paying Agent; (ii) hold all sums held by it for the payment of the principal of (and premium, if any) or interest, if any, on the Securities of that series in trust for the benefit of the Holders until such sums shall be paid to such Holders or otherwise disposed of as herein provided; (iii) give the Trustee notice of any Default by the Company or any Guarantor (or any other obligor upon the Securities) in the making of any payment of principal (and premium, if any) or interest, if any, on the Securities of that series; and (iv) during the continuance of any Default by the Company (or any other obligor upon the Securities of that series) in the making of any payment in respect of the Securities of that series, and upon the written request of that Trustee, forthwith pay to the Trustee all sums held in trust by such Paying Agent for payment in respect of the Securities of that series.</w:t>
      </w:r>
    </w:p>
    <w:p>
      <w:pPr>
        <w:spacing w:after="0" w:line="161" w:lineRule="exact"/>
        <w:rPr>
          <w:sz w:val="20"/>
          <w:szCs w:val="20"/>
          <w:color w:val="auto"/>
        </w:rPr>
      </w:pPr>
    </w:p>
    <w:p>
      <w:pPr>
        <w:ind w:firstLine="864"/>
        <w:spacing w:after="0" w:line="261" w:lineRule="auto"/>
        <w:rPr>
          <w:sz w:val="20"/>
          <w:szCs w:val="20"/>
          <w:color w:val="auto"/>
        </w:rPr>
      </w:pPr>
      <w:r>
        <w:rPr>
          <w:rFonts w:ascii="Times New Roman" w:cs="Times New Roman" w:eastAsia="Times New Roman" w:hAnsi="Times New Roman"/>
          <w:sz w:val="18"/>
          <w:szCs w:val="18"/>
          <w:color w:val="auto"/>
        </w:rPr>
        <w:t>(d)The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will be released from all further liability with respect to such money.</w:t>
      </w:r>
    </w:p>
    <w:p>
      <w:pPr>
        <w:spacing w:after="0" w:line="139" w:lineRule="exact"/>
        <w:rPr>
          <w:sz w:val="20"/>
          <w:szCs w:val="20"/>
          <w:color w:val="auto"/>
        </w:rPr>
      </w:pPr>
    </w:p>
    <w:p>
      <w:pPr>
        <w:ind w:right="20" w:firstLine="864"/>
        <w:spacing w:after="0" w:line="256" w:lineRule="auto"/>
        <w:rPr>
          <w:sz w:val="20"/>
          <w:szCs w:val="20"/>
          <w:color w:val="auto"/>
        </w:rPr>
      </w:pPr>
      <w:r>
        <w:rPr>
          <w:rFonts w:ascii="Times New Roman" w:cs="Times New Roman" w:eastAsia="Times New Roman" w:hAnsi="Times New Roman"/>
          <w:sz w:val="18"/>
          <w:szCs w:val="18"/>
          <w:color w:val="auto"/>
        </w:rPr>
        <w:t>(e)Any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and was deposited with the Paying Agent will be paid to the Company upon a Company Request (or, if then held by the Company, will be discharged from such trust) subject to any applicable abandoned property law; and the Holder of such Security will thereafter, as an unsecured general creditor, look only to the Company for payment thereof, and all liability of the Trustee or such Paying Agent with respect to such trust money will thereupon cease.</w:t>
      </w:r>
    </w:p>
    <w:p>
      <w:pPr>
        <w:spacing w:after="0" w:line="147" w:lineRule="exact"/>
        <w:rPr>
          <w:sz w:val="20"/>
          <w:szCs w:val="20"/>
          <w:color w:val="auto"/>
        </w:rPr>
      </w:pPr>
    </w:p>
    <w:p>
      <w:pPr>
        <w:ind w:firstLine="864"/>
        <w:spacing w:after="0" w:line="261"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xml:space="preserve">. Subject to Article 10, the Company will do or cause to be done all things necessary to preserve and keep in full force and effect its existence and rights (charter and statutory);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will not be required to preserve any such right or franchise if the Board of Directors determines that the preservation thereof is no longer desirable in the conduct of the business of the Company and that the loss thereof will not be disadvantageous in any material respect to the Holders.</w:t>
      </w:r>
    </w:p>
    <w:p>
      <w:pPr>
        <w:spacing w:after="0" w:line="153"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Statement by Officers as to Default</w:t>
      </w:r>
      <w:r>
        <w:rPr>
          <w:rFonts w:ascii="Times New Roman" w:cs="Times New Roman" w:eastAsia="Times New Roman" w:hAnsi="Times New Roman"/>
          <w:sz w:val="18"/>
          <w:szCs w:val="18"/>
          <w:color w:val="auto"/>
        </w:rPr>
        <w:t>. The Company and, to the extent required by the TIA, each Guarantor, if any, will deliver to the Trustee, within 120 calendar days after the end of each fiscal year of the Company ending after the first date any series of Securities issued under this Indenture is outstanding, a certificate signed by the principal executive officer, principal financial officer or principal accounting officer of the Company or such Guarantor stating whether or not to the knowledge of such person after due inquiry the Company or such Guarantor is in default in the performance and observance of any of the terms, provisions, and conditions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2" w:name="page73"/>
    <w:bookmarkEnd w:id="72"/>
    <w:p>
      <w:pPr>
        <w:ind w:right="120"/>
        <w:spacing w:after="0" w:line="256" w:lineRule="auto"/>
        <w:rPr>
          <w:sz w:val="20"/>
          <w:szCs w:val="20"/>
          <w:color w:val="auto"/>
        </w:rPr>
      </w:pPr>
      <w:r>
        <w:rPr>
          <w:rFonts w:ascii="Times New Roman" w:cs="Times New Roman" w:eastAsia="Times New Roman" w:hAnsi="Times New Roman"/>
          <w:sz w:val="18"/>
          <w:szCs w:val="18"/>
          <w:color w:val="auto"/>
        </w:rPr>
        <w:t>Indenture (without regard to any period of grace or requirement of notice provided hereunder) and, if the Company or such Guarantor is in default, specifying all such defaults and the nature and status thereof of which such person may have such knowledge. The Company or such Guarantor shall deliver to the Trustee, as soon as possible and in any event within seven calendar days after any such aforementioned officer of the Company or such Guarantor becomes aware of the occurrence of any Event of Default or an event which, with notice or the lapse of time or both, would constitute an Event of Default, an Officers’ Certificate setting forth the details of such Event of Default or default and the action which the Company or such Guarantor proposes to take with respect thereto.</w:t>
      </w:r>
    </w:p>
    <w:p>
      <w:pPr>
        <w:spacing w:after="0" w:line="147" w:lineRule="exact"/>
        <w:rPr>
          <w:sz w:val="20"/>
          <w:szCs w:val="20"/>
          <w:color w:val="auto"/>
        </w:rPr>
      </w:pPr>
    </w:p>
    <w:p>
      <w:pPr>
        <w:ind w:right="40" w:firstLine="864"/>
        <w:spacing w:after="0" w:line="255"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Waiver of Certain Covenants</w:t>
      </w:r>
      <w:r>
        <w:rPr>
          <w:rFonts w:ascii="Times New Roman" w:cs="Times New Roman" w:eastAsia="Times New Roman" w:hAnsi="Times New Roman"/>
          <w:sz w:val="18"/>
          <w:szCs w:val="18"/>
          <w:color w:val="auto"/>
        </w:rPr>
        <w:t>. The Company and each Guarantor, if any, may omit in any particular instance to comply with any term, provision, or condition set forth in this Indenture or any applicable supplemental indenture, with respect to the Securities of any series, if the Holders of a majority in Principal Amount of all outstanding Securities of such series shall, by act of such Holders in accordance with Section 7.01, either waive such compliance in such instance or generally waive compliance with such term, provision, or condition in accordance with Article 9 and Section 5.07, but no such waiver will extend to or affect such term, provision or condition except to the extent so expressly waived, and, until such waiver shall become effective, the obligations of the Company and such Guarantor and the duties of the Trustee in respect of any such term, provision, or condition will remain in full force and effect.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REMEDIES OF THE TRUSTEE AND HOLDERS ON EVENT OF DEFAULT</w:t>
      </w:r>
    </w:p>
    <w:p>
      <w:pPr>
        <w:spacing w:after="0" w:line="16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Each of the following events constitutes an “Event of Default” wherever used herein with respect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of any series:</w:t>
      </w:r>
    </w:p>
    <w:p>
      <w:pPr>
        <w:spacing w:after="0" w:line="16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(a)default for 30 calendar days in the payment when due of interest on the Securities of that series;</w:t>
      </w:r>
    </w:p>
    <w:p>
      <w:pPr>
        <w:spacing w:after="0" w:line="198" w:lineRule="exact"/>
        <w:rPr>
          <w:sz w:val="20"/>
          <w:szCs w:val="20"/>
          <w:color w:val="auto"/>
        </w:rPr>
      </w:pPr>
    </w:p>
    <w:p>
      <w:pPr>
        <w:ind w:right="60" w:firstLine="864"/>
        <w:spacing w:after="0" w:line="282" w:lineRule="auto"/>
        <w:rPr>
          <w:sz w:val="20"/>
          <w:szCs w:val="20"/>
          <w:color w:val="auto"/>
        </w:rPr>
      </w:pPr>
      <w:r>
        <w:rPr>
          <w:rFonts w:ascii="Times New Roman" w:cs="Times New Roman" w:eastAsia="Times New Roman" w:hAnsi="Times New Roman"/>
          <w:sz w:val="18"/>
          <w:szCs w:val="18"/>
          <w:color w:val="auto"/>
        </w:rPr>
        <w:t>(b)default in payment when due of the principal (whether at Stated Maturity, upon redemption (if applicable), upon any required repurchase by the Company (if applicable) or otherwise) of or premium, if any, on the Securities of that series;</w:t>
      </w:r>
    </w:p>
    <w:p>
      <w:pPr>
        <w:spacing w:after="0" w:line="121" w:lineRule="exact"/>
        <w:rPr>
          <w:sz w:val="20"/>
          <w:szCs w:val="20"/>
          <w:color w:val="auto"/>
        </w:rPr>
      </w:pPr>
    </w:p>
    <w:p>
      <w:pPr>
        <w:ind w:right="20" w:firstLine="864"/>
        <w:spacing w:after="0" w:line="255" w:lineRule="auto"/>
        <w:rPr>
          <w:sz w:val="20"/>
          <w:szCs w:val="20"/>
          <w:color w:val="auto"/>
        </w:rPr>
      </w:pPr>
      <w:r>
        <w:rPr>
          <w:rFonts w:ascii="Times New Roman" w:cs="Times New Roman" w:eastAsia="Times New Roman" w:hAnsi="Times New Roman"/>
          <w:sz w:val="18"/>
          <w:szCs w:val="18"/>
          <w:color w:val="auto"/>
        </w:rPr>
        <w:t>(c)default by the Company or any Guarantor of such series of Securities in the observance or performance of any other covenant or agreement contained in this Indenture or as specified pursuant to Section 3.01 (other than a default referred to in clauses (a) or (b) above, or an agreement, covenant or provision that has expressly been included in this Indenture solely for the benefit of one or more series of Securities other than that series) which default continues for a period of 60 calendar days after the Company or such Guarantor receives written notice specifying the default (and demanding that such default be remedied) from the Trustee or the Holders of at least 25% of the Principal Amount of Securities of that series then outstanding (with a copy to the Trustee if given by Holders) (except in the case of a default with respect to Section 10.01 of this Indenture, which will constitute an Event of Default with such notice requirement but without such passage of time requirement).</w:t>
      </w:r>
    </w:p>
    <w:p>
      <w:pPr>
        <w:spacing w:after="0" w:line="148" w:lineRule="exact"/>
        <w:rPr>
          <w:sz w:val="20"/>
          <w:szCs w:val="20"/>
          <w:color w:val="auto"/>
        </w:rPr>
      </w:pPr>
    </w:p>
    <w:p>
      <w:pPr>
        <w:ind w:firstLine="864"/>
        <w:spacing w:after="0" w:line="276" w:lineRule="auto"/>
        <w:rPr>
          <w:sz w:val="20"/>
          <w:szCs w:val="20"/>
          <w:color w:val="auto"/>
        </w:rPr>
      </w:pPr>
      <w:r>
        <w:rPr>
          <w:rFonts w:ascii="Times New Roman" w:cs="Times New Roman" w:eastAsia="Times New Roman" w:hAnsi="Times New Roman"/>
          <w:sz w:val="17"/>
          <w:szCs w:val="17"/>
          <w:color w:val="auto"/>
        </w:rPr>
        <w:t>(d)the entry by a court having jurisdiction in the premises of (i) a decree or order for relief in respect of the Company or a Guarantor of such series of Securities in an involuntary case or proceeding under any applicable federal or state bankruptcy, insolvency, reorganization, or other similar law or</w:t>
      </w:r>
    </w:p>
    <w:p>
      <w:pPr>
        <w:spacing w:after="0" w:line="1" w:lineRule="exact"/>
        <w:rPr>
          <w:sz w:val="20"/>
          <w:szCs w:val="20"/>
          <w:color w:val="auto"/>
        </w:rPr>
      </w:pPr>
    </w:p>
    <w:p>
      <w:pPr>
        <w:ind w:right="20" w:firstLine="8"/>
        <w:spacing w:after="0" w:line="253" w:lineRule="auto"/>
        <w:tabs>
          <w:tab w:leader="none" w:pos="26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decree or order adjudging the Company or such Guarantor bankrupt or insolvent, or approving as properly filed a petition seeking reorganization, arrangement, adjustment, or composition of or in respect of the Company or such Guarantor under any applicable federal or state law, or appointing a custodian, receiver, liquidator, assignee, trustee, sequestrator, or other similar official of the Company or such Guarantor or of any substantial part of its property, or ordering the winding up or liquidation of its affairs, and the continuance of any such decree or order for relief or any such other decree or order unstayed and in effect for a period of 60 consecutive calendar days;</w:t>
      </w:r>
    </w:p>
    <w:p>
      <w:pPr>
        <w:spacing w:after="0" w:line="160" w:lineRule="exact"/>
        <w:rPr>
          <w:sz w:val="20"/>
          <w:szCs w:val="20"/>
          <w:color w:val="auto"/>
        </w:rPr>
      </w:pPr>
    </w:p>
    <w:p>
      <w:pPr>
        <w:ind w:right="200" w:firstLine="864"/>
        <w:spacing w:after="0" w:line="256" w:lineRule="auto"/>
        <w:rPr>
          <w:sz w:val="20"/>
          <w:szCs w:val="20"/>
          <w:color w:val="auto"/>
        </w:rPr>
      </w:pPr>
      <w:r>
        <w:rPr>
          <w:rFonts w:ascii="Times New Roman" w:cs="Times New Roman" w:eastAsia="Times New Roman" w:hAnsi="Times New Roman"/>
          <w:sz w:val="18"/>
          <w:szCs w:val="18"/>
          <w:color w:val="auto"/>
        </w:rPr>
        <w:t>(e)the commencement by the Company or a Guarantor of such series of Securities of a voluntary case or proceeding under any applicable federal or state bankruptcy, insolvency, reorganization, or other similar law or of any other case or proceeding to be adjudicated bankrupt or insolvent, or the consent by it to the entry of a decree or order for relief in respect of the Company or such Guarantor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with respect to the Company or such Guarantor under any applicable federal or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3" w:name="page74"/>
    <w:bookmarkEnd w:id="73"/>
    <w:p>
      <w:pPr>
        <w:ind w:right="140"/>
        <w:spacing w:after="0" w:line="281" w:lineRule="auto"/>
        <w:rPr>
          <w:sz w:val="20"/>
          <w:szCs w:val="20"/>
          <w:color w:val="auto"/>
        </w:rPr>
      </w:pPr>
      <w:r>
        <w:rPr>
          <w:rFonts w:ascii="Times New Roman" w:cs="Times New Roman" w:eastAsia="Times New Roman" w:hAnsi="Times New Roman"/>
          <w:sz w:val="17"/>
          <w:szCs w:val="17"/>
          <w:color w:val="auto"/>
        </w:rPr>
        <w:t>bankruptcy, insolvency, reorganization, or other similar law, or the consent by it to the filing of such petition or to the appointment of or taking possession by a custodian, receiver, liquidator, assignee, trustee, sequestrator, or other similar official of the Company or such Guarantor or of any substantial part of its property pursuant to any such law, or the making by it of an assignment for the benefit of creditors, or the admission by it in writing of its inability to pay its debts generally as they become due, or the taking of corporate action by the Company or such Guarantor in furtherance of any such action;</w:t>
      </w:r>
    </w:p>
    <w:p>
      <w:pPr>
        <w:spacing w:after="0" w:line="124" w:lineRule="exact"/>
        <w:rPr>
          <w:sz w:val="20"/>
          <w:szCs w:val="20"/>
          <w:color w:val="auto"/>
        </w:rPr>
      </w:pPr>
    </w:p>
    <w:p>
      <w:pPr>
        <w:ind w:right="440" w:firstLine="864"/>
        <w:spacing w:after="0" w:line="282" w:lineRule="auto"/>
        <w:rPr>
          <w:sz w:val="20"/>
          <w:szCs w:val="20"/>
          <w:color w:val="auto"/>
        </w:rPr>
      </w:pPr>
      <w:r>
        <w:rPr>
          <w:rFonts w:ascii="Times New Roman" w:cs="Times New Roman" w:eastAsia="Times New Roman" w:hAnsi="Times New Roman"/>
          <w:sz w:val="18"/>
          <w:szCs w:val="18"/>
          <w:color w:val="auto"/>
        </w:rPr>
        <w:t>(f)any Guarantee relating to such series Securities shall cease to be in full force and effect (other than in accordance with the terms of this Indenture) or any Guarantor denies or disaffirms its obligations under its Guarantee; or</w:t>
      </w:r>
    </w:p>
    <w:p>
      <w:pPr>
        <w:spacing w:after="0" w:line="135" w:lineRule="exact"/>
        <w:rPr>
          <w:sz w:val="20"/>
          <w:szCs w:val="20"/>
          <w:color w:val="auto"/>
        </w:rPr>
      </w:pPr>
    </w:p>
    <w:p>
      <w:pPr>
        <w:ind w:right="40" w:firstLine="864"/>
        <w:spacing w:after="0" w:line="282" w:lineRule="auto"/>
        <w:rPr>
          <w:sz w:val="20"/>
          <w:szCs w:val="20"/>
          <w:color w:val="auto"/>
        </w:rPr>
      </w:pPr>
      <w:r>
        <w:rPr>
          <w:rFonts w:ascii="Times New Roman" w:cs="Times New Roman" w:eastAsia="Times New Roman" w:hAnsi="Times New Roman"/>
          <w:sz w:val="18"/>
          <w:szCs w:val="18"/>
          <w:color w:val="auto"/>
        </w:rPr>
        <w:t>(g)any other Event of Default with respect to Securities of that series as specified pursuant to Section 3.01, which shall not have been remedied within the specified period after written notice, as specified in Section 5.01(c).</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864"/>
        <w:spacing w:after="0" w:line="255" w:lineRule="auto"/>
        <w:rPr>
          <w:sz w:val="20"/>
          <w:szCs w:val="20"/>
          <w:color w:val="auto"/>
        </w:rPr>
      </w:pPr>
      <w:r>
        <w:rPr>
          <w:rFonts w:ascii="Times New Roman" w:cs="Times New Roman" w:eastAsia="Times New Roman" w:hAnsi="Times New Roman"/>
          <w:sz w:val="18"/>
          <w:szCs w:val="18"/>
          <w:color w:val="auto"/>
        </w:rPr>
        <w:t xml:space="preserve">(a)If any Event of Default (other than an Event of Default specified in clause (d) or (e) of Section 5.01) occurs and is continuing with respect to Securities of any series, the Trustee by written notice to the Company or the Holders of at least 25% in aggregate Principal Amount of the then outstanding Securities of that series by written notice to the Company and the Trustee, may declare the unpaid principal of, premium, if any, and any accrued and unpaid interest on all the Securities of the affected series to be due and payable immediately. Except as set forth above, upon such declaration the principal of, premium, if any, and interest shall be due and payable immediately. If an Event of Default specified in clause (d) or (e) of Section 5.01 occurs with respect to the Company or any Guarantor, the unpaid principal of, premium, if any, and any accrued and unpaid interest on all the Securities shall </w:t>
      </w:r>
      <w:r>
        <w:rPr>
          <w:rFonts w:ascii="Times New Roman" w:cs="Times New Roman" w:eastAsia="Times New Roman" w:hAnsi="Times New Roman"/>
          <w:sz w:val="18"/>
          <w:szCs w:val="18"/>
          <w:i w:val="1"/>
          <w:iCs w:val="1"/>
          <w:color w:val="auto"/>
        </w:rPr>
        <w:t>ipso facto</w:t>
      </w:r>
      <w:r>
        <w:rPr>
          <w:rFonts w:ascii="Times New Roman" w:cs="Times New Roman" w:eastAsia="Times New Roman" w:hAnsi="Times New Roman"/>
          <w:sz w:val="18"/>
          <w:szCs w:val="18"/>
          <w:color w:val="auto"/>
        </w:rPr>
        <w:t xml:space="preserve"> become and be immediately due and payable without further action or notice on the part of the Trustee or any Holder.</w:t>
      </w:r>
    </w:p>
    <w:p>
      <w:pPr>
        <w:spacing w:after="0" w:line="162" w:lineRule="exact"/>
        <w:rPr>
          <w:sz w:val="20"/>
          <w:szCs w:val="20"/>
          <w:color w:val="auto"/>
        </w:rPr>
      </w:pPr>
    </w:p>
    <w:p>
      <w:pPr>
        <w:ind w:firstLine="864"/>
        <w:spacing w:after="0" w:line="253" w:lineRule="auto"/>
        <w:rPr>
          <w:sz w:val="20"/>
          <w:szCs w:val="20"/>
          <w:color w:val="auto"/>
        </w:rPr>
      </w:pPr>
      <w:r>
        <w:rPr>
          <w:rFonts w:ascii="Times New Roman" w:cs="Times New Roman" w:eastAsia="Times New Roman" w:hAnsi="Times New Roman"/>
          <w:sz w:val="18"/>
          <w:szCs w:val="18"/>
          <w:color w:val="auto"/>
        </w:rPr>
        <w:t>(b)At any time after such a declaration of acceleration with respect to the Securities of any series has been made and before a judgment or decree for payment of the money due has been obtained by the Trustee as hereinafter in this Article 5 provided, the Holders of a majority in Principal Amount of the outstanding Securities of such series, by written notice to the Company and the Trustee, may rescind and annul such declaration and its consequences if (i) the Company or a Guarantor has paid or deposited with the Trustee a sum sufficient to pay (A) all overdue interest on all of the Securities of that series, (B) the principal of (and premium, if any, on) Securities of that series which has become due otherwise than by such declaration of acceleration and any interest thereon at the rate or rates prescribed therefor in the Securities of that series, (C) to the extent that payment of such interest is lawful, interest upon overdue interest at the rate or rates prescribed therefor in the Securities of that series, and (D) all sums paid or advanced by the Trustee hereunder and the reasonable compensation, expenses, disbursements and advances of the Trustee and its agents and counsel and (ii) all Events of Default with respect to the Securities of that series, other than the non-payment of the principal of the Securities of that series which have become due solely by such declaration of acceleration, have been cured or waived as provided in Section 5.04. No such rescission will affect any subsequent default or impair any right consequent thereon.</w:t>
      </w:r>
    </w:p>
    <w:p>
      <w:pPr>
        <w:spacing w:after="0" w:line="151" w:lineRule="exact"/>
        <w:rPr>
          <w:sz w:val="20"/>
          <w:szCs w:val="20"/>
          <w:color w:val="auto"/>
        </w:rPr>
      </w:pPr>
    </w:p>
    <w:p>
      <w:pPr>
        <w:ind w:firstLine="864"/>
        <w:spacing w:after="0" w:line="266"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Other Remedies</w:t>
      </w:r>
      <w:r>
        <w:rPr>
          <w:rFonts w:ascii="Times New Roman" w:cs="Times New Roman" w:eastAsia="Times New Roman" w:hAnsi="Times New Roman"/>
          <w:sz w:val="18"/>
          <w:szCs w:val="18"/>
          <w:color w:val="auto"/>
        </w:rPr>
        <w:t>. If an Event of Default with respect to Securities of any series occurs and is continuing, the Trustee may pursue any available remedy to collect the payment of principal or interest on the Securities of such series or to enforce the performance of any provision of the Securities of such series or this Indenture.</w:t>
      </w:r>
    </w:p>
    <w:p>
      <w:pPr>
        <w:spacing w:after="0" w:line="135" w:lineRule="exact"/>
        <w:rPr>
          <w:sz w:val="20"/>
          <w:szCs w:val="20"/>
          <w:color w:val="auto"/>
        </w:rPr>
      </w:pPr>
    </w:p>
    <w:p>
      <w:pPr>
        <w:ind w:right="20" w:firstLine="864"/>
        <w:spacing w:after="0" w:line="256" w:lineRule="auto"/>
        <w:rPr>
          <w:sz w:val="20"/>
          <w:szCs w:val="20"/>
          <w:color w:val="auto"/>
        </w:rPr>
      </w:pPr>
      <w:r>
        <w:rPr>
          <w:rFonts w:ascii="Times New Roman" w:cs="Times New Roman" w:eastAsia="Times New Roman" w:hAnsi="Times New Roman"/>
          <w:sz w:val="18"/>
          <w:szCs w:val="18"/>
          <w:color w:val="auto"/>
        </w:rPr>
        <w:t>The Trustee may maintain a proceeding even if it does not possess any of the Securities of such series or does not produce any of them in the proceeding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4" w:name="page75"/>
    <w:bookmarkEnd w:id="74"/>
    <w:p>
      <w:pPr>
        <w:ind w:right="100" w:firstLine="864"/>
        <w:spacing w:after="0" w:line="270" w:lineRule="auto"/>
        <w:rPr>
          <w:sz w:val="20"/>
          <w:szCs w:val="20"/>
          <w:color w:val="auto"/>
        </w:rPr>
      </w:pPr>
      <w:r>
        <w:rPr>
          <w:rFonts w:ascii="Times New Roman" w:cs="Times New Roman" w:eastAsia="Times New Roman" w:hAnsi="Times New Roman"/>
          <w:sz w:val="17"/>
          <w:szCs w:val="17"/>
          <w:color w:val="auto"/>
        </w:rPr>
        <w:t xml:space="preserve">SECTION 5.04. </w:t>
      </w:r>
      <w:r>
        <w:rPr>
          <w:rFonts w:ascii="Times New Roman" w:cs="Times New Roman" w:eastAsia="Times New Roman" w:hAnsi="Times New Roman"/>
          <w:sz w:val="17"/>
          <w:szCs w:val="17"/>
          <w:u w:val="single" w:color="auto"/>
          <w:color w:val="auto"/>
        </w:rPr>
        <w:t>Waiver of Past Defaults</w:t>
      </w:r>
      <w:r>
        <w:rPr>
          <w:rFonts w:ascii="Times New Roman" w:cs="Times New Roman" w:eastAsia="Times New Roman" w:hAnsi="Times New Roman"/>
          <w:sz w:val="17"/>
          <w:szCs w:val="17"/>
          <w:color w:val="auto"/>
        </w:rPr>
        <w:t>. The Holders of not less than a majority in aggregate Principal Amount of the Securities of any series then outstanding by written notice to the Trustee may on behalf of the Holders of all of the Securities of such series waive any existing Default or Event of Default and its consequences under this Indenture except a continuing Default or Event of Default in the payment of the principal (whether at Stated Maturity, upon redemption (if applicable), upon any required repurchase by the Company (if applicable) or otherwise) of (and premium, if any) or interest, if any, on any Security of such series or, in the case of the Securities of any series that are convertible or exchangeable, in the payment or delivery of any consideration due upon conversion or exchange of the Securities of that series (if applicable). The Company may, but shall not be obligated to, fix a record date for the purpose of determining the Persons entitled to waive any past Default hereunder. If a record date is fixed, the Holders on such record date, or their duly designated proxies, and only such Persons, shall be entitled to waive any Default hereunder, whether or not such Holders remain Holders after such record date.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36"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Control by Majority</w:t>
      </w:r>
      <w:r>
        <w:rPr>
          <w:rFonts w:ascii="Times New Roman" w:cs="Times New Roman" w:eastAsia="Times New Roman" w:hAnsi="Times New Roman"/>
          <w:sz w:val="18"/>
          <w:szCs w:val="18"/>
          <w:color w:val="auto"/>
        </w:rPr>
        <w:t>. With respect to the Securities of any series, the Holders of a majority in aggregate Principal Amount of the then outstanding Securities of that series may direct the time, method and place of conducting any proceeding for any remedy available to the Trustee or exercising any trust or power conferred on it. However, the Trustee may refuse to follow any direction that conflicts with law or this Indenture, that the Trustee in good faith determines may be unduly prejudicial to the rights of other Holders of that series or that may involve or cause the Trustee any potential liability. The Trustee may take any other action which it deems proper which is not inconsistent with any such direction.</w:t>
      </w:r>
    </w:p>
    <w:p>
      <w:pPr>
        <w:spacing w:after="0" w:line="1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 A Holder of any Security of any series may pursue a remedy with respect to this Indenture 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of the applicable series only if:</w:t>
      </w:r>
    </w:p>
    <w:p>
      <w:pPr>
        <w:spacing w:after="0" w:line="16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(a)the Holder gives to the Trustee written notice of a continuing Event of Default with respect to that series;</w:t>
      </w:r>
    </w:p>
    <w:p>
      <w:pPr>
        <w:spacing w:after="0" w:line="185" w:lineRule="exact"/>
        <w:rPr>
          <w:sz w:val="20"/>
          <w:szCs w:val="20"/>
          <w:color w:val="auto"/>
        </w:rPr>
      </w:pPr>
    </w:p>
    <w:p>
      <w:pPr>
        <w:ind w:right="400" w:firstLine="864"/>
        <w:spacing w:after="0" w:line="282" w:lineRule="auto"/>
        <w:rPr>
          <w:sz w:val="20"/>
          <w:szCs w:val="20"/>
          <w:color w:val="auto"/>
        </w:rPr>
      </w:pPr>
      <w:r>
        <w:rPr>
          <w:rFonts w:ascii="Times New Roman" w:cs="Times New Roman" w:eastAsia="Times New Roman" w:hAnsi="Times New Roman"/>
          <w:sz w:val="18"/>
          <w:szCs w:val="18"/>
          <w:color w:val="auto"/>
        </w:rPr>
        <w:t>(b)the Holders of at least 25% in aggregate Principal Amount of the then outstanding Securities of that series make a written request to the Trustee to pursue the remedy;</w:t>
      </w:r>
    </w:p>
    <w:p>
      <w:pPr>
        <w:spacing w:after="0" w:line="135" w:lineRule="exact"/>
        <w:rPr>
          <w:sz w:val="20"/>
          <w:szCs w:val="20"/>
          <w:color w:val="auto"/>
        </w:rPr>
      </w:pPr>
    </w:p>
    <w:p>
      <w:pPr>
        <w:ind w:right="140" w:firstLine="864"/>
        <w:spacing w:after="0" w:line="282" w:lineRule="auto"/>
        <w:rPr>
          <w:sz w:val="20"/>
          <w:szCs w:val="20"/>
          <w:color w:val="auto"/>
        </w:rPr>
      </w:pPr>
      <w:r>
        <w:rPr>
          <w:rFonts w:ascii="Times New Roman" w:cs="Times New Roman" w:eastAsia="Times New Roman" w:hAnsi="Times New Roman"/>
          <w:sz w:val="18"/>
          <w:szCs w:val="18"/>
          <w:color w:val="auto"/>
        </w:rPr>
        <w:t>(c)such Holder or Holders provide to the Trustee indemnity satisfactory to the Trustee against any loss, liability or expense in connection with the pursuance of such remedy;</w:t>
      </w:r>
    </w:p>
    <w:p>
      <w:pPr>
        <w:spacing w:after="0" w:line="121" w:lineRule="exact"/>
        <w:rPr>
          <w:sz w:val="20"/>
          <w:szCs w:val="20"/>
          <w:color w:val="auto"/>
        </w:rPr>
      </w:pPr>
    </w:p>
    <w:p>
      <w:pPr>
        <w:ind w:right="160" w:firstLine="864"/>
        <w:spacing w:after="0" w:line="282" w:lineRule="auto"/>
        <w:rPr>
          <w:sz w:val="20"/>
          <w:szCs w:val="20"/>
          <w:color w:val="auto"/>
        </w:rPr>
      </w:pPr>
      <w:r>
        <w:rPr>
          <w:rFonts w:ascii="Times New Roman" w:cs="Times New Roman" w:eastAsia="Times New Roman" w:hAnsi="Times New Roman"/>
          <w:sz w:val="18"/>
          <w:szCs w:val="18"/>
          <w:color w:val="auto"/>
        </w:rPr>
        <w:t>(d)during the 60-day period specified in (e) below, the Holders of a majority in aggregate Principal Amount of the then outstanding Securities of such series do not give the Trustee a direction inconsistent with the request; and</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(e)the Trustee does not comply with the request within 60 calendar days after receipt of the notice, request and the offer of indemnity.</w:t>
      </w:r>
    </w:p>
    <w:p>
      <w:pPr>
        <w:spacing w:after="0" w:line="198" w:lineRule="exact"/>
        <w:rPr>
          <w:sz w:val="20"/>
          <w:szCs w:val="20"/>
          <w:color w:val="auto"/>
        </w:rPr>
      </w:pPr>
    </w:p>
    <w:p>
      <w:pPr>
        <w:ind w:right="20" w:firstLine="864"/>
        <w:spacing w:after="0" w:line="261" w:lineRule="auto"/>
        <w:rPr>
          <w:sz w:val="20"/>
          <w:szCs w:val="20"/>
          <w:color w:val="auto"/>
        </w:rPr>
      </w:pPr>
      <w:r>
        <w:rPr>
          <w:rFonts w:ascii="Times New Roman" w:cs="Times New Roman" w:eastAsia="Times New Roman" w:hAnsi="Times New Roman"/>
          <w:sz w:val="18"/>
          <w:szCs w:val="18"/>
          <w:color w:val="auto"/>
        </w:rPr>
        <w:t>Holders shall not have any right in any manner whatever by virtue of, or by availing of, any provision of this Indenture or any Security to affect, disturb or prejudice the rights of any other such Holders or Holders of Securities of any other series, or to obtain or to seek to obtain priority or preference over any other Holders or to enforce any right under this Indenture, except in the manner herein provided and for the equal and ratable benefit of all such Holders.</w:t>
      </w:r>
    </w:p>
    <w:p>
      <w:pPr>
        <w:spacing w:after="0" w:line="139" w:lineRule="exact"/>
        <w:rPr>
          <w:sz w:val="20"/>
          <w:szCs w:val="20"/>
          <w:color w:val="auto"/>
        </w:rPr>
      </w:pPr>
    </w:p>
    <w:p>
      <w:pPr>
        <w:ind w:right="60" w:firstLine="864"/>
        <w:spacing w:after="0" w:line="258"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Rights of Holders to Receive Payment</w:t>
      </w:r>
      <w:r>
        <w:rPr>
          <w:rFonts w:ascii="Times New Roman" w:cs="Times New Roman" w:eastAsia="Times New Roman" w:hAnsi="Times New Roman"/>
          <w:sz w:val="18"/>
          <w:szCs w:val="18"/>
          <w:color w:val="auto"/>
        </w:rPr>
        <w:t>. Notwithstanding any other provision of this Indenture, the right of any Holder to receive payment of principal (whether at Stated Maturity, upon redemption (if applicable), upon any required repurchase by the Company (if applicable) or otherwise) of (and premium, if any) and interest, if any, on any Security or, if applicable, payment or delivery of any consideration due upon conversion or exchange of any Security, in each case, on or after the respective due dates expressed in such Security, or to bring suit for the enforcement of any such payment or delivery on or after such respective dates, shall not be impaired or affected without the consent of the Holder.</w:t>
      </w:r>
    </w:p>
    <w:p>
      <w:pPr>
        <w:spacing w:after="0" w:line="143" w:lineRule="exact"/>
        <w:rPr>
          <w:sz w:val="20"/>
          <w:szCs w:val="20"/>
          <w:color w:val="auto"/>
        </w:rPr>
      </w:pPr>
    </w:p>
    <w:p>
      <w:pPr>
        <w:ind w:right="260" w:firstLine="864"/>
        <w:spacing w:after="0" w:line="266"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Collection Suit by Trustee</w:t>
      </w:r>
      <w:r>
        <w:rPr>
          <w:rFonts w:ascii="Times New Roman" w:cs="Times New Roman" w:eastAsia="Times New Roman" w:hAnsi="Times New Roman"/>
          <w:sz w:val="18"/>
          <w:szCs w:val="18"/>
          <w:color w:val="auto"/>
        </w:rPr>
        <w:t>. If an Event of Default specified in Sections 5.01(a) and 5.01(b) occurs and is continuing, the Trustee is authorized to recover judgment in its own name and as trustee of an express trust against the Company, any Guarantor or any other obligor for the whole amount of principal (and premium,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ind w:right="120"/>
        <w:spacing w:after="0" w:line="266" w:lineRule="auto"/>
        <w:rPr>
          <w:sz w:val="20"/>
          <w:szCs w:val="20"/>
          <w:color w:val="auto"/>
        </w:rPr>
      </w:pPr>
      <w:r>
        <w:rPr>
          <w:rFonts w:ascii="Times New Roman" w:cs="Times New Roman" w:eastAsia="Times New Roman" w:hAnsi="Times New Roman"/>
          <w:sz w:val="18"/>
          <w:szCs w:val="18"/>
          <w:color w:val="auto"/>
        </w:rPr>
        <w:t>any) and interest, if any, remaining unpaid on any Securities of such series and interest on overdue principal and, to the extent lawful, interest and such further amount as shall be sufficient to cover amounts due the Trustee under Section 6.07 hereof, including the costs and expenses of collection, including the reasonable compensation, expenses, disbursements and advances of the Trustee, its agents and counsel.</w:t>
      </w:r>
    </w:p>
    <w:p>
      <w:pPr>
        <w:spacing w:after="0" w:line="135" w:lineRule="exact"/>
        <w:rPr>
          <w:sz w:val="20"/>
          <w:szCs w:val="20"/>
          <w:color w:val="auto"/>
        </w:rPr>
      </w:pPr>
    </w:p>
    <w:p>
      <w:pPr>
        <w:ind w:firstLine="864"/>
        <w:spacing w:after="0" w:line="252"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 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Company or any Guarantor (or any other obligor upon the Securities),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6.07 hereof. To the extent that the payment of any such compensation, expenses, disbursements and advances of the Trustee, its agents and counsel, and any other amounts due the Trustee under Section 6.07 hereof out of the estate in any such proceeding, shall be denied for any reason, payment of the same shall be secured by a lien on, and shall be paid out of, any and all distributions, dividends, money, securities and other properties which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Securities of any series or the rights of any Holder thereof, or to authorize the Trustee to vote in respect of the claim of any Holder in any such proceeding.</w:t>
      </w:r>
    </w:p>
    <w:p>
      <w:pPr>
        <w:spacing w:after="0" w:line="1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Priorities</w:t>
      </w:r>
      <w:r>
        <w:rPr>
          <w:rFonts w:ascii="Times New Roman" w:cs="Times New Roman" w:eastAsia="Times New Roman" w:hAnsi="Times New Roman"/>
          <w:sz w:val="18"/>
          <w:szCs w:val="18"/>
          <w:color w:val="auto"/>
        </w:rPr>
        <w:t>. If the Trustee collects any money pursuant to this Article, it shall pay out the money in the following order:</w:t>
      </w:r>
    </w:p>
    <w:p>
      <w:pPr>
        <w:spacing w:after="0" w:line="185" w:lineRule="exact"/>
        <w:rPr>
          <w:sz w:val="20"/>
          <w:szCs w:val="20"/>
          <w:color w:val="auto"/>
        </w:rPr>
      </w:pPr>
    </w:p>
    <w:p>
      <w:pPr>
        <w:ind w:left="880" w:right="180" w:firstLine="797"/>
        <w:spacing w:after="0" w:line="282" w:lineRule="auto"/>
        <w:rPr>
          <w:sz w:val="20"/>
          <w:szCs w:val="20"/>
          <w:color w:val="auto"/>
        </w:rPr>
      </w:pPr>
      <w:r>
        <w:rPr>
          <w:rFonts w:ascii="Times New Roman" w:cs="Times New Roman" w:eastAsia="Times New Roman" w:hAnsi="Times New Roman"/>
          <w:sz w:val="18"/>
          <w:szCs w:val="18"/>
          <w:color w:val="auto"/>
        </w:rPr>
        <w:t>First: to the Trustee, its agents and attorneys for amounts due under Section 6.07, including payment of all compensation, expense and liabilities incurred, and all advances made, by the Trustee and the costs and expenses of collection;</w:t>
      </w:r>
    </w:p>
    <w:p>
      <w:pPr>
        <w:spacing w:after="0" w:line="121" w:lineRule="exact"/>
        <w:rPr>
          <w:sz w:val="20"/>
          <w:szCs w:val="20"/>
          <w:color w:val="auto"/>
        </w:rPr>
      </w:pPr>
    </w:p>
    <w:p>
      <w:pPr>
        <w:ind w:left="880" w:right="100" w:firstLine="797"/>
        <w:spacing w:after="0" w:line="266" w:lineRule="auto"/>
        <w:rPr>
          <w:sz w:val="20"/>
          <w:szCs w:val="20"/>
          <w:color w:val="auto"/>
        </w:rPr>
      </w:pPr>
      <w:r>
        <w:rPr>
          <w:rFonts w:ascii="Times New Roman" w:cs="Times New Roman" w:eastAsia="Times New Roman" w:hAnsi="Times New Roman"/>
          <w:sz w:val="18"/>
          <w:szCs w:val="18"/>
          <w:color w:val="auto"/>
        </w:rPr>
        <w:t>Second: to Holders for amounts due and unpaid on the Securities of any series for principal (and premium, if any) and interest, if any, ratably, without preference or priority of any kind, according to the amounts due and payable on the Securities of such series for principal (and premium, if any) and interest, if any, respectively; and</w:t>
      </w:r>
    </w:p>
    <w:p>
      <w:pPr>
        <w:spacing w:after="0" w:line="149" w:lineRule="exact"/>
        <w:rPr>
          <w:sz w:val="20"/>
          <w:szCs w:val="20"/>
          <w:color w:val="auto"/>
        </w:rPr>
      </w:pPr>
    </w:p>
    <w:p>
      <w:pPr>
        <w:ind w:left="880" w:right="220" w:firstLine="797"/>
        <w:spacing w:after="0" w:line="282" w:lineRule="auto"/>
        <w:rPr>
          <w:sz w:val="20"/>
          <w:szCs w:val="20"/>
          <w:color w:val="auto"/>
        </w:rPr>
      </w:pPr>
      <w:r>
        <w:rPr>
          <w:rFonts w:ascii="Times New Roman" w:cs="Times New Roman" w:eastAsia="Times New Roman" w:hAnsi="Times New Roman"/>
          <w:sz w:val="18"/>
          <w:szCs w:val="18"/>
          <w:color w:val="auto"/>
        </w:rPr>
        <w:t>Third: to the Company or, to the extent the Trustee collects any amount pursuant to Section 2.02 hereof from a Guarantor, to such Guarantor, or to such party as a court of competent jurisdiction shall direct.</w:t>
      </w:r>
    </w:p>
    <w:p>
      <w:pPr>
        <w:spacing w:after="0" w:line="121" w:lineRule="exact"/>
        <w:rPr>
          <w:sz w:val="20"/>
          <w:szCs w:val="20"/>
          <w:color w:val="auto"/>
        </w:rPr>
      </w:pPr>
    </w:p>
    <w:p>
      <w:pPr>
        <w:ind w:right="200" w:firstLine="864"/>
        <w:spacing w:after="0" w:line="282" w:lineRule="auto"/>
        <w:rPr>
          <w:sz w:val="20"/>
          <w:szCs w:val="20"/>
          <w:color w:val="auto"/>
        </w:rPr>
      </w:pPr>
      <w:r>
        <w:rPr>
          <w:rFonts w:ascii="Times New Roman" w:cs="Times New Roman" w:eastAsia="Times New Roman" w:hAnsi="Times New Roman"/>
          <w:sz w:val="18"/>
          <w:szCs w:val="18"/>
          <w:color w:val="auto"/>
        </w:rPr>
        <w:t>The Trustee may fix a record date and payment date for any payment to Holders pursuant to this Section 5.10 upon seven calendar days prior notice to the Company.</w:t>
      </w:r>
    </w:p>
    <w:p>
      <w:pPr>
        <w:spacing w:after="0" w:line="121" w:lineRule="exact"/>
        <w:rPr>
          <w:sz w:val="20"/>
          <w:szCs w:val="20"/>
          <w:color w:val="auto"/>
        </w:rPr>
      </w:pPr>
    </w:p>
    <w:p>
      <w:pPr>
        <w:ind w:right="40" w:firstLine="864"/>
        <w:spacing w:after="0" w:line="254"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 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5.11 does not apply to a suit by the Trustee, a suit by a Holder of Securities of the affected series pursuant to Section 5.07 hereof, a suit by Holders of more than 10% in aggregate Principal Amount of the then outstanding Securities of any series in the case of any suit relating to or arising under clause (a), (b), (c), (f) or (g) of Section 5.01, or a suit by Holders of more than 10% in aggregate Principal Amount of the then outstanding Securities of all series in the case of any suit relating to or arising under clause (d) or (e) of Section 5.01.</w:t>
      </w:r>
    </w:p>
    <w:p>
      <w:pPr>
        <w:spacing w:after="0" w:line="165" w:lineRule="exact"/>
        <w:rPr>
          <w:sz w:val="20"/>
          <w:szCs w:val="20"/>
          <w:color w:val="auto"/>
        </w:rPr>
      </w:pPr>
    </w:p>
    <w:p>
      <w:pPr>
        <w:ind w:right="60" w:firstLine="864"/>
        <w:spacing w:after="0" w:line="266"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Restoration of Rights and Remedies</w:t>
      </w:r>
      <w:r>
        <w:rPr>
          <w:rFonts w:ascii="Times New Roman" w:cs="Times New Roman" w:eastAsia="Times New Roman" w:hAnsi="Times New Roman"/>
          <w:sz w:val="18"/>
          <w:szCs w:val="18"/>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6" w:name="page77"/>
    <w:bookmarkEnd w:id="76"/>
    <w:p>
      <w:pPr>
        <w:spacing w:after="0" w:line="266" w:lineRule="auto"/>
        <w:rPr>
          <w:sz w:val="20"/>
          <w:szCs w:val="20"/>
          <w:color w:val="auto"/>
        </w:rPr>
      </w:pPr>
      <w:r>
        <w:rPr>
          <w:rFonts w:ascii="Times New Roman" w:cs="Times New Roman" w:eastAsia="Times New Roman" w:hAnsi="Times New Roman"/>
          <w:sz w:val="18"/>
          <w:szCs w:val="18"/>
          <w:color w:val="auto"/>
        </w:rPr>
        <w:t>case, subject to any determination in such proceeding, the Company, any Guarantor, the Trustee and the Holders shall be restored severally and respectively to their former positions hereunder and thereafter all rights and remedies of the Trustee and the Holders shall continue as though no such proceeding has been instituted.</w:t>
      </w:r>
    </w:p>
    <w:p>
      <w:pPr>
        <w:spacing w:after="0" w:line="135" w:lineRule="exact"/>
        <w:rPr>
          <w:sz w:val="20"/>
          <w:szCs w:val="20"/>
          <w:color w:val="auto"/>
        </w:rPr>
      </w:pPr>
    </w:p>
    <w:p>
      <w:pPr>
        <w:ind w:right="60" w:firstLine="864"/>
        <w:spacing w:after="0" w:line="258"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 Except as otherwise provided with respect to the replacement or payment of mutilated, destroyed, lost or stolen Securities in the last paragraph of Section 3.09,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56" w:lineRule="exact"/>
        <w:rPr>
          <w:sz w:val="20"/>
          <w:szCs w:val="20"/>
          <w:color w:val="auto"/>
        </w:rPr>
      </w:pPr>
    </w:p>
    <w:p>
      <w:pPr>
        <w:jc w:val="both"/>
        <w:ind w:right="240" w:firstLine="864"/>
        <w:spacing w:after="0" w:line="261"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Delay or Omission Not Waiver</w:t>
      </w:r>
      <w:r>
        <w:rPr>
          <w:rFonts w:ascii="Times New Roman" w:cs="Times New Roman" w:eastAsia="Times New Roman" w:hAnsi="Times New Roman"/>
          <w:sz w:val="18"/>
          <w:szCs w:val="18"/>
          <w:color w:val="auto"/>
        </w:rPr>
        <w:t>. No delay or omission of the Trustee or of any Holder of Securities of any series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TRUSTEE</w:t>
      </w:r>
    </w:p>
    <w:p>
      <w:pPr>
        <w:spacing w:after="0" w:line="166" w:lineRule="exact"/>
        <w:rPr>
          <w:sz w:val="20"/>
          <w:szCs w:val="20"/>
          <w:color w:val="auto"/>
        </w:rPr>
      </w:pPr>
    </w:p>
    <w:p>
      <w:pPr>
        <w:ind w:right="40" w:firstLine="864"/>
        <w:spacing w:after="0" w:line="255"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Duties and Responsibilities of the Trustee; During Default; Prior to Default</w:t>
      </w:r>
      <w:r>
        <w:rPr>
          <w:rFonts w:ascii="Times New Roman" w:cs="Times New Roman" w:eastAsia="Times New Roman" w:hAnsi="Times New Roman"/>
          <w:sz w:val="18"/>
          <w:szCs w:val="18"/>
          <w:color w:val="auto"/>
        </w:rPr>
        <w:t>. The Trustee, with respect to the Securities of any series, prior to the occurrence of an Event of Default with respect to the Securities of such series and after the curing or waiving of all Events of Default with respect to the Securities of such series which may have occurred, undertakes to perform such duties and only such duties with respect to such series as are specifically set forth in this Indenture. In case an Event of Default with respect to the Securities of a series has occurred (and is continuing which has not been cured or waived) the Trustee shall exercise such of the rights and powers vested in it by this Indenture with respect to such series, and use the same degree of care and skill in their exercise, as a prudent person would exercise or use under the circumstances in the conduct of such person’s own affairs.</w:t>
      </w:r>
    </w:p>
    <w:p>
      <w:pPr>
        <w:spacing w:after="0" w:line="162" w:lineRule="exact"/>
        <w:rPr>
          <w:sz w:val="20"/>
          <w:szCs w:val="20"/>
          <w:color w:val="auto"/>
        </w:rPr>
      </w:pPr>
    </w:p>
    <w:p>
      <w:pPr>
        <w:ind w:right="220" w:firstLine="864"/>
        <w:spacing w:after="0" w:line="282" w:lineRule="auto"/>
        <w:rPr>
          <w:sz w:val="20"/>
          <w:szCs w:val="20"/>
          <w:color w:val="auto"/>
        </w:rPr>
      </w:pPr>
      <w:r>
        <w:rPr>
          <w:rFonts w:ascii="Times New Roman" w:cs="Times New Roman" w:eastAsia="Times New Roman" w:hAnsi="Times New Roman"/>
          <w:sz w:val="18"/>
          <w:szCs w:val="18"/>
          <w:color w:val="auto"/>
        </w:rPr>
        <w:t xml:space="preserve">No provision of this Indenture shall be construed to relieve the Trustee from liability for its own negligent action, its own negligent failure to act or its own willful misconduct,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21" w:lineRule="exact"/>
        <w:rPr>
          <w:sz w:val="20"/>
          <w:szCs w:val="20"/>
          <w:color w:val="auto"/>
        </w:rPr>
      </w:pPr>
    </w:p>
    <w:p>
      <w:pPr>
        <w:jc w:val="both"/>
        <w:ind w:right="80" w:firstLine="864"/>
        <w:spacing w:after="0" w:line="266" w:lineRule="auto"/>
        <w:rPr>
          <w:sz w:val="20"/>
          <w:szCs w:val="20"/>
          <w:color w:val="auto"/>
        </w:rPr>
      </w:pPr>
      <w:r>
        <w:rPr>
          <w:rFonts w:ascii="Times New Roman" w:cs="Times New Roman" w:eastAsia="Times New Roman" w:hAnsi="Times New Roman"/>
          <w:sz w:val="18"/>
          <w:szCs w:val="18"/>
          <w:color w:val="auto"/>
        </w:rPr>
        <w:t>(a)the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w:t>
      </w:r>
    </w:p>
    <w:p>
      <w:pPr>
        <w:spacing w:after="0" w:line="135" w:lineRule="exact"/>
        <w:rPr>
          <w:sz w:val="20"/>
          <w:szCs w:val="20"/>
          <w:color w:val="auto"/>
        </w:rPr>
      </w:pPr>
    </w:p>
    <w:p>
      <w:pPr>
        <w:ind w:right="20" w:firstLine="864"/>
        <w:spacing w:after="0" w:line="258" w:lineRule="auto"/>
        <w:rPr>
          <w:sz w:val="20"/>
          <w:szCs w:val="20"/>
          <w:color w:val="auto"/>
        </w:rPr>
      </w:pPr>
      <w:r>
        <w:rPr>
          <w:rFonts w:ascii="Times New Roman" w:cs="Times New Roman" w:eastAsia="Times New Roman" w:hAnsi="Times New Roman"/>
          <w:sz w:val="18"/>
          <w:szCs w:val="18"/>
          <w:color w:val="auto"/>
        </w:rPr>
        <w:t>(b)in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any calculation or facts stated therein);</w:t>
      </w:r>
    </w:p>
    <w:p>
      <w:pPr>
        <w:spacing w:after="0" w:line="156" w:lineRule="exact"/>
        <w:rPr>
          <w:sz w:val="20"/>
          <w:szCs w:val="20"/>
          <w:color w:val="auto"/>
        </w:rPr>
      </w:pPr>
    </w:p>
    <w:p>
      <w:pPr>
        <w:ind w:right="40" w:firstLine="864"/>
        <w:spacing w:after="0" w:line="266" w:lineRule="auto"/>
        <w:rPr>
          <w:sz w:val="20"/>
          <w:szCs w:val="20"/>
          <w:color w:val="auto"/>
        </w:rPr>
      </w:pPr>
      <w:r>
        <w:rPr>
          <w:rFonts w:ascii="Times New Roman" w:cs="Times New Roman" w:eastAsia="Times New Roman" w:hAnsi="Times New Roman"/>
          <w:sz w:val="18"/>
          <w:szCs w:val="18"/>
          <w:color w:val="auto"/>
        </w:rPr>
        <w:t>(c)the Trustee shall not be liable for any error of judgment made in good faith by a Responsible Officer, unless it shall be conclusively determined by a court of competent jurisdiction or by such other means as may be agreed by the Company and the Trustee at the time of determination that the Trustee was negligent in ascertaining the pertinent facts; and</w:t>
      </w:r>
    </w:p>
    <w:p>
      <w:pPr>
        <w:spacing w:after="0" w:line="135" w:lineRule="exact"/>
        <w:rPr>
          <w:sz w:val="20"/>
          <w:szCs w:val="20"/>
          <w:color w:val="auto"/>
        </w:rPr>
      </w:pPr>
    </w:p>
    <w:p>
      <w:pPr>
        <w:ind w:firstLine="864"/>
        <w:spacing w:after="0" w:line="266" w:lineRule="auto"/>
        <w:rPr>
          <w:sz w:val="20"/>
          <w:szCs w:val="20"/>
          <w:color w:val="auto"/>
        </w:rPr>
      </w:pPr>
      <w:r>
        <w:rPr>
          <w:rFonts w:ascii="Times New Roman" w:cs="Times New Roman" w:eastAsia="Times New Roman" w:hAnsi="Times New Roman"/>
          <w:sz w:val="18"/>
          <w:szCs w:val="18"/>
          <w:color w:val="auto"/>
        </w:rPr>
        <w:t>(d)the Trustee shall not be liable with respect to any action taken or omitted to be taken by it in good faith in accordance with a Company Order or the direction of the Holders given as provided in Section 5.05 or otherwise exercising any trust or power conferred upon the Trustee, under this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7" w:name="page78"/>
    <w:bookmarkEnd w:id="77"/>
    <w:p>
      <w:pPr>
        <w:ind w:right="20" w:firstLine="864"/>
        <w:spacing w:after="0" w:line="261" w:lineRule="auto"/>
        <w:rPr>
          <w:sz w:val="20"/>
          <w:szCs w:val="20"/>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any potential or actual liability (financial or otherwise) in the performance of any of its duties or in the exercise of any of its rights or powers, if there shall be reasonable ground for believing that the repayment of such funds or adequate indemnity against such liability is not assured to it. This Section 6.01 is in furtherance of and subject to Sections 315 and 316 of the Trust Indenture Act.</w:t>
      </w:r>
    </w:p>
    <w:p>
      <w:pPr>
        <w:spacing w:after="0" w:line="139" w:lineRule="exact"/>
        <w:rPr>
          <w:sz w:val="20"/>
          <w:szCs w:val="20"/>
          <w:color w:val="auto"/>
        </w:rPr>
      </w:pPr>
    </w:p>
    <w:p>
      <w:pPr>
        <w:ind w:right="140" w:firstLine="864"/>
        <w:spacing w:after="0" w:line="282" w:lineRule="auto"/>
        <w:rPr>
          <w:sz w:val="20"/>
          <w:szCs w:val="20"/>
          <w:color w:val="auto"/>
        </w:rPr>
      </w:pPr>
      <w:r>
        <w:rPr>
          <w:rFonts w:ascii="Times New Roman" w:cs="Times New Roman" w:eastAsia="Times New Roman" w:hAnsi="Times New Roman"/>
          <w:sz w:val="18"/>
          <w:szCs w:val="18"/>
          <w:color w:val="auto"/>
        </w:rPr>
        <w:t>Whether or not therein expressly so provided, every provision of this Indenture relating to the conduct or affecting the liability of or affording protection to the Trustee shall be subject to the provisions of this Article 6.</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Certain Rights of the Trustee</w:t>
      </w:r>
      <w:r>
        <w:rPr>
          <w:rFonts w:ascii="Times New Roman" w:cs="Times New Roman" w:eastAsia="Times New Roman" w:hAnsi="Times New Roman"/>
          <w:sz w:val="18"/>
          <w:szCs w:val="18"/>
          <w:color w:val="auto"/>
        </w:rPr>
        <w:t>. In furtherance of and subject to the Trust Indenture Act, and subject to Section 6.01:</w:t>
      </w:r>
    </w:p>
    <w:p>
      <w:pPr>
        <w:spacing w:after="0" w:line="185" w:lineRule="exact"/>
        <w:rPr>
          <w:sz w:val="20"/>
          <w:szCs w:val="20"/>
          <w:color w:val="auto"/>
        </w:rPr>
      </w:pPr>
    </w:p>
    <w:p>
      <w:pPr>
        <w:ind w:right="140" w:firstLine="864"/>
        <w:spacing w:after="0" w:line="266" w:lineRule="auto"/>
        <w:rPr>
          <w:sz w:val="20"/>
          <w:szCs w:val="20"/>
          <w:color w:val="auto"/>
        </w:rPr>
      </w:pPr>
      <w:r>
        <w:rPr>
          <w:rFonts w:ascii="Times New Roman" w:cs="Times New Roman" w:eastAsia="Times New Roman" w:hAnsi="Times New Roman"/>
          <w:sz w:val="18"/>
          <w:szCs w:val="18"/>
          <w:color w:val="auto"/>
        </w:rPr>
        <w:t>(a)the Trustee may conclusively rely and shall be protected in acting or refraining from acting upon any resolution, Officers’ Certificate, Opinion of Counsel or any other certificate, statement, instrument, opinion, report, notice, request, consent, order, bond, debenture, note, coupon, security or other paper or document believed by it to be genuine and to have been signed or presented by the proper party or parties;</w:t>
      </w:r>
    </w:p>
    <w:p>
      <w:pPr>
        <w:spacing w:after="0" w:line="135" w:lineRule="exact"/>
        <w:rPr>
          <w:sz w:val="20"/>
          <w:szCs w:val="20"/>
          <w:color w:val="auto"/>
        </w:rPr>
      </w:pPr>
    </w:p>
    <w:p>
      <w:pPr>
        <w:ind w:right="40" w:firstLine="864"/>
        <w:spacing w:after="0" w:line="281" w:lineRule="auto"/>
        <w:rPr>
          <w:sz w:val="20"/>
          <w:szCs w:val="20"/>
          <w:color w:val="auto"/>
        </w:rPr>
      </w:pPr>
      <w:r>
        <w:rPr>
          <w:rFonts w:ascii="Times New Roman" w:cs="Times New Roman" w:eastAsia="Times New Roman" w:hAnsi="Times New Roman"/>
          <w:sz w:val="17"/>
          <w:szCs w:val="17"/>
          <w:color w:val="auto"/>
        </w:rPr>
        <w:t>(b)any request, direction, order or demand of the Company mentioned herein shall be sufficiently evidenced by an Officers’ Certificate (unless other evidence in respect thereof be herein specifically prescribed) and the Trustee may request and be entitled to receive an Officers’ Certificate before acting or refraining from acting with respect to such request, direction, order or demand; and any resolution of the Board of Directors of the Company or a Guarantor, if any, may be evidenced to the Trustee by a copy thereof certified by the Secretary or an Assistant Secretary of the Company or that Guarantor;</w:t>
      </w:r>
    </w:p>
    <w:p>
      <w:pPr>
        <w:spacing w:after="0" w:line="137" w:lineRule="exact"/>
        <w:rPr>
          <w:sz w:val="20"/>
          <w:szCs w:val="20"/>
          <w:color w:val="auto"/>
        </w:rPr>
      </w:pPr>
    </w:p>
    <w:p>
      <w:pPr>
        <w:jc w:val="both"/>
        <w:ind w:right="300" w:firstLine="864"/>
        <w:spacing w:after="0" w:line="266" w:lineRule="auto"/>
        <w:rPr>
          <w:sz w:val="20"/>
          <w:szCs w:val="20"/>
          <w:color w:val="auto"/>
        </w:rPr>
      </w:pPr>
      <w:r>
        <w:rPr>
          <w:rFonts w:ascii="Times New Roman" w:cs="Times New Roman" w:eastAsia="Times New Roman" w:hAnsi="Times New Roman"/>
          <w:sz w:val="18"/>
          <w:szCs w:val="18"/>
          <w:color w:val="auto"/>
        </w:rPr>
        <w:t>(c)the Trustee may consult with counsel of its selection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135" w:lineRule="exact"/>
        <w:rPr>
          <w:sz w:val="20"/>
          <w:szCs w:val="20"/>
          <w:color w:val="auto"/>
        </w:rPr>
      </w:pPr>
    </w:p>
    <w:p>
      <w:pPr>
        <w:jc w:val="both"/>
        <w:ind w:right="40" w:firstLine="864"/>
        <w:spacing w:after="0" w:line="266" w:lineRule="auto"/>
        <w:rPr>
          <w:sz w:val="20"/>
          <w:szCs w:val="20"/>
          <w:color w:val="auto"/>
        </w:rPr>
      </w:pPr>
      <w:r>
        <w:rPr>
          <w:rFonts w:ascii="Times New Roman" w:cs="Times New Roman" w:eastAsia="Times New Roman" w:hAnsi="Times New Roman"/>
          <w:sz w:val="18"/>
          <w:szCs w:val="18"/>
          <w:color w:val="auto"/>
        </w:rPr>
        <w:t>(d)the Trustee shall be under no obligation to exercise any of the rights or powers vested in it by this Indenture at the request, order or direction of any of the Holders of the Securities of any series pursuant to the provisions of this Indenture, unless such Holders shall have offered and provided to the Trustee security or indemnity satisfactory to it against the costs, expenses and liabilities which might be incurred therein or thereby;</w:t>
      </w:r>
    </w:p>
    <w:p>
      <w:pPr>
        <w:spacing w:after="0" w:line="135" w:lineRule="exact"/>
        <w:rPr>
          <w:sz w:val="20"/>
          <w:szCs w:val="20"/>
          <w:color w:val="auto"/>
        </w:rPr>
      </w:pPr>
    </w:p>
    <w:p>
      <w:pPr>
        <w:ind w:right="140" w:firstLine="864"/>
        <w:spacing w:after="0" w:line="282" w:lineRule="auto"/>
        <w:rPr>
          <w:sz w:val="20"/>
          <w:szCs w:val="20"/>
          <w:color w:val="auto"/>
        </w:rPr>
      </w:pPr>
      <w:r>
        <w:rPr>
          <w:rFonts w:ascii="Times New Roman" w:cs="Times New Roman" w:eastAsia="Times New Roman" w:hAnsi="Times New Roman"/>
          <w:sz w:val="18"/>
          <w:szCs w:val="18"/>
          <w:color w:val="auto"/>
        </w:rPr>
        <w:t>(e)the Trustee shall not be liable for any action taken or omitted by it in good faith and believed by it to be authorized or within the discretion, rights or powers conferred upon it by this Indenture;</w:t>
      </w:r>
    </w:p>
    <w:p>
      <w:pPr>
        <w:spacing w:after="0" w:line="135" w:lineRule="exact"/>
        <w:rPr>
          <w:sz w:val="20"/>
          <w:szCs w:val="20"/>
          <w:color w:val="auto"/>
        </w:rPr>
      </w:pPr>
    </w:p>
    <w:p>
      <w:pPr>
        <w:ind w:right="60" w:firstLine="864"/>
        <w:spacing w:after="0" w:line="255" w:lineRule="auto"/>
        <w:rPr>
          <w:sz w:val="20"/>
          <w:szCs w:val="20"/>
          <w:color w:val="auto"/>
        </w:rPr>
      </w:pPr>
      <w:r>
        <w:rPr>
          <w:rFonts w:ascii="Times New Roman" w:cs="Times New Roman" w:eastAsia="Times New Roman" w:hAnsi="Times New Roman"/>
          <w:sz w:val="18"/>
          <w:szCs w:val="18"/>
          <w:color w:val="auto"/>
        </w:rPr>
        <w:t xml:space="preserve">(f)the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any series then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payment within a reasonable time to the Trustee of the costs, expenses or liabilities likely to be incurred by it in the making of such investigation is, in the opinion of the Trustee, not assured to the Trustee by the security afforded to it by the terms of this Indenture, the Trustee may require (and shall not be required to make such investigation unless it receives) indemnity satisfactory to it against such expenses or liabilities as a condition to proceeding; the reasonable expenses of every such examination shall be paid by the Company;</w:t>
      </w:r>
    </w:p>
    <w:p>
      <w:pPr>
        <w:spacing w:after="0" w:line="148" w:lineRule="exact"/>
        <w:rPr>
          <w:sz w:val="20"/>
          <w:szCs w:val="20"/>
          <w:color w:val="auto"/>
        </w:rPr>
      </w:pPr>
    </w:p>
    <w:p>
      <w:pPr>
        <w:jc w:val="both"/>
        <w:ind w:right="300" w:firstLine="864"/>
        <w:spacing w:after="0" w:line="266" w:lineRule="auto"/>
        <w:rPr>
          <w:sz w:val="20"/>
          <w:szCs w:val="20"/>
          <w:color w:val="auto"/>
        </w:rPr>
      </w:pPr>
      <w:r>
        <w:rPr>
          <w:rFonts w:ascii="Times New Roman" w:cs="Times New Roman" w:eastAsia="Times New Roman" w:hAnsi="Times New Roman"/>
          <w:sz w:val="18"/>
          <w:szCs w:val="18"/>
          <w:color w:val="auto"/>
        </w:rPr>
        <w:t>(g)the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35" w:lineRule="exact"/>
        <w:rPr>
          <w:sz w:val="20"/>
          <w:szCs w:val="20"/>
          <w:color w:val="auto"/>
        </w:rPr>
      </w:pPr>
    </w:p>
    <w:p>
      <w:pPr>
        <w:ind w:firstLine="864"/>
        <w:spacing w:after="0" w:line="266" w:lineRule="auto"/>
        <w:rPr>
          <w:sz w:val="20"/>
          <w:szCs w:val="20"/>
          <w:color w:val="auto"/>
        </w:rPr>
      </w:pPr>
      <w:r>
        <w:rPr>
          <w:rFonts w:ascii="Times New Roman" w:cs="Times New Roman" w:eastAsia="Times New Roman" w:hAnsi="Times New Roman"/>
          <w:sz w:val="18"/>
          <w:szCs w:val="18"/>
          <w:color w:val="auto"/>
        </w:rPr>
        <w:t>(h)the rights, privileges, protections, immunities and benefits given to the Trustee under this Indenture, including, without limitation, its right to be indemnified, are extended to, and shall be enforceable by, the Trustee in each of its capacities hereunder, and to each agent, custodian and other Person employed to act hereunder and the employees, officers and directors of the Trustee;</w:t>
      </w:r>
    </w:p>
    <w:p>
      <w:pPr>
        <w:spacing w:after="0" w:line="149" w:lineRule="exact"/>
        <w:rPr>
          <w:sz w:val="20"/>
          <w:szCs w:val="20"/>
          <w:color w:val="auto"/>
        </w:rPr>
      </w:pPr>
    </w:p>
    <w:p>
      <w:pPr>
        <w:ind w:right="320" w:firstLine="872"/>
        <w:spacing w:after="0" w:line="282" w:lineRule="auto"/>
        <w:tabs>
          <w:tab w:leader="none" w:pos="107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Trustee shall not be deemed to have knowledge of any Default or Event of Default unless a Responsible Officer of the Trustee has received from a Holder, the Company or any Guarantor written notice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8" w:name="page79"/>
    <w:bookmarkEnd w:id="78"/>
    <w:p>
      <w:pPr>
        <w:ind w:right="260"/>
        <w:spacing w:after="0" w:line="282" w:lineRule="auto"/>
        <w:rPr>
          <w:sz w:val="20"/>
          <w:szCs w:val="20"/>
          <w:color w:val="auto"/>
        </w:rPr>
      </w:pPr>
      <w:r>
        <w:rPr>
          <w:rFonts w:ascii="Times New Roman" w:cs="Times New Roman" w:eastAsia="Times New Roman" w:hAnsi="Times New Roman"/>
          <w:sz w:val="18"/>
          <w:szCs w:val="18"/>
          <w:color w:val="auto"/>
        </w:rPr>
        <w:t>event which is in fact such a Default or Event of Default, as the case may be, and such notice references the Securities, this Indenture, the circumstances giving rise to such a Default or Event of Default and that the same has occurred and is continuing; and</w:t>
      </w:r>
    </w:p>
    <w:p>
      <w:pPr>
        <w:spacing w:after="0" w:line="121" w:lineRule="exact"/>
        <w:rPr>
          <w:sz w:val="20"/>
          <w:szCs w:val="20"/>
          <w:color w:val="auto"/>
        </w:rPr>
      </w:pPr>
    </w:p>
    <w:p>
      <w:pPr>
        <w:ind w:right="160" w:firstLine="864"/>
        <w:spacing w:after="0" w:line="266" w:lineRule="auto"/>
        <w:rPr>
          <w:sz w:val="20"/>
          <w:szCs w:val="20"/>
          <w:color w:val="auto"/>
        </w:rPr>
      </w:pPr>
      <w:r>
        <w:rPr>
          <w:rFonts w:ascii="Times New Roman" w:cs="Times New Roman" w:eastAsia="Times New Roman" w:hAnsi="Times New Roman"/>
          <w:sz w:val="18"/>
          <w:szCs w:val="18"/>
          <w:color w:val="auto"/>
        </w:rPr>
        <w:t>(j)The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49" w:lineRule="exact"/>
        <w:rPr>
          <w:sz w:val="20"/>
          <w:szCs w:val="20"/>
          <w:color w:val="auto"/>
        </w:rPr>
      </w:pPr>
    </w:p>
    <w:p>
      <w:pPr>
        <w:ind w:right="40" w:firstLine="864"/>
        <w:spacing w:after="0" w:line="255"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Trustee Not Responsible for Recitals, Disposition of Securities or Application of Proceeds Thereof</w:t>
      </w:r>
      <w:r>
        <w:rPr>
          <w:rFonts w:ascii="Times New Roman" w:cs="Times New Roman" w:eastAsia="Times New Roman" w:hAnsi="Times New Roman"/>
          <w:sz w:val="18"/>
          <w:szCs w:val="18"/>
          <w:color w:val="auto"/>
        </w:rPr>
        <w:t>. The recitals contained herein and in the Securities, except the Trustee’s certificates of authentication, shall be taken as the statements of the Company, and the Trustee assumes no responsibility for the correctness of the same. The Trustee makes no representation as to the validity or sufficiency of this Indenture or of the Securities,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The Trustee shall not be liable or accountable in any manner for the use or application by the Company of any of the Securities or of the proceeds thereof.</w:t>
      </w:r>
    </w:p>
    <w:p>
      <w:pPr>
        <w:spacing w:after="0" w:line="148" w:lineRule="exact"/>
        <w:rPr>
          <w:sz w:val="20"/>
          <w:szCs w:val="20"/>
          <w:color w:val="auto"/>
        </w:rPr>
      </w:pPr>
    </w:p>
    <w:p>
      <w:pPr>
        <w:ind w:firstLine="864"/>
        <w:spacing w:after="0" w:line="256"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Trustee and Agents May Hold Securities; Collections, Etc</w:t>
      </w:r>
      <w:r>
        <w:rPr>
          <w:rFonts w:ascii="Times New Roman" w:cs="Times New Roman" w:eastAsia="Times New Roman" w:hAnsi="Times New Roman"/>
          <w:sz w:val="18"/>
          <w:szCs w:val="18"/>
          <w:color w:val="auto"/>
        </w:rPr>
        <w:t>. The Trustee or any of its affiliates or any agent of the Company or the Trustee, in its individual or any other capacity, may become the owner or pledgee of Securities, subject to Sections 6.10 and 6.13 with the same rights it would have if it were not the Trustee or such agent and may otherwise deal with the Company, any Guarantor or their respective affiliates and receive, collect, hold and retain collections from the Company with the same rights it would have if it were not the Trustee or such agent. However, in the event that the Trustee acquires any “conflicting interest,” as defined in Section 310(b) of the Trust Indenture Act, it must eliminate such conflict within 90 calendar days, apply to the Commission for permission to continue as trustee or resign.</w:t>
      </w:r>
    </w:p>
    <w:p>
      <w:pPr>
        <w:spacing w:after="0" w:line="147" w:lineRule="exact"/>
        <w:rPr>
          <w:sz w:val="20"/>
          <w:szCs w:val="20"/>
          <w:color w:val="auto"/>
        </w:rPr>
      </w:pPr>
    </w:p>
    <w:p>
      <w:pPr>
        <w:jc w:val="both"/>
        <w:ind w:right="100" w:firstLine="864"/>
        <w:spacing w:after="0" w:line="261"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Moneys Held by Trustee</w:t>
      </w:r>
      <w:r>
        <w:rPr>
          <w:rFonts w:ascii="Times New Roman" w:cs="Times New Roman" w:eastAsia="Times New Roman" w:hAnsi="Times New Roman"/>
          <w:sz w:val="18"/>
          <w:szCs w:val="18"/>
          <w:color w:val="auto"/>
        </w:rPr>
        <w:t>.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Company or the Trustee shall be under any liability for interest on any moneys received by it hereunder, except as otherwise agreed with the Company.</w:t>
      </w:r>
    </w:p>
    <w:p>
      <w:pPr>
        <w:spacing w:after="0" w:line="153" w:lineRule="exact"/>
        <w:rPr>
          <w:sz w:val="20"/>
          <w:szCs w:val="20"/>
          <w:color w:val="auto"/>
        </w:rPr>
      </w:pPr>
    </w:p>
    <w:p>
      <w:pPr>
        <w:ind w:firstLine="864"/>
        <w:spacing w:after="0" w:line="254"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xml:space="preserve">. If any Default or any Event of Default occurs and is continuing with respect to the Securities of any series and if such Default or Event of Default is actually known to a Responsible Officer of the Trustee, the Trustee shall mail to each Holder of Securities of such series in the manner and to the extent provided in Trust Indenture Act Section 313(c) notice of the Default or Event of Default (“Notice of Default”) within 90 calendar days after it occurs, unless such Default or Event of Default has been cured;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in the case of a default in the payment of the principal (whether at Stated Maturity, upon redemption (if applicable), upon any required repurchase by the Company (if applicable) or otherwise) of, or interest or premium, if any, on any Security of such series, in the payment or delivery of any consideration due upon conversion or exchange of any Security of such series (if applicable) or in the payment of any sinking fund installment with respect to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Holders of Securities of such series.</w:t>
      </w:r>
    </w:p>
    <w:p>
      <w:pPr>
        <w:spacing w:after="0" w:line="148" w:lineRule="exact"/>
        <w:rPr>
          <w:sz w:val="20"/>
          <w:szCs w:val="20"/>
          <w:color w:val="auto"/>
        </w:rPr>
      </w:pPr>
    </w:p>
    <w:p>
      <w:pPr>
        <w:ind w:right="40" w:firstLine="864"/>
        <w:spacing w:after="0" w:line="255"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Compensation and Indemnification of Trustee and Its Prior Claim</w:t>
      </w:r>
      <w:r>
        <w:rPr>
          <w:rFonts w:ascii="Times New Roman" w:cs="Times New Roman" w:eastAsia="Times New Roman" w:hAnsi="Times New Roman"/>
          <w:sz w:val="18"/>
          <w:szCs w:val="18"/>
          <w:color w:val="auto"/>
        </w:rPr>
        <w:t>. The Company covenants and agrees to pay to the Trustee from time to time, and the Trustee shall be entitled to, such compensation as shall be agreed in writing between the Company and the Trustee (which shall not be limited by any provision of law in regard to the compensation of a trustee of an express trust) and the Company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 or advance as may arise from its negligence or bad faith (as determined by a court of competent jurisdiction in a final, non-appealable decision or by such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9" w:name="page80"/>
    <w:bookmarkEnd w:id="79"/>
    <w:p>
      <w:pPr>
        <w:spacing w:after="0" w:line="253" w:lineRule="auto"/>
        <w:rPr>
          <w:sz w:val="20"/>
          <w:szCs w:val="20"/>
          <w:color w:val="auto"/>
        </w:rPr>
      </w:pPr>
      <w:r>
        <w:rPr>
          <w:rFonts w:ascii="Times New Roman" w:cs="Times New Roman" w:eastAsia="Times New Roman" w:hAnsi="Times New Roman"/>
          <w:sz w:val="18"/>
          <w:szCs w:val="18"/>
          <w:color w:val="auto"/>
        </w:rPr>
        <w:t>means as may be agreed by the Company and the Trustee at the time of determination). The Company also covenants to indemnify the Trustee and each predecessor Trustee for, and to hold it harmless against, any and all loss, liability, damage, claim or expense, including taxes (other than taxes based on the income of the Trustee) incurred without negligence or bad faith on its part (as determined by a court of competent jurisdiction in a final, non-appealable decision or by such other means as may be agreed by the Company and the Trustee at the time of determination), arising out of or in connection with the acceptance or administration of this Indenture or the trusts hereunder and its duties hereunder, including without limitation the costs and expenses of defending itself against or investigating any claim (whether asserted by the Company, a Holder or any other Person). The obligations of the Company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financial obligations of the Company identified in this Section 6.07 shall be a senior claim to that of the Securities of each series, and as security for such obligations, the Trustee shall have a lien prior to such Securities, upon all property and funds held or collected by the Trustee as such, except funds held in trust for the benefit of the Holders of particular Securities, and the Securities of each series are hereby subordinated to such senior claim. Such lien shall survive the discharge and satisfaction of this Indenture.</w:t>
      </w:r>
    </w:p>
    <w:p>
      <w:pPr>
        <w:spacing w:after="0" w:line="149" w:lineRule="exact"/>
        <w:rPr>
          <w:sz w:val="20"/>
          <w:szCs w:val="20"/>
          <w:color w:val="auto"/>
        </w:rPr>
      </w:pPr>
    </w:p>
    <w:p>
      <w:pPr>
        <w:jc w:val="both"/>
        <w:ind w:right="260" w:firstLine="864"/>
        <w:spacing w:after="0" w:line="266" w:lineRule="auto"/>
        <w:rPr>
          <w:sz w:val="20"/>
          <w:szCs w:val="20"/>
          <w:color w:val="auto"/>
        </w:rPr>
      </w:pPr>
      <w:r>
        <w:rPr>
          <w:rFonts w:ascii="Times New Roman" w:cs="Times New Roman" w:eastAsia="Times New Roman" w:hAnsi="Times New Roman"/>
          <w:sz w:val="18"/>
          <w:szCs w:val="18"/>
          <w:color w:val="auto"/>
        </w:rPr>
        <w:t>When the Trustee incurs expenses or renders services in connection with an Event of Default specified in Section 5.01(d) or Section 5.01(e),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49" w:lineRule="exact"/>
        <w:rPr>
          <w:sz w:val="20"/>
          <w:szCs w:val="20"/>
          <w:color w:val="auto"/>
        </w:rPr>
      </w:pPr>
    </w:p>
    <w:p>
      <w:pPr>
        <w:ind w:right="80" w:firstLine="864"/>
        <w:spacing w:after="0" w:line="256"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Right of Trustee to Rely on Officers’ Certificate, Etc</w:t>
      </w:r>
      <w:r>
        <w:rPr>
          <w:rFonts w:ascii="Times New Roman" w:cs="Times New Roman" w:eastAsia="Times New Roman" w:hAnsi="Times New Roman"/>
          <w:sz w:val="18"/>
          <w:szCs w:val="18"/>
          <w:color w:val="auto"/>
        </w:rPr>
        <w:t>. Subject to Sections 6.01 and 6.02,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47" w:lineRule="exact"/>
        <w:rPr>
          <w:sz w:val="20"/>
          <w:szCs w:val="20"/>
          <w:color w:val="auto"/>
        </w:rPr>
      </w:pPr>
    </w:p>
    <w:p>
      <w:pPr>
        <w:ind w:right="20" w:firstLine="864"/>
        <w:spacing w:after="0" w:line="258"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Persons Eligible for Appointment as Trustee</w:t>
      </w:r>
      <w:r>
        <w:rPr>
          <w:rFonts w:ascii="Times New Roman" w:cs="Times New Roman" w:eastAsia="Times New Roman" w:hAnsi="Times New Roman"/>
          <w:sz w:val="18"/>
          <w:szCs w:val="18"/>
          <w:color w:val="auto"/>
        </w:rPr>
        <w:t>. The Trustee hereunder shall at all times be a corporation, national association or other appropriate entity having a combined capital and surplus of at least $150,000,000, and which is eligible in accordance with the provisions of Section 310(a) of the Trust Indenture Act.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14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Resignation and Removal; Appointment of Successor Trustee</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right="60" w:firstLine="864"/>
        <w:spacing w:after="0" w:line="253" w:lineRule="auto"/>
        <w:rPr>
          <w:sz w:val="20"/>
          <w:szCs w:val="20"/>
          <w:color w:val="auto"/>
        </w:rPr>
      </w:pPr>
      <w:r>
        <w:rPr>
          <w:rFonts w:ascii="Times New Roman" w:cs="Times New Roman" w:eastAsia="Times New Roman" w:hAnsi="Times New Roman"/>
          <w:sz w:val="18"/>
          <w:szCs w:val="18"/>
          <w:color w:val="auto"/>
        </w:rPr>
        <w:t>(a)The Trustee may at any time resign with respect to the Securities of one or more series by giving written notice of resignation to the Company and to the Holders of Securities of such series, such notice to the Holders to be given by mailing (by first class mail) the same within 30 calendar days after such notice is given to the Company. Upon receiving such notice of resignation, the Company shall promptly appoint a successor trustee by written instrument in duplicate, executed by authority of the Board of Directors of the Company, one copy of which instrument shall be delivered to the resigning Trustee and one copy to the successor trustee. If no successor trustee shall have been so appointed and have accepted appointment within 30 calendar days after the mailing of such notice of resignation, the resigning trustee may petition, at the expense of the Company, any court of competent jurisdiction for the appointment of a successor trustee, or any Holder of the affected series who has been a bona fide holder of the Securities of the affected series for at least six months (or since the Issue Date for such Securities if the holding period is less than six months) may, on behalf of itself and all others similarly situated, petition any such court for the appointment of a successor trustee. Such court may thereupon, after such notice, if any, as it may deem proper and prescribe, appoint a successor trustee.</w:t>
      </w:r>
    </w:p>
    <w:p>
      <w:pPr>
        <w:spacing w:after="0" w:line="15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(b)In case at any time any of the following shall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ind w:right="680" w:firstLine="864"/>
        <w:spacing w:after="0" w:line="282" w:lineRule="auto"/>
        <w:rPr>
          <w:sz w:val="20"/>
          <w:szCs w:val="20"/>
          <w:color w:val="auto"/>
        </w:rPr>
      </w:pPr>
      <w:r>
        <w:rPr>
          <w:rFonts w:ascii="Times New Roman" w:cs="Times New Roman" w:eastAsia="Times New Roman" w:hAnsi="Times New Roman"/>
          <w:sz w:val="18"/>
          <w:szCs w:val="18"/>
          <w:color w:val="auto"/>
        </w:rPr>
        <w:t>(i)the Trustee shall fail to comply with the provisions of Section 310(b) of the Trust Indenture Act, after written request therefor by the Company or by any Holder who has been a bona fide holder of Securities of the affected series for at least six months; or</w:t>
      </w:r>
    </w:p>
    <w:p>
      <w:pPr>
        <w:spacing w:after="0" w:line="121" w:lineRule="exact"/>
        <w:rPr>
          <w:sz w:val="20"/>
          <w:szCs w:val="20"/>
          <w:color w:val="auto"/>
        </w:rPr>
      </w:pPr>
    </w:p>
    <w:p>
      <w:pPr>
        <w:ind w:right="140" w:firstLine="864"/>
        <w:spacing w:after="0" w:line="282" w:lineRule="auto"/>
        <w:rPr>
          <w:sz w:val="20"/>
          <w:szCs w:val="20"/>
          <w:color w:val="auto"/>
        </w:rPr>
      </w:pPr>
      <w:r>
        <w:rPr>
          <w:rFonts w:ascii="Times New Roman" w:cs="Times New Roman" w:eastAsia="Times New Roman" w:hAnsi="Times New Roman"/>
          <w:sz w:val="18"/>
          <w:szCs w:val="18"/>
          <w:color w:val="auto"/>
        </w:rPr>
        <w:t>(ii)the Trustee shall cease to be eligible in accordance with the provisions of Section 6.09, and shall fail to resign after written request therefor by the Company or by any such Holder; or</w:t>
      </w:r>
    </w:p>
    <w:p>
      <w:pPr>
        <w:spacing w:after="0" w:line="135" w:lineRule="exact"/>
        <w:rPr>
          <w:sz w:val="20"/>
          <w:szCs w:val="20"/>
          <w:color w:val="auto"/>
        </w:rPr>
      </w:pPr>
    </w:p>
    <w:p>
      <w:pPr>
        <w:ind w:firstLine="864"/>
        <w:spacing w:after="0" w:line="266" w:lineRule="auto"/>
        <w:rPr>
          <w:sz w:val="20"/>
          <w:szCs w:val="20"/>
          <w:color w:val="auto"/>
        </w:rPr>
      </w:pPr>
      <w:r>
        <w:rPr>
          <w:rFonts w:ascii="Times New Roman" w:cs="Times New Roman" w:eastAsia="Times New Roman" w:hAnsi="Times New Roman"/>
          <w:sz w:val="18"/>
          <w:szCs w:val="18"/>
          <w:color w:val="auto"/>
        </w:rPr>
        <w:t>(iii)the Trustee shall become incapable of acting, or shall be adjudged as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then, in any such case, the Company may remove the Trustee and appoint a successor trustee by written instrument, in duplicate, executed by authority of the Board of Directors of the Company, one copy of which instrument shall be delivered to the Trustee so removed and one copy to the successor trustee, or, subject to Section 315(e) of the Trust Indenture Act, any Holder of the affected series who has been a bona fide holder of the Securities of the affected series for at least six months may, on behalf of itself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47" w:lineRule="exact"/>
        <w:rPr>
          <w:sz w:val="20"/>
          <w:szCs w:val="20"/>
          <w:color w:val="auto"/>
        </w:rPr>
      </w:pPr>
    </w:p>
    <w:p>
      <w:pPr>
        <w:ind w:right="140" w:firstLine="864"/>
        <w:spacing w:after="0" w:line="266" w:lineRule="auto"/>
        <w:rPr>
          <w:sz w:val="20"/>
          <w:szCs w:val="20"/>
          <w:color w:val="auto"/>
        </w:rPr>
      </w:pPr>
      <w:r>
        <w:rPr>
          <w:rFonts w:ascii="Times New Roman" w:cs="Times New Roman" w:eastAsia="Times New Roman" w:hAnsi="Times New Roman"/>
          <w:sz w:val="18"/>
          <w:szCs w:val="18"/>
          <w:color w:val="auto"/>
        </w:rPr>
        <w:t>(c)The Holders of a majority in aggregate Principal Amount of the Securities of any series at the time outstanding may at any time remove the Trustee for that series and appoint a successor trustee by delivering to the Trustee so removed, to the successor trustee so appointed and to the Company and any Guarantor the evidence provided for in Section 7.01 of the action in that regard taken by the Holders of that series.</w:t>
      </w:r>
    </w:p>
    <w:p>
      <w:pPr>
        <w:spacing w:after="0" w:line="149" w:lineRule="exact"/>
        <w:rPr>
          <w:sz w:val="20"/>
          <w:szCs w:val="20"/>
          <w:color w:val="auto"/>
        </w:rPr>
      </w:pPr>
    </w:p>
    <w:p>
      <w:pPr>
        <w:ind w:right="240" w:firstLine="864"/>
        <w:spacing w:after="0" w:line="266" w:lineRule="auto"/>
        <w:rPr>
          <w:sz w:val="20"/>
          <w:szCs w:val="20"/>
          <w:color w:val="auto"/>
        </w:rPr>
      </w:pPr>
      <w:r>
        <w:rPr>
          <w:rFonts w:ascii="Times New Roman" w:cs="Times New Roman" w:eastAsia="Times New Roman" w:hAnsi="Times New Roman"/>
          <w:sz w:val="18"/>
          <w:szCs w:val="18"/>
          <w:color w:val="auto"/>
        </w:rPr>
        <w:t>If no successor trustee shall have been so appointed and have accepted appointment 30 calendar days after the mailing of such notice of removal, the Trustee being removed may petition, at the expense of the Company, any court of competent jurisdiction for the appointment of a successor trustee. Such court may thereupon, after such notice, if any, as it may deem proper and prescribe, appoint a successor trustee.</w:t>
      </w:r>
    </w:p>
    <w:p>
      <w:pPr>
        <w:spacing w:after="0" w:line="135" w:lineRule="exact"/>
        <w:rPr>
          <w:sz w:val="20"/>
          <w:szCs w:val="20"/>
          <w:color w:val="auto"/>
        </w:rPr>
      </w:pPr>
    </w:p>
    <w:p>
      <w:pPr>
        <w:ind w:right="160" w:firstLine="864"/>
        <w:spacing w:after="0" w:line="282" w:lineRule="auto"/>
        <w:rPr>
          <w:sz w:val="20"/>
          <w:szCs w:val="20"/>
          <w:color w:val="auto"/>
        </w:rPr>
      </w:pPr>
      <w:r>
        <w:rPr>
          <w:rFonts w:ascii="Times New Roman" w:cs="Times New Roman" w:eastAsia="Times New Roman" w:hAnsi="Times New Roman"/>
          <w:sz w:val="18"/>
          <w:szCs w:val="18"/>
          <w:color w:val="auto"/>
        </w:rPr>
        <w:t>(d)Any resignation or removal of the Trustee and any appointment of a successor trustee pursuant to any of the provisions of this Section 6.10 shall become effective upon acceptance of appointment by the successor trustee as provided in Section 6.11.</w:t>
      </w:r>
    </w:p>
    <w:p>
      <w:pPr>
        <w:spacing w:after="0" w:line="121" w:lineRule="exact"/>
        <w:rPr>
          <w:sz w:val="20"/>
          <w:szCs w:val="20"/>
          <w:color w:val="auto"/>
        </w:rPr>
      </w:pPr>
    </w:p>
    <w:p>
      <w:pPr>
        <w:ind w:right="120" w:firstLine="864"/>
        <w:spacing w:after="0" w:line="261" w:lineRule="auto"/>
        <w:rPr>
          <w:sz w:val="20"/>
          <w:szCs w:val="20"/>
          <w:color w:val="auto"/>
        </w:rPr>
      </w:pPr>
      <w:r>
        <w:rPr>
          <w:rFonts w:ascii="Times New Roman" w:cs="Times New Roman" w:eastAsia="Times New Roman" w:hAnsi="Times New Roman"/>
          <w:sz w:val="18"/>
          <w:szCs w:val="18"/>
          <w:color w:val="auto"/>
        </w:rPr>
        <w:t>(e)The Company shall give notice of each resignation and each removal of the Trustee with respect to the Securities of any series and each appointment of a successor Trustee with respect to the Securities of any series by mailing written notice of such event by first-class mail, postage prepaid, to all Holders of Securities of such series as their names and addresses appear in the Security Register. Each notice shall include the name of the successor Trustee with respect to the Securities of such series and the address of its Corporate Trust Office.</w:t>
      </w:r>
    </w:p>
    <w:p>
      <w:pPr>
        <w:spacing w:after="0" w:line="1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Acceptance of Appointment by Successor</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40" w:firstLine="864"/>
        <w:spacing w:after="0" w:line="255" w:lineRule="auto"/>
        <w:rPr>
          <w:sz w:val="20"/>
          <w:szCs w:val="20"/>
          <w:color w:val="auto"/>
        </w:rPr>
      </w:pPr>
      <w:r>
        <w:rPr>
          <w:rFonts w:ascii="Times New Roman" w:cs="Times New Roman" w:eastAsia="Times New Roman" w:hAnsi="Times New Roman"/>
          <w:sz w:val="18"/>
          <w:szCs w:val="18"/>
          <w:color w:val="auto"/>
        </w:rPr>
        <w:t>(a)In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fees, costs, expenses and other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48" w:lineRule="exact"/>
        <w:rPr>
          <w:sz w:val="20"/>
          <w:szCs w:val="20"/>
          <w:color w:val="auto"/>
        </w:rPr>
      </w:pPr>
    </w:p>
    <w:p>
      <w:pPr>
        <w:ind w:right="120" w:firstLine="864"/>
        <w:spacing w:after="0" w:line="253" w:lineRule="auto"/>
        <w:rPr>
          <w:sz w:val="20"/>
          <w:szCs w:val="20"/>
          <w:color w:val="auto"/>
        </w:rPr>
      </w:pPr>
      <w:r>
        <w:rPr>
          <w:rFonts w:ascii="Times New Roman" w:cs="Times New Roman" w:eastAsia="Times New Roman" w:hAnsi="Times New Roman"/>
          <w:sz w:val="18"/>
          <w:szCs w:val="18"/>
          <w:color w:val="auto"/>
        </w:rPr>
        <w:t>(b)In case of the appointment hereunder of a successor Trustee with respect to the Securities of one or more (but not all) series, the Company, any applicable Guarantor,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ind w:right="100"/>
        <w:spacing w:after="0" w:line="266" w:lineRule="auto"/>
        <w:rPr>
          <w:sz w:val="20"/>
          <w:szCs w:val="20"/>
          <w:color w:val="auto"/>
        </w:rPr>
      </w:pPr>
      <w:r>
        <w:rPr>
          <w:rFonts w:ascii="Times New Roman" w:cs="Times New Roman" w:eastAsia="Times New Roman" w:hAnsi="Times New Roman"/>
          <w:sz w:val="18"/>
          <w:szCs w:val="18"/>
          <w:color w:val="auto"/>
        </w:rPr>
        <w:t>such successor Trustee relates; but, on request of the Company or any successor Trustee, such retiring Trustee shall upon payment of its fees, costs, expenses and other charges duly assign, transfer and deliver to such successor Trustee all property and money held by such retiring Trustee hereunder with respect to the Securities of that or those series to which the appointment of such successor Trustee relates.</w:t>
      </w:r>
    </w:p>
    <w:p>
      <w:pPr>
        <w:spacing w:after="0" w:line="135" w:lineRule="exact"/>
        <w:rPr>
          <w:sz w:val="20"/>
          <w:szCs w:val="20"/>
          <w:color w:val="auto"/>
        </w:rPr>
      </w:pPr>
    </w:p>
    <w:p>
      <w:pPr>
        <w:jc w:val="both"/>
        <w:ind w:right="40" w:firstLine="864"/>
        <w:spacing w:after="0" w:line="266" w:lineRule="auto"/>
        <w:rPr>
          <w:sz w:val="20"/>
          <w:szCs w:val="20"/>
          <w:color w:val="auto"/>
        </w:rPr>
      </w:pPr>
      <w:r>
        <w:rPr>
          <w:rFonts w:ascii="Times New Roman" w:cs="Times New Roman" w:eastAsia="Times New Roman" w:hAnsi="Times New Roman"/>
          <w:sz w:val="18"/>
          <w:szCs w:val="18"/>
          <w:color w:val="auto"/>
        </w:rPr>
        <w:t>(c)Upon request of any such successor Trustee, the Company and any applicable Guarantor shall execute any and all instruments for more fully and certainly vesting in and confirming to such successor Trustee all such rights, powers and trusts referred to in paragraph (a) or (b) of this Section, as the case may be.</w:t>
      </w:r>
    </w:p>
    <w:p>
      <w:pPr>
        <w:spacing w:after="0" w:line="149" w:lineRule="exact"/>
        <w:rPr>
          <w:sz w:val="20"/>
          <w:szCs w:val="20"/>
          <w:color w:val="auto"/>
        </w:rPr>
      </w:pPr>
    </w:p>
    <w:p>
      <w:pPr>
        <w:ind w:right="20" w:firstLine="864"/>
        <w:spacing w:after="0" w:line="282" w:lineRule="auto"/>
        <w:rPr>
          <w:sz w:val="20"/>
          <w:szCs w:val="20"/>
          <w:color w:val="auto"/>
        </w:rPr>
      </w:pPr>
      <w:r>
        <w:rPr>
          <w:rFonts w:ascii="Times New Roman" w:cs="Times New Roman" w:eastAsia="Times New Roman" w:hAnsi="Times New Roman"/>
          <w:sz w:val="18"/>
          <w:szCs w:val="18"/>
          <w:color w:val="auto"/>
        </w:rPr>
        <w:t>(d)No successor Trustee shall accept its appointment unless at the time of such acceptance such successor Trustee shall be qualified and eligible under the Trust Indenture Act.</w:t>
      </w:r>
    </w:p>
    <w:p>
      <w:pPr>
        <w:spacing w:after="0" w:line="121" w:lineRule="exact"/>
        <w:rPr>
          <w:sz w:val="20"/>
          <w:szCs w:val="20"/>
          <w:color w:val="auto"/>
        </w:rPr>
      </w:pPr>
    </w:p>
    <w:p>
      <w:pPr>
        <w:ind w:right="140" w:firstLine="864"/>
        <w:spacing w:after="0" w:line="256"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Merger, Conversion, Consolidation or Succession to Business of Trustee</w:t>
      </w:r>
      <w:r>
        <w:rPr>
          <w:rFonts w:ascii="Times New Roman" w:cs="Times New Roman" w:eastAsia="Times New Roman" w:hAnsi="Times New Roman"/>
          <w:sz w:val="18"/>
          <w:szCs w:val="18"/>
          <w:color w:val="auto"/>
        </w:rPr>
        <w:t xml:space="preserve">. Any corporation or national association into which the Trustee may be merged or converted or with which it may be consolidated, or to which the Trustee’s assets may be sold, or any corporation or national association resulting from any merger, conversion, consolidation or sale to which the Trustee shall be a party or by which the Trustee’s property may be bound, or any corporation or national association succeeding to all or substantially all the corporate trust business of the Trustee, shall be the successor of the Trustee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entity shall be eligible under the provisions of Section 6.09, without the execution or filing of any paper or any further act on the part of any of the parties hereto, anything herein to the contrary notwithstanding.</w:t>
      </w:r>
    </w:p>
    <w:p>
      <w:pPr>
        <w:spacing w:after="0" w:line="147" w:lineRule="exact"/>
        <w:rPr>
          <w:sz w:val="20"/>
          <w:szCs w:val="20"/>
          <w:color w:val="auto"/>
        </w:rPr>
      </w:pPr>
    </w:p>
    <w:p>
      <w:pPr>
        <w:ind w:right="60" w:firstLine="864"/>
        <w:spacing w:after="0" w:line="255" w:lineRule="auto"/>
        <w:rPr>
          <w:sz w:val="20"/>
          <w:szCs w:val="20"/>
          <w:color w:val="auto"/>
        </w:rPr>
      </w:pPr>
      <w:r>
        <w:rPr>
          <w:rFonts w:ascii="Times New Roman" w:cs="Times New Roman" w:eastAsia="Times New Roman" w:hAnsi="Times New Roman"/>
          <w:sz w:val="18"/>
          <w:szCs w:val="18"/>
          <w:color w:val="auto"/>
        </w:rPr>
        <w:t xml:space="preserve">In case at the time such successor to the Trustee shall succeed to the trusts created by this Indenture any of the Securities shall have been authenticated but not delivered, any such successor to the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and in all such cases such certificate shall have the full force that it is anywhere in the Securities or in this Indenture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adopt the certificate of authentication of any predecessor Trustee or to authenticate Securities in the name of any predecessor Trustee shall apply only to its successor or successors by merger, conversion or consolidation.</w:t>
      </w:r>
    </w:p>
    <w:p>
      <w:pPr>
        <w:spacing w:after="0" w:line="162" w:lineRule="exact"/>
        <w:rPr>
          <w:sz w:val="20"/>
          <w:szCs w:val="20"/>
          <w:color w:val="auto"/>
        </w:rPr>
      </w:pPr>
    </w:p>
    <w:p>
      <w:pPr>
        <w:ind w:firstLine="864"/>
        <w:spacing w:after="0" w:line="261"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Preferential Collection of Claims</w:t>
      </w:r>
      <w:r>
        <w:rPr>
          <w:rFonts w:ascii="Times New Roman" w:cs="Times New Roman" w:eastAsia="Times New Roman" w:hAnsi="Times New Roman"/>
          <w:sz w:val="18"/>
          <w:szCs w:val="18"/>
          <w:color w:val="auto"/>
        </w:rPr>
        <w:t>. If the Trustee shall be or shall become a creditor, directly or indirectly, secured or unsecured, of the Company (or any other obligor on the Securities), the Trustee shall be subject to the provisions of Section 311 of the Trust Indenture Act regarding the collection of claims against the Company (or any such other obligor). For purposes of Section 311(b) (4) and (6) of such Act, the following terms shall mean:</w:t>
      </w:r>
    </w:p>
    <w:p>
      <w:pPr>
        <w:spacing w:after="0" w:line="139" w:lineRule="exact"/>
        <w:rPr>
          <w:sz w:val="20"/>
          <w:szCs w:val="20"/>
          <w:color w:val="auto"/>
        </w:rPr>
      </w:pPr>
    </w:p>
    <w:p>
      <w:pPr>
        <w:ind w:right="620" w:firstLine="864"/>
        <w:spacing w:after="0" w:line="282" w:lineRule="auto"/>
        <w:rPr>
          <w:sz w:val="20"/>
          <w:szCs w:val="20"/>
          <w:color w:val="auto"/>
        </w:rPr>
      </w:pPr>
      <w:r>
        <w:rPr>
          <w:rFonts w:ascii="Times New Roman" w:cs="Times New Roman" w:eastAsia="Times New Roman" w:hAnsi="Times New Roman"/>
          <w:sz w:val="18"/>
          <w:szCs w:val="18"/>
          <w:color w:val="auto"/>
        </w:rPr>
        <w:t>(a)“cash transaction” means any transaction in which full payment for goods or securities sold is made within seven calendar days after delivery of the goods or securities in currency or in checks or other orders drawn upon banks or bankers and payable upon demand; and</w:t>
      </w:r>
    </w:p>
    <w:p>
      <w:pPr>
        <w:spacing w:after="0" w:line="121" w:lineRule="exact"/>
        <w:rPr>
          <w:sz w:val="20"/>
          <w:szCs w:val="20"/>
          <w:color w:val="auto"/>
        </w:rPr>
      </w:pPr>
    </w:p>
    <w:p>
      <w:pPr>
        <w:jc w:val="both"/>
        <w:ind w:right="320" w:firstLine="864"/>
        <w:spacing w:after="0" w:line="261" w:lineRule="auto"/>
        <w:rPr>
          <w:sz w:val="20"/>
          <w:szCs w:val="20"/>
          <w:color w:val="auto"/>
        </w:rPr>
      </w:pPr>
      <w:r>
        <w:rPr>
          <w:rFonts w:ascii="Times New Roman" w:cs="Times New Roman" w:eastAsia="Times New Roman" w:hAnsi="Times New Roman"/>
          <w:sz w:val="18"/>
          <w:szCs w:val="18"/>
          <w:color w:val="auto"/>
        </w:rPr>
        <w:t>(b)“self-liquidating paper”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ind w:right="260"/>
        <w:spacing w:after="0" w:line="282" w:lineRule="auto"/>
        <w:rPr>
          <w:sz w:val="20"/>
          <w:szCs w:val="20"/>
          <w:color w:val="auto"/>
        </w:rPr>
      </w:pPr>
      <w:r>
        <w:rPr>
          <w:rFonts w:ascii="Times New Roman" w:cs="Times New Roman" w:eastAsia="Times New Roman" w:hAnsi="Times New Roman"/>
          <w:sz w:val="18"/>
          <w:szCs w:val="18"/>
          <w:color w:val="auto"/>
        </w:rPr>
        <w:t>Trustee simultaneously with the creation of the creditor relationship with the Company arising from the making, drawing, negotiating or incurring of the draft, bill of exchange, acceptance or obligation.</w:t>
      </w:r>
    </w:p>
    <w:p>
      <w:pPr>
        <w:spacing w:after="0" w:line="121" w:lineRule="exact"/>
        <w:rPr>
          <w:sz w:val="20"/>
          <w:szCs w:val="20"/>
          <w:color w:val="auto"/>
        </w:rPr>
      </w:pPr>
    </w:p>
    <w:p>
      <w:pPr>
        <w:ind w:right="360" w:firstLine="864"/>
        <w:spacing w:after="0" w:line="261"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Communications with the Trustee</w:t>
      </w:r>
      <w:r>
        <w:rPr>
          <w:rFonts w:ascii="Times New Roman" w:cs="Times New Roman" w:eastAsia="Times New Roman" w:hAnsi="Times New Roman"/>
          <w:sz w:val="18"/>
          <w:szCs w:val="18"/>
          <w:color w:val="auto"/>
        </w:rPr>
        <w:t>. Any and all notices, certificates, opinions or filings with the Commission required or permitted to be provided by the Company to the Trustee under this Indenture shall be in writing and shall be personally delivered, sent via an internationally recognized overnight delivery service or sent by facsimile or electronic transmission to the address or telecopy number of the Corporate Trust Office.</w:t>
      </w:r>
    </w:p>
    <w:p>
      <w:pPr>
        <w:spacing w:after="0" w:line="153" w:lineRule="exact"/>
        <w:rPr>
          <w:sz w:val="20"/>
          <w:szCs w:val="20"/>
          <w:color w:val="auto"/>
        </w:rPr>
      </w:pPr>
    </w:p>
    <w:p>
      <w:pPr>
        <w:ind w:firstLine="864"/>
        <w:spacing w:after="0" w:line="282"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Paying Agent/Registrar</w:t>
      </w:r>
      <w:r>
        <w:rPr>
          <w:rFonts w:ascii="Times New Roman" w:cs="Times New Roman" w:eastAsia="Times New Roman" w:hAnsi="Times New Roman"/>
          <w:sz w:val="18"/>
          <w:szCs w:val="18"/>
          <w:color w:val="auto"/>
        </w:rPr>
        <w:t>. If the Trustee is acting as Paying Agent and/or Registrar hereunder, the rights and protections afforded to the Trustee under this Article 6 will also be afforded to the Paying Agent and/or the Registrar.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CONCERNING THE HOLDERS</w:t>
      </w:r>
    </w:p>
    <w:p>
      <w:pPr>
        <w:spacing w:after="0" w:line="166" w:lineRule="exact"/>
        <w:rPr>
          <w:sz w:val="20"/>
          <w:szCs w:val="20"/>
          <w:color w:val="auto"/>
        </w:rPr>
      </w:pPr>
    </w:p>
    <w:p>
      <w:pPr>
        <w:ind w:right="60" w:firstLine="864"/>
        <w:spacing w:after="0" w:line="272" w:lineRule="auto"/>
        <w:rPr>
          <w:sz w:val="20"/>
          <w:szCs w:val="20"/>
          <w:color w:val="auto"/>
        </w:rPr>
      </w:pPr>
      <w:r>
        <w:rPr>
          <w:rFonts w:ascii="Times New Roman" w:cs="Times New Roman" w:eastAsia="Times New Roman" w:hAnsi="Times New Roman"/>
          <w:sz w:val="17"/>
          <w:szCs w:val="17"/>
          <w:color w:val="auto"/>
        </w:rPr>
        <w:t xml:space="preserve">SECTION 7.01. </w:t>
      </w:r>
      <w:r>
        <w:rPr>
          <w:rFonts w:ascii="Times New Roman" w:cs="Times New Roman" w:eastAsia="Times New Roman" w:hAnsi="Times New Roman"/>
          <w:sz w:val="17"/>
          <w:szCs w:val="17"/>
          <w:u w:val="single" w:color="auto"/>
          <w:color w:val="auto"/>
        </w:rPr>
        <w:t>Evidence of Action Taken by Holders</w:t>
      </w:r>
      <w:r>
        <w:rPr>
          <w:rFonts w:ascii="Times New Roman" w:cs="Times New Roman" w:eastAsia="Times New Roman" w:hAnsi="Times New Roman"/>
          <w:sz w:val="17"/>
          <w:szCs w:val="17"/>
          <w:color w:val="auto"/>
        </w:rPr>
        <w:t>. Any request, demand, authorization, direction, notice, consent, waiver or other action provided by this Indenture to be given or taken by Holders of Securities of any series may be embodied in and evidenced (a) by one or more instruments of substantially similar tenor signed by such Holders in person or by agent duly appointed in writing, (b) by the record of the Holders of Securities of such series voting in favor thereof at any meeting of Holders duly called and held in accordance with the provisions of Article 8, or (c) by a combination of such instrument or instruments and any such record of such a meeting of Holders; and, except as herein otherwise expressly provided, such action shall become effective when such instrument or instruments are delivered to the Trustee and, where it is hereby expressly required, to the Company and each Guarantor, if any. Proof of execution of any instrument or of a writing appointing any such agent shall be sufficient for any purpose of this Indenture and (subject to Sections 6.01 and 6.02) conclusive in favor of the Trustee, the Company and each Guarantor, if any, if made in the manner provided in this Article.</w:t>
      </w:r>
    </w:p>
    <w:p>
      <w:pPr>
        <w:spacing w:after="0" w:line="145" w:lineRule="exact"/>
        <w:rPr>
          <w:sz w:val="20"/>
          <w:szCs w:val="20"/>
          <w:color w:val="auto"/>
        </w:rPr>
      </w:pPr>
    </w:p>
    <w:p>
      <w:pPr>
        <w:ind w:right="60" w:firstLine="864"/>
        <w:spacing w:after="0" w:line="254"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Proof of Execution of Instruments and of Holding of Securities; Record Date</w:t>
      </w:r>
      <w:r>
        <w:rPr>
          <w:rFonts w:ascii="Times New Roman" w:cs="Times New Roman" w:eastAsia="Times New Roman" w:hAnsi="Times New Roman"/>
          <w:sz w:val="18"/>
          <w:szCs w:val="18"/>
          <w:color w:val="auto"/>
        </w:rPr>
        <w:t>. Subject to Sections 6.01 and 6.02, the execution of any instrument by a Holder or its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Company may set a record date for purposes of determining the identity of Holders of Securities entitled to vote or consent to any action referred to in Section 7.01, which record date may be set at any time or from time to time by notice to the Trustee, for any date or dates (in the case of any adjournment or resolicitation) not more than 90 calendar days nor less than 20 calendar days prior to the proposed date of such vote or consent, and thereafter, notwithstanding any other provisions hereof, only Holders of Securities of record on such record date shall be entitled to so vote or give such consent or to withdraw such vote or consent.</w:t>
      </w:r>
    </w:p>
    <w:p>
      <w:pPr>
        <w:spacing w:after="0" w:line="151" w:lineRule="exact"/>
        <w:rPr>
          <w:sz w:val="20"/>
          <w:szCs w:val="20"/>
          <w:color w:val="auto"/>
        </w:rPr>
      </w:pPr>
    </w:p>
    <w:p>
      <w:pPr>
        <w:ind w:firstLine="864"/>
        <w:spacing w:after="0" w:line="255"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Who May Be Deemed Owners of Securities</w:t>
      </w:r>
      <w:r>
        <w:rPr>
          <w:rFonts w:ascii="Times New Roman" w:cs="Times New Roman" w:eastAsia="Times New Roman" w:hAnsi="Times New Roman"/>
          <w:sz w:val="18"/>
          <w:szCs w:val="18"/>
          <w:color w:val="auto"/>
        </w:rPr>
        <w:t>. The Company, each Guarantor, if any, the Trustee, any Paying Agent and any Registrar may deem and treat the person in whose name any Security of any series shall be registered in the Security Register on the applicable record date as the absolute owner of such Security (whether or not such Security shall be overdue and notwithstanding any notation of ownership or other writing thereon) for the purpose of receiving payment of or on account of the principal of (and premium, if any) and interest, if any, on such Security and for all other purposes; and none of the Company, any Guarantor, the Trustee, any Paying Agent or any Registrar shall be affected by any notice to the contrary. All such payments so made to, or upon the order of, any Holders shall be valid, and, to the extent of the sum or sums so paid, effectual to satisfy and discharge the liability of moneys payable upon any such Security.</w:t>
      </w:r>
    </w:p>
    <w:p>
      <w:pPr>
        <w:spacing w:after="0" w:line="148" w:lineRule="exact"/>
        <w:rPr>
          <w:sz w:val="20"/>
          <w:szCs w:val="20"/>
          <w:color w:val="auto"/>
        </w:rPr>
      </w:pPr>
    </w:p>
    <w:p>
      <w:pPr>
        <w:ind w:right="200" w:firstLine="864"/>
        <w:spacing w:after="0" w:line="255"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Securities Owned by Company Deemed Not Outstanding</w:t>
      </w:r>
      <w:r>
        <w:rPr>
          <w:rFonts w:ascii="Times New Roman" w:cs="Times New Roman" w:eastAsia="Times New Roman" w:hAnsi="Times New Roman"/>
          <w:sz w:val="18"/>
          <w:szCs w:val="18"/>
          <w:color w:val="auto"/>
        </w:rPr>
        <w:t>. In determining whether the Holders of the requisite aggregate Principal Amount of Securities of any series have concurred in any direction, consent or waiver under this Indenture, Securities of such series which are owned by the Company, any Guarantor with respect to such series or any other obligor on the Securities of such series or by any person directly or indirectly controlling or controlled by or under direct or indirect common control with the Company, any such Guarantor or any other obligor on the Securities of such series shall be disregarded and deemed not to be outstanding for the purpose of any such determination, except that for the purpose of determining whether the Trustee shall be protected in relying on any such direction, consent or waiver only Securities which a Responsible Officer of the Trustee actually knows are so owned shall be so disregarded. Securities so owned which have been pledged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spacing w:after="0" w:line="254" w:lineRule="auto"/>
        <w:rPr>
          <w:sz w:val="20"/>
          <w:szCs w:val="20"/>
          <w:color w:val="auto"/>
        </w:rPr>
      </w:pPr>
      <w:r>
        <w:rPr>
          <w:rFonts w:ascii="Times New Roman" w:cs="Times New Roman" w:eastAsia="Times New Roman" w:hAnsi="Times New Roman"/>
          <w:sz w:val="18"/>
          <w:szCs w:val="18"/>
          <w:color w:val="auto"/>
        </w:rPr>
        <w:t>may be regarded as outstanding if the pledgee establishes to the satisfaction of the Trustee the pledgee’s right so to act with respect to such Securities and that the pledgee is not the Company, any Guarantor or any other obligor upon the Securities or any person directly or indirectly controlling or controlled by or under direct or indirect common control with the Company, any Guarantor or any other obligor on the Securities. In case of a dispute as to such right, the advice of counsel shall be full protection in respect of any decision made by the Trustee in accordance with such advice. Upon request of the Trustee, the Company shall furnish to the Trustee promptly an Officers’ Certificate listing and identifying all Securities of any series, if any, known by the Company to be owned or held by or for the account of any of the above-described persons; and, subject to Sections 6.01 and 6.02, the Trustee shall be entitled to accept such Officers’ Certificate as conclusive evidence of the facts therein set forth and of the fact that all Securities of such series not listed therein are outstanding for the purpose of any such determination.</w:t>
      </w:r>
    </w:p>
    <w:p>
      <w:pPr>
        <w:spacing w:after="0" w:line="151" w:lineRule="exact"/>
        <w:rPr>
          <w:sz w:val="20"/>
          <w:szCs w:val="20"/>
          <w:color w:val="auto"/>
        </w:rPr>
      </w:pPr>
    </w:p>
    <w:p>
      <w:pPr>
        <w:ind w:firstLine="864"/>
        <w:spacing w:after="0" w:line="254"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Record Date for Action by Holders</w:t>
      </w:r>
      <w:r>
        <w:rPr>
          <w:rFonts w:ascii="Times New Roman" w:cs="Times New Roman" w:eastAsia="Times New Roman" w:hAnsi="Times New Roman"/>
          <w:sz w:val="18"/>
          <w:szCs w:val="18"/>
          <w:color w:val="auto"/>
        </w:rPr>
        <w:t>. Whenever in this Indenture it is provided that Holders of a specified percentage in aggregate principal amount of the Securities of any series may take any action (including the making of any demand or request, the giving of any direction, notice, consent or waiver or the taking of any other action), other than any action taken at a meeting of Holders of such series called pursuant to Article 8, the Company may, but shall not be obligated to, fix a record date, which need not be the date provided in TIA Section 316(c) to the extent it would otherwise be applicable, for the purpose of determining the Holders entitled to give their consent or take any other action described above or required or permitted to be taken pursuant to this Indenture. If a record date is fixed, then notwithstanding Section 7.06, those Persons who were Holders at such record date (or their duly designated proxies), and only those Persons, shall be entitled to give such consent or to revoke any consent previously given or to take any such action, whether or not such Persons continue to be Holders after such record date. No such consent shall be valid or effective for more than 90 days after such record date.</w:t>
      </w:r>
    </w:p>
    <w:p>
      <w:pPr>
        <w:spacing w:after="0" w:line="161" w:lineRule="exact"/>
        <w:rPr>
          <w:sz w:val="20"/>
          <w:szCs w:val="20"/>
          <w:color w:val="auto"/>
        </w:rPr>
      </w:pPr>
    </w:p>
    <w:p>
      <w:pPr>
        <w:ind w:firstLine="864"/>
        <w:spacing w:after="0" w:line="254"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Right of Revocation of Action Taken</w:t>
      </w:r>
      <w:r>
        <w:rPr>
          <w:rFonts w:ascii="Times New Roman" w:cs="Times New Roman" w:eastAsia="Times New Roman" w:hAnsi="Times New Roman"/>
          <w:sz w:val="18"/>
          <w:szCs w:val="18"/>
          <w:color w:val="auto"/>
        </w:rPr>
        <w:t>. At any time prior to (but not after) the evidencing to the Trustee, as provided in Section 7.01, of the taking of any action by the Holders of the percentage in aggregate Principal Amount of the Securities of any series specified in this Indenture in connection with such action, any Holder of a Security the serial number of which is shown by the evidence to be included among the serial numbers of the Securities of the series the Holders of which have consented to such action may, by filing written notice at the Corporate Trust Office and upon proof of holding as provided in this Article 7,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irrespective of whether or not any notation in regard thereto is made upon any such Security. Any action taken by the Holders of the percentage in aggregate Principal Amount of the Securities of any series specified in this Indenture in connection with such action shall be conclusively binding upon the Company, each Guarantor with respect to such series, if any, the Trustee and the Holders of all the Securities of such series.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MEETINGS OF HOLDERS</w:t>
      </w:r>
    </w:p>
    <w:p>
      <w:pPr>
        <w:spacing w:after="0" w:line="166" w:lineRule="exact"/>
        <w:rPr>
          <w:sz w:val="20"/>
          <w:szCs w:val="20"/>
          <w:color w:val="auto"/>
        </w:rPr>
      </w:pPr>
    </w:p>
    <w:p>
      <w:pPr>
        <w:ind w:right="180" w:firstLine="864"/>
        <w:spacing w:after="0" w:line="282"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Purposes for Which Meeting May Be Called</w:t>
      </w:r>
      <w:r>
        <w:rPr>
          <w:rFonts w:ascii="Times New Roman" w:cs="Times New Roman" w:eastAsia="Times New Roman" w:hAnsi="Times New Roman"/>
          <w:sz w:val="18"/>
          <w:szCs w:val="18"/>
          <w:color w:val="auto"/>
        </w:rPr>
        <w:t>. A meeting of Holders of Securities of any series may be called at any time and from time to time pursuant to the provisions of this Article 8 for any of the following purposes:</w:t>
      </w:r>
    </w:p>
    <w:p>
      <w:pPr>
        <w:spacing w:after="0" w:line="135" w:lineRule="exact"/>
        <w:rPr>
          <w:sz w:val="20"/>
          <w:szCs w:val="20"/>
          <w:color w:val="auto"/>
        </w:rPr>
      </w:pPr>
    </w:p>
    <w:p>
      <w:pPr>
        <w:ind w:right="40" w:firstLine="864"/>
        <w:spacing w:after="0" w:line="266" w:lineRule="auto"/>
        <w:rPr>
          <w:sz w:val="20"/>
          <w:szCs w:val="20"/>
          <w:color w:val="auto"/>
        </w:rPr>
      </w:pPr>
      <w:r>
        <w:rPr>
          <w:rFonts w:ascii="Times New Roman" w:cs="Times New Roman" w:eastAsia="Times New Roman" w:hAnsi="Times New Roman"/>
          <w:sz w:val="18"/>
          <w:szCs w:val="18"/>
          <w:color w:val="auto"/>
        </w:rPr>
        <w:t>(a)to give any notice to the Company, any Guarantor or to the Trustee, or to give any directions to the Trustee, or to consent to the waiving of any Default or Event of Default with respect to the Securities of such series hereunder and its consequences, or take any other action authorized to be taken by Holders of such series pursuant to any of the provisions of Article 5;</w:t>
      </w:r>
    </w:p>
    <w:p>
      <w:pPr>
        <w:spacing w:after="0" w:line="135" w:lineRule="exact"/>
        <w:rPr>
          <w:sz w:val="20"/>
          <w:szCs w:val="20"/>
          <w:color w:val="auto"/>
        </w:rPr>
      </w:pPr>
    </w:p>
    <w:p>
      <w:pPr>
        <w:ind w:left="880" w:right="320"/>
        <w:spacing w:after="0" w:line="485" w:lineRule="auto"/>
        <w:rPr>
          <w:sz w:val="20"/>
          <w:szCs w:val="20"/>
          <w:color w:val="auto"/>
        </w:rPr>
      </w:pPr>
      <w:r>
        <w:rPr>
          <w:rFonts w:ascii="Times New Roman" w:cs="Times New Roman" w:eastAsia="Times New Roman" w:hAnsi="Times New Roman"/>
          <w:sz w:val="18"/>
          <w:szCs w:val="18"/>
          <w:color w:val="auto"/>
        </w:rPr>
        <w:t>(b)to remove the Trustee and appoint a successor trustee with respect to the Securities of such series pursuant to the provisions of Article 6; (c)to consent to the execution of an indenture or indentures supplemental hereto pursuant to the provisions of Section 9.02;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4" w:name="page85"/>
    <w:bookmarkEnd w:id="84"/>
    <w:p>
      <w:pPr>
        <w:ind w:right="600" w:firstLine="864"/>
        <w:spacing w:after="0" w:line="282" w:lineRule="auto"/>
        <w:rPr>
          <w:sz w:val="20"/>
          <w:szCs w:val="20"/>
          <w:color w:val="auto"/>
        </w:rPr>
      </w:pPr>
      <w:r>
        <w:rPr>
          <w:rFonts w:ascii="Times New Roman" w:cs="Times New Roman" w:eastAsia="Times New Roman" w:hAnsi="Times New Roman"/>
          <w:sz w:val="18"/>
          <w:szCs w:val="18"/>
          <w:color w:val="auto"/>
        </w:rPr>
        <w:t>(d)to take any other action authorized to be taken by or on behalf of the Holders of the percentage in aggregate Principal Amount of the Securities of such series under any other provisions of this Indenture or under applicable law.</w:t>
      </w:r>
    </w:p>
    <w:p>
      <w:pPr>
        <w:spacing w:after="0" w:line="121" w:lineRule="exact"/>
        <w:rPr>
          <w:sz w:val="20"/>
          <w:szCs w:val="20"/>
          <w:color w:val="auto"/>
        </w:rPr>
      </w:pPr>
    </w:p>
    <w:p>
      <w:pPr>
        <w:ind w:firstLine="864"/>
        <w:spacing w:after="0" w:line="254"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Manner of Calling Meetings; Record Date</w:t>
      </w:r>
      <w:r>
        <w:rPr>
          <w:rFonts w:ascii="Times New Roman" w:cs="Times New Roman" w:eastAsia="Times New Roman" w:hAnsi="Times New Roman"/>
          <w:sz w:val="18"/>
          <w:szCs w:val="18"/>
          <w:color w:val="auto"/>
        </w:rPr>
        <w:t>. The Trustee may at any time call a meeting of Holders of any series to take any action specified in Section 8.01, to be held at such time and at such place in [•], or as the Trustee shall determine. Notice of every meeting of Holders of any series setting forth the time and the place of such meeting and in general terms the action proposed to be taken at such meeting, shall be mailed not less than 30 nor more than 60 calendar days prior to the date fixed for the meeting to such Holders at their registered addresses. For the purpose of determining Holders entitled to notice of any meeting of Holders, the Trustee shall fix in advance a date as the record date for such determination, such date to be a Business Day not more than 10 calendar days prior to the date of the mailing of such notice as hereinabove provided. Only persons in whose name a Security of such series is registered upon the books of the Company on a record date fixed by the Trustee as aforesaid, or by the Company or the Holders as in Section 8.03 provided, shall be entitled to notice of the meeting of Holders with respect to which such record date was so fixed.</w:t>
      </w:r>
    </w:p>
    <w:p>
      <w:pPr>
        <w:spacing w:after="0" w:line="165" w:lineRule="exact"/>
        <w:rPr>
          <w:sz w:val="20"/>
          <w:szCs w:val="20"/>
          <w:color w:val="auto"/>
        </w:rPr>
      </w:pPr>
    </w:p>
    <w:p>
      <w:pPr>
        <w:ind w:firstLine="864"/>
        <w:spacing w:after="0" w:line="254"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Call of Meeting by Company or Holders</w:t>
      </w:r>
      <w:r>
        <w:rPr>
          <w:rFonts w:ascii="Times New Roman" w:cs="Times New Roman" w:eastAsia="Times New Roman" w:hAnsi="Times New Roman"/>
          <w:sz w:val="18"/>
          <w:szCs w:val="18"/>
          <w:color w:val="auto"/>
        </w:rPr>
        <w:t>. In case at any time the Company or a Guarantor, if any, pursuant to a resolution of its Board of Directors, or the Holders of at least 10 percent in aggregate principal amount of the Securities of any series then outstanding, shall have requested the Trustee to call a meeting of the Holders of such series to take any action authorized in Section 8.01 by written request setting forth in reasonable detail the action proposed to be taken at the meeting, and the Trustee shall not have mailed notice of such meeting within 20 calendar days after receipt of such request, then the Company, any such Guarantor or the Holders of Securities of such series in the amount above specified may fix the record date with respect to, and determine the time and the place for, such meeting and may call such meeting to take any action authorized in Section 8.01, by mailing notice thereof as provided in Section 8.02. The record date fixed as provided in the preceding sentence shall be set forth in a written notice to the Trustee and shall be a Business Day not less than 15 nor more than 20 calendar days after the date on which such notice is sent to the Trustee.</w:t>
      </w:r>
    </w:p>
    <w:p>
      <w:pPr>
        <w:spacing w:after="0" w:line="151" w:lineRule="exact"/>
        <w:rPr>
          <w:sz w:val="20"/>
          <w:szCs w:val="20"/>
          <w:color w:val="auto"/>
        </w:rPr>
      </w:pPr>
    </w:p>
    <w:p>
      <w:pPr>
        <w:ind w:right="100" w:firstLine="864"/>
        <w:spacing w:after="0" w:line="258"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Who May Attend and Vote at Meeting</w:t>
      </w:r>
      <w:r>
        <w:rPr>
          <w:rFonts w:ascii="Times New Roman" w:cs="Times New Roman" w:eastAsia="Times New Roman" w:hAnsi="Times New Roman"/>
          <w:sz w:val="18"/>
          <w:szCs w:val="18"/>
          <w:color w:val="auto"/>
        </w:rPr>
        <w:t>. To be entitled to vote at any meeting of Holders of any series, a person shall be a Holder of one or more Securities of such series. The only persons who shall be entitled to be present or to speak at any meeting of Holders of any series shall be the persons entitled to vote at such meeting and their counsel, any representatives of the Trustee and its counsel, any representatives of the Company and its counsel, and any representatives of any Guarantor of such Securities and its counsel. When a determination of Holders entitled to vote at any meeting of Holders has been made as provided in this Section 8.04, such determination shall apply to any adjournment thereof.</w:t>
      </w:r>
    </w:p>
    <w:p>
      <w:pPr>
        <w:spacing w:after="0" w:line="143" w:lineRule="exact"/>
        <w:rPr>
          <w:sz w:val="20"/>
          <w:szCs w:val="20"/>
          <w:color w:val="auto"/>
        </w:rPr>
      </w:pPr>
    </w:p>
    <w:p>
      <w:pPr>
        <w:jc w:val="both"/>
        <w:ind w:right="200" w:firstLine="864"/>
        <w:spacing w:after="0" w:line="258"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Notwithstanding any other provisions of this Indenture, the Trustee may make such reasonable regulations as it may deem advisable for any meeting of Holders of any series, in regard to proof of the holding of the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 Except as otherwise permitted or required by any such regulations, the holding of the Securities of such series shall be provided in the manner specified in Section 8.06.</w:t>
      </w:r>
    </w:p>
    <w:p>
      <w:pPr>
        <w:spacing w:after="0" w:line="156" w:lineRule="exact"/>
        <w:rPr>
          <w:sz w:val="20"/>
          <w:szCs w:val="20"/>
          <w:color w:val="auto"/>
        </w:rPr>
      </w:pPr>
    </w:p>
    <w:p>
      <w:pPr>
        <w:ind w:right="180" w:firstLine="864"/>
        <w:spacing w:after="0" w:line="261" w:lineRule="auto"/>
        <w:rPr>
          <w:sz w:val="20"/>
          <w:szCs w:val="20"/>
          <w:color w:val="auto"/>
        </w:rPr>
      </w:pPr>
      <w:r>
        <w:rPr>
          <w:rFonts w:ascii="Times New Roman" w:cs="Times New Roman" w:eastAsia="Times New Roman" w:hAnsi="Times New Roman"/>
          <w:sz w:val="18"/>
          <w:szCs w:val="18"/>
          <w:color w:val="auto"/>
        </w:rPr>
        <w:t>The Trustee shall, by an instrument in writing, appoint a temporary chairman of the meeting, unless the meeting shall have been called by the Company or by Holders as provided in Section 8.03, in which case the Company or the Holders calling the meeting, as the case may be, shall in like manner appoint a temporary chairman. A permanent chairman and a permanent secretary of the meeting shall be elected by a vote of the Holders of a majority in Principal Amount of the Securities represented at the meeting and entitled to vote.</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Subject to the provisions of Section 7.04, at any meeting each Holder or proxy entitled to vote thereat shall be entitled to one vote for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$1,000 principal amount of Securities of such series held or represented by him;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vote shall be cast or counted at any meeting in respect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Security challenged as not outstanding and ruled by the chairman of the meeting to be not outstanding. The chairman of the meeting shall have no right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vote other than by virtue of Securities held by him or instruments in writing as aforesaid duly designating him as the person to vote on behalf of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Any meeting of Holders duly called pursuant to the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of Section 8.02 or 8.03 may be adjourned from time to time, and the meeting may be held as so adjourned without further notice.</w:t>
      </w:r>
    </w:p>
    <w:p>
      <w:pPr>
        <w:spacing w:after="0" w:line="185" w:lineRule="exact"/>
        <w:rPr>
          <w:sz w:val="20"/>
          <w:szCs w:val="20"/>
          <w:color w:val="auto"/>
        </w:rPr>
      </w:pPr>
    </w:p>
    <w:p>
      <w:pPr>
        <w:ind w:right="20" w:firstLine="864"/>
        <w:spacing w:after="0" w:line="258" w:lineRule="auto"/>
        <w:rPr>
          <w:sz w:val="20"/>
          <w:szCs w:val="20"/>
          <w:color w:val="auto"/>
        </w:rPr>
      </w:pPr>
      <w:r>
        <w:rPr>
          <w:rFonts w:ascii="Times New Roman" w:cs="Times New Roman" w:eastAsia="Times New Roman" w:hAnsi="Times New Roman"/>
          <w:sz w:val="18"/>
          <w:szCs w:val="18"/>
          <w:color w:val="auto"/>
        </w:rPr>
        <w:t>At any meeting of Holders of any series, the presence of persons who held, or who are acting as proxy for persons who held, an aggregate Principal Amount of Securities of such series on the record date for such meeting sufficient to take action on the business for the transaction of which such meeting was called shall constitute a quorum, but, if less than a quorum is present, the persons holding or representing a majority in aggregate Principal Amount of the Securities of such series represented at the meeting may adjourn such meeting with the same effect, for all intents and purposes, as though a quorum had been present.</w:t>
      </w:r>
    </w:p>
    <w:p>
      <w:pPr>
        <w:spacing w:after="0" w:line="156" w:lineRule="exact"/>
        <w:rPr>
          <w:sz w:val="20"/>
          <w:szCs w:val="20"/>
          <w:color w:val="auto"/>
        </w:rPr>
      </w:pPr>
    </w:p>
    <w:p>
      <w:pPr>
        <w:ind w:firstLine="864"/>
        <w:spacing w:after="0" w:line="253"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Manner of Voting at Meetings and Record to be Kept</w:t>
      </w:r>
      <w:r>
        <w:rPr>
          <w:rFonts w:ascii="Times New Roman" w:cs="Times New Roman" w:eastAsia="Times New Roman" w:hAnsi="Times New Roman"/>
          <w:sz w:val="18"/>
          <w:szCs w:val="18"/>
          <w:color w:val="auto"/>
        </w:rPr>
        <w:t>. The vote upon any resolution submitted to any meeting of Holders of any series shall be by written ballots on each of which shall be subscribed the signature of the Holder or proxy casting such ballot and the identifying number or numbers of the Securities of such series held or represented in respect of which such ballot is cast.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8.02. The record shall show the identifying numbers of the Securities of such series voting in favor of or against any resolution. Each counterpart of such record shall be signed and verified by the affidavits of the permanent chairman and secretary of the meeting and one of the counterparts shall be delivered to the Company and the other to the Trustee to be preserved by the Trustee.</w:t>
      </w:r>
    </w:p>
    <w:p>
      <w:pPr>
        <w:spacing w:after="0" w:line="154" w:lineRule="exact"/>
        <w:rPr>
          <w:sz w:val="20"/>
          <w:szCs w:val="20"/>
          <w:color w:val="auto"/>
        </w:rPr>
      </w:pPr>
    </w:p>
    <w:p>
      <w:pPr>
        <w:ind w:right="200" w:firstLine="864"/>
        <w:spacing w:after="0" w:line="282" w:lineRule="auto"/>
        <w:rPr>
          <w:sz w:val="20"/>
          <w:szCs w:val="20"/>
          <w:color w:val="auto"/>
        </w:rPr>
      </w:pPr>
      <w:r>
        <w:rPr>
          <w:rFonts w:ascii="Times New Roman" w:cs="Times New Roman" w:eastAsia="Times New Roman" w:hAnsi="Times New Roman"/>
          <w:sz w:val="18"/>
          <w:szCs w:val="18"/>
          <w:color w:val="auto"/>
        </w:rPr>
        <w:t>Any counterpart record so signed and verified shall be conclusive evidence of the matters therein stated and shall be the record referred to in clause (b) of Section 7.01.</w:t>
      </w:r>
    </w:p>
    <w:p>
      <w:pPr>
        <w:spacing w:after="0" w:line="121" w:lineRule="exact"/>
        <w:rPr>
          <w:sz w:val="20"/>
          <w:szCs w:val="20"/>
          <w:color w:val="auto"/>
        </w:rPr>
      </w:pPr>
    </w:p>
    <w:p>
      <w:pPr>
        <w:ind w:right="20" w:firstLine="864"/>
        <w:spacing w:after="0" w:line="261"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Exercise of Rights of Trustee and Holders Not to be Hindered or Delayed</w:t>
      </w:r>
      <w:r>
        <w:rPr>
          <w:rFonts w:ascii="Times New Roman" w:cs="Times New Roman" w:eastAsia="Times New Roman" w:hAnsi="Times New Roman"/>
          <w:sz w:val="18"/>
          <w:szCs w:val="18"/>
          <w:color w:val="auto"/>
        </w:rPr>
        <w:t>. Nothing in this Article 8 contained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of any series under any of the provisions of this Indenture or of the Securities of such series.</w:t>
      </w:r>
    </w:p>
    <w:p>
      <w:pPr>
        <w:spacing w:after="0" w:line="1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SUPPLEMENTAL INDENTURES</w:t>
      </w:r>
    </w:p>
    <w:p>
      <w:pPr>
        <w:spacing w:after="0" w:line="166" w:lineRule="exact"/>
        <w:rPr>
          <w:sz w:val="20"/>
          <w:szCs w:val="20"/>
          <w:color w:val="auto"/>
        </w:rPr>
      </w:pPr>
    </w:p>
    <w:p>
      <w:pPr>
        <w:ind w:right="220" w:firstLine="864"/>
        <w:spacing w:after="0" w:line="282"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Supplemental Indentures Without Consent of Holders</w:t>
      </w:r>
      <w:r>
        <w:rPr>
          <w:rFonts w:ascii="Times New Roman" w:cs="Times New Roman" w:eastAsia="Times New Roman" w:hAnsi="Times New Roman"/>
          <w:sz w:val="18"/>
          <w:szCs w:val="18"/>
          <w:color w:val="auto"/>
        </w:rPr>
        <w:t>. The Company, the Guarantors, if any, and the Trustee may amend or supplement this Indenture or the Securities of any series or waive any provision hereof or thereof without the consent of any Holder:</w:t>
      </w:r>
    </w:p>
    <w:p>
      <w:pPr>
        <w:spacing w:after="0" w:line="121" w:lineRule="exact"/>
        <w:rPr>
          <w:sz w:val="20"/>
          <w:szCs w:val="20"/>
          <w:color w:val="auto"/>
        </w:rPr>
      </w:pPr>
    </w:p>
    <w:p>
      <w:pPr>
        <w:ind w:right="180" w:firstLine="864"/>
        <w:spacing w:after="0" w:line="282" w:lineRule="auto"/>
        <w:rPr>
          <w:sz w:val="20"/>
          <w:szCs w:val="20"/>
          <w:color w:val="auto"/>
        </w:rPr>
      </w:pPr>
      <w:r>
        <w:rPr>
          <w:rFonts w:ascii="Times New Roman" w:cs="Times New Roman" w:eastAsia="Times New Roman" w:hAnsi="Times New Roman"/>
          <w:sz w:val="18"/>
          <w:szCs w:val="18"/>
          <w:color w:val="auto"/>
        </w:rPr>
        <w:t>(a)to cure any ambiguity, defect or inconsistency in a manner that does not, individually or in the aggregate with all other changes, adversely affect the rights of any Holder of the Securities of any series in any material respect;</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(b)to provide for uncertificated Securities in addition to or in place of certificated Securities;</w:t>
      </w:r>
    </w:p>
    <w:p>
      <w:pPr>
        <w:spacing w:after="0" w:line="185" w:lineRule="exact"/>
        <w:rPr>
          <w:sz w:val="20"/>
          <w:szCs w:val="20"/>
          <w:color w:val="auto"/>
        </w:rPr>
      </w:pPr>
    </w:p>
    <w:p>
      <w:pPr>
        <w:ind w:right="140" w:firstLine="864"/>
        <w:spacing w:after="0" w:line="282" w:lineRule="auto"/>
        <w:rPr>
          <w:sz w:val="20"/>
          <w:szCs w:val="20"/>
          <w:color w:val="auto"/>
        </w:rPr>
      </w:pPr>
      <w:r>
        <w:rPr>
          <w:rFonts w:ascii="Times New Roman" w:cs="Times New Roman" w:eastAsia="Times New Roman" w:hAnsi="Times New Roman"/>
          <w:sz w:val="18"/>
          <w:szCs w:val="18"/>
          <w:color w:val="auto"/>
        </w:rPr>
        <w:t>(c)to evidence the assumption of the obligations of the Company or a Guarantor to the Holders of the Securities in the case of any transaction pursuant to Article 10 hereof;</w:t>
      </w:r>
    </w:p>
    <w:p>
      <w:pPr>
        <w:spacing w:after="0" w:line="121" w:lineRule="exact"/>
        <w:rPr>
          <w:sz w:val="20"/>
          <w:szCs w:val="20"/>
          <w:color w:val="auto"/>
        </w:rPr>
      </w:pPr>
    </w:p>
    <w:p>
      <w:pPr>
        <w:ind w:right="20" w:firstLine="864"/>
        <w:spacing w:after="0" w:line="282" w:lineRule="auto"/>
        <w:rPr>
          <w:sz w:val="20"/>
          <w:szCs w:val="20"/>
          <w:color w:val="auto"/>
        </w:rPr>
      </w:pPr>
      <w:r>
        <w:rPr>
          <w:rFonts w:ascii="Times New Roman" w:cs="Times New Roman" w:eastAsia="Times New Roman" w:hAnsi="Times New Roman"/>
          <w:sz w:val="18"/>
          <w:szCs w:val="18"/>
          <w:color w:val="auto"/>
        </w:rPr>
        <w:t>(d)to evidence and provide for the acceptance of appointment hereunder by a successor trustee and to add to or change any of the provisions of the Indenture as shall be necessary to provide for or facilitate the administration of the trusts hereunder by more than one trustee;</w:t>
      </w:r>
    </w:p>
    <w:p>
      <w:pPr>
        <w:spacing w:after="0" w:line="135" w:lineRule="exact"/>
        <w:rPr>
          <w:sz w:val="20"/>
          <w:szCs w:val="20"/>
          <w:color w:val="auto"/>
        </w:rPr>
      </w:pPr>
    </w:p>
    <w:p>
      <w:pPr>
        <w:ind w:right="400" w:firstLine="864"/>
        <w:spacing w:after="0" w:line="282" w:lineRule="auto"/>
        <w:rPr>
          <w:sz w:val="20"/>
          <w:szCs w:val="20"/>
          <w:color w:val="auto"/>
        </w:rPr>
      </w:pPr>
      <w:r>
        <w:rPr>
          <w:rFonts w:ascii="Times New Roman" w:cs="Times New Roman" w:eastAsia="Times New Roman" w:hAnsi="Times New Roman"/>
          <w:sz w:val="18"/>
          <w:szCs w:val="18"/>
          <w:color w:val="auto"/>
        </w:rPr>
        <w:t>(e)to make any change that would provide any additional rights or benefits to the Holders of all or any series of Securities or that does not adversely affect the legal rights hereunder of any such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86" w:name="page87"/>
    <w:bookmarkEnd w:id="86"/>
    <w:p>
      <w:pPr>
        <w:ind w:left="880"/>
        <w:spacing w:after="0"/>
        <w:rPr>
          <w:sz w:val="20"/>
          <w:szCs w:val="20"/>
          <w:color w:val="auto"/>
        </w:rPr>
      </w:pPr>
      <w:r>
        <w:rPr>
          <w:rFonts w:ascii="Times New Roman" w:cs="Times New Roman" w:eastAsia="Times New Roman" w:hAnsi="Times New Roman"/>
          <w:sz w:val="18"/>
          <w:szCs w:val="18"/>
          <w:color w:val="auto"/>
        </w:rPr>
        <w:t>(f)to comply with requirements of the Commission in order to effect or maintain the qualification of this Indenture under the Trust Indenture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16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(g)to establish the form or terms of Securities of any series as permitted by Sections 2.01 and 3.01;</w:t>
      </w:r>
    </w:p>
    <w:p>
      <w:pPr>
        <w:spacing w:after="0" w:line="198" w:lineRule="exact"/>
        <w:rPr>
          <w:sz w:val="20"/>
          <w:szCs w:val="20"/>
          <w:color w:val="auto"/>
        </w:rPr>
      </w:pPr>
    </w:p>
    <w:p>
      <w:pPr>
        <w:ind w:left="880" w:right="4540"/>
        <w:spacing w:after="0" w:line="480" w:lineRule="auto"/>
        <w:rPr>
          <w:sz w:val="20"/>
          <w:szCs w:val="20"/>
          <w:color w:val="auto"/>
        </w:rPr>
      </w:pPr>
      <w:r>
        <w:rPr>
          <w:rFonts w:ascii="Times New Roman" w:cs="Times New Roman" w:eastAsia="Times New Roman" w:hAnsi="Times New Roman"/>
          <w:sz w:val="17"/>
          <w:szCs w:val="17"/>
          <w:color w:val="auto"/>
        </w:rPr>
        <w:t>(h)to secure the Company’s obligations in respect of the Securities of any series; (i)to add an additional Guarantor in respect of the Securities of any series.</w:t>
      </w:r>
    </w:p>
    <w:p>
      <w:pPr>
        <w:spacing w:after="0" w:line="1" w:lineRule="exact"/>
        <w:rPr>
          <w:sz w:val="20"/>
          <w:szCs w:val="20"/>
          <w:color w:val="auto"/>
        </w:rPr>
      </w:pPr>
    </w:p>
    <w:p>
      <w:pPr>
        <w:ind w:right="120" w:firstLine="864"/>
        <w:spacing w:after="0" w:line="261" w:lineRule="auto"/>
        <w:rPr>
          <w:sz w:val="20"/>
          <w:szCs w:val="20"/>
          <w:color w:val="auto"/>
        </w:rPr>
      </w:pPr>
      <w:r>
        <w:rPr>
          <w:rFonts w:ascii="Times New Roman" w:cs="Times New Roman" w:eastAsia="Times New Roman" w:hAnsi="Times New Roman"/>
          <w:sz w:val="18"/>
          <w:szCs w:val="18"/>
          <w:color w:val="auto"/>
        </w:rPr>
        <w:t>(j)in the case of convertible or exchangeable Securities of any series, subject to the provisions of the supplemental indenture for such series of Securities, to provide for conversion rights, exchange rights and/or repurchase rights of Holders of such series of Securities in connection with any reclassification or change of the Company’s common stock or in the event of any amalgamation, consolidation, merger or sale of all or substantially all of the assets of the Company or its Subsidiaries substantially as an entirety occurs;</w:t>
      </w:r>
    </w:p>
    <w:p>
      <w:pPr>
        <w:spacing w:after="0" w:line="153" w:lineRule="exact"/>
        <w:rPr>
          <w:sz w:val="20"/>
          <w:szCs w:val="20"/>
          <w:color w:val="auto"/>
        </w:rPr>
      </w:pPr>
    </w:p>
    <w:p>
      <w:pPr>
        <w:ind w:firstLine="864"/>
        <w:spacing w:after="0" w:line="282" w:lineRule="auto"/>
        <w:rPr>
          <w:sz w:val="20"/>
          <w:szCs w:val="20"/>
          <w:color w:val="auto"/>
        </w:rPr>
      </w:pPr>
      <w:r>
        <w:rPr>
          <w:rFonts w:ascii="Times New Roman" w:cs="Times New Roman" w:eastAsia="Times New Roman" w:hAnsi="Times New Roman"/>
          <w:sz w:val="18"/>
          <w:szCs w:val="18"/>
          <w:color w:val="auto"/>
        </w:rPr>
        <w:t>(k)in the case of convertible or exchangeable Securities of any series, to reduce the conversion price or exchange price applicable to such series of Securities;</w:t>
      </w:r>
    </w:p>
    <w:p>
      <w:pPr>
        <w:spacing w:after="0" w:line="121" w:lineRule="exact"/>
        <w:rPr>
          <w:sz w:val="20"/>
          <w:szCs w:val="20"/>
          <w:color w:val="auto"/>
        </w:rPr>
      </w:pPr>
    </w:p>
    <w:p>
      <w:pPr>
        <w:jc w:val="both"/>
        <w:ind w:right="80" w:firstLine="864"/>
        <w:spacing w:after="0" w:line="266" w:lineRule="auto"/>
        <w:rPr>
          <w:sz w:val="20"/>
          <w:szCs w:val="20"/>
          <w:color w:val="auto"/>
        </w:rPr>
      </w:pPr>
      <w:r>
        <w:rPr>
          <w:rFonts w:ascii="Times New Roman" w:cs="Times New Roman" w:eastAsia="Times New Roman" w:hAnsi="Times New Roman"/>
          <w:sz w:val="18"/>
          <w:szCs w:val="18"/>
          <w:color w:val="auto"/>
        </w:rPr>
        <w:t xml:space="preserve">(l)in the case of convertible or exchangeable Securities of any series, to increase the conversion rate or exchange ratio in the manner described in the supplemental indenture for such series of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increase will not adversely affect the interests of the Holders of the Securities of such series in any material respect; or</w:t>
      </w:r>
    </w:p>
    <w:p>
      <w:pPr>
        <w:spacing w:after="0" w:line="135" w:lineRule="exact"/>
        <w:rPr>
          <w:sz w:val="20"/>
          <w:szCs w:val="20"/>
          <w:color w:val="auto"/>
        </w:rPr>
      </w:pPr>
    </w:p>
    <w:p>
      <w:pPr>
        <w:ind w:right="40" w:firstLine="864"/>
        <w:spacing w:after="0" w:line="282" w:lineRule="auto"/>
        <w:rPr>
          <w:sz w:val="20"/>
          <w:szCs w:val="20"/>
          <w:color w:val="auto"/>
        </w:rPr>
      </w:pPr>
      <w:r>
        <w:rPr>
          <w:rFonts w:ascii="Times New Roman" w:cs="Times New Roman" w:eastAsia="Times New Roman" w:hAnsi="Times New Roman"/>
          <w:sz w:val="18"/>
          <w:szCs w:val="18"/>
          <w:color w:val="auto"/>
        </w:rPr>
        <w:t>(m)any other action to amend or supplement the Indenture or the Securities of any series as set forth in the supplemental indenture establishing the terms of the Securities of that series as provided in Section 3.01(b).</w:t>
      </w:r>
    </w:p>
    <w:p>
      <w:pPr>
        <w:spacing w:after="0" w:line="135" w:lineRule="exact"/>
        <w:rPr>
          <w:sz w:val="20"/>
          <w:szCs w:val="20"/>
          <w:color w:val="auto"/>
        </w:rPr>
      </w:pPr>
    </w:p>
    <w:p>
      <w:pPr>
        <w:ind w:right="80" w:firstLine="864"/>
        <w:spacing w:after="0" w:line="258" w:lineRule="auto"/>
        <w:rPr>
          <w:sz w:val="20"/>
          <w:szCs w:val="20"/>
          <w:color w:val="auto"/>
        </w:rPr>
      </w:pPr>
      <w:r>
        <w:rPr>
          <w:rFonts w:ascii="Times New Roman" w:cs="Times New Roman" w:eastAsia="Times New Roman" w:hAnsi="Times New Roman"/>
          <w:sz w:val="18"/>
          <w:szCs w:val="18"/>
          <w:color w:val="auto"/>
        </w:rPr>
        <w:t>Upon the request of the Company accompanied by a resolution of its Board of Directors authorizing the execution of any such supplemental indenture, and upon receipt by the Trustee of the documents described in Section 9.04 hereof, the Trustee shall join with the Company and the Guarantors, if any, in the execution of any supplemental indenture authorized or permitted by the terms of this Indenture and to make any further appropriate agreements and stipulations which may be therein contained, but the Trustee shall not be obligated to enter into such supplemental indenture which affects its own rights, duties or immunities under this Indenture or otherwise.</w:t>
      </w:r>
    </w:p>
    <w:p>
      <w:pPr>
        <w:spacing w:after="0" w:line="143" w:lineRule="exact"/>
        <w:rPr>
          <w:sz w:val="20"/>
          <w:szCs w:val="20"/>
          <w:color w:val="auto"/>
        </w:rPr>
      </w:pPr>
    </w:p>
    <w:p>
      <w:pPr>
        <w:jc w:val="both"/>
        <w:ind w:right="500" w:firstLine="864"/>
        <w:spacing w:after="0" w:line="266"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With Consent of Holders</w:t>
      </w:r>
      <w:r>
        <w:rPr>
          <w:rFonts w:ascii="Times New Roman" w:cs="Times New Roman" w:eastAsia="Times New Roman" w:hAnsi="Times New Roman"/>
          <w:sz w:val="18"/>
          <w:szCs w:val="18"/>
          <w:color w:val="auto"/>
        </w:rPr>
        <w:t>. Except as provided in the next succeeding paragraphs, this Indenture or the Securities may be amended or supplemented with the consent of the Holders of at least a majority in aggregate Principal Amount of all the Securities then outstanding affected by such supplemental indenture (acting as a single class).</w:t>
      </w:r>
    </w:p>
    <w:p>
      <w:pPr>
        <w:spacing w:after="0" w:line="135" w:lineRule="exact"/>
        <w:rPr>
          <w:sz w:val="20"/>
          <w:szCs w:val="20"/>
          <w:color w:val="auto"/>
        </w:rPr>
      </w:pPr>
    </w:p>
    <w:p>
      <w:pPr>
        <w:ind w:right="220" w:firstLine="864"/>
        <w:spacing w:after="0" w:line="258" w:lineRule="auto"/>
        <w:rPr>
          <w:sz w:val="20"/>
          <w:szCs w:val="20"/>
          <w:color w:val="auto"/>
        </w:rPr>
      </w:pPr>
      <w:r>
        <w:rPr>
          <w:rFonts w:ascii="Times New Roman" w:cs="Times New Roman" w:eastAsia="Times New Roman" w:hAnsi="Times New Roman"/>
          <w:sz w:val="18"/>
          <w:szCs w:val="18"/>
          <w:color w:val="auto"/>
        </w:rPr>
        <w:t>Upon the request of the Company accompanied by a resolution of its Board of Directors authorizing the execution of any such supplemental indenture, and upon the filing with the Trustee of evidence satisfactory to the Trustee of the consent of the Holders as aforesaid, and upon receipt by the Trustee of the documents described in Section 9.04 hereof, the Trustee shall join with the Company and the Guarantors, if 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56" w:lineRule="exact"/>
        <w:rPr>
          <w:sz w:val="20"/>
          <w:szCs w:val="20"/>
          <w:color w:val="auto"/>
        </w:rPr>
      </w:pPr>
    </w:p>
    <w:p>
      <w:pPr>
        <w:ind w:right="220" w:firstLine="864"/>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the Holders under this Section 9.02 to approve the particular form of any proposed amendment or waiver, but it shall be sufficient if such consent approves the substance thereof.</w:t>
      </w:r>
    </w:p>
    <w:p>
      <w:pPr>
        <w:spacing w:after="0" w:line="121" w:lineRule="exact"/>
        <w:rPr>
          <w:sz w:val="20"/>
          <w:szCs w:val="20"/>
          <w:color w:val="auto"/>
        </w:rPr>
      </w:pPr>
    </w:p>
    <w:p>
      <w:pPr>
        <w:ind w:right="100" w:firstLine="864"/>
        <w:spacing w:after="0" w:line="258" w:lineRule="auto"/>
        <w:rPr>
          <w:sz w:val="20"/>
          <w:szCs w:val="20"/>
          <w:color w:val="auto"/>
        </w:rPr>
      </w:pPr>
      <w:r>
        <w:rPr>
          <w:rFonts w:ascii="Times New Roman" w:cs="Times New Roman" w:eastAsia="Times New Roman" w:hAnsi="Times New Roman"/>
          <w:sz w:val="18"/>
          <w:szCs w:val="18"/>
          <w:color w:val="auto"/>
        </w:rPr>
        <w:t>After an amendment, supplement or waiver under this Section becomes effective, the Company shall mail to the Holders affected thereby a notice briefly describing the amendment, supplement or waiver. Any failure of the Company to mail such notice, or any defect therein, shall not, however, in any way impair or affect the validity of any such supplemental indenture or waiver. Subject to Sections 5.02(b), 5.04 and 5.07 hereof, the application of or compliance with, either generally or in a particular instance, of any provision of this Indenture or the Securities may be waived as to each series of Securities by the Holders of a majority in aggregate principal amount of the outstanding Securities of that series.</w:t>
      </w:r>
    </w:p>
    <w:p>
      <w:pPr>
        <w:spacing w:after="0" w:line="14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Without the consent of each Holder affected hereby, however, an amendment or waiver may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87" w:name="page88"/>
    <w:bookmarkEnd w:id="87"/>
    <w:p>
      <w:pPr>
        <w:ind w:left="880"/>
        <w:spacing w:after="0"/>
        <w:rPr>
          <w:sz w:val="20"/>
          <w:szCs w:val="20"/>
          <w:color w:val="auto"/>
        </w:rPr>
      </w:pPr>
      <w:r>
        <w:rPr>
          <w:rFonts w:ascii="Times New Roman" w:cs="Times New Roman" w:eastAsia="Times New Roman" w:hAnsi="Times New Roman"/>
          <w:sz w:val="18"/>
          <w:szCs w:val="18"/>
          <w:color w:val="auto"/>
        </w:rPr>
        <w:t>(a)reduce the percentage in Principal Amount of Securities of any series whose Holders must consent to an amendment, supplement or waiver;</w:t>
      </w:r>
    </w:p>
    <w:p>
      <w:pPr>
        <w:spacing w:after="0" w:line="185" w:lineRule="exact"/>
        <w:rPr>
          <w:sz w:val="20"/>
          <w:szCs w:val="20"/>
          <w:color w:val="auto"/>
        </w:rPr>
      </w:pPr>
    </w:p>
    <w:p>
      <w:pPr>
        <w:ind w:right="120" w:firstLine="864"/>
        <w:spacing w:after="0" w:line="261" w:lineRule="auto"/>
        <w:rPr>
          <w:sz w:val="20"/>
          <w:szCs w:val="20"/>
          <w:color w:val="auto"/>
        </w:rPr>
      </w:pPr>
      <w:r>
        <w:rPr>
          <w:rFonts w:ascii="Times New Roman" w:cs="Times New Roman" w:eastAsia="Times New Roman" w:hAnsi="Times New Roman"/>
          <w:sz w:val="18"/>
          <w:szCs w:val="18"/>
          <w:color w:val="auto"/>
        </w:rPr>
        <w:t>(b)change the Stated Maturity of the principal of, or any installment of principal of or interest on, or time for payment of interest on, any Security, or reduce the Principal Amount thereof or the rate of interest thereon or any premium payable upon the redemption thereof, or change any Payment Office where, or the coin or currency in which, any Security or any premium or interest thereon is payable, or impair the right to institute suit for the enforcement of any such payment on or after the Stated Maturity thereof (or, in the case of redemption, on or after the redemption date);</w:t>
      </w:r>
    </w:p>
    <w:p>
      <w:pPr>
        <w:spacing w:after="0" w:line="153" w:lineRule="exact"/>
        <w:rPr>
          <w:sz w:val="20"/>
          <w:szCs w:val="20"/>
          <w:color w:val="auto"/>
        </w:rPr>
      </w:pPr>
    </w:p>
    <w:p>
      <w:pPr>
        <w:ind w:right="80" w:firstLine="864"/>
        <w:spacing w:after="0" w:line="258" w:lineRule="auto"/>
        <w:rPr>
          <w:sz w:val="20"/>
          <w:szCs w:val="20"/>
          <w:color w:val="auto"/>
        </w:rPr>
      </w:pPr>
      <w:r>
        <w:rPr>
          <w:rFonts w:ascii="Times New Roman" w:cs="Times New Roman" w:eastAsia="Times New Roman" w:hAnsi="Times New Roman"/>
          <w:sz w:val="18"/>
          <w:szCs w:val="18"/>
          <w:color w:val="auto"/>
        </w:rPr>
        <w:t xml:space="preserve">(c)modify any of the provisions of this Section 9.02, Section 5.04 or Section 4.06, except to increase the percentage in Principal Amount of Holders required under any such Section or to provide that certain other provisions of this Indenture cannot be modified or waived without the consent of the Holder of each outstanding Security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(c) will not be deemed to require the consent of any Holder with respect to changes in the references to “the Trustee” and concomitant changes in this Section 9.02, Section 5.02(b), Section 5.04 and Section 4.06, or the deletion of this proviso, in accordance with the requirements of Section 6.11;</w:t>
      </w:r>
    </w:p>
    <w:p>
      <w:pPr>
        <w:spacing w:after="0" w:line="143" w:lineRule="exact"/>
        <w:rPr>
          <w:sz w:val="20"/>
          <w:szCs w:val="20"/>
          <w:color w:val="auto"/>
        </w:rPr>
      </w:pPr>
    </w:p>
    <w:p>
      <w:pPr>
        <w:ind w:right="580" w:firstLine="864"/>
        <w:spacing w:after="0" w:line="282" w:lineRule="auto"/>
        <w:rPr>
          <w:sz w:val="20"/>
          <w:szCs w:val="20"/>
          <w:color w:val="auto"/>
        </w:rPr>
      </w:pPr>
      <w:r>
        <w:rPr>
          <w:rFonts w:ascii="Times New Roman" w:cs="Times New Roman" w:eastAsia="Times New Roman" w:hAnsi="Times New Roman"/>
          <w:sz w:val="18"/>
          <w:szCs w:val="18"/>
          <w:color w:val="auto"/>
        </w:rPr>
        <w:t>(d)impair the rights of Holders of the Securities of any series that are exchangeable or convertible to receive payment or delivery of any consideration due upon the conversion or exchange of the Securities of that series;</w:t>
      </w:r>
    </w:p>
    <w:p>
      <w:pPr>
        <w:spacing w:after="0" w:line="121" w:lineRule="exact"/>
        <w:rPr>
          <w:sz w:val="20"/>
          <w:szCs w:val="20"/>
          <w:color w:val="auto"/>
        </w:rPr>
      </w:pPr>
    </w:p>
    <w:p>
      <w:pPr>
        <w:ind w:right="100" w:firstLine="864"/>
        <w:spacing w:after="0" w:line="266" w:lineRule="auto"/>
        <w:rPr>
          <w:sz w:val="20"/>
          <w:szCs w:val="20"/>
          <w:color w:val="auto"/>
        </w:rPr>
      </w:pPr>
      <w:r>
        <w:rPr>
          <w:rFonts w:ascii="Times New Roman" w:cs="Times New Roman" w:eastAsia="Times New Roman" w:hAnsi="Times New Roman"/>
          <w:sz w:val="18"/>
          <w:szCs w:val="18"/>
          <w:color w:val="auto"/>
        </w:rPr>
        <w:t>(e)change in any manner adverse to the interests of the Holders of any outstanding Securities the terms and conditions of the obligations of the Guarantors, if applicable, in respect of the due and punctual payment of the principal thereof (and premium, if any, thereon) and interest thereon or any additional amounts or any sinking fund or analogous payments provided in respect thereof; or</w:t>
      </w:r>
    </w:p>
    <w:p>
      <w:pPr>
        <w:spacing w:after="0" w:line="149" w:lineRule="exact"/>
        <w:rPr>
          <w:sz w:val="20"/>
          <w:szCs w:val="20"/>
          <w:color w:val="auto"/>
        </w:rPr>
      </w:pPr>
    </w:p>
    <w:p>
      <w:pPr>
        <w:ind w:right="320" w:firstLine="864"/>
        <w:spacing w:after="0" w:line="282" w:lineRule="auto"/>
        <w:rPr>
          <w:sz w:val="20"/>
          <w:szCs w:val="20"/>
          <w:color w:val="auto"/>
        </w:rPr>
      </w:pPr>
      <w:r>
        <w:rPr>
          <w:rFonts w:ascii="Times New Roman" w:cs="Times New Roman" w:eastAsia="Times New Roman" w:hAnsi="Times New Roman"/>
          <w:sz w:val="18"/>
          <w:szCs w:val="18"/>
          <w:color w:val="auto"/>
        </w:rPr>
        <w:t>(f)modify or amend any of the provisions of the Indenture or Securities of any series as may be set forth in the supplemental indenture with respect to the Securities of that series as requiring the consent of each Holder affected thereby.</w:t>
      </w:r>
    </w:p>
    <w:p>
      <w:pPr>
        <w:spacing w:after="0" w:line="121"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Effect of Supplemental Indenture</w:t>
      </w:r>
      <w:r>
        <w:rPr>
          <w:rFonts w:ascii="Times New Roman" w:cs="Times New Roman" w:eastAsia="Times New Roman" w:hAnsi="Times New Roman"/>
          <w:sz w:val="18"/>
          <w:szCs w:val="18"/>
          <w:color w:val="auto"/>
        </w:rPr>
        <w:t>.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Company, each Guarantor, if 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43" w:lineRule="exact"/>
        <w:rPr>
          <w:sz w:val="20"/>
          <w:szCs w:val="20"/>
          <w:color w:val="auto"/>
        </w:rPr>
      </w:pPr>
    </w:p>
    <w:p>
      <w:pPr>
        <w:ind w:right="80" w:firstLine="864"/>
        <w:spacing w:after="0" w:line="261"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Documents to Be Given to Trustee; Compliance with TIA</w:t>
      </w:r>
      <w:r>
        <w:rPr>
          <w:rFonts w:ascii="Times New Roman" w:cs="Times New Roman" w:eastAsia="Times New Roman" w:hAnsi="Times New Roman"/>
          <w:sz w:val="18"/>
          <w:szCs w:val="18"/>
          <w:color w:val="auto"/>
        </w:rPr>
        <w:t>. The Trustee, subject to the provisions of Sections 6.01 and 6.02, shall be entitled to receive and conclusively rely upon an Officers’ Certificate and an Opinion of Counsel as conclusive evidence that any such supplemental indenture is permitted or authorized under and otherwise complies with the applicable provisions of this Indenture. Every such supplemental indenture shall comply with the TIA.</w:t>
      </w:r>
    </w:p>
    <w:p>
      <w:pPr>
        <w:spacing w:after="0" w:line="153" w:lineRule="exact"/>
        <w:rPr>
          <w:sz w:val="20"/>
          <w:szCs w:val="20"/>
          <w:color w:val="auto"/>
        </w:rPr>
      </w:pPr>
    </w:p>
    <w:p>
      <w:pPr>
        <w:ind w:firstLine="864"/>
        <w:spacing w:after="0" w:line="256"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Notation on Securities in Respect of Supplemental Indentures</w:t>
      </w:r>
      <w:r>
        <w:rPr>
          <w:rFonts w:ascii="Times New Roman" w:cs="Times New Roman" w:eastAsia="Times New Roman" w:hAnsi="Times New Roman"/>
          <w:sz w:val="18"/>
          <w:szCs w:val="18"/>
          <w:color w:val="auto"/>
        </w:rPr>
        <w:t>. Securities authenticated and delivered after the execution of any supplemental indenture pursuant to the provisions of this Article may bear a notation approved by the Trustee as to form (but not as to substance) as to any matter provided for by such supplemental indenture or as to any action taken at any such meeting. If the Company, any applicable Guarantor or the Trustee shall so determine, new Securities of any series so modified as to conform, in the opinion of the Trustee and the Board of Directors of the Company, to any modification of this Indenture contained in any such supplemental indenture may be prepared by the Company, endorsed by any such Guarantor, authenticated by the Trustee and delivered in exchange for the Securities of such series then outstanding.</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CONSOLIDATION, MERGER OR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8" w:name="page89"/>
    <w:bookmarkEnd w:id="88"/>
    <w:p>
      <w:pPr>
        <w:ind w:right="160" w:firstLine="864"/>
        <w:spacing w:after="0" w:line="266"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When the Company May Merge, Etc</w:t>
      </w:r>
      <w:r>
        <w:rPr>
          <w:rFonts w:ascii="Times New Roman" w:cs="Times New Roman" w:eastAsia="Times New Roman" w:hAnsi="Times New Roman"/>
          <w:sz w:val="18"/>
          <w:szCs w:val="18"/>
          <w:color w:val="auto"/>
        </w:rPr>
        <w:t>. The Company shall not consolidate with or merge with or into, or sell, transfer, lease, convey or otherwise dispose of all or substantially all of its assets to, another Person (including pursuant to a statutory arrangement), whether in a single transaction or series of related transactions, unless:</w:t>
      </w:r>
    </w:p>
    <w:p>
      <w:pPr>
        <w:spacing w:after="0" w:line="135" w:lineRule="exact"/>
        <w:rPr>
          <w:sz w:val="20"/>
          <w:szCs w:val="20"/>
          <w:color w:val="auto"/>
        </w:rPr>
      </w:pPr>
    </w:p>
    <w:p>
      <w:pPr>
        <w:ind w:right="160" w:firstLine="864"/>
        <w:spacing w:after="0" w:line="258" w:lineRule="auto"/>
        <w:rPr>
          <w:sz w:val="20"/>
          <w:szCs w:val="20"/>
          <w:color w:val="auto"/>
        </w:rPr>
      </w:pPr>
      <w:r>
        <w:rPr>
          <w:rFonts w:ascii="Times New Roman" w:cs="Times New Roman" w:eastAsia="Times New Roman" w:hAnsi="Times New Roman"/>
          <w:sz w:val="18"/>
          <w:szCs w:val="18"/>
          <w:color w:val="auto"/>
        </w:rPr>
        <w:t>(a)the Company is the surviving entity or the Person formed by or surviving any such consolidation or merger or to which such sale, transfer, lease, conveyance or other disposition is made shall be a Person organized and existing under the laws of the United States of America or any State or the District of Columbia, and shall expressly assume, by an indenture supplemental hereto, executed and delivered to the Trustee, the due and punctual payment of the principal of (and premium, if any) and interest, if any, on all the Securities and the performance or observance of every covenant of this Indenture of the part of the Company to be performed or observed;</w:t>
      </w:r>
    </w:p>
    <w:p>
      <w:pPr>
        <w:spacing w:after="0" w:line="156" w:lineRule="exact"/>
        <w:rPr>
          <w:sz w:val="20"/>
          <w:szCs w:val="20"/>
          <w:color w:val="auto"/>
        </w:rPr>
      </w:pPr>
    </w:p>
    <w:p>
      <w:pPr>
        <w:ind w:right="280" w:firstLine="864"/>
        <w:spacing w:after="0" w:line="282" w:lineRule="auto"/>
        <w:rPr>
          <w:sz w:val="20"/>
          <w:szCs w:val="20"/>
          <w:color w:val="auto"/>
        </w:rPr>
      </w:pPr>
      <w:r>
        <w:rPr>
          <w:rFonts w:ascii="Times New Roman" w:cs="Times New Roman" w:eastAsia="Times New Roman" w:hAnsi="Times New Roman"/>
          <w:sz w:val="18"/>
          <w:szCs w:val="18"/>
          <w:color w:val="auto"/>
        </w:rPr>
        <w:t>(b)immediately after giving effect to such transaction, no Event of Default, and no event which, after notice or lapse of time, or both, would become an Event of Default, shall have happened and be continuing; and</w:t>
      </w:r>
    </w:p>
    <w:p>
      <w:pPr>
        <w:spacing w:after="0" w:line="121" w:lineRule="exact"/>
        <w:rPr>
          <w:sz w:val="20"/>
          <w:szCs w:val="20"/>
          <w:color w:val="auto"/>
        </w:rPr>
      </w:pPr>
    </w:p>
    <w:p>
      <w:pPr>
        <w:ind w:right="220" w:firstLine="864"/>
        <w:spacing w:after="0" w:line="266" w:lineRule="auto"/>
        <w:rPr>
          <w:sz w:val="20"/>
          <w:szCs w:val="20"/>
          <w:color w:val="auto"/>
        </w:rPr>
      </w:pPr>
      <w:r>
        <w:rPr>
          <w:rFonts w:ascii="Times New Roman" w:cs="Times New Roman" w:eastAsia="Times New Roman" w:hAnsi="Times New Roman"/>
          <w:sz w:val="18"/>
          <w:szCs w:val="18"/>
          <w:color w:val="auto"/>
        </w:rPr>
        <w:t>(c)the Company has delivered to the Trustee an Officers’ Certificate and an Opinion of Counsel each stating that such consolidation, merger, conveyance or transfer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35" w:lineRule="exact"/>
        <w:rPr>
          <w:sz w:val="20"/>
          <w:szCs w:val="20"/>
          <w:color w:val="auto"/>
        </w:rPr>
      </w:pPr>
    </w:p>
    <w:p>
      <w:pPr>
        <w:ind w:right="60" w:firstLine="864"/>
        <w:spacing w:after="0" w:line="256"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Successor Person Substituted</w:t>
      </w:r>
      <w:r>
        <w:rPr>
          <w:rFonts w:ascii="Times New Roman" w:cs="Times New Roman" w:eastAsia="Times New Roman" w:hAnsi="Times New Roman"/>
          <w:sz w:val="18"/>
          <w:szCs w:val="18"/>
          <w:color w:val="auto"/>
        </w:rPr>
        <w:t>. Upon any consolidation or merger, or any sale, transfer, lease, conveyance or other disposition of all or substantially all of the assets of the Company in accordance with Section 10.01 hereof, the successor Person formed by such consolidation or into or with which the Company is merged or to which such sale, transfer, lease, conveyance or other disposition is made shall succeed to, and, except in the case of a lease, be substituted for (so that from and after the date of such consolidation, merger, sale, transfer, conveyance or other disposition, the provisions of this Indenture referring to the “Company” shall refer instead to the successor Person), and may exercise every right and power of, the Company under this Indenture with the same effect as if such successor Person had been named as the Company herein.</w:t>
      </w:r>
    </w:p>
    <w:p>
      <w:pPr>
        <w:spacing w:after="0" w:line="156" w:lineRule="exact"/>
        <w:rPr>
          <w:sz w:val="20"/>
          <w:szCs w:val="20"/>
          <w:color w:val="auto"/>
        </w:rPr>
      </w:pPr>
    </w:p>
    <w:p>
      <w:pPr>
        <w:jc w:val="both"/>
        <w:ind w:right="60" w:firstLine="864"/>
        <w:spacing w:after="0" w:line="246" w:lineRule="auto"/>
        <w:rPr>
          <w:sz w:val="20"/>
          <w:szCs w:val="20"/>
          <w:color w:val="auto"/>
        </w:rPr>
      </w:pPr>
      <w:r>
        <w:rPr>
          <w:rFonts w:ascii="Times New Roman" w:cs="Times New Roman" w:eastAsia="Times New Roman" w:hAnsi="Times New Roman"/>
          <w:sz w:val="20"/>
          <w:szCs w:val="20"/>
          <w:color w:val="auto"/>
        </w:rPr>
        <w:t>In case of any such consolidation, merger, sale, transfer, lease, conveyance or other disposition such changes in phraseology and form (but not in substance) may be made in the Securities thereafter to be issued as may be appropriate. Notwithstanding the foregoing, (i) a consolidation or merger by the Company with or into, or (ii) the sale, transfer, lease, conveyance or other disposition by the Company of all or substantially all of its assets to, one or more of its Subsidiaries shall not relieve the Company from its obligations under this Indenture and the Securities.</w:t>
      </w:r>
    </w:p>
    <w:p>
      <w:pPr>
        <w:spacing w:after="0" w:line="149" w:lineRule="exact"/>
        <w:rPr>
          <w:sz w:val="20"/>
          <w:szCs w:val="20"/>
          <w:color w:val="auto"/>
        </w:rPr>
      </w:pPr>
    </w:p>
    <w:p>
      <w:pPr>
        <w:ind w:right="200" w:firstLine="864"/>
        <w:spacing w:after="0" w:line="266"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Opinion of Counsel to Trustee</w:t>
      </w:r>
      <w:r>
        <w:rPr>
          <w:rFonts w:ascii="Times New Roman" w:cs="Times New Roman" w:eastAsia="Times New Roman" w:hAnsi="Times New Roman"/>
          <w:sz w:val="18"/>
          <w:szCs w:val="18"/>
          <w:color w:val="auto"/>
        </w:rPr>
        <w:t>. The Trustee, subject to the provisions of Sections 6.01 and 6.02, may receive an Opinion of Counsel as conclusive evidence that any such consolidation, merger, sale, transfer, lease, conveyance or other disposition complies with the applicable provisions of this Indenture.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REDEMPTION OF SECURITIES</w:t>
      </w:r>
    </w:p>
    <w:p>
      <w:pPr>
        <w:spacing w:after="0" w:line="180" w:lineRule="exact"/>
        <w:rPr>
          <w:sz w:val="20"/>
          <w:szCs w:val="20"/>
          <w:color w:val="auto"/>
        </w:rPr>
      </w:pPr>
    </w:p>
    <w:p>
      <w:pPr>
        <w:ind w:firstLine="864"/>
        <w:spacing w:after="0" w:line="282"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21" w:lineRule="exact"/>
        <w:rPr>
          <w:sz w:val="20"/>
          <w:szCs w:val="20"/>
          <w:color w:val="auto"/>
        </w:rPr>
      </w:pPr>
    </w:p>
    <w:p>
      <w:pPr>
        <w:ind w:firstLine="864"/>
        <w:spacing w:after="0" w:line="256"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Notice of Redemption; Partial Redemptions</w:t>
      </w:r>
      <w:r>
        <w:rPr>
          <w:rFonts w:ascii="Times New Roman" w:cs="Times New Roman" w:eastAsia="Times New Roman" w:hAnsi="Times New Roman"/>
          <w:sz w:val="18"/>
          <w:szCs w:val="18"/>
          <w:color w:val="auto"/>
        </w:rPr>
        <w:t>. Notice of redemption to the Holders of Securities of any series to be redeemed as a whole or in part shall be given by mailing notice of such redemption by first class mail, postage prepaid, at least 30 calendar days and not more than 60 calendar days prior to the date fixed for redemption to such Holders of Securities at their last addresses as they shall appear upon the registry books. Any notice which is mailed in the manner herein provided shall be conclusively presumed to have been duly given, whether or not the Holder receives the notice. Failure to give notice by mail, or any defect in the notice to the Holder of any Security designated for redemption as a whole or in part shall not affect the validity of the proceedings for the redemption of any 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9" w:name="page90"/>
    <w:bookmarkEnd w:id="89"/>
    <w:p>
      <w:pPr>
        <w:ind w:firstLine="864"/>
        <w:spacing w:after="0" w:line="255" w:lineRule="auto"/>
        <w:rPr>
          <w:sz w:val="20"/>
          <w:szCs w:val="20"/>
          <w:color w:val="auto"/>
        </w:rPr>
      </w:pPr>
      <w:r>
        <w:rPr>
          <w:rFonts w:ascii="Times New Roman" w:cs="Times New Roman" w:eastAsia="Times New Roman" w:hAnsi="Times New Roman"/>
          <w:sz w:val="18"/>
          <w:szCs w:val="18"/>
          <w:color w:val="auto"/>
        </w:rPr>
        <w:t>The notice of redemption to each such Holder shall identify the Securities to be redeemed (including CUSIP numbers) and shall specify the Principal Amount of each Security held by such Holder to be redeemed, the date fixed for redemption, the redemption price, the place or places of payment, that payment will be made upon presentation and surrender of such Securities, that interest accrued to the date fixed for redemption will be paid as specified in said notice and that on and after said date interest thereon or on the portions thereof to be redeemed will cease to accrue. In case any Security is to be redeemed in part only the notice of redemption shall state the portion of the Principal Amount thereof to be redeemed and shall state that on and after the date fixed for redemption, upon surrender of such Security, a new Security or Securities in Principal Amount equal to the unredeemed portion thereof will be issued.</w:t>
      </w:r>
    </w:p>
    <w:p>
      <w:pPr>
        <w:spacing w:after="0" w:line="148" w:lineRule="exact"/>
        <w:rPr>
          <w:sz w:val="20"/>
          <w:szCs w:val="20"/>
          <w:color w:val="auto"/>
        </w:rPr>
      </w:pPr>
    </w:p>
    <w:p>
      <w:pPr>
        <w:ind w:right="400" w:firstLine="864"/>
        <w:spacing w:after="0" w:line="282" w:lineRule="auto"/>
        <w:rPr>
          <w:sz w:val="20"/>
          <w:szCs w:val="20"/>
          <w:color w:val="auto"/>
        </w:rPr>
      </w:pPr>
      <w:r>
        <w:rPr>
          <w:rFonts w:ascii="Times New Roman" w:cs="Times New Roman" w:eastAsia="Times New Roman" w:hAnsi="Times New Roman"/>
          <w:sz w:val="18"/>
          <w:szCs w:val="18"/>
          <w:color w:val="auto"/>
        </w:rPr>
        <w:t>The notice of redemption of Securities of any series to be redeemed at the option of the Company shall be given by the Company or, at the Company’s request, by the Trustee in the name and at the expense of the Company.</w:t>
      </w:r>
    </w:p>
    <w:p>
      <w:pPr>
        <w:spacing w:after="0" w:line="135" w:lineRule="exact"/>
        <w:rPr>
          <w:sz w:val="20"/>
          <w:szCs w:val="20"/>
          <w:color w:val="auto"/>
        </w:rPr>
      </w:pPr>
    </w:p>
    <w:p>
      <w:pPr>
        <w:ind w:right="20" w:firstLine="864"/>
        <w:spacing w:after="0" w:line="258" w:lineRule="auto"/>
        <w:rPr>
          <w:sz w:val="20"/>
          <w:szCs w:val="20"/>
          <w:color w:val="auto"/>
        </w:rPr>
      </w:pPr>
      <w:r>
        <w:rPr>
          <w:rFonts w:ascii="Times New Roman" w:cs="Times New Roman" w:eastAsia="Times New Roman" w:hAnsi="Times New Roman"/>
          <w:sz w:val="18"/>
          <w:szCs w:val="18"/>
          <w:color w:val="auto"/>
        </w:rPr>
        <w:t>No later than 10:00 a.m. New York City time on the redemption date specified in the notice of redemption given as provided in this Section, the Company will deposit with the Trustee or with one or more Paying Agents (or, if the Company is acting as its own Paying Agent, set aside, segregate and hold in trust) an amount of money sufficient to redeem on the redemption date all the Securities of a series so called for redemption at the appropriate redemption price, together with accrued interest to the date fixed for redemption. The Company will deliver to the Trustee at least 30 calendar days prior to the date fixed for redemption an Officers’ Certificate stating the aggregate Principal Amount of Securities of such series to be redeemed.</w:t>
      </w:r>
    </w:p>
    <w:p>
      <w:pPr>
        <w:spacing w:after="0" w:line="143" w:lineRule="exact"/>
        <w:rPr>
          <w:sz w:val="20"/>
          <w:szCs w:val="20"/>
          <w:color w:val="auto"/>
        </w:rPr>
      </w:pPr>
    </w:p>
    <w:p>
      <w:pPr>
        <w:ind w:right="140" w:firstLine="864"/>
        <w:spacing w:after="0" w:line="256" w:lineRule="auto"/>
        <w:rPr>
          <w:sz w:val="20"/>
          <w:szCs w:val="20"/>
          <w:color w:val="auto"/>
        </w:rPr>
      </w:pPr>
      <w:r>
        <w:rPr>
          <w:rFonts w:ascii="Times New Roman" w:cs="Times New Roman" w:eastAsia="Times New Roman" w:hAnsi="Times New Roman"/>
          <w:sz w:val="18"/>
          <w:szCs w:val="18"/>
          <w:color w:val="auto"/>
        </w:rPr>
        <w:t>If less than all the Securities of a series are to be redeemed, the Trustee shall select, either pro rata, by lot or by any other method it shall deem fair and reasonable, Securities to be redeemed in whole or in part. Securities may be redeemed in part only in denominations equal to the minimum authorized denomination for Securities of that series or any integral multiple thereof. The Trustee shall promptly notify the Company in writing of the Securities selected for redemption and, in the case of any Securities selected for partial redemption, the Principal Amount thereof to be redeemed. 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47" w:lineRule="exact"/>
        <w:rPr>
          <w:sz w:val="20"/>
          <w:szCs w:val="20"/>
          <w:color w:val="auto"/>
        </w:rPr>
      </w:pPr>
    </w:p>
    <w:p>
      <w:pPr>
        <w:ind w:firstLine="864"/>
        <w:spacing w:after="0" w:line="253"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Payment of Securities Called for Redemption</w:t>
      </w:r>
      <w:r>
        <w:rPr>
          <w:rFonts w:ascii="Times New Roman" w:cs="Times New Roman" w:eastAsia="Times New Roman" w:hAnsi="Times New Roman"/>
          <w:sz w:val="18"/>
          <w:szCs w:val="18"/>
          <w:color w:val="auto"/>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but not including, the date fixed for redemption, and on and after said date (unless the Company and any Guarantors shall default in the payment of such Securities at the redemption price, together with interest accrued to said date) interest on the Securities or portions of Securities so called for redemption shall cease to accrue and, except as provided in Sections 6.05 and 12.06, such Securities shall cease from and after the date fixed for redemption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Payment Office specified in said notice, said Securities or the specified portions thereof shall be paid and redeemed by the Company at the applicable redemption price, together with interest accrued thereon to, but not including, the date fixed for redemption;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payment of interest becoming due on the date fixed for redemption shall be payable to the Holders of such Securities registered as such on the relevant Regular Record Date subject to the terms and provisions of Section 3.05 hereof.</w:t>
      </w:r>
    </w:p>
    <w:p>
      <w:pPr>
        <w:spacing w:after="0" w:line="165" w:lineRule="exact"/>
        <w:rPr>
          <w:sz w:val="20"/>
          <w:szCs w:val="20"/>
          <w:color w:val="auto"/>
        </w:rPr>
      </w:pPr>
    </w:p>
    <w:p>
      <w:pPr>
        <w:ind w:right="80" w:firstLine="864"/>
        <w:spacing w:after="0" w:line="282" w:lineRule="auto"/>
        <w:rPr>
          <w:sz w:val="20"/>
          <w:szCs w:val="20"/>
          <w:color w:val="auto"/>
        </w:rPr>
      </w:pPr>
      <w:r>
        <w:rPr>
          <w:rFonts w:ascii="Times New Roman" w:cs="Times New Roman" w:eastAsia="Times New Roman" w:hAnsi="Times New Roman"/>
          <w:sz w:val="18"/>
          <w:szCs w:val="18"/>
          <w:color w:val="auto"/>
        </w:rPr>
        <w:t>If any Security called for redemption shall not be so paid upon surrender thereof for redemption, the principal shall, until paid or duly provided for, bear interest from the date fixed for redemption at the rate borne by the Security.</w:t>
      </w:r>
    </w:p>
    <w:p>
      <w:pPr>
        <w:spacing w:after="0" w:line="121" w:lineRule="exact"/>
        <w:rPr>
          <w:sz w:val="20"/>
          <w:szCs w:val="20"/>
          <w:color w:val="auto"/>
        </w:rPr>
      </w:pPr>
    </w:p>
    <w:p>
      <w:pPr>
        <w:ind w:right="320" w:firstLine="864"/>
        <w:spacing w:after="0" w:line="266" w:lineRule="auto"/>
        <w:rPr>
          <w:sz w:val="20"/>
          <w:szCs w:val="20"/>
          <w:color w:val="auto"/>
        </w:rPr>
      </w:pPr>
      <w:r>
        <w:rPr>
          <w:rFonts w:ascii="Times New Roman" w:cs="Times New Roman" w:eastAsia="Times New Roman" w:hAnsi="Times New Roman"/>
          <w:sz w:val="18"/>
          <w:szCs w:val="18"/>
          <w:color w:val="auto"/>
        </w:rPr>
        <w:t>Upon presentation of any Securities redeemed in part only, the Company shall execute, the Guarantors, if any, shall, execute the Guarantees endorsed thereon, and the Trustee shall authenticate and make available for delivery to or on the order of the Holder thereof, at the expense of the Company, new Securities of authorized denominations, in Principal Amount equal to the unredeemed portion of the Securities so presented.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DEFEASANCE AND COVENANT DEFEASANCE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ind w:left="880"/>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Applicability of the Article; Company’s Option to Effect Defeasance or Covenant Defeasance</w:t>
      </w:r>
      <w:r>
        <w:rPr>
          <w:rFonts w:ascii="Times New Roman" w:cs="Times New Roman" w:eastAsia="Times New Roman" w:hAnsi="Times New Roman"/>
          <w:sz w:val="18"/>
          <w:szCs w:val="18"/>
          <w:color w:val="auto"/>
        </w:rPr>
        <w:t>. Unless pursuant to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3.01 provision is made for the inapplicability of either or both of (a) defeasance of the Securities of a series under Section 12.02 or (b) covenant defeasance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Securities of a series under Section 12.03, then the provisions of such Section or Sections, as the case may be, together with the other provisions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Article, shall be applicable to the Securities of such series, and the Company may, at its option, by resolution of its Board of Directors, at any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 to have either Section 12.02 or Section 12.03 applied to the outstanding Securities of a series upon compliance with the conditions set forth below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Article 12.</w:t>
      </w:r>
    </w:p>
    <w:p>
      <w:pPr>
        <w:spacing w:after="0" w:line="166" w:lineRule="exact"/>
        <w:rPr>
          <w:sz w:val="20"/>
          <w:szCs w:val="20"/>
          <w:color w:val="auto"/>
        </w:rPr>
      </w:pPr>
    </w:p>
    <w:p>
      <w:pPr>
        <w:ind w:firstLine="864"/>
        <w:spacing w:after="0" w:line="268" w:lineRule="auto"/>
        <w:rPr>
          <w:sz w:val="20"/>
          <w:szCs w:val="20"/>
          <w:color w:val="auto"/>
        </w:rPr>
      </w:pPr>
      <w:r>
        <w:rPr>
          <w:rFonts w:ascii="Times New Roman" w:cs="Times New Roman" w:eastAsia="Times New Roman" w:hAnsi="Times New Roman"/>
          <w:sz w:val="17"/>
          <w:szCs w:val="17"/>
          <w:color w:val="auto"/>
        </w:rPr>
        <w:t xml:space="preserve">SECTION 12.02. </w:t>
      </w:r>
      <w:r>
        <w:rPr>
          <w:rFonts w:ascii="Times New Roman" w:cs="Times New Roman" w:eastAsia="Times New Roman" w:hAnsi="Times New Roman"/>
          <w:sz w:val="17"/>
          <w:szCs w:val="17"/>
          <w:u w:val="single" w:color="auto"/>
          <w:color w:val="auto"/>
        </w:rPr>
        <w:t>Legal Defeasance and Discharge</w:t>
      </w:r>
      <w:r>
        <w:rPr>
          <w:rFonts w:ascii="Times New Roman" w:cs="Times New Roman" w:eastAsia="Times New Roman" w:hAnsi="Times New Roman"/>
          <w:sz w:val="17"/>
          <w:szCs w:val="17"/>
          <w:color w:val="auto"/>
        </w:rPr>
        <w:t>. Upon the Company’s exercise of the option provided under Section 12.01 hereof to defease the outstanding Securities of a particular series under this Section 12.02, the Company and any Guarantors shall be deemed to have been discharged from its obligations with respect to such outstanding Securities and related Guarantees on the date the conditions set forth below are satisfied (hereinafter, “Legal Defeasance”). For this purpose, such Legal Defeasance means that the Company shall be deemed to have paid and discharged the entire indebtedness represented by the outstanding Securities of such series, which shall thereafter be deemed to be “outstanding” only for the purposes of Section 12.05 hereof and the other Sections of this Indenture referred to in clauses (i) and (ii) of this Section 12.02, and to have satisfied all its other obligations under such Securities and this Indenture (and the Trustee, on demand of and at the expense of the Company shall execute proper instruments acknowledging the same), except for the following provisions which shall survive until otherwise terminated or discharged hereunder: (i) the rights of Holders of outstanding Securities of such series to receive solely from the trust fund described in Section 12.04 hereof, and as more fully set forth in such Section, payments in respect of the principal of (and premium, if any) and interest, if any, on such Securities when such payments are due, (ii) the obligations of the Company or any Guarantor with respect to such Securities under Sections 3.06, 3.07, 3.08(a), 3.09, 3.11, and 12.05 hereof, (iii) the rights, powers, trusts, duties and immunities of the Trustee hereunder, including, without limitation, the Trustee’s rights under Section 6.07 hereof, and the obligations of the Company or any Guarantor in connection therewith and with this Article 12. Subject to compliance with this Article 12, the Company may exercise its option under this Section 12.02 notwithstanding the prior exercise of its option under Section 12.03 hereof with respect to the Securities of such series.</w:t>
      </w:r>
    </w:p>
    <w:p>
      <w:pPr>
        <w:spacing w:after="0" w:line="157" w:lineRule="exact"/>
        <w:rPr>
          <w:sz w:val="20"/>
          <w:szCs w:val="20"/>
          <w:color w:val="auto"/>
        </w:rPr>
      </w:pPr>
    </w:p>
    <w:p>
      <w:pPr>
        <w:ind w:right="20" w:firstLine="864"/>
        <w:spacing w:after="0" w:line="253" w:lineRule="auto"/>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Upon the Company’s exercise of the option provided under Section 12.01 hereof to obtain a covenant defeasance with respect to the outstanding Securities of a particular series under this Section 12.03, the Company and any Guarantors shall be released from their obligations under the covenants contained in Article 4 and Section 10.01 hereof and the covenants contained in any supplemental indenture applicable to such series, with respect to the outstanding Securities of such series on and after the date the conditions set forth below are satisfied (hereinafter, “Covenant Defeasance”), and the Securities of such series shall thereafter be deemed not outstanding for the purposes of any direction, waiver, consent or declaration or act of Holders (and the consequences of any thereof) in connection with such covenants, but shall continue to be deemed outstanding for all other purposes hereunder. For this purpose, such Covenant Defeasance means that, with respect to the outstanding Securities of such series, the Company or any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5.01(c) or Section 5.01(g) with respect to outstanding Securities of such series, but, except as specified above, the remainder of this Indenture and of the Securities of such series shall be unaffected thereby.</w:t>
      </w:r>
    </w:p>
    <w:p>
      <w:pPr>
        <w:spacing w:after="0" w:line="149" w:lineRule="exact"/>
        <w:rPr>
          <w:sz w:val="20"/>
          <w:szCs w:val="20"/>
          <w:color w:val="auto"/>
        </w:rPr>
      </w:pPr>
    </w:p>
    <w:p>
      <w:pPr>
        <w:ind w:right="60" w:firstLine="864"/>
        <w:spacing w:after="0" w:line="282" w:lineRule="auto"/>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u w:val="single" w:color="auto"/>
          <w:color w:val="auto"/>
        </w:rPr>
        <w:t>Conditions to Legal or Covenant Defeasance</w:t>
      </w:r>
      <w:r>
        <w:rPr>
          <w:rFonts w:ascii="Times New Roman" w:cs="Times New Roman" w:eastAsia="Times New Roman" w:hAnsi="Times New Roman"/>
          <w:sz w:val="18"/>
          <w:szCs w:val="18"/>
          <w:color w:val="auto"/>
        </w:rPr>
        <w:t>. The following shall be the conditions to the application of either Section 12.02 or Section 12.03 hereof to the outstanding Securities of a particular series:</w:t>
      </w:r>
    </w:p>
    <w:p>
      <w:pPr>
        <w:spacing w:after="0" w:line="121" w:lineRule="exact"/>
        <w:rPr>
          <w:sz w:val="20"/>
          <w:szCs w:val="20"/>
          <w:color w:val="auto"/>
        </w:rPr>
      </w:pPr>
    </w:p>
    <w:p>
      <w:pPr>
        <w:ind w:right="20" w:firstLine="864"/>
        <w:spacing w:after="0" w:line="256" w:lineRule="auto"/>
        <w:rPr>
          <w:sz w:val="20"/>
          <w:szCs w:val="20"/>
          <w:color w:val="auto"/>
        </w:rPr>
      </w:pPr>
      <w:r>
        <w:rPr>
          <w:rFonts w:ascii="Times New Roman" w:cs="Times New Roman" w:eastAsia="Times New Roman" w:hAnsi="Times New Roman"/>
          <w:sz w:val="18"/>
          <w:szCs w:val="18"/>
          <w:color w:val="auto"/>
        </w:rPr>
        <w:t>(a)The Company shall irrevocably have deposited or caused to be deposited with the Trustee (or another trustee satisfying the requirements of Section 6.09 who shall agree to comply with the provisions of this Article 12 applicable to it) as trust funds in trust for the purpose of making the following payments, specifically pledged as security for, and dedicated solely to, the benefit of the Holders of such Securities, (i) an amount (in such currency, currencies or currency unit in which such Securities and any related coupons are then specified as payable at Stated Maturity), or (ii) non-callable Government Securities that through the scheduled payment of principal and interest in respect thereof in accordance with their terms will provide, not later than one day before the due date of any payment, cash in Dollars in an amount, or (iii) a combination thereof, in such amounts as will be sufficient,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1" w:name="page92"/>
    <w:bookmarkEnd w:id="91"/>
    <w:p>
      <w:pPr>
        <w:ind w:right="100"/>
        <w:spacing w:after="0" w:line="266" w:lineRule="auto"/>
        <w:rPr>
          <w:sz w:val="20"/>
          <w:szCs w:val="20"/>
          <w:color w:val="auto"/>
        </w:rPr>
      </w:pPr>
      <w:r>
        <w:rPr>
          <w:rFonts w:ascii="Times New Roman" w:cs="Times New Roman" w:eastAsia="Times New Roman" w:hAnsi="Times New Roman"/>
          <w:sz w:val="18"/>
          <w:szCs w:val="18"/>
          <w:color w:val="auto"/>
        </w:rPr>
        <w:t>opinion of a nationally recognized firm of independent public accountants expressed in a written certification thereof delivered to the Trustee, to pay and discharge and which shall be applied by the Trustee (or other qualifying trustee) to pay and discharge the principal of (and premium, if any) and interest, if any, on such outstanding Securities on the stated maturity date of such principal or installment of principal, or interest or premium, if any.</w:t>
      </w:r>
    </w:p>
    <w:p>
      <w:pPr>
        <w:spacing w:after="0" w:line="135" w:lineRule="exact"/>
        <w:rPr>
          <w:sz w:val="20"/>
          <w:szCs w:val="20"/>
          <w:color w:val="auto"/>
        </w:rPr>
      </w:pPr>
    </w:p>
    <w:p>
      <w:pPr>
        <w:ind w:right="20" w:firstLine="864"/>
        <w:spacing w:after="0" w:line="256" w:lineRule="auto"/>
        <w:rPr>
          <w:sz w:val="20"/>
          <w:szCs w:val="20"/>
          <w:color w:val="auto"/>
        </w:rPr>
      </w:pPr>
      <w:r>
        <w:rPr>
          <w:rFonts w:ascii="Times New Roman" w:cs="Times New Roman" w:eastAsia="Times New Roman" w:hAnsi="Times New Roman"/>
          <w:sz w:val="18"/>
          <w:szCs w:val="18"/>
          <w:color w:val="auto"/>
        </w:rPr>
        <w:t>(b)In the case of an election under Section 12.02 hereof, the Company shall have delivered to the Trustee an Opinion of Counsel confirming that (i) the Company has received from, or there has been published by, the Internal Revenue Service a ruling or (ii) since the date hereof, there has been a change in the applicable federal income tax law, in either case to the effect that, and based thereon such Opinion of Counsel shall confirm that, the Holders of the outstanding Securities of such series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60" w:lineRule="exact"/>
        <w:rPr>
          <w:sz w:val="20"/>
          <w:szCs w:val="20"/>
          <w:color w:val="auto"/>
        </w:rPr>
      </w:pPr>
    </w:p>
    <w:p>
      <w:pPr>
        <w:ind w:right="300" w:firstLine="864"/>
        <w:spacing w:after="0" w:line="261" w:lineRule="auto"/>
        <w:rPr>
          <w:sz w:val="20"/>
          <w:szCs w:val="20"/>
          <w:color w:val="auto"/>
        </w:rPr>
      </w:pPr>
      <w:r>
        <w:rPr>
          <w:rFonts w:ascii="Times New Roman" w:cs="Times New Roman" w:eastAsia="Times New Roman" w:hAnsi="Times New Roman"/>
          <w:sz w:val="18"/>
          <w:szCs w:val="18"/>
          <w:color w:val="auto"/>
        </w:rPr>
        <w:t>(c)In the case of an election under Section 12.03 hereof, the Company shall have delivered to the Trustee an Opinion of Counsel confirming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39" w:lineRule="exact"/>
        <w:rPr>
          <w:sz w:val="20"/>
          <w:szCs w:val="20"/>
          <w:color w:val="auto"/>
        </w:rPr>
      </w:pPr>
    </w:p>
    <w:p>
      <w:pPr>
        <w:ind w:right="200" w:firstLine="864"/>
        <w:spacing w:after="0" w:line="261" w:lineRule="auto"/>
        <w:rPr>
          <w:sz w:val="20"/>
          <w:szCs w:val="20"/>
          <w:color w:val="auto"/>
        </w:rPr>
      </w:pPr>
      <w:r>
        <w:rPr>
          <w:rFonts w:ascii="Times New Roman" w:cs="Times New Roman" w:eastAsia="Times New Roman" w:hAnsi="Times New Roman"/>
          <w:sz w:val="18"/>
          <w:szCs w:val="18"/>
          <w:color w:val="auto"/>
        </w:rPr>
        <w:t>(d)No Default or Event of Default (or event that, with the giving of notice or lapse of time or both would become an Event of Default) with respect to the Securities of such series shall have occurred and be continuing on the date of such deposit or, insofar as Section 5.01(d) or 5.01(e) hereof is concerned, at any time in the period ending on the 124th calendar day after the date of such deposit (it being understood that this condition shall not be deemed satisfied until the expiration of such period).</w:t>
      </w:r>
    </w:p>
    <w:p>
      <w:pPr>
        <w:spacing w:after="0" w:line="139" w:lineRule="exact"/>
        <w:rPr>
          <w:sz w:val="20"/>
          <w:szCs w:val="20"/>
          <w:color w:val="auto"/>
        </w:rPr>
      </w:pPr>
    </w:p>
    <w:p>
      <w:pPr>
        <w:ind w:right="460" w:firstLine="864"/>
        <w:spacing w:after="0" w:line="266" w:lineRule="auto"/>
        <w:rPr>
          <w:sz w:val="20"/>
          <w:szCs w:val="20"/>
          <w:color w:val="auto"/>
        </w:rPr>
      </w:pPr>
      <w:r>
        <w:rPr>
          <w:rFonts w:ascii="Times New Roman" w:cs="Times New Roman" w:eastAsia="Times New Roman" w:hAnsi="Times New Roman"/>
          <w:sz w:val="18"/>
          <w:szCs w:val="18"/>
          <w:color w:val="auto"/>
        </w:rPr>
        <w:t>(e)Such Legal Defeasance or Covenant Defeasance shall not result in a breach or violation of, or constitute a default under any material agreement or instrument (other than this Indenture) to which the Company or any Guarantor is a party or by which the Company or such Guarantor is bound (other than a breach, violation or default resulting from the borrowing of funds to be applied to such deposit).</w:t>
      </w:r>
    </w:p>
    <w:p>
      <w:pPr>
        <w:spacing w:after="0" w:line="149" w:lineRule="exact"/>
        <w:rPr>
          <w:sz w:val="20"/>
          <w:szCs w:val="20"/>
          <w:color w:val="auto"/>
        </w:rPr>
      </w:pPr>
    </w:p>
    <w:p>
      <w:pPr>
        <w:ind w:right="360" w:firstLine="864"/>
        <w:spacing w:after="0" w:line="266" w:lineRule="auto"/>
        <w:rPr>
          <w:sz w:val="20"/>
          <w:szCs w:val="20"/>
          <w:color w:val="auto"/>
        </w:rPr>
      </w:pPr>
      <w:r>
        <w:rPr>
          <w:rFonts w:ascii="Times New Roman" w:cs="Times New Roman" w:eastAsia="Times New Roman" w:hAnsi="Times New Roman"/>
          <w:sz w:val="18"/>
          <w:szCs w:val="18"/>
          <w:color w:val="auto"/>
        </w:rPr>
        <w:t>(f)The Company shall have delivered to the Trustee an Officers’ Certificate stating that the deposit made by the Company pursuant to its election under Section 12.02 or 12.03 hereof was not made by the Company with the intent of preferring the Holders of the affected Securities over the other creditors of the Company with the intent of defeating, hindering, delaying or defrauding creditors of the Company, or others.</w:t>
      </w:r>
    </w:p>
    <w:p>
      <w:pPr>
        <w:spacing w:after="0" w:line="135" w:lineRule="exact"/>
        <w:rPr>
          <w:sz w:val="20"/>
          <w:szCs w:val="20"/>
          <w:color w:val="auto"/>
        </w:rPr>
      </w:pPr>
    </w:p>
    <w:p>
      <w:pPr>
        <w:ind w:right="180" w:firstLine="864"/>
        <w:spacing w:after="0" w:line="282" w:lineRule="auto"/>
        <w:rPr>
          <w:sz w:val="20"/>
          <w:szCs w:val="20"/>
          <w:color w:val="auto"/>
        </w:rPr>
      </w:pPr>
      <w:r>
        <w:rPr>
          <w:rFonts w:ascii="Times New Roman" w:cs="Times New Roman" w:eastAsia="Times New Roman" w:hAnsi="Times New Roman"/>
          <w:sz w:val="18"/>
          <w:szCs w:val="18"/>
          <w:color w:val="auto"/>
        </w:rPr>
        <w:t>(g)Such Legal Defeasance or Covenant Defeasance shall be effected in compliance with any additional terms, conditions or limitations which may be imposed on the Company in connection therewith pursuant to Section 3.01.</w:t>
      </w:r>
    </w:p>
    <w:p>
      <w:pPr>
        <w:spacing w:after="0" w:line="121" w:lineRule="exact"/>
        <w:rPr>
          <w:sz w:val="20"/>
          <w:szCs w:val="20"/>
          <w:color w:val="auto"/>
        </w:rPr>
      </w:pPr>
    </w:p>
    <w:p>
      <w:pPr>
        <w:ind w:right="200" w:firstLine="864"/>
        <w:spacing w:after="0" w:line="266" w:lineRule="auto"/>
        <w:rPr>
          <w:sz w:val="20"/>
          <w:szCs w:val="20"/>
          <w:color w:val="auto"/>
        </w:rPr>
      </w:pPr>
      <w:r>
        <w:rPr>
          <w:rFonts w:ascii="Times New Roman" w:cs="Times New Roman" w:eastAsia="Times New Roman" w:hAnsi="Times New Roman"/>
          <w:sz w:val="18"/>
          <w:szCs w:val="18"/>
          <w:color w:val="auto"/>
        </w:rPr>
        <w:t>(h)The Company shall have delivered to the Trustee an Officers’ Certificate and an Opinion of Counsel, each stating that all conditions precedent provided for relating to either the Legal Defeasance under Section 12.02 hereof or the Covenant Defeasance under Section 12.03 hereof (as the case may be) have been complied with as contemplated by this Section 12.04.</w:t>
      </w:r>
    </w:p>
    <w:p>
      <w:pPr>
        <w:spacing w:after="0" w:line="149" w:lineRule="exact"/>
        <w:rPr>
          <w:sz w:val="20"/>
          <w:szCs w:val="20"/>
          <w:color w:val="auto"/>
        </w:rPr>
      </w:pPr>
    </w:p>
    <w:p>
      <w:pPr>
        <w:ind w:firstLine="864"/>
        <w:spacing w:after="0" w:line="255" w:lineRule="auto"/>
        <w:rPr>
          <w:sz w:val="20"/>
          <w:szCs w:val="20"/>
          <w:color w:val="auto"/>
        </w:rPr>
      </w:pPr>
      <w:r>
        <w:rPr>
          <w:rFonts w:ascii="Times New Roman" w:cs="Times New Roman" w:eastAsia="Times New Roman" w:hAnsi="Times New Roman"/>
          <w:sz w:val="18"/>
          <w:szCs w:val="18"/>
          <w:color w:val="auto"/>
        </w:rPr>
        <w:t xml:space="preserve">SECTION 12.05. </w:t>
      </w:r>
      <w:r>
        <w:rPr>
          <w:rFonts w:ascii="Times New Roman" w:cs="Times New Roman" w:eastAsia="Times New Roman" w:hAnsi="Times New Roman"/>
          <w:sz w:val="18"/>
          <w:szCs w:val="18"/>
          <w:u w:val="single" w:color="auto"/>
          <w:color w:val="auto"/>
        </w:rPr>
        <w:t>Deposited Money and Government Securities to be Held in Trust; Other Miscellaneous Provisions</w:t>
      </w:r>
      <w:r>
        <w:rPr>
          <w:rFonts w:ascii="Times New Roman" w:cs="Times New Roman" w:eastAsia="Times New Roman" w:hAnsi="Times New Roman"/>
          <w:sz w:val="18"/>
          <w:szCs w:val="18"/>
          <w:color w:val="auto"/>
        </w:rPr>
        <w:t>. Subject to Section 12.06 hereof, all money and non-callable Government Securities (including the proceeds thereof) deposited with the Trustee pursuant to Section 12.04 hereof in respect of the outstanding Securities of a particular series shall be held in trust and applied by the Trustee, in accordance with the provisions of such Securities, the Guarantees, if any, relating to such series of Securities and this Indenture, to the payment, either directly or through any Paying Agent (including the Company acting as Paying Agent) as the Trustee may determine, to the Holders of such Securities of all sums due and to become due thereon in respect of principal (and premium, if any) and interest, if any, but such money need not be segregated from other funds except to the extent required by law.</w:t>
      </w:r>
    </w:p>
    <w:p>
      <w:pPr>
        <w:spacing w:after="0" w:line="148" w:lineRule="exact"/>
        <w:rPr>
          <w:sz w:val="20"/>
          <w:szCs w:val="20"/>
          <w:color w:val="auto"/>
        </w:rPr>
      </w:pPr>
    </w:p>
    <w:p>
      <w:pPr>
        <w:ind w:right="120" w:firstLine="864"/>
        <w:spacing w:after="0" w:line="282" w:lineRule="auto"/>
        <w:rPr>
          <w:sz w:val="20"/>
          <w:szCs w:val="20"/>
          <w:color w:val="auto"/>
        </w:rPr>
      </w:pPr>
      <w:r>
        <w:rPr>
          <w:rFonts w:ascii="Times New Roman" w:cs="Times New Roman" w:eastAsia="Times New Roman" w:hAnsi="Times New Roman"/>
          <w:sz w:val="18"/>
          <w:szCs w:val="18"/>
          <w:color w:val="auto"/>
        </w:rPr>
        <w:t>The Company shall pay and indemnify the Trustee against any tax, fee or other charge imposed on or assessed against the cash or non-callable Government Securities deposited pursuant to Section 12.04 hereof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ind w:right="60"/>
        <w:spacing w:after="0" w:line="282" w:lineRule="auto"/>
        <w:rPr>
          <w:sz w:val="20"/>
          <w:szCs w:val="20"/>
          <w:color w:val="auto"/>
        </w:rPr>
      </w:pPr>
      <w:r>
        <w:rPr>
          <w:rFonts w:ascii="Times New Roman" w:cs="Times New Roman" w:eastAsia="Times New Roman" w:hAnsi="Times New Roman"/>
          <w:sz w:val="18"/>
          <w:szCs w:val="18"/>
          <w:color w:val="auto"/>
        </w:rPr>
        <w:t>principal and interest received in respect thereof other than any such tax, fee or other charge that by law is for the account of the Holders of the outstanding Securities of such series.</w:t>
      </w:r>
    </w:p>
    <w:p>
      <w:pPr>
        <w:spacing w:after="0" w:line="121" w:lineRule="exact"/>
        <w:rPr>
          <w:sz w:val="20"/>
          <w:szCs w:val="20"/>
          <w:color w:val="auto"/>
        </w:rPr>
      </w:pPr>
    </w:p>
    <w:p>
      <w:pPr>
        <w:ind w:right="220" w:firstLine="864"/>
        <w:spacing w:after="0" w:line="258" w:lineRule="auto"/>
        <w:rPr>
          <w:sz w:val="20"/>
          <w:szCs w:val="20"/>
          <w:color w:val="auto"/>
        </w:rPr>
      </w:pPr>
      <w:r>
        <w:rPr>
          <w:rFonts w:ascii="Times New Roman" w:cs="Times New Roman" w:eastAsia="Times New Roman" w:hAnsi="Times New Roman"/>
          <w:sz w:val="18"/>
          <w:szCs w:val="18"/>
          <w:color w:val="auto"/>
        </w:rPr>
        <w:t>Anything in this Article 12 to the contrary notwithstanding, the Trustee shall deliver or pay to the Company from time to time upon the Company’s request any money or non-callable Government Securities held by it as provided in Section 12.04 hereof with respect to the Securities of any series which, in the opinion of a nationally recognized firm of independent public accountants expressed in a written certification thereof delivered to the Trustee (which may be the opinion delivered under Section 12.04(a) hereof), are in excess of the amount thereof which would then be required to be deposited to effect an equivalent Legal Defeasance or Covenant Defeasance.</w:t>
      </w:r>
    </w:p>
    <w:p>
      <w:pPr>
        <w:spacing w:after="0" w:line="156" w:lineRule="exact"/>
        <w:rPr>
          <w:sz w:val="20"/>
          <w:szCs w:val="20"/>
          <w:color w:val="auto"/>
        </w:rPr>
      </w:pPr>
    </w:p>
    <w:p>
      <w:pPr>
        <w:ind w:right="80" w:firstLine="864"/>
        <w:spacing w:after="0" w:line="255" w:lineRule="auto"/>
        <w:rPr>
          <w:sz w:val="20"/>
          <w:szCs w:val="20"/>
          <w:color w:val="auto"/>
        </w:rPr>
      </w:pPr>
      <w:r>
        <w:rPr>
          <w:rFonts w:ascii="Times New Roman" w:cs="Times New Roman" w:eastAsia="Times New Roman" w:hAnsi="Times New Roman"/>
          <w:sz w:val="18"/>
          <w:szCs w:val="18"/>
          <w:color w:val="auto"/>
        </w:rPr>
        <w:t xml:space="preserve">SECTION 12.06. </w:t>
      </w:r>
      <w:r>
        <w:rPr>
          <w:rFonts w:ascii="Times New Roman" w:cs="Times New Roman" w:eastAsia="Times New Roman" w:hAnsi="Times New Roman"/>
          <w:sz w:val="18"/>
          <w:szCs w:val="18"/>
          <w:u w:val="single" w:color="auto"/>
          <w:color w:val="auto"/>
        </w:rPr>
        <w:t>Repayment to the Company or Guarantor</w:t>
      </w:r>
      <w:r>
        <w:rPr>
          <w:rFonts w:ascii="Times New Roman" w:cs="Times New Roman" w:eastAsia="Times New Roman" w:hAnsi="Times New Roman"/>
          <w:sz w:val="18"/>
          <w:szCs w:val="18"/>
          <w:color w:val="auto"/>
        </w:rPr>
        <w:t>. Any money deposited with the Trustee or any Paying Agent, or then held by the Company or applicable Guarantor, in trust for the payment of the principal of (and premium, if any) and interest, if any, on any Security and remaining unclaimed for two years after such principal, or interest or premium, if any, has become due and payable and was deposited with the Paying Agent shall be paid to the Company or such Guarantor on its written request (or if then held by the Company or such Guarantor) will be discharged from such trust) subject to any applicable abandoned property law; and the Holder of such Security shall thereafter, as an unsecured general creditor, look only to the Company or such Guarantor for payment thereof, and all liability of the Trustee or such Paying Agent with respect to such trust money, and all liability of the Company or such Guarantor as trustee thereof, shall thereupon cease.</w:t>
      </w:r>
    </w:p>
    <w:p>
      <w:pPr>
        <w:spacing w:after="0" w:line="148" w:lineRule="exact"/>
        <w:rPr>
          <w:sz w:val="20"/>
          <w:szCs w:val="20"/>
          <w:color w:val="auto"/>
        </w:rPr>
      </w:pPr>
    </w:p>
    <w:p>
      <w:pPr>
        <w:ind w:right="80" w:firstLine="864"/>
        <w:spacing w:after="0" w:line="254" w:lineRule="auto"/>
        <w:rPr>
          <w:sz w:val="20"/>
          <w:szCs w:val="20"/>
          <w:color w:val="auto"/>
        </w:rPr>
      </w:pPr>
      <w:r>
        <w:rPr>
          <w:rFonts w:ascii="Times New Roman" w:cs="Times New Roman" w:eastAsia="Times New Roman" w:hAnsi="Times New Roman"/>
          <w:sz w:val="18"/>
          <w:szCs w:val="18"/>
          <w:color w:val="auto"/>
        </w:rPr>
        <w:t xml:space="preserve">SECTION 12.07.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xml:space="preserve">. If the Trustee or Paying Agent is unable to apply any Dollars or non-callable Government Securities in accordance with Section 12.02 or 12.03 hereof, as the case may be, by reason of any order or judgment of any court or governmental authority enjoining, restraining or otherwise prohibiting such application, then the obligations of the Company and the applicable Guarantors under this Indenture, the Securities and any Guarantees shall be revived and reinstated as though no deposit had occurred pursuant to Section 12.02 or 12.03 hereof until such time as the Trustee or Paying Agent is permitted to apply all such money in accordance with Section 12.02 or 12.03 hereof,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Company or any Guarantor makes any payment of principal of, or interest or premium, if any, on any Security following the reinstatement of its obligations, the Company or any Guarantor shall be subrogated to the rights of the Holders of such Security to receive such payment from the money held by the Trustee or Paying Agent.</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13</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SATISFACTION AND DISCHARGE</w:t>
      </w:r>
    </w:p>
    <w:p>
      <w:pPr>
        <w:spacing w:after="0" w:line="180" w:lineRule="exact"/>
        <w:rPr>
          <w:sz w:val="20"/>
          <w:szCs w:val="20"/>
          <w:color w:val="auto"/>
        </w:rPr>
      </w:pPr>
    </w:p>
    <w:p>
      <w:pPr>
        <w:ind w:firstLine="864"/>
        <w:spacing w:after="0" w:line="261" w:lineRule="auto"/>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 This Indenture shall upon a Company Request cease to be of further effect with respect to any series of Securities (except, as to any surviving rights of registration of transfer, exchange or conversion of Securities of such series herein expressly provided for or in the form of Security for such series and any rights to receive payment of interest thereon), and the Trustee, on demand of and at the expense of the Company, shall execute proper instruments acknowledging satisfaction and discharge of this Indenture, when:</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(a)either</w:t>
      </w:r>
    </w:p>
    <w:p>
      <w:pPr>
        <w:spacing w:after="0" w:line="185" w:lineRule="exact"/>
        <w:rPr>
          <w:sz w:val="20"/>
          <w:szCs w:val="20"/>
          <w:color w:val="auto"/>
        </w:rPr>
      </w:pPr>
    </w:p>
    <w:p>
      <w:pPr>
        <w:ind w:right="80" w:firstLine="864"/>
        <w:spacing w:after="0" w:line="261" w:lineRule="auto"/>
        <w:rPr>
          <w:sz w:val="20"/>
          <w:szCs w:val="20"/>
          <w:color w:val="auto"/>
        </w:rPr>
      </w:pPr>
      <w:r>
        <w:rPr>
          <w:rFonts w:ascii="Times New Roman" w:cs="Times New Roman" w:eastAsia="Times New Roman" w:hAnsi="Times New Roman"/>
          <w:sz w:val="18"/>
          <w:szCs w:val="18"/>
          <w:color w:val="auto"/>
        </w:rPr>
        <w:t>(i)all Securities of such series theretofore authenticated and delivered (other than (A) Securities which have been destroyed, lost or stolen and which have been replaced or paid as provided in Section 3.09, and (B) Securities for whose payment money has theretofore been (x) deposited in trust or segregated and held in trust by the Company and thereafter repaid to the Company or discharged from such trust, as provided in Section 4.03(c) or (y) paid to any State or the District of Columbia pursuant to its unclaimed property or similar laws) have been delivered to the Trustee for cancellation; or</w:t>
      </w:r>
    </w:p>
    <w:p>
      <w:pPr>
        <w:spacing w:after="0" w:line="1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(ii)all such Securities not theretofore delivered to the Trustee for cancellation</w:t>
      </w:r>
    </w:p>
    <w:p>
      <w:pPr>
        <w:spacing w:after="0" w:line="185" w:lineRule="exact"/>
        <w:rPr>
          <w:sz w:val="20"/>
          <w:szCs w:val="20"/>
          <w:color w:val="auto"/>
        </w:rPr>
      </w:pPr>
    </w:p>
    <w:p>
      <w:pPr>
        <w:ind w:left="1740" w:right="580" w:firstLine="731"/>
        <w:spacing w:after="0" w:line="282" w:lineRule="auto"/>
        <w:rPr>
          <w:sz w:val="20"/>
          <w:szCs w:val="20"/>
          <w:color w:val="auto"/>
        </w:rPr>
      </w:pPr>
      <w:r>
        <w:rPr>
          <w:rFonts w:ascii="Times New Roman" w:cs="Times New Roman" w:eastAsia="Times New Roman" w:hAnsi="Times New Roman"/>
          <w:sz w:val="18"/>
          <w:szCs w:val="18"/>
          <w:color w:val="auto"/>
        </w:rPr>
        <w:t>(A)have become due and payable (whether at Stated Maturity, upon redemption (if applicable), upon any required repurchase by the Company (if applicable) or otherwise), or</w:t>
      </w:r>
    </w:p>
    <w:p>
      <w:pPr>
        <w:spacing w:after="0" w:line="1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(B)will become due and payable at their stated maturity within one year,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ind w:left="1740" w:right="20" w:firstLine="731"/>
        <w:spacing w:after="0" w:line="255" w:lineRule="auto"/>
        <w:rPr>
          <w:sz w:val="20"/>
          <w:szCs w:val="20"/>
          <w:color w:val="auto"/>
        </w:rPr>
      </w:pPr>
      <w:r>
        <w:rPr>
          <w:rFonts w:ascii="Times New Roman" w:cs="Times New Roman" w:eastAsia="Times New Roman" w:hAnsi="Times New Roman"/>
          <w:sz w:val="18"/>
          <w:szCs w:val="18"/>
          <w:color w:val="auto"/>
        </w:rPr>
        <w:t>(C)are to be called for redemption within one year under arrangements satisfactory to the Trustee for the giving of notice of redemption by the Trustee in the name, and at the expense, of the Company, and the Company, in the case of (A), (B) or (C) above, has deposited or caused to be deposited with the Trustee, as trust funds in trust for the purpose, money in the amount in the currency or currency units in which the Securities of such series are payable, sufficient to pay and discharge the entire indebtedness on such Securities not theretofore delivered to the Trustee for cancellation, for principal (and premium, if any) and interest, if any, to the date of such deposit (in the case of Securities which have become due and payable), or to the Stated Maturity or redemption date, as the case may be;</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(b)the Company or a Guarantor, if any, has paid or caused to be paid all other sums payable hereunder by the Company or the Guarantors,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and</w:t>
      </w:r>
    </w:p>
    <w:p>
      <w:pPr>
        <w:spacing w:after="0" w:line="180" w:lineRule="exact"/>
        <w:rPr>
          <w:sz w:val="20"/>
          <w:szCs w:val="20"/>
          <w:color w:val="auto"/>
        </w:rPr>
      </w:pPr>
    </w:p>
    <w:p>
      <w:pPr>
        <w:ind w:firstLine="864"/>
        <w:spacing w:after="0" w:line="282" w:lineRule="auto"/>
        <w:rPr>
          <w:sz w:val="20"/>
          <w:szCs w:val="20"/>
          <w:color w:val="auto"/>
        </w:rPr>
      </w:pPr>
      <w:r>
        <w:rPr>
          <w:rFonts w:ascii="Times New Roman" w:cs="Times New Roman" w:eastAsia="Times New Roman" w:hAnsi="Times New Roman"/>
          <w:sz w:val="18"/>
          <w:szCs w:val="18"/>
          <w:color w:val="auto"/>
        </w:rPr>
        <w:t>(c)the Company has delivered to the Trustee an Officers’ Certificate and an Opinion of Counsel each stating that all conditions precedent herein provided for relating to the satisfaction and discharge of this Indenture have been complied with.</w:t>
      </w:r>
    </w:p>
    <w:p>
      <w:pPr>
        <w:spacing w:after="0" w:line="121" w:lineRule="exact"/>
        <w:rPr>
          <w:sz w:val="20"/>
          <w:szCs w:val="20"/>
          <w:color w:val="auto"/>
        </w:rPr>
      </w:pPr>
    </w:p>
    <w:p>
      <w:pPr>
        <w:ind w:right="60" w:firstLine="864"/>
        <w:spacing w:after="0" w:line="266"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the obligations of the Company to the Trustee under Section 6.07 and, if money shall have been deposited with the Trustee pursuant to subclause (ii) of clause (a) of this Section, the obligations of the Trustee under Section 13.02 and Section 4.03(e) shall survive.</w:t>
      </w:r>
    </w:p>
    <w:p>
      <w:pPr>
        <w:spacing w:after="0" w:line="135" w:lineRule="exact"/>
        <w:rPr>
          <w:sz w:val="20"/>
          <w:szCs w:val="20"/>
          <w:color w:val="auto"/>
        </w:rPr>
      </w:pPr>
    </w:p>
    <w:p>
      <w:pPr>
        <w:ind w:right="100" w:firstLine="864"/>
        <w:spacing w:after="0" w:line="258" w:lineRule="auto"/>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u w:val="single" w:color="auto"/>
          <w:color w:val="auto"/>
        </w:rPr>
        <w:t>Application of Trust Money</w:t>
      </w:r>
      <w:r>
        <w:rPr>
          <w:rFonts w:ascii="Times New Roman" w:cs="Times New Roman" w:eastAsia="Times New Roman" w:hAnsi="Times New Roman"/>
          <w:sz w:val="18"/>
          <w:szCs w:val="18"/>
          <w:color w:val="auto"/>
        </w:rPr>
        <w:t>. Subject to the provisions of Section 4.03(e), all money deposited with the Trustee pursuant to Section 13.01 shall be held in trust and applied by it, in accordance with the provisions of the Securities, the Guarantees, if any, relating to such series of Securities and this Indenture, to the payment, either directly or through any Paying Agent (including the Company acting as its own Paying Agent), as the Trustee may determine, to the Persons entitled thereto, of the principal (and premium, if any) and interest, if any, for whose payment such money has been deposited with the Trustee.</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HOLDERS’ LISTS AND REPORTS BY TRUSTEE, COMPANY AND GUARANTORS</w:t>
      </w:r>
    </w:p>
    <w:p>
      <w:pPr>
        <w:spacing w:after="0" w:line="16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u w:val="single" w:color="auto"/>
          <w:color w:val="auto"/>
        </w:rPr>
        <w:t>Company to Furnish Trustee Names and Addresses of Holders</w:t>
      </w:r>
      <w:r>
        <w:rPr>
          <w:rFonts w:ascii="Times New Roman" w:cs="Times New Roman" w:eastAsia="Times New Roman" w:hAnsi="Times New Roman"/>
          <w:sz w:val="18"/>
          <w:szCs w:val="18"/>
          <w:color w:val="auto"/>
        </w:rPr>
        <w:t>. The Company will furnish or cause to be furnished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166" w:lineRule="exact"/>
        <w:rPr>
          <w:sz w:val="20"/>
          <w:szCs w:val="20"/>
          <w:color w:val="auto"/>
        </w:rPr>
      </w:pPr>
    </w:p>
    <w:p>
      <w:pPr>
        <w:jc w:val="both"/>
        <w:ind w:right="40" w:firstLine="864"/>
        <w:spacing w:after="0" w:line="261" w:lineRule="auto"/>
        <w:rPr>
          <w:sz w:val="20"/>
          <w:szCs w:val="20"/>
          <w:color w:val="auto"/>
        </w:rPr>
      </w:pPr>
      <w:r>
        <w:rPr>
          <w:rFonts w:ascii="Times New Roman" w:cs="Times New Roman" w:eastAsia="Times New Roman" w:hAnsi="Times New Roman"/>
          <w:sz w:val="18"/>
          <w:szCs w:val="18"/>
          <w:color w:val="auto"/>
        </w:rPr>
        <w:t>(a)semi-annually, not later than 15 calendar days after the Regular Record Date for each series of Securities, a list, in such form as the Trustee may reasonably require, of the names and addresses of the Holders of Securities as of such Regular Record Date (unless the Trustee has such information), or if there is no Regular Record Date for interest for such series of Securities, semi-annually, upon such dates as are set forth in the Board Resolution of the Company or indenture supplemental hereto authorizing such series, and</w:t>
      </w:r>
    </w:p>
    <w:p>
      <w:pPr>
        <w:spacing w:after="0" w:line="153" w:lineRule="exact"/>
        <w:rPr>
          <w:sz w:val="20"/>
          <w:szCs w:val="20"/>
          <w:color w:val="auto"/>
        </w:rPr>
      </w:pPr>
    </w:p>
    <w:p>
      <w:pPr>
        <w:ind w:firstLine="864"/>
        <w:spacing w:after="0" w:line="282" w:lineRule="auto"/>
        <w:rPr>
          <w:sz w:val="20"/>
          <w:szCs w:val="20"/>
          <w:color w:val="auto"/>
        </w:rPr>
      </w:pPr>
      <w:r>
        <w:rPr>
          <w:rFonts w:ascii="Times New Roman" w:cs="Times New Roman" w:eastAsia="Times New Roman" w:hAnsi="Times New Roman"/>
          <w:sz w:val="18"/>
          <w:szCs w:val="18"/>
          <w:color w:val="auto"/>
        </w:rPr>
        <w:t>(b)at such other times as the Trustee may request in writing, within 30 calendar days after the receipt by the Company of any such request, a list of similar form and content as of a date not more than 15 calendar days prior to the time such list is furnished;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 long as the Trustee is the Registrar, no such list shall be required to be furnished.</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14.02. </w:t>
      </w:r>
      <w:r>
        <w:rPr>
          <w:rFonts w:ascii="Times New Roman" w:cs="Times New Roman" w:eastAsia="Times New Roman" w:hAnsi="Times New Roman"/>
          <w:sz w:val="18"/>
          <w:szCs w:val="18"/>
          <w:u w:val="single" w:color="auto"/>
          <w:color w:val="auto"/>
        </w:rPr>
        <w:t>Preservation of Information; Communications to Holders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firstLine="864"/>
        <w:spacing w:after="0" w:line="266" w:lineRule="auto"/>
        <w:rPr>
          <w:sz w:val="20"/>
          <w:szCs w:val="20"/>
          <w:color w:val="auto"/>
        </w:rPr>
      </w:pPr>
      <w:r>
        <w:rPr>
          <w:rFonts w:ascii="Times New Roman" w:cs="Times New Roman" w:eastAsia="Times New Roman" w:hAnsi="Times New Roman"/>
          <w:sz w:val="18"/>
          <w:szCs w:val="18"/>
          <w:color w:val="auto"/>
        </w:rPr>
        <w:t>(a)The Trustee shall preserve, in as current a form as is reasonably practicable, the names and addresses of Holders contained in the most recent list furnished to the Trustee as provided in Section 14.01 and the names and addresses of Holders received by the Trustee in its capacity as the Registrar. The Trustee may destroy any list furnished to it as provided in Section 14.01 upon receipt of a new list so furnished.</w:t>
      </w:r>
    </w:p>
    <w:p>
      <w:pPr>
        <w:spacing w:after="0" w:line="135" w:lineRule="exact"/>
        <w:rPr>
          <w:sz w:val="20"/>
          <w:szCs w:val="20"/>
          <w:color w:val="auto"/>
        </w:rPr>
      </w:pPr>
    </w:p>
    <w:p>
      <w:pPr>
        <w:ind w:firstLine="864"/>
        <w:spacing w:after="0" w:line="266" w:lineRule="auto"/>
        <w:rPr>
          <w:sz w:val="20"/>
          <w:szCs w:val="20"/>
          <w:color w:val="auto"/>
        </w:rPr>
      </w:pPr>
      <w:r>
        <w:rPr>
          <w:rFonts w:ascii="Times New Roman" w:cs="Times New Roman" w:eastAsia="Times New Roman" w:hAnsi="Times New Roman"/>
          <w:sz w:val="18"/>
          <w:szCs w:val="18"/>
          <w:color w:val="auto"/>
        </w:rPr>
        <w:t>(b)If three or more Holders (herein referred to as “applicants”) apply in writing to the Trustee, and furnish to the Trustee reasonable proof that each such applicant has owned a Security for a period of at least six months preceding the date of such application (or since the first date of the issuance for such Security, if the holding period is less than six months), and such application states that the applicants desire to communicate with other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4" w:name="page95"/>
    <w:bookmarkEnd w:id="94"/>
    <w:p>
      <w:pPr>
        <w:ind w:right="200"/>
        <w:spacing w:after="0" w:line="282" w:lineRule="auto"/>
        <w:rPr>
          <w:sz w:val="20"/>
          <w:szCs w:val="20"/>
          <w:color w:val="auto"/>
        </w:rPr>
      </w:pPr>
      <w:r>
        <w:rPr>
          <w:rFonts w:ascii="Times New Roman" w:cs="Times New Roman" w:eastAsia="Times New Roman" w:hAnsi="Times New Roman"/>
          <w:sz w:val="18"/>
          <w:szCs w:val="18"/>
          <w:color w:val="auto"/>
        </w:rPr>
        <w:t>with respect to their rights under this Indenture or under the Securities and is accompanied by a copy of the form of proxy or other communication which such applicants propose to transmit, then the Trustee shall, within five Business Days after the receipt of such application, at its election, either</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(i)afford such applicants access to the information preserved at the time by the Trustee in accordance with Section 14.02(a); or</w:t>
      </w:r>
    </w:p>
    <w:p>
      <w:pPr>
        <w:spacing w:after="0" w:line="198" w:lineRule="exact"/>
        <w:rPr>
          <w:sz w:val="20"/>
          <w:szCs w:val="20"/>
          <w:color w:val="auto"/>
        </w:rPr>
      </w:pPr>
    </w:p>
    <w:p>
      <w:pPr>
        <w:jc w:val="both"/>
        <w:ind w:right="40" w:firstLine="864"/>
        <w:spacing w:after="0" w:line="266" w:lineRule="auto"/>
        <w:rPr>
          <w:sz w:val="20"/>
          <w:szCs w:val="20"/>
          <w:color w:val="auto"/>
        </w:rPr>
      </w:pPr>
      <w:r>
        <w:rPr>
          <w:rFonts w:ascii="Times New Roman" w:cs="Times New Roman" w:eastAsia="Times New Roman" w:hAnsi="Times New Roman"/>
          <w:sz w:val="18"/>
          <w:szCs w:val="18"/>
          <w:color w:val="auto"/>
        </w:rPr>
        <w:t>(ii)inform such applicants as to the approximate number of Holders whose names and addresses appear in the information preserved at the time by the Trustee in accordance with Section 14.02(a), and as to the approximate cost of mailing to such Holders the form of proxy or other communication, if any, specified in such application.</w:t>
      </w:r>
    </w:p>
    <w:p>
      <w:pPr>
        <w:spacing w:after="0" w:line="135" w:lineRule="exact"/>
        <w:rPr>
          <w:sz w:val="20"/>
          <w:szCs w:val="20"/>
          <w:color w:val="auto"/>
        </w:rPr>
      </w:pPr>
    </w:p>
    <w:p>
      <w:pPr>
        <w:ind w:right="60" w:firstLine="864"/>
        <w:spacing w:after="0" w:line="253" w:lineRule="auto"/>
        <w:rPr>
          <w:sz w:val="20"/>
          <w:szCs w:val="20"/>
          <w:color w:val="auto"/>
        </w:rPr>
      </w:pPr>
      <w:r>
        <w:rPr>
          <w:rFonts w:ascii="Times New Roman" w:cs="Times New Roman" w:eastAsia="Times New Roman" w:hAnsi="Times New Roman"/>
          <w:sz w:val="18"/>
          <w:szCs w:val="18"/>
          <w:color w:val="auto"/>
        </w:rPr>
        <w:t>If the Trustee shall elect not to afford such applicants access to such information, the Trustee shall, upon the written request of such applicants, mail to each Holder whose name and address appears in the information preserved at the time by the Trustee in accordance with Section 14.02(a) a copy of the form of proxy or other communication which is specified in such request, with reasonable promptness after a tender to the Trustee of the material to be mailed and of payment, or provision for the payment, of the reasonable expenses of mailing, unless within five Business Days after such tender the Trustee shall mail to such applicants and file with the Commission, together with a copy of the material to be mailed, a written statement to the effect that, in the opinion of the Trustee, such mailing would be contrary to the best interest of the Holders or would be in violation of applicable law. Such written statement shall specify the basis of such opinion. If the Commission, after opportunity for a hearing upon the objections specified in the written statement so filed, shall enter an order refusing to sustain any of such objections or if, after the entry of an order sustaining one or more of such objections, the Commission shall find, after notice and opportunity for hearing, that all objections so sustained have been met and shall enter an order so declaring, the Trustee shall mail copies of such material to all such Holders with reasonable promptness after the entry of such order and the renewal of such tender; otherwise the Trustee shall be relieved of any obligation or duty to such applicants respecting their application.</w:t>
      </w:r>
    </w:p>
    <w:p>
      <w:pPr>
        <w:spacing w:after="0" w:line="151" w:lineRule="exact"/>
        <w:rPr>
          <w:sz w:val="20"/>
          <w:szCs w:val="20"/>
          <w:color w:val="auto"/>
        </w:rPr>
      </w:pPr>
    </w:p>
    <w:p>
      <w:pPr>
        <w:ind w:firstLine="864"/>
        <w:spacing w:after="0" w:line="261" w:lineRule="auto"/>
        <w:rPr>
          <w:sz w:val="20"/>
          <w:szCs w:val="20"/>
          <w:color w:val="auto"/>
        </w:rPr>
      </w:pPr>
      <w:r>
        <w:rPr>
          <w:rFonts w:ascii="Times New Roman" w:cs="Times New Roman" w:eastAsia="Times New Roman" w:hAnsi="Times New Roman"/>
          <w:sz w:val="18"/>
          <w:szCs w:val="18"/>
          <w:color w:val="auto"/>
        </w:rPr>
        <w:t>(c)Every Holder of Securities, by receiving and holding the same, agrees with the Company, any applicable Guarantor and the Trustee that none of the Company, such Guarantors and the Trustee nor any of their respective agents shall be held accountable by reason of the disclosure of any such information as to the names and addresses of the Holders in accordance with Section 14.02(b), regardless of the source from which such information was derived, and that the Trustee shall not be held accountable by reason of mailing any material pursuant to a request made under Section 14.02(b).</w:t>
      </w:r>
    </w:p>
    <w:p>
      <w:pPr>
        <w:spacing w:after="0" w:line="1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14.03. </w:t>
      </w:r>
      <w:r>
        <w:rPr>
          <w:rFonts w:ascii="Times New Roman" w:cs="Times New Roman" w:eastAsia="Times New Roman" w:hAnsi="Times New Roman"/>
          <w:sz w:val="18"/>
          <w:szCs w:val="18"/>
          <w:u w:val="single" w:color="auto"/>
          <w:color w:val="auto"/>
        </w:rPr>
        <w:t>Reports by the Trustee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40" w:firstLine="864"/>
        <w:spacing w:after="0" w:line="261" w:lineRule="auto"/>
        <w:rPr>
          <w:sz w:val="20"/>
          <w:szCs w:val="20"/>
          <w:color w:val="auto"/>
        </w:rPr>
      </w:pPr>
      <w:r>
        <w:rPr>
          <w:rFonts w:ascii="Times New Roman" w:cs="Times New Roman" w:eastAsia="Times New Roman" w:hAnsi="Times New Roman"/>
          <w:sz w:val="18"/>
          <w:szCs w:val="18"/>
          <w:color w:val="auto"/>
        </w:rPr>
        <w:t>(a)The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60 calendar days after each May 15th following the date of this Indenture (commencing May 15, [•]) deliver to Holders a brief report, dated as of such May 15th, which complies with the provisions of such Section 313(a).</w:t>
      </w:r>
    </w:p>
    <w:p>
      <w:pPr>
        <w:spacing w:after="0" w:line="139" w:lineRule="exact"/>
        <w:rPr>
          <w:sz w:val="20"/>
          <w:szCs w:val="20"/>
          <w:color w:val="auto"/>
        </w:rPr>
      </w:pPr>
    </w:p>
    <w:p>
      <w:pPr>
        <w:jc w:val="both"/>
        <w:ind w:right="140" w:firstLine="864"/>
        <w:spacing w:after="0" w:line="266" w:lineRule="auto"/>
        <w:rPr>
          <w:sz w:val="20"/>
          <w:szCs w:val="20"/>
          <w:color w:val="auto"/>
        </w:rPr>
      </w:pPr>
      <w:r>
        <w:rPr>
          <w:rFonts w:ascii="Times New Roman" w:cs="Times New Roman" w:eastAsia="Times New Roman" w:hAnsi="Times New Roman"/>
          <w:sz w:val="18"/>
          <w:szCs w:val="18"/>
          <w:color w:val="auto"/>
        </w:rPr>
        <w:t>(b)(b) A copy of each such report shall, at the time of such transmission to Holders, be filed by the Trustee with each securities exchange upon which Securities of any series are listed, with the Commission and with the Company. The Company will promptly notify the Trustee when any Securities are listed on any securities exchange and of any delisting thereof.</w:t>
      </w:r>
    </w:p>
    <w:p>
      <w:pPr>
        <w:spacing w:after="0" w:line="149" w:lineRule="exact"/>
        <w:rPr>
          <w:sz w:val="20"/>
          <w:szCs w:val="20"/>
          <w:color w:val="auto"/>
        </w:rPr>
      </w:pPr>
    </w:p>
    <w:p>
      <w:pPr>
        <w:ind w:right="80" w:firstLine="864"/>
        <w:spacing w:after="0" w:line="254" w:lineRule="auto"/>
        <w:rPr>
          <w:sz w:val="20"/>
          <w:szCs w:val="20"/>
          <w:color w:val="auto"/>
        </w:rPr>
      </w:pPr>
      <w:r>
        <w:rPr>
          <w:rFonts w:ascii="Times New Roman" w:cs="Times New Roman" w:eastAsia="Times New Roman" w:hAnsi="Times New Roman"/>
          <w:sz w:val="18"/>
          <w:szCs w:val="18"/>
          <w:color w:val="auto"/>
        </w:rPr>
        <w:t xml:space="preserve">SECTION 14.04. </w:t>
      </w:r>
      <w:r>
        <w:rPr>
          <w:rFonts w:ascii="Times New Roman" w:cs="Times New Roman" w:eastAsia="Times New Roman" w:hAnsi="Times New Roman"/>
          <w:sz w:val="18"/>
          <w:szCs w:val="18"/>
          <w:u w:val="single" w:color="auto"/>
          <w:color w:val="auto"/>
        </w:rPr>
        <w:t>Reports by the Company and Guarantors</w:t>
      </w:r>
      <w:r>
        <w:rPr>
          <w:rFonts w:ascii="Times New Roman" w:cs="Times New Roman" w:eastAsia="Times New Roman" w:hAnsi="Times New Roman"/>
          <w:sz w:val="18"/>
          <w:szCs w:val="18"/>
          <w:color w:val="auto"/>
        </w:rPr>
        <w:t xml:space="preserve">. The Company shall furnish to the Trustee, within 15 calendar days after it actually files such annual and quarterly reports, information, documents and other reports with the Commission, copies of its annual report and of the information, documents and other reports (or copies of such portions of any of the foregoing the Commission may by rules and regulations prescribe) that the Company is required to file with the Commission pursuant to Section 13 or 15(d) of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annual and quarterly reports, information, documents and other reports and information filed with the Commission may be provided by the Company to the Trustee electronically. The Company and any Guarantor shall comply with the other provisions of TIA Section 314(a). Delivery of such information, documents and reports to the Trustee is for informational purposes only and the Trustee’s receipt of such shall not constitute constructive notice of any information contained therein or determinable from information contained therein, including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compliance with any of its covenants hereunder (as to which the Trustee is entitled to rely exclusively on Officers’ Certificates). It is expressly understood that materials transmitted electronically by the Company to the Trustee or filed pursuant to the Commission’s EDGAR system (or any successor electronic filing system) shall be deemed filed with the Trustee and transmitted to Holders for purposes of this Section 14.04.</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15</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MISCELLANEOUS PROVISIONS</w:t>
      </w:r>
    </w:p>
    <w:p>
      <w:pPr>
        <w:spacing w:after="0" w:line="180" w:lineRule="exact"/>
        <w:rPr>
          <w:sz w:val="20"/>
          <w:szCs w:val="20"/>
          <w:color w:val="auto"/>
        </w:rPr>
      </w:pPr>
    </w:p>
    <w:p>
      <w:pPr>
        <w:ind w:right="100" w:firstLine="864"/>
        <w:spacing w:after="0" w:line="255" w:lineRule="auto"/>
        <w:rPr>
          <w:sz w:val="20"/>
          <w:szCs w:val="20"/>
          <w:color w:val="auto"/>
        </w:rPr>
      </w:pPr>
      <w:r>
        <w:rPr>
          <w:rFonts w:ascii="Times New Roman" w:cs="Times New Roman" w:eastAsia="Times New Roman" w:hAnsi="Times New Roman"/>
          <w:sz w:val="18"/>
          <w:szCs w:val="18"/>
          <w:color w:val="auto"/>
        </w:rPr>
        <w:t xml:space="preserve">SECTION 15.01. </w:t>
      </w:r>
      <w:r>
        <w:rPr>
          <w:rFonts w:ascii="Times New Roman" w:cs="Times New Roman" w:eastAsia="Times New Roman" w:hAnsi="Times New Roman"/>
          <w:sz w:val="18"/>
          <w:szCs w:val="18"/>
          <w:u w:val="single" w:color="auto"/>
          <w:color w:val="auto"/>
        </w:rPr>
        <w:t>Incorporators, Stockholders, Members, Partners, Officers, Managers and Directors of Company or any Guarantor Exempt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from Individual Liability</w:t>
      </w:r>
      <w:r>
        <w:rPr>
          <w:rFonts w:ascii="Times New Roman" w:cs="Times New Roman" w:eastAsia="Times New Roman" w:hAnsi="Times New Roman"/>
          <w:sz w:val="18"/>
          <w:szCs w:val="18"/>
          <w:color w:val="auto"/>
        </w:rPr>
        <w:t>. No recourse under or upon any obligation, covenant or agreement contained in this Indenture, or in any Security of any series or any Guarantees, or because of any indebtedness evidenced thereby, shall be had against any incorporator, as such or against any past, present or future stockholder, member, partner, officer, manager or director, as such, of the Company, any Guarantor or any successor, either directly or through the Company, any Guarantor or any successor, under any rule of law, statute or constitutional provision or by the enforcement of any assessment or by any legal or equitable proceeding or otherwise, all such liability being expressly waived and released by the acceptance of the Securities of such series by the Holders thereof and as part of the consideration for the issue of the Securities of such series.</w:t>
      </w:r>
    </w:p>
    <w:p>
      <w:pPr>
        <w:spacing w:after="0" w:line="148" w:lineRule="exact"/>
        <w:rPr>
          <w:sz w:val="20"/>
          <w:szCs w:val="20"/>
          <w:color w:val="auto"/>
        </w:rPr>
      </w:pPr>
    </w:p>
    <w:p>
      <w:pPr>
        <w:ind w:right="20" w:firstLine="864"/>
        <w:spacing w:after="0" w:line="258" w:lineRule="auto"/>
        <w:rPr>
          <w:sz w:val="20"/>
          <w:szCs w:val="20"/>
          <w:color w:val="auto"/>
        </w:rPr>
      </w:pPr>
      <w:r>
        <w:rPr>
          <w:rFonts w:ascii="Times New Roman" w:cs="Times New Roman" w:eastAsia="Times New Roman" w:hAnsi="Times New Roman"/>
          <w:sz w:val="18"/>
          <w:szCs w:val="18"/>
          <w:color w:val="auto"/>
        </w:rPr>
        <w:t xml:space="preserve">SECTION 15.02. </w:t>
      </w:r>
      <w:r>
        <w:rPr>
          <w:rFonts w:ascii="Times New Roman" w:cs="Times New Roman" w:eastAsia="Times New Roman" w:hAnsi="Times New Roman"/>
          <w:sz w:val="18"/>
          <w:szCs w:val="18"/>
          <w:u w:val="single" w:color="auto"/>
          <w:color w:val="auto"/>
        </w:rPr>
        <w:t>Provisions of Indenture for the Sole Benefit of Parties and Holders</w:t>
      </w:r>
      <w:r>
        <w:rPr>
          <w:rFonts w:ascii="Times New Roman" w:cs="Times New Roman" w:eastAsia="Times New Roman" w:hAnsi="Times New Roman"/>
          <w:sz w:val="18"/>
          <w:szCs w:val="18"/>
          <w:color w:val="auto"/>
        </w:rPr>
        <w:t>. Except as set forth in Section 15.10, nothing in this Indenture or in the Securities of any series, expressed or implied, shall give or be construed to give to any person, firm or corporation, other than the parties hereto and their successors and the Holders of the Securities of such series,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43" w:lineRule="exact"/>
        <w:rPr>
          <w:sz w:val="20"/>
          <w:szCs w:val="20"/>
          <w:color w:val="auto"/>
        </w:rPr>
      </w:pPr>
    </w:p>
    <w:p>
      <w:pPr>
        <w:ind w:right="220" w:firstLine="864"/>
        <w:spacing w:after="0" w:line="266" w:lineRule="auto"/>
        <w:rPr>
          <w:sz w:val="20"/>
          <w:szCs w:val="20"/>
          <w:color w:val="auto"/>
        </w:rPr>
      </w:pPr>
      <w:r>
        <w:rPr>
          <w:rFonts w:ascii="Times New Roman" w:cs="Times New Roman" w:eastAsia="Times New Roman" w:hAnsi="Times New Roman"/>
          <w:sz w:val="18"/>
          <w:szCs w:val="18"/>
          <w:color w:val="auto"/>
        </w:rPr>
        <w:t xml:space="preserve">SECTION 15.03. </w:t>
      </w:r>
      <w:r>
        <w:rPr>
          <w:rFonts w:ascii="Times New Roman" w:cs="Times New Roman" w:eastAsia="Times New Roman" w:hAnsi="Times New Roman"/>
          <w:sz w:val="18"/>
          <w:szCs w:val="18"/>
          <w:u w:val="single" w:color="auto"/>
          <w:color w:val="auto"/>
        </w:rPr>
        <w:t>Successors and Assigns of Company or Guarantor Bound by Indenture</w:t>
      </w:r>
      <w:r>
        <w:rPr>
          <w:rFonts w:ascii="Times New Roman" w:cs="Times New Roman" w:eastAsia="Times New Roman" w:hAnsi="Times New Roman"/>
          <w:sz w:val="18"/>
          <w:szCs w:val="18"/>
          <w:color w:val="auto"/>
        </w:rPr>
        <w:t>. All the covenants, stipulations, promises and agreements in this Indenture contained by or in behalf of the Company or any Guarantor shall bind their successors and assigns, whether so expressed or not.</w:t>
      </w:r>
    </w:p>
    <w:p>
      <w:pPr>
        <w:spacing w:after="0" w:line="149" w:lineRule="exact"/>
        <w:rPr>
          <w:sz w:val="20"/>
          <w:szCs w:val="20"/>
          <w:color w:val="auto"/>
        </w:rPr>
      </w:pPr>
    </w:p>
    <w:p>
      <w:pPr>
        <w:ind w:right="500" w:firstLine="864"/>
        <w:spacing w:after="0" w:line="282" w:lineRule="auto"/>
        <w:rPr>
          <w:sz w:val="20"/>
          <w:szCs w:val="20"/>
          <w:color w:val="auto"/>
        </w:rPr>
      </w:pPr>
      <w:r>
        <w:rPr>
          <w:rFonts w:ascii="Times New Roman" w:cs="Times New Roman" w:eastAsia="Times New Roman" w:hAnsi="Times New Roman"/>
          <w:sz w:val="18"/>
          <w:szCs w:val="18"/>
          <w:color w:val="auto"/>
        </w:rPr>
        <w:t xml:space="preserve">SECTION 15.04. </w:t>
      </w:r>
      <w:r>
        <w:rPr>
          <w:rFonts w:ascii="Times New Roman" w:cs="Times New Roman" w:eastAsia="Times New Roman" w:hAnsi="Times New Roman"/>
          <w:sz w:val="18"/>
          <w:szCs w:val="18"/>
          <w:u w:val="single" w:color="auto"/>
          <w:color w:val="auto"/>
        </w:rPr>
        <w:t>Notices, Etc., to Trustee, the Company and Guarantors</w:t>
      </w:r>
      <w:r>
        <w:rPr>
          <w:rFonts w:ascii="Times New Roman" w:cs="Times New Roman" w:eastAsia="Times New Roman" w:hAnsi="Times New Roman"/>
          <w:sz w:val="18"/>
          <w:szCs w:val="18"/>
          <w:color w:val="auto"/>
        </w:rPr>
        <w:t>. Any request, demand, authorization, direction, notice, consent, waiver or act of Holders or other document provided or permitted by this Indenture to be made upon, given or furnished to, or filed with:</w:t>
      </w:r>
    </w:p>
    <w:p>
      <w:pPr>
        <w:spacing w:after="0" w:line="121" w:lineRule="exact"/>
        <w:rPr>
          <w:sz w:val="20"/>
          <w:szCs w:val="20"/>
          <w:color w:val="auto"/>
        </w:rPr>
      </w:pPr>
    </w:p>
    <w:p>
      <w:pPr>
        <w:ind w:left="880" w:right="40" w:firstLine="797"/>
        <w:spacing w:after="0" w:line="258" w:lineRule="auto"/>
        <w:rPr>
          <w:sz w:val="20"/>
          <w:szCs w:val="20"/>
          <w:color w:val="auto"/>
        </w:rPr>
      </w:pPr>
      <w:r>
        <w:rPr>
          <w:rFonts w:ascii="Times New Roman" w:cs="Times New Roman" w:eastAsia="Times New Roman" w:hAnsi="Times New Roman"/>
          <w:sz w:val="18"/>
          <w:szCs w:val="18"/>
          <w:color w:val="auto"/>
        </w:rPr>
        <w:t xml:space="preserve">(1)the Trustee by any Holder, or by the Company or a Guarantor, if any, shall be sufficient for every purpose hereunder if made, given, furnished or filed in writing to or with the Trustee at [•], facsimile [•], or such other facsimile number as may be provided by the Trustee from time to time, and shall be deemed to have been made at the time of actual receipt of such written notice or facsimile transmission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delivery made or facsimile sent on a day other than a Business Day shall be deemed to be received on the next following Business Day; or</w:t>
      </w:r>
    </w:p>
    <w:p>
      <w:pPr>
        <w:spacing w:after="0" w:line="143" w:lineRule="exact"/>
        <w:rPr>
          <w:sz w:val="20"/>
          <w:szCs w:val="20"/>
          <w:color w:val="auto"/>
        </w:rPr>
      </w:pPr>
    </w:p>
    <w:p>
      <w:pPr>
        <w:ind w:left="880" w:right="40" w:firstLine="797"/>
        <w:spacing w:after="0" w:line="258" w:lineRule="auto"/>
        <w:rPr>
          <w:sz w:val="20"/>
          <w:szCs w:val="20"/>
          <w:color w:val="auto"/>
        </w:rPr>
      </w:pPr>
      <w:r>
        <w:rPr>
          <w:rFonts w:ascii="Times New Roman" w:cs="Times New Roman" w:eastAsia="Times New Roman" w:hAnsi="Times New Roman"/>
          <w:sz w:val="18"/>
          <w:szCs w:val="18"/>
          <w:color w:val="auto"/>
        </w:rPr>
        <w:t xml:space="preserve">(2)the Company or a Guarantor, if any, by the Trustee or by any Holder shall be sufficient for every purpose hereunder (unless otherwise herein expressly provided) if in writing to the Company or such Guarantor, as the case may be, addressed to it at the address specified in Schedule I hereto or at any other address or facsimile number previously furnished in writing to the Trustee by the Company or such Guarantor, as the case may be, and shall be deemed to have been made at the time of delivery or facsimile transmission;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delivery made or facsimile sent on a day other than a Business Day shall be deemed to be received on the next following Business Day.</w:t>
      </w:r>
    </w:p>
    <w:p>
      <w:pPr>
        <w:spacing w:after="0" w:line="156" w:lineRule="exact"/>
        <w:rPr>
          <w:sz w:val="20"/>
          <w:szCs w:val="20"/>
          <w:color w:val="auto"/>
        </w:rPr>
      </w:pPr>
    </w:p>
    <w:p>
      <w:pPr>
        <w:ind w:firstLine="864"/>
        <w:spacing w:after="0" w:line="256" w:lineRule="auto"/>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u w:val="single" w:color="auto"/>
          <w:color w:val="auto"/>
        </w:rPr>
        <w:t>Notices to Holders</w:t>
      </w:r>
      <w:r>
        <w:rPr>
          <w:rFonts w:ascii="Times New Roman" w:cs="Times New Roman" w:eastAsia="Times New Roman" w:hAnsi="Times New Roman"/>
          <w:sz w:val="18"/>
          <w:szCs w:val="18"/>
          <w:color w:val="auto"/>
        </w:rPr>
        <w:t>. Where this Indenture provides for notice to Holders, such notice shall be sufficiently given (unless otherwise herein expressly provided) if in writing and mailed, first-class postage prepaid, to each Holder entitled thereto, at its last address as it appears in the Security Register.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The Trustee may waive notice to it of any provision herein, and such waiver shall be deemed to be for its convenience and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6" w:name="page97"/>
    <w:bookmarkEnd w:id="96"/>
    <w:p>
      <w:pPr>
        <w:ind w:right="60"/>
        <w:spacing w:after="0" w:line="282" w:lineRule="auto"/>
        <w:rPr>
          <w:sz w:val="20"/>
          <w:szCs w:val="20"/>
          <w:color w:val="auto"/>
        </w:rPr>
      </w:pPr>
      <w:r>
        <w:rPr>
          <w:rFonts w:ascii="Times New Roman" w:cs="Times New Roman" w:eastAsia="Times New Roman" w:hAnsi="Times New Roman"/>
          <w:sz w:val="18"/>
          <w:szCs w:val="18"/>
          <w:color w:val="auto"/>
        </w:rPr>
        <w:t>Waivers of notice by Holders shall be filed with the Trustee, but such filing shall not be a condition precedent to the validity of any action taken in reliance upon such waiver.</w:t>
      </w:r>
    </w:p>
    <w:p>
      <w:pPr>
        <w:spacing w:after="0" w:line="121" w:lineRule="exact"/>
        <w:rPr>
          <w:sz w:val="20"/>
          <w:szCs w:val="20"/>
          <w:color w:val="auto"/>
        </w:rPr>
      </w:pPr>
    </w:p>
    <w:p>
      <w:pPr>
        <w:ind w:right="260" w:firstLine="864"/>
        <w:spacing w:after="0" w:line="266" w:lineRule="auto"/>
        <w:rPr>
          <w:sz w:val="20"/>
          <w:szCs w:val="20"/>
          <w:color w:val="auto"/>
        </w:rPr>
      </w:pPr>
      <w:r>
        <w:rPr>
          <w:rFonts w:ascii="Times New Roman" w:cs="Times New Roman" w:eastAsia="Times New Roman" w:hAnsi="Times New Roman"/>
          <w:sz w:val="18"/>
          <w:szCs w:val="18"/>
          <w:color w:val="auto"/>
        </w:rPr>
        <w:t>In case, by reason of the suspension of or irregularities in regular mail service, it shall be impracticable to mail notice to the Company, any Guarantor or any Holders when such notice is required to be given pursuant to any provision of this Indenture, then any manner of giving such notice as shall be satisfactory to the Trustee shall be deemed to be a sufficient giving of such notice.</w:t>
      </w:r>
    </w:p>
    <w:p>
      <w:pPr>
        <w:spacing w:after="0" w:line="149" w:lineRule="exact"/>
        <w:rPr>
          <w:sz w:val="20"/>
          <w:szCs w:val="20"/>
          <w:color w:val="auto"/>
        </w:rPr>
      </w:pPr>
    </w:p>
    <w:p>
      <w:pPr>
        <w:ind w:right="40" w:firstLine="864"/>
        <w:spacing w:after="0" w:line="256" w:lineRule="auto"/>
        <w:rPr>
          <w:sz w:val="20"/>
          <w:szCs w:val="20"/>
          <w:color w:val="auto"/>
        </w:rPr>
      </w:pPr>
      <w:r>
        <w:rPr>
          <w:rFonts w:ascii="Times New Roman" w:cs="Times New Roman" w:eastAsia="Times New Roman" w:hAnsi="Times New Roman"/>
          <w:sz w:val="18"/>
          <w:szCs w:val="18"/>
          <w:color w:val="auto"/>
        </w:rPr>
        <w:t xml:space="preserve">SECTION 15.06. </w:t>
      </w:r>
      <w:r>
        <w:rPr>
          <w:rFonts w:ascii="Times New Roman" w:cs="Times New Roman" w:eastAsia="Times New Roman" w:hAnsi="Times New Roman"/>
          <w:sz w:val="18"/>
          <w:szCs w:val="18"/>
          <w:u w:val="single" w:color="auto"/>
          <w:color w:val="auto"/>
        </w:rPr>
        <w:t>Officers’ Certificates and Opinions of Counsel; Statements to Be Contained Therein</w:t>
      </w:r>
      <w:r>
        <w:rPr>
          <w:rFonts w:ascii="Times New Roman" w:cs="Times New Roman" w:eastAsia="Times New Roman" w:hAnsi="Times New Roman"/>
          <w:sz w:val="18"/>
          <w:szCs w:val="18"/>
          <w:color w:val="auto"/>
        </w:rPr>
        <w:t>. Upon any application or demand by the Company or any Guarantor to the Trustee to take any action under any of the provisions of this Indenture, the Company or such Guarantor, as the case may be,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47" w:lineRule="exact"/>
        <w:rPr>
          <w:sz w:val="20"/>
          <w:szCs w:val="20"/>
          <w:color w:val="auto"/>
        </w:rPr>
      </w:pPr>
    </w:p>
    <w:p>
      <w:pPr>
        <w:ind w:firstLine="864"/>
        <w:spacing w:after="0" w:line="256" w:lineRule="auto"/>
        <w:rPr>
          <w:sz w:val="20"/>
          <w:szCs w:val="20"/>
          <w:color w:val="auto"/>
        </w:rPr>
      </w:pPr>
      <w:r>
        <w:rPr>
          <w:rFonts w:ascii="Times New Roman" w:cs="Times New Roman" w:eastAsia="Times New Roman" w:hAnsi="Times New Roman"/>
          <w:sz w:val="18"/>
          <w:szCs w:val="18"/>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pacing w:after="0" w:line="147" w:lineRule="exact"/>
        <w:rPr>
          <w:sz w:val="20"/>
          <w:szCs w:val="20"/>
          <w:color w:val="auto"/>
        </w:rPr>
      </w:pPr>
    </w:p>
    <w:p>
      <w:pPr>
        <w:ind w:firstLine="864"/>
        <w:spacing w:after="0" w:line="255" w:lineRule="auto"/>
        <w:rPr>
          <w:sz w:val="20"/>
          <w:szCs w:val="20"/>
          <w:color w:val="auto"/>
        </w:rPr>
      </w:pPr>
      <w:r>
        <w:rPr>
          <w:rFonts w:ascii="Times New Roman" w:cs="Times New Roman" w:eastAsia="Times New Roman" w:hAnsi="Times New Roman"/>
          <w:sz w:val="18"/>
          <w:szCs w:val="18"/>
          <w:color w:val="auto"/>
        </w:rPr>
        <w:t>Any certificate, statement or opinion of an officer of the Company or any Guarantor may be based, insofar as it relates to legal matters, upon a certificate or opinion of or representations by counsel, unless such officer knows that the certificate or opinion or representations with respect to the matters upon which his or her certificate, statement or opinion may be based as aforesaid are erroneous, or in the exercise of reasonable care should know that the same are erroneous. Any certificate, statement or Opinion of Counsel may be based, insofar as it relates to factual matters or information which is in the possession of the Company, upon the certificate, statement or opinion of or representations by an officer or officers of the Company or such Guarantor, as the case may be, unless such counsel knows that the certificate, statement or opinion or representations with respect to the matters upon which his or her certificate, statement or opinion may be based as aforesaid are erroneous, or in the exercise of reasonable care should know that the same are erroneous.</w:t>
      </w:r>
    </w:p>
    <w:p>
      <w:pPr>
        <w:spacing w:after="0" w:line="162" w:lineRule="exact"/>
        <w:rPr>
          <w:sz w:val="20"/>
          <w:szCs w:val="20"/>
          <w:color w:val="auto"/>
        </w:rPr>
      </w:pPr>
    </w:p>
    <w:p>
      <w:pPr>
        <w:jc w:val="both"/>
        <w:ind w:firstLine="864"/>
        <w:spacing w:after="0" w:line="261" w:lineRule="auto"/>
        <w:rPr>
          <w:sz w:val="20"/>
          <w:szCs w:val="20"/>
          <w:color w:val="auto"/>
        </w:rPr>
      </w:pPr>
      <w:r>
        <w:rPr>
          <w:rFonts w:ascii="Times New Roman" w:cs="Times New Roman" w:eastAsia="Times New Roman" w:hAnsi="Times New Roman"/>
          <w:sz w:val="18"/>
          <w:szCs w:val="18"/>
          <w:color w:val="auto"/>
        </w:rPr>
        <w:t>Any certificate, statement or opinion of an officer or counsel of the Company or any Guarantor may be based, insofar as it relates to accounting matters, upon a certificate or opinion of or representations by an accountant or firm of accountants in the employ of the Company or such Guarantor, as the case may be, unless such officer or counsel knows that the certificate or opinion or representations with respect to the accounting matters upon which his or her certificate, statement or opinion may be based as aforesaid are erroneous, or in the exercise of reasonable care should know that the same are erroneous.</w:t>
      </w:r>
    </w:p>
    <w:p>
      <w:pPr>
        <w:spacing w:after="0" w:line="139" w:lineRule="exact"/>
        <w:rPr>
          <w:sz w:val="20"/>
          <w:szCs w:val="20"/>
          <w:color w:val="auto"/>
        </w:rPr>
      </w:pPr>
    </w:p>
    <w:p>
      <w:pPr>
        <w:ind w:right="520" w:firstLine="864"/>
        <w:spacing w:after="0" w:line="282" w:lineRule="auto"/>
        <w:rPr>
          <w:sz w:val="20"/>
          <w:szCs w:val="20"/>
          <w:color w:val="auto"/>
        </w:rPr>
      </w:pPr>
      <w:r>
        <w:rPr>
          <w:rFonts w:ascii="Times New Roman" w:cs="Times New Roman" w:eastAsia="Times New Roman" w:hAnsi="Times New Roman"/>
          <w:sz w:val="18"/>
          <w:szCs w:val="18"/>
          <w:color w:val="auto"/>
        </w:rPr>
        <w:t>Any certificate or opinion of any independent firm of public accountants filed with the Trustee shall contain a statement that such firm is independent within the meaning of the Securities Act and the rules and regulations promulgated thereunder.</w:t>
      </w:r>
    </w:p>
    <w:p>
      <w:pPr>
        <w:spacing w:after="0" w:line="121" w:lineRule="exact"/>
        <w:rPr>
          <w:sz w:val="20"/>
          <w:szCs w:val="20"/>
          <w:color w:val="auto"/>
        </w:rPr>
      </w:pPr>
    </w:p>
    <w:p>
      <w:pPr>
        <w:ind w:right="180" w:firstLine="864"/>
        <w:spacing w:after="0" w:line="261" w:lineRule="auto"/>
        <w:rPr>
          <w:sz w:val="20"/>
          <w:szCs w:val="20"/>
          <w:color w:val="auto"/>
        </w:rPr>
      </w:pPr>
      <w:r>
        <w:rPr>
          <w:rFonts w:ascii="Times New Roman" w:cs="Times New Roman" w:eastAsia="Times New Roman" w:hAnsi="Times New Roman"/>
          <w:sz w:val="18"/>
          <w:szCs w:val="18"/>
          <w:color w:val="auto"/>
        </w:rPr>
        <w:t xml:space="preserve">SECTION 15.07. </w:t>
      </w:r>
      <w:r>
        <w:rPr>
          <w:rFonts w:ascii="Times New Roman" w:cs="Times New Roman" w:eastAsia="Times New Roman" w:hAnsi="Times New Roman"/>
          <w:sz w:val="18"/>
          <w:szCs w:val="18"/>
          <w:u w:val="single" w:color="auto"/>
          <w:color w:val="auto"/>
        </w:rPr>
        <w:t>Payments Due on Saturdays, Sundays and Holidays</w:t>
      </w:r>
      <w:r>
        <w:rPr>
          <w:rFonts w:ascii="Times New Roman" w:cs="Times New Roman" w:eastAsia="Times New Roman" w:hAnsi="Times New Roman"/>
          <w:sz w:val="18"/>
          <w:szCs w:val="18"/>
          <w:color w:val="auto"/>
        </w:rPr>
        <w:t>. If the Stated Maturity of interest on or principal of the Securities of a particular series or the date fixed for redemption of any Security shall not be a Business Day, then payment of interest or principal with respect to such Securities need not be made on such date, but may be made on the next succeeding Business Day with the same force and effect as if made on the date of maturity or the date fixed for redemption, and no interest shall accrue for the period after such date.</w:t>
      </w:r>
    </w:p>
    <w:p>
      <w:pPr>
        <w:spacing w:after="0" w:line="153" w:lineRule="exact"/>
        <w:rPr>
          <w:sz w:val="20"/>
          <w:szCs w:val="20"/>
          <w:color w:val="auto"/>
        </w:rPr>
      </w:pPr>
    </w:p>
    <w:p>
      <w:pPr>
        <w:ind w:right="400" w:firstLine="864"/>
        <w:spacing w:after="0" w:line="282" w:lineRule="auto"/>
        <w:rPr>
          <w:sz w:val="20"/>
          <w:szCs w:val="20"/>
          <w:color w:val="auto"/>
        </w:rPr>
      </w:pPr>
      <w:r>
        <w:rPr>
          <w:rFonts w:ascii="Times New Roman" w:cs="Times New Roman" w:eastAsia="Times New Roman" w:hAnsi="Times New Roman"/>
          <w:sz w:val="18"/>
          <w:szCs w:val="18"/>
          <w:color w:val="auto"/>
        </w:rPr>
        <w:t xml:space="preserve">SECTION 15.08. </w:t>
      </w:r>
      <w:r>
        <w:rPr>
          <w:rFonts w:ascii="Times New Roman" w:cs="Times New Roman" w:eastAsia="Times New Roman" w:hAnsi="Times New Roman"/>
          <w:sz w:val="18"/>
          <w:szCs w:val="18"/>
          <w:u w:val="single" w:color="auto"/>
          <w:color w:val="auto"/>
        </w:rPr>
        <w:t>Conflict of Any Provision of Indenture with Trust Indenture Act</w:t>
      </w:r>
      <w:r>
        <w:rPr>
          <w:rFonts w:ascii="Times New Roman" w:cs="Times New Roman" w:eastAsia="Times New Roman" w:hAnsi="Times New Roman"/>
          <w:sz w:val="18"/>
          <w:szCs w:val="18"/>
          <w:color w:val="auto"/>
        </w:rPr>
        <w:t>. If and to the extent that any provision of this Indenture limits, qualifies or conflicts with another provision included in this Indenture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operation of Sections 310 to 317, inclusive, of the Trust Indenture Act (an “incorporated provision”), such incorporated provision shall control.</w:t>
      </w:r>
    </w:p>
    <w:p>
      <w:pPr>
        <w:spacing w:after="0" w:line="185" w:lineRule="exact"/>
        <w:rPr>
          <w:sz w:val="20"/>
          <w:szCs w:val="20"/>
          <w:color w:val="auto"/>
        </w:rPr>
      </w:pPr>
    </w:p>
    <w:p>
      <w:pPr>
        <w:ind w:right="640" w:firstLine="864"/>
        <w:spacing w:after="0" w:line="282" w:lineRule="auto"/>
        <w:rPr>
          <w:sz w:val="20"/>
          <w:szCs w:val="20"/>
          <w:color w:val="auto"/>
        </w:rPr>
      </w:pPr>
      <w:r>
        <w:rPr>
          <w:rFonts w:ascii="Times New Roman" w:cs="Times New Roman" w:eastAsia="Times New Roman" w:hAnsi="Times New Roman"/>
          <w:sz w:val="18"/>
          <w:szCs w:val="18"/>
          <w:color w:val="auto"/>
        </w:rPr>
        <w:t xml:space="preserve">SECTION 15.09. </w:t>
      </w:r>
      <w:r>
        <w:rPr>
          <w:rFonts w:ascii="Times New Roman" w:cs="Times New Roman" w:eastAsia="Times New Roman" w:hAnsi="Times New Roman"/>
          <w:sz w:val="18"/>
          <w:szCs w:val="18"/>
          <w:u w:val="single" w:color="auto"/>
          <w:color w:val="auto"/>
        </w:rPr>
        <w:t>Conflict of Any Provision of Securities with Indenture</w:t>
      </w:r>
      <w:r>
        <w:rPr>
          <w:rFonts w:ascii="Times New Roman" w:cs="Times New Roman" w:eastAsia="Times New Roman" w:hAnsi="Times New Roman"/>
          <w:sz w:val="18"/>
          <w:szCs w:val="18"/>
          <w:color w:val="auto"/>
        </w:rPr>
        <w:t>. If and to the extent that any provision of the Securities limits, qualifies or conflicts with a provision of this Indenture, such provision of this Indenture shall control.</w:t>
      </w:r>
    </w:p>
    <w:p>
      <w:pPr>
        <w:spacing w:after="0" w:line="135" w:lineRule="exact"/>
        <w:rPr>
          <w:sz w:val="20"/>
          <w:szCs w:val="20"/>
          <w:color w:val="auto"/>
        </w:rPr>
      </w:pPr>
    </w:p>
    <w:p>
      <w:pPr>
        <w:ind w:right="100" w:firstLine="864"/>
        <w:spacing w:after="0" w:line="261" w:lineRule="auto"/>
        <w:rPr>
          <w:sz w:val="20"/>
          <w:szCs w:val="20"/>
          <w:color w:val="auto"/>
        </w:rPr>
      </w:pPr>
      <w:r>
        <w:rPr>
          <w:rFonts w:ascii="Times New Roman" w:cs="Times New Roman" w:eastAsia="Times New Roman" w:hAnsi="Times New Roman"/>
          <w:sz w:val="18"/>
          <w:szCs w:val="18"/>
          <w:color w:val="auto"/>
        </w:rPr>
        <w:t xml:space="preserve">SECTION 15.10. </w:t>
      </w:r>
      <w:r>
        <w:rPr>
          <w:rFonts w:ascii="Times New Roman" w:cs="Times New Roman" w:eastAsia="Times New Roman" w:hAnsi="Times New Roman"/>
          <w:sz w:val="18"/>
          <w:szCs w:val="18"/>
          <w:u w:val="single" w:color="auto"/>
          <w:color w:val="auto"/>
        </w:rPr>
        <w:t>New York Law to Govern</w:t>
      </w:r>
      <w:r>
        <w:rPr>
          <w:rFonts w:ascii="Times New Roman" w:cs="Times New Roman" w:eastAsia="Times New Roman" w:hAnsi="Times New Roman"/>
          <w:sz w:val="18"/>
          <w:szCs w:val="18"/>
          <w:color w:val="auto"/>
        </w:rPr>
        <w:t>. This Indenture, the Securities of any series and the Guarantees, if any, shall each be deemed to be a contract under the laws of the State of New York, and for all purposes shall be construed in accordance with the laws of the State of New York, but without giving effect to applicable principles of conflicts of law to the extent that the application of the law of another jurisdiction would be required thereby.</w:t>
      </w:r>
    </w:p>
    <w:p>
      <w:pPr>
        <w:spacing w:after="0" w:line="139" w:lineRule="exact"/>
        <w:rPr>
          <w:sz w:val="20"/>
          <w:szCs w:val="20"/>
          <w:color w:val="auto"/>
        </w:rPr>
      </w:pPr>
    </w:p>
    <w:p>
      <w:pPr>
        <w:ind w:right="300" w:firstLine="864"/>
        <w:spacing w:after="0" w:line="266" w:lineRule="auto"/>
        <w:rPr>
          <w:sz w:val="20"/>
          <w:szCs w:val="20"/>
          <w:color w:val="auto"/>
        </w:rPr>
      </w:pPr>
      <w:r>
        <w:rPr>
          <w:rFonts w:ascii="Times New Roman" w:cs="Times New Roman" w:eastAsia="Times New Roman" w:hAnsi="Times New Roman"/>
          <w:sz w:val="18"/>
          <w:szCs w:val="18"/>
          <w:color w:val="auto"/>
        </w:rPr>
        <w:t xml:space="preserve">SECTION 15.11.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waives, and each Holder by acceptance of its Securities shall be deemed to have waived, to the fullest extent permitted by applicable law, any right it may have to a trial by jury (but no other judicial remedies) in respect of any litigation directly or indirectly arising out of, under or in connection with this Indenture or the transactions contemplated hereby.</w:t>
      </w:r>
    </w:p>
    <w:p>
      <w:pPr>
        <w:spacing w:after="0" w:line="135" w:lineRule="exact"/>
        <w:rPr>
          <w:sz w:val="20"/>
          <w:szCs w:val="20"/>
          <w:color w:val="auto"/>
        </w:rPr>
      </w:pPr>
    </w:p>
    <w:p>
      <w:pPr>
        <w:ind w:firstLine="864"/>
        <w:spacing w:after="0" w:line="253" w:lineRule="auto"/>
        <w:rPr>
          <w:sz w:val="20"/>
          <w:szCs w:val="20"/>
          <w:color w:val="auto"/>
        </w:rPr>
      </w:pPr>
      <w:r>
        <w:rPr>
          <w:rFonts w:ascii="Times New Roman" w:cs="Times New Roman" w:eastAsia="Times New Roman" w:hAnsi="Times New Roman"/>
          <w:sz w:val="18"/>
          <w:szCs w:val="18"/>
          <w:color w:val="auto"/>
        </w:rPr>
        <w:t xml:space="preserve">SECTION 15.12. </w:t>
      </w:r>
      <w:r>
        <w:rPr>
          <w:rFonts w:ascii="Times New Roman" w:cs="Times New Roman" w:eastAsia="Times New Roman" w:hAnsi="Times New Roman"/>
          <w:sz w:val="18"/>
          <w:szCs w:val="18"/>
          <w:u w:val="single" w:color="auto"/>
          <w:color w:val="auto"/>
        </w:rPr>
        <w:t>Consent to Jurisdiction and Service</w:t>
      </w:r>
      <w:r>
        <w:rPr>
          <w:rFonts w:ascii="Times New Roman" w:cs="Times New Roman" w:eastAsia="Times New Roman" w:hAnsi="Times New Roman"/>
          <w:sz w:val="18"/>
          <w:szCs w:val="18"/>
          <w:color w:val="auto"/>
        </w:rPr>
        <w:t>. The Company and each Guarantor, if any, irrevocably (a) agree that any legal suit, action or proceeding against the Company or any Guarantor arising out of or based upon this Indenture, the Notes or any Guarantee or the transactions contemplated hereby may be instituted in any U.S. Federal or state court in the City and County of New York (collectively, the “Specified Courts”) and (b) waive, to the fullest extent they may effectively do so, any objection which they may now or hereafter have to the laying of venue of any such proceeding. The Company and each Guarantor hereby appoint C T Corporation System, 111 Eighth Avenue, New York, New York, 10011, as their authorized agent (the “Authorized Agent”) upon whom process may be served in any such action arising out of or based on this Indenture, the Securities or the transactions contemplated hereby which may be instituted in any Specified Court, expressly consent to the jurisdiction of any such Specified Court in respect of any such action, and waive any other requirements of or objections to personal jurisdiction with respect thereto. Such appointment shall be irrevocable by the Company and any Guarantors. The Company and each Guarantor represent and warrant that the Authorized Agent has agreed to act as such agent for service of process and agree to take any and all action, including the filing of any and all documents and instruments, that may be necessary to continue such appointment in full force and effect as aforesaid. Service of process upon the Authorized Agent in any manner permitted by applicable law and written notice of such service to the Company or to a Guarantor shall be deemed, in every respect, effective service of process upon the Company or such Guarantor.</w:t>
      </w:r>
    </w:p>
    <w:p>
      <w:pPr>
        <w:spacing w:after="0" w:line="160" w:lineRule="exact"/>
        <w:rPr>
          <w:sz w:val="20"/>
          <w:szCs w:val="20"/>
          <w:color w:val="auto"/>
        </w:rPr>
      </w:pPr>
    </w:p>
    <w:p>
      <w:pPr>
        <w:ind w:right="320" w:firstLine="864"/>
        <w:spacing w:after="0" w:line="282" w:lineRule="auto"/>
        <w:rPr>
          <w:sz w:val="20"/>
          <w:szCs w:val="20"/>
          <w:color w:val="auto"/>
        </w:rPr>
      </w:pPr>
      <w:r>
        <w:rPr>
          <w:rFonts w:ascii="Times New Roman" w:cs="Times New Roman" w:eastAsia="Times New Roman" w:hAnsi="Times New Roman"/>
          <w:sz w:val="18"/>
          <w:szCs w:val="18"/>
          <w:color w:val="auto"/>
        </w:rPr>
        <w:t xml:space="preserve">SECTION 15.13.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Holders of Securities of the Company are third party beneficiaries of this Indenture, and any of them (or their representative) shall have the right to enforce the provisions of this Indenture that benefit such Holders.</w:t>
      </w:r>
    </w:p>
    <w:p>
      <w:pPr>
        <w:spacing w:after="0" w:line="121" w:lineRule="exact"/>
        <w:rPr>
          <w:sz w:val="20"/>
          <w:szCs w:val="20"/>
          <w:color w:val="auto"/>
        </w:rPr>
      </w:pPr>
    </w:p>
    <w:p>
      <w:pPr>
        <w:ind w:right="320" w:firstLine="864"/>
        <w:spacing w:after="0" w:line="282" w:lineRule="auto"/>
        <w:rPr>
          <w:sz w:val="20"/>
          <w:szCs w:val="20"/>
          <w:color w:val="auto"/>
        </w:rPr>
      </w:pPr>
      <w:r>
        <w:rPr>
          <w:rFonts w:ascii="Times New Roman" w:cs="Times New Roman" w:eastAsia="Times New Roman" w:hAnsi="Times New Roman"/>
          <w:sz w:val="18"/>
          <w:szCs w:val="18"/>
          <w:color w:val="auto"/>
        </w:rPr>
        <w:t xml:space="preserve">SECTION 15.14.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Indenture may be executed in any number of counterparts, each of which shall be an original; but such counterparts shall together constitute but one and the same instrument.</w:t>
      </w:r>
    </w:p>
    <w:p>
      <w:pPr>
        <w:spacing w:after="0" w:line="121" w:lineRule="exact"/>
        <w:rPr>
          <w:sz w:val="20"/>
          <w:szCs w:val="20"/>
          <w:color w:val="auto"/>
        </w:rPr>
      </w:pPr>
    </w:p>
    <w:p>
      <w:pPr>
        <w:ind w:firstLine="864"/>
        <w:spacing w:after="0" w:line="282" w:lineRule="auto"/>
        <w:rPr>
          <w:sz w:val="20"/>
          <w:szCs w:val="20"/>
          <w:color w:val="auto"/>
        </w:rPr>
      </w:pPr>
      <w:r>
        <w:rPr>
          <w:rFonts w:ascii="Times New Roman" w:cs="Times New Roman" w:eastAsia="Times New Roman" w:hAnsi="Times New Roman"/>
          <w:sz w:val="18"/>
          <w:szCs w:val="18"/>
          <w:color w:val="auto"/>
        </w:rPr>
        <w:t xml:space="preserve">SECTION 15.15. </w:t>
      </w:r>
      <w:r>
        <w:rPr>
          <w:rFonts w:ascii="Times New Roman" w:cs="Times New Roman" w:eastAsia="Times New Roman" w:hAnsi="Times New Roman"/>
          <w:sz w:val="18"/>
          <w:szCs w:val="18"/>
          <w:u w:val="single" w:color="auto"/>
          <w:color w:val="auto"/>
        </w:rPr>
        <w:t>Effect of Headings, Table of Contents</w:t>
      </w:r>
      <w:r>
        <w:rPr>
          <w:rFonts w:ascii="Times New Roman" w:cs="Times New Roman" w:eastAsia="Times New Roman" w:hAnsi="Times New Roman"/>
          <w:sz w:val="18"/>
          <w:szCs w:val="18"/>
          <w:color w:val="auto"/>
        </w:rPr>
        <w:t>. The Article and Section headings herein and the Table of Contents are for convenience only and shall not affect the construction hereof.</w:t>
      </w:r>
    </w:p>
    <w:p>
      <w:pPr>
        <w:spacing w:after="0" w:line="135" w:lineRule="exact"/>
        <w:rPr>
          <w:sz w:val="20"/>
          <w:szCs w:val="20"/>
          <w:color w:val="auto"/>
        </w:rPr>
      </w:pPr>
    </w:p>
    <w:p>
      <w:pPr>
        <w:ind w:right="160" w:firstLine="864"/>
        <w:spacing w:after="0" w:line="312" w:lineRule="auto"/>
        <w:rPr>
          <w:sz w:val="20"/>
          <w:szCs w:val="20"/>
          <w:color w:val="auto"/>
        </w:rPr>
      </w:pPr>
      <w:r>
        <w:rPr>
          <w:rFonts w:ascii="Times New Roman" w:cs="Times New Roman" w:eastAsia="Times New Roman" w:hAnsi="Times New Roman"/>
          <w:sz w:val="17"/>
          <w:szCs w:val="17"/>
          <w:color w:val="auto"/>
        </w:rPr>
        <w:t xml:space="preserve">SECTION 15.16. </w:t>
      </w:r>
      <w:r>
        <w:rPr>
          <w:rFonts w:ascii="Times New Roman" w:cs="Times New Roman" w:eastAsia="Times New Roman" w:hAnsi="Times New Roman"/>
          <w:sz w:val="17"/>
          <w:szCs w:val="17"/>
          <w:u w:val="single" w:color="auto"/>
          <w:color w:val="auto"/>
        </w:rPr>
        <w:t>No Adverse Interpretation of Other Agreements</w:t>
      </w:r>
      <w:r>
        <w:rPr>
          <w:rFonts w:ascii="Times New Roman" w:cs="Times New Roman" w:eastAsia="Times New Roman" w:hAnsi="Times New Roman"/>
          <w:sz w:val="17"/>
          <w:szCs w:val="17"/>
          <w:color w:val="auto"/>
        </w:rPr>
        <w:t>. This Indenture may not be used to interpret another indenture, loan or debt agreement of the Company, any Guarantor or any Subsidiary. Any such indenture, loan or debt agreement may not be used to interpret this Indenture.</w:t>
      </w:r>
    </w:p>
    <w:p>
      <w:pPr>
        <w:spacing w:after="0" w:line="99" w:lineRule="exact"/>
        <w:rPr>
          <w:sz w:val="20"/>
          <w:szCs w:val="20"/>
          <w:color w:val="auto"/>
        </w:rPr>
      </w:pPr>
    </w:p>
    <w:p>
      <w:pPr>
        <w:ind w:right="560" w:firstLine="864"/>
        <w:spacing w:after="0" w:line="282" w:lineRule="auto"/>
        <w:rPr>
          <w:sz w:val="20"/>
          <w:szCs w:val="20"/>
          <w:color w:val="auto"/>
        </w:rPr>
      </w:pPr>
      <w:r>
        <w:rPr>
          <w:rFonts w:ascii="Times New Roman" w:cs="Times New Roman" w:eastAsia="Times New Roman" w:hAnsi="Times New Roman"/>
          <w:sz w:val="18"/>
          <w:szCs w:val="18"/>
          <w:color w:val="auto"/>
        </w:rPr>
        <w:t xml:space="preserve">SECTION 15.17.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hereof shall be held to be invalid, illegal or unenforceable under applicable law, then the remaining provisions hereof shall be construed as though such invalid, illegal or unenforceable provision were not contained herein.</w:t>
      </w:r>
    </w:p>
    <w:p>
      <w:pPr>
        <w:spacing w:after="0" w:line="121" w:lineRule="exact"/>
        <w:rPr>
          <w:sz w:val="20"/>
          <w:szCs w:val="20"/>
          <w:color w:val="auto"/>
        </w:rPr>
      </w:pPr>
    </w:p>
    <w:p>
      <w:pPr>
        <w:ind w:right="400" w:firstLine="864"/>
        <w:spacing w:after="0" w:line="266" w:lineRule="auto"/>
        <w:rPr>
          <w:sz w:val="20"/>
          <w:szCs w:val="20"/>
          <w:color w:val="auto"/>
        </w:rPr>
      </w:pPr>
      <w:r>
        <w:rPr>
          <w:rFonts w:ascii="Times New Roman" w:cs="Times New Roman" w:eastAsia="Times New Roman" w:hAnsi="Times New Roman"/>
          <w:sz w:val="18"/>
          <w:szCs w:val="18"/>
          <w:color w:val="auto"/>
        </w:rPr>
        <w:t xml:space="preserve">SECTION 15.18. </w:t>
      </w:r>
      <w:r>
        <w:rPr>
          <w:rFonts w:ascii="Times New Roman" w:cs="Times New Roman" w:eastAsia="Times New Roman" w:hAnsi="Times New Roman"/>
          <w:sz w:val="18"/>
          <w:szCs w:val="18"/>
          <w:u w:val="single" w:color="auto"/>
          <w:color w:val="auto"/>
        </w:rPr>
        <w:t>Patriot Act Compliance</w:t>
      </w:r>
      <w:r>
        <w:rPr>
          <w:rFonts w:ascii="Times New Roman" w:cs="Times New Roman" w:eastAsia="Times New Roman" w:hAnsi="Times New Roman"/>
          <w:sz w:val="18"/>
          <w:szCs w:val="18"/>
          <w:color w:val="auto"/>
        </w:rPr>
        <w:t>. The parties hereto acknowledge that in accordance with Section 326 of the USA Patriot Act the Trustee, like all financial institutions, is required to obtain, verify, and record information that identifies each person or legal entity that establishes a relationship or opens account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spacing w:after="0" w:line="282" w:lineRule="auto"/>
        <w:rPr>
          <w:sz w:val="20"/>
          <w:szCs w:val="20"/>
          <w:color w:val="auto"/>
        </w:rPr>
      </w:pPr>
      <w:r>
        <w:rPr>
          <w:rFonts w:ascii="Times New Roman" w:cs="Times New Roman" w:eastAsia="Times New Roman" w:hAnsi="Times New Roman"/>
          <w:sz w:val="18"/>
          <w:szCs w:val="18"/>
          <w:color w:val="auto"/>
        </w:rPr>
        <w:t>Trustee. The parties to this Indenture agree that they will provide the Trustee with such information as it may request in order for the Trustee to satisfy the requirements of the USA Patriot Act.</w:t>
      </w:r>
    </w:p>
    <w:p>
      <w:pPr>
        <w:spacing w:after="0" w:line="121" w:lineRule="exact"/>
        <w:rPr>
          <w:sz w:val="20"/>
          <w:szCs w:val="20"/>
          <w:color w:val="auto"/>
        </w:rPr>
      </w:pPr>
    </w:p>
    <w:p>
      <w:pPr>
        <w:ind w:firstLine="864"/>
        <w:spacing w:after="0" w:line="261" w:lineRule="auto"/>
        <w:rPr>
          <w:sz w:val="20"/>
          <w:szCs w:val="20"/>
          <w:color w:val="auto"/>
        </w:rPr>
      </w:pPr>
      <w:r>
        <w:rPr>
          <w:rFonts w:ascii="Times New Roman" w:cs="Times New Roman" w:eastAsia="Times New Roman" w:hAnsi="Times New Roman"/>
          <w:sz w:val="18"/>
          <w:szCs w:val="18"/>
          <w:color w:val="auto"/>
        </w:rPr>
        <w:t xml:space="preserve">SECTION 15.19.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In no event shall the Trustee, Registrar or Paying Agent be liable for any failure or delay in the performance of its obligations hereunder because of circumstances beyond the Trustee’s, Registrar’s or Paying Agents’ control, including, but not limited to, acts of God, flood, war (whether declared or undeclared), terrorism, fire, riot or embargo, which delay, restrict or prohibit the providing of the services contemplated by this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1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IN WITNESS WHEREOF, the parties hereto have caused this Indenture to be duly executed, all as of [•].</w:t>
      </w:r>
    </w:p>
    <w:p>
      <w:pPr>
        <w:spacing w:after="0" w:line="21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as the Company</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as a Guarantor</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Signature Page to Base Indenture</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926465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1093" w:right="1440" w:bottom="1440" w:gutter="0" w:footer="0" w:header="0"/>
        </w:sectPr>
      </w:pPr>
    </w:p>
    <w:bookmarkStart w:id="100" w:name="page101"/>
    <w:bookmarkEnd w:id="100"/>
    <w:p>
      <w:pPr>
        <w:ind w:left="47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as the Trustee</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Signature Page to Base Indenture</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926465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67" w:right="1440"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40" w:type="dxa"/>
            <w:vAlign w:val="bottom"/>
            <w:gridSpan w:val="3"/>
          </w:tcPr>
          <w:p>
            <w:pPr>
              <w:ind w:left="1640"/>
              <w:spacing w:after="0"/>
              <w:rPr>
                <w:sz w:val="20"/>
                <w:szCs w:val="20"/>
                <w:color w:val="auto"/>
              </w:rPr>
            </w:pPr>
            <w:r>
              <w:rPr>
                <w:rFonts w:ascii="Times New Roman" w:cs="Times New Roman" w:eastAsia="Times New Roman" w:hAnsi="Times New Roman"/>
                <w:sz w:val="18"/>
                <w:szCs w:val="18"/>
                <w:b w:val="1"/>
                <w:bCs w:val="1"/>
                <w:color w:val="auto"/>
              </w:rPr>
              <w:t>Schedule I</w:t>
            </w:r>
          </w:p>
        </w:tc>
      </w:tr>
      <w:tr>
        <w:trPr>
          <w:trHeight w:val="405"/>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94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and Facsimile Number</w:t>
            </w:r>
          </w:p>
        </w:tc>
      </w:tr>
      <w:tr>
        <w:trPr>
          <w:trHeight w:val="191"/>
        </w:trPr>
        <w:tc>
          <w:tcPr>
            <w:tcW w:w="358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Axsome Therapeutics, Inc.</w:t>
            </w:r>
          </w:p>
        </w:tc>
        <w:tc>
          <w:tcPr>
            <w:tcW w:w="1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8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22 Cortlandt Street, 16th Floor</w:t>
            </w:r>
          </w:p>
        </w:tc>
      </w:tr>
      <w:tr>
        <w:trPr>
          <w:trHeight w:val="216"/>
        </w:trPr>
        <w:tc>
          <w:tcPr>
            <w:tcW w:w="35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10007</w:t>
            </w:r>
          </w:p>
        </w:tc>
      </w:tr>
      <w:tr>
        <w:trPr>
          <w:trHeight w:val="216"/>
        </w:trPr>
        <w:tc>
          <w:tcPr>
            <w:tcW w:w="3580" w:type="dxa"/>
            <w:vAlign w:val="bottom"/>
            <w:shd w:val="clear" w:color="auto" w:fill="CCEEFF"/>
          </w:tcPr>
          <w:p>
            <w:pPr>
              <w:spacing w:after="0"/>
              <w:rPr>
                <w:sz w:val="18"/>
                <w:szCs w:val="18"/>
                <w:color w:val="auto"/>
              </w:rPr>
            </w:pPr>
          </w:p>
        </w:tc>
        <w:tc>
          <w:tcPr>
            <w:tcW w:w="7640" w:type="dxa"/>
            <w:vAlign w:val="bottom"/>
            <w:gridSpan w:val="3"/>
            <w:shd w:val="clear" w:color="auto" w:fill="CCEEFF"/>
          </w:tcPr>
          <w:p>
            <w:pPr>
              <w:jc w:val="right"/>
              <w:ind w:right="2096"/>
              <w:spacing w:after="0"/>
              <w:rPr>
                <w:sz w:val="20"/>
                <w:szCs w:val="20"/>
                <w:color w:val="auto"/>
              </w:rPr>
            </w:pPr>
            <w:r>
              <w:rPr>
                <w:rFonts w:ascii="Times New Roman" w:cs="Times New Roman" w:eastAsia="Times New Roman" w:hAnsi="Times New Roman"/>
                <w:sz w:val="18"/>
                <w:szCs w:val="18"/>
                <w:color w:val="auto"/>
              </w:rPr>
              <w:t>(212) 332-3241</w:t>
            </w:r>
          </w:p>
        </w:tc>
      </w:tr>
      <w:tr>
        <w:trPr>
          <w:trHeight w:val="234"/>
        </w:trPr>
        <w:tc>
          <w:tcPr>
            <w:tcW w:w="358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Attn: [•]</w:t>
            </w:r>
          </w:p>
        </w:tc>
      </w:tr>
      <w:tr>
        <w:trPr>
          <w:trHeight w:val="229"/>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9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and Facsimile Number</w:t>
            </w: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bl>
    <w:p>
      <w:pPr>
        <w:sectPr>
          <w:pgSz w:w="11900" w:h="16838" w:orient="portrait"/>
          <w:cols w:equalWidth="0" w:num="1">
            <w:col w:w="11220"/>
          </w:cols>
          <w:pgMar w:left="320" w:top="1089" w:right="35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Cortlandt Street, 16th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Axsome Therapeutics, Inc. Registration Statement on Form S-3ASR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8"/>
          <w:szCs w:val="18"/>
          <w:color w:val="auto"/>
        </w:rPr>
        <w:t>We have acted as counsel to Axsome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of a registration statement on Form S-3ASR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with the Securities and Exchange Commission on the date hereof,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Registration Statement includes a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that provides that it may be supplemented in the future by one or more supplements to the Prospectus (each, a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The Prospectus, as it may be supplemented by one or more Prospectus Supplements, relates to the proposed offering and sale from time to time, pursuant to Rule 415 under the Securities Act, of an indeterminate aggregate amount and unspecified number of the following securities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(i) shares of the Company’s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(ii) shares of the Company’s preferred stock, $0.0001 par value per share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(iii) debt securities of the Company (the “</w:t>
      </w:r>
      <w:r>
        <w:rPr>
          <w:rFonts w:ascii="Times New Roman" w:cs="Times New Roman" w:eastAsia="Times New Roman" w:hAnsi="Times New Roman"/>
          <w:sz w:val="18"/>
          <w:szCs w:val="18"/>
          <w:b w:val="1"/>
          <w:bCs w:val="1"/>
          <w:i w:val="1"/>
          <w:iCs w:val="1"/>
          <w:color w:val="auto"/>
        </w:rPr>
        <w:t>Debt Securities</w:t>
      </w:r>
      <w:r>
        <w:rPr>
          <w:rFonts w:ascii="Times New Roman" w:cs="Times New Roman" w:eastAsia="Times New Roman" w:hAnsi="Times New Roman"/>
          <w:sz w:val="18"/>
          <w:szCs w:val="18"/>
          <w:color w:val="auto"/>
        </w:rPr>
        <w:t>”), (iv) warrants to purchase shares of Common Stock, shares of Preferred Stock or Debt Securities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(v) units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consisting of Common Stock, Preferred Stock, Debt Securities, Warrants or any combination of the foregoing, and (vi) rights (the “</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to purchase shares of Common Stock, shares of Preferred Stock, Debt Securities or Units.</w:t>
      </w:r>
    </w:p>
    <w:p>
      <w:pPr>
        <w:spacing w:after="0" w:line="189"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18"/>
          <w:szCs w:val="18"/>
          <w:color w:val="auto"/>
        </w:rPr>
        <w:t>In connection with this opinion letter, we have examined the Registration Statement and originals, or copies certified or otherwise identified to our satisfaction, of (i) the Amended and Restated Certificate of Incorporation of the Company (the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(ii) the Amended and Restated Bylaws of the Company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(iii) the Form of Indenture (the “</w:t>
      </w:r>
      <w:r>
        <w:rPr>
          <w:rFonts w:ascii="Times New Roman" w:cs="Times New Roman" w:eastAsia="Times New Roman" w:hAnsi="Times New Roman"/>
          <w:sz w:val="18"/>
          <w:szCs w:val="18"/>
          <w:b w:val="1"/>
          <w:bCs w:val="1"/>
          <w:i w:val="1"/>
          <w:iCs w:val="1"/>
          <w:color w:val="auto"/>
        </w:rPr>
        <w:t>Base Indenture</w:t>
      </w:r>
      <w:r>
        <w:rPr>
          <w:rFonts w:ascii="Times New Roman" w:cs="Times New Roman" w:eastAsia="Times New Roman" w:hAnsi="Times New Roman"/>
          <w:sz w:val="18"/>
          <w:szCs w:val="18"/>
          <w:color w:val="auto"/>
        </w:rPr>
        <w:t>”) by and between the Company and the trustee to be named therein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filed as Exhibit 4.7 to the Registration Statement, (iv) certain resolutions of the Company’s Board of Directors relating to the Registration Statement, and (v) such other documents, records and other instruments as we have deemed appropriate for purposes of the opinions set forth herein.</w:t>
      </w:r>
    </w:p>
    <w:p>
      <w:pPr>
        <w:spacing w:after="0" w:line="183" w:lineRule="exact"/>
        <w:rPr>
          <w:sz w:val="20"/>
          <w:szCs w:val="20"/>
          <w:color w:val="auto"/>
        </w:rPr>
      </w:pPr>
    </w:p>
    <w:p>
      <w:pPr>
        <w:jc w:val="both"/>
        <w:ind w:firstLine="864"/>
        <w:spacing w:after="0" w:line="263" w:lineRule="auto"/>
        <w:rPr>
          <w:sz w:val="20"/>
          <w:szCs w:val="20"/>
          <w:color w:val="auto"/>
        </w:rPr>
      </w:pPr>
      <w:r>
        <w:rPr>
          <w:rFonts w:ascii="Times New Roman" w:cs="Times New Roman" w:eastAsia="Times New Roman" w:hAnsi="Times New Roman"/>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 With respect to matters of fact relevant to our opinions as set forth below, we have relied upon certificates of officers of the Company, representations made by the Company in documents examined by us and representations of officers of the Company. We have also obtained and relied upon such certificates and assurances from public officials as we have deemed necessary for the purposes of our opinions set forth below.</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 the purpose of the opinions set forth below, we have also assumed, without independent investigation or verification, that:</w:t>
      </w:r>
    </w:p>
    <w:p>
      <w:pPr>
        <w:spacing w:after="0" w:line="225"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8"/>
          <w:szCs w:val="18"/>
          <w:color w:val="auto"/>
        </w:rPr>
        <w:t>A. the issuance, sale, number or amount, as the case may be, and terms of Securities to be offered from time to time will be duly authorized and established, in accordance with the Certificate, the Bylaws and applicable Delaware law (each, a “</w:t>
      </w:r>
      <w:r>
        <w:rPr>
          <w:rFonts w:ascii="Times New Roman" w:cs="Times New Roman" w:eastAsia="Times New Roman" w:hAnsi="Times New Roman"/>
          <w:sz w:val="18"/>
          <w:szCs w:val="18"/>
          <w:b w:val="1"/>
          <w:bCs w:val="1"/>
          <w:i w:val="1"/>
          <w:iCs w:val="1"/>
          <w:color w:val="auto"/>
        </w:rPr>
        <w:t>Corporate Action</w:t>
      </w:r>
      <w:r>
        <w:rPr>
          <w:rFonts w:ascii="Times New Roman" w:cs="Times New Roman" w:eastAsia="Times New Roman" w:hAnsi="Times New Roman"/>
          <w:sz w:val="18"/>
          <w:szCs w:val="18"/>
          <w:color w:val="auto"/>
        </w:rPr>
        <w:t>”), and will not conflict with or constitute a breach of the terms of any agreement or instrument to which the Company is subject;</w:t>
      </w:r>
    </w:p>
    <w:p>
      <w:pPr>
        <w:spacing w:after="0" w:line="176" w:lineRule="exact"/>
        <w:rPr>
          <w:sz w:val="20"/>
          <w:szCs w:val="20"/>
          <w:color w:val="auto"/>
        </w:rPr>
      </w:pPr>
    </w:p>
    <w:p>
      <w:pPr>
        <w:jc w:val="both"/>
        <w:ind w:firstLine="864"/>
        <w:spacing w:after="0" w:line="261" w:lineRule="auto"/>
        <w:rPr>
          <w:sz w:val="20"/>
          <w:szCs w:val="20"/>
          <w:color w:val="auto"/>
        </w:rPr>
      </w:pPr>
      <w:r>
        <w:rPr>
          <w:rFonts w:ascii="Times New Roman" w:cs="Times New Roman" w:eastAsia="Times New Roman" w:hAnsi="Times New Roman"/>
          <w:sz w:val="18"/>
          <w:szCs w:val="18"/>
          <w:color w:val="auto"/>
        </w:rPr>
        <w:t>B. at the time of issuance and sale of shares of Common Stock, a sufficient number of shares of Common Stock will be authorized and available for issuance and that the consideration for the issuance and sale of the Common Stock (or Preferred Stock convertible into Common Stock, Warrants exercisable for Common Stock or Rights to purchase Common Stock) will be in an amount that is not less than the par value of the Common Stock;</w:t>
      </w:r>
    </w:p>
    <w:p>
      <w:pPr>
        <w:spacing w:after="0" w:line="180" w:lineRule="exact"/>
        <w:rPr>
          <w:sz w:val="20"/>
          <w:szCs w:val="20"/>
          <w:color w:val="auto"/>
        </w:rPr>
      </w:pPr>
    </w:p>
    <w:p>
      <w:pPr>
        <w:jc w:val="both"/>
        <w:ind w:right="20" w:firstLine="864"/>
        <w:spacing w:after="0" w:line="282" w:lineRule="auto"/>
        <w:rPr>
          <w:sz w:val="20"/>
          <w:szCs w:val="20"/>
          <w:color w:val="auto"/>
        </w:rPr>
      </w:pPr>
      <w:r>
        <w:rPr>
          <w:rFonts w:ascii="Times New Roman" w:cs="Times New Roman" w:eastAsia="Times New Roman" w:hAnsi="Times New Roman"/>
          <w:sz w:val="18"/>
          <w:szCs w:val="18"/>
          <w:color w:val="auto"/>
        </w:rPr>
        <w:t>C. prior to the issuance of shares of one or more series of Preferred Stock, an appropriate certificate of designation relating to each such series of Preferred Stock will have been duly authorized by Corporate Action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3" w:name="page104"/>
    <w:bookmarkEnd w:id="103"/>
    <w:p>
      <w:pPr>
        <w:jc w:val="both"/>
        <w:spacing w:after="0" w:line="266" w:lineRule="auto"/>
        <w:rPr>
          <w:sz w:val="20"/>
          <w:szCs w:val="20"/>
          <w:color w:val="auto"/>
        </w:rPr>
      </w:pPr>
      <w:r>
        <w:rPr>
          <w:rFonts w:ascii="Times New Roman" w:cs="Times New Roman" w:eastAsia="Times New Roman" w:hAnsi="Times New Roman"/>
          <w:sz w:val="18"/>
          <w:szCs w:val="18"/>
          <w:color w:val="auto"/>
        </w:rPr>
        <w:t>filed with the Secretary of State of the State of Delaware and at the time of issuance and sale, a sufficient number of shares of Preferred Stock will be authorized, designated and available for issuance and that the consideration for the issuance and sale of the Preferred Stock (or Warrants exercisable for Preferred Stock or Rights to purchase Preferred Stock) will be in an amount that is not less than the par value of the Preferred Stock;</w:t>
      </w:r>
    </w:p>
    <w:p>
      <w:pPr>
        <w:spacing w:after="0" w:line="176"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8"/>
          <w:szCs w:val="18"/>
          <w:color w:val="auto"/>
        </w:rPr>
        <w:t>D. each series of Debt Securities will be issued under the Base Indenture and any necessary amendment or supplement thereto (collectively,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between the Company and the Trustee, and the execution, delivery and performance of the Indenture will be duly authorized by Corporate Action, and will not conflict with or constitute a breach of the terms of any agreement or instrument to which the Company is subject;</w:t>
      </w:r>
    </w:p>
    <w:p>
      <w:pPr>
        <w:spacing w:after="0" w:line="17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8"/>
          <w:szCs w:val="18"/>
          <w:color w:val="auto"/>
        </w:rPr>
        <w:t>E. to the extent that the obligations of the Company under the Indenture may depend upon such matters, the Trustee will be duly organized, validly existing and in good standing under the laws of its jurisdiction of organization; that the Trustee will be duly qualified to engage in the activities contemplated by the Indenture; that the Indenture will be duly authorized, executed and delivered by the Trustee and will constitute the legal, valid and binding obligation of such Trustee, enforceable against the Trustee in accordance with its terms; that the Trustee will be in compliance, generally and with respect to acting as a trustee under the Indenture, with all applicable laws and regulations, and that the Trustee will have the requisite organizational and legal power and authority to perform its obligations under such Indenture;</w:t>
      </w:r>
    </w:p>
    <w:p>
      <w:pPr>
        <w:spacing w:after="0" w:line="183"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8"/>
          <w:szCs w:val="18"/>
          <w:color w:val="auto"/>
        </w:rPr>
        <w:t>F. any Warrants will be issued under one or more warrant agreements (each, a “</w:t>
      </w:r>
      <w:r>
        <w:rPr>
          <w:rFonts w:ascii="Times New Roman" w:cs="Times New Roman" w:eastAsia="Times New Roman" w:hAnsi="Times New Roman"/>
          <w:sz w:val="18"/>
          <w:szCs w:val="18"/>
          <w:b w:val="1"/>
          <w:bCs w:val="1"/>
          <w:i w:val="1"/>
          <w:iCs w:val="1"/>
          <w:color w:val="auto"/>
        </w:rPr>
        <w:t>Warrant Agreement</w:t>
      </w:r>
      <w:r>
        <w:rPr>
          <w:rFonts w:ascii="Times New Roman" w:cs="Times New Roman" w:eastAsia="Times New Roman" w:hAnsi="Times New Roman"/>
          <w:sz w:val="18"/>
          <w:szCs w:val="18"/>
          <w:color w:val="auto"/>
        </w:rPr>
        <w:t>”) between the Company and the financial institution identified in the Warrant Agreement as a warrant agent (each, a “</w:t>
      </w:r>
      <w:r>
        <w:rPr>
          <w:rFonts w:ascii="Times New Roman" w:cs="Times New Roman" w:eastAsia="Times New Roman" w:hAnsi="Times New Roman"/>
          <w:sz w:val="18"/>
          <w:szCs w:val="18"/>
          <w:b w:val="1"/>
          <w:bCs w:val="1"/>
          <w:i w:val="1"/>
          <w:iCs w:val="1"/>
          <w:color w:val="auto"/>
        </w:rPr>
        <w:t>Warrant Agent</w:t>
      </w:r>
      <w:r>
        <w:rPr>
          <w:rFonts w:ascii="Times New Roman" w:cs="Times New Roman" w:eastAsia="Times New Roman" w:hAnsi="Times New Roman"/>
          <w:sz w:val="18"/>
          <w:szCs w:val="18"/>
          <w:color w:val="auto"/>
        </w:rPr>
        <w:t>”) and the execution, delivery and performance of the applicable Warrant Agreement will be duly authorized by Corporate Action, and will not conflict with or constitute a breach of the terms of any agreement or instrument to which the Company is subject;</w:t>
      </w:r>
    </w:p>
    <w:p>
      <w:pPr>
        <w:spacing w:after="0" w:line="180" w:lineRule="exact"/>
        <w:rPr>
          <w:sz w:val="20"/>
          <w:szCs w:val="20"/>
          <w:color w:val="auto"/>
        </w:rPr>
      </w:pPr>
    </w:p>
    <w:p>
      <w:pPr>
        <w:jc w:val="both"/>
        <w:ind w:right="20" w:firstLine="864"/>
        <w:spacing w:after="0" w:line="282" w:lineRule="auto"/>
        <w:rPr>
          <w:sz w:val="20"/>
          <w:szCs w:val="20"/>
          <w:color w:val="auto"/>
        </w:rPr>
      </w:pPr>
      <w:r>
        <w:rPr>
          <w:rFonts w:ascii="Times New Roman" w:cs="Times New Roman" w:eastAsia="Times New Roman" w:hAnsi="Times New Roman"/>
          <w:sz w:val="18"/>
          <w:szCs w:val="18"/>
          <w:color w:val="auto"/>
        </w:rPr>
        <w:t>G. any Warrants offered under the Registration Statement and the related Warrant Agreement, as applicable, will be executed in the forms filed as exhibits to the Registration Statement or incorporated by reference therein;</w:t>
      </w:r>
    </w:p>
    <w:p>
      <w:pPr>
        <w:spacing w:after="0" w:line="162"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8"/>
          <w:szCs w:val="18"/>
          <w:color w:val="auto"/>
        </w:rPr>
        <w:t>H. to the extent that the obligations of the Company under any Warrant Agreement may depend upon such matters, each of the parties thereto other than the Company, will be duly organized, validly existing and in good standing under the laws of its jurisdiction of organization and will be duly qualified to engage in the activities contemplated by such Warrant Agreement; that such Warrant Agreement has been duly authorized, executed and delivered by such party and constitutes the legal, valid and binding obligation of such party, enforceable against such party in accordance with its terms; that such party is in compliance, generally and with respect to acting as a party with respect to its obligations under such Warrant Agreement, with all applicable laws and regulations, and that such party has the requisite organizational and legal power and authority to perform its obligations under such Warrant Agreement;</w:t>
      </w:r>
    </w:p>
    <w:p>
      <w:pPr>
        <w:spacing w:after="0" w:line="185"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8"/>
          <w:szCs w:val="18"/>
          <w:color w:val="auto"/>
        </w:rPr>
        <w:t>I. any Units will be issued pursuant to purchase or similar agreements to be entered into by the Company and the parties thereto (each, a “</w:t>
      </w:r>
      <w:r>
        <w:rPr>
          <w:rFonts w:ascii="Times New Roman" w:cs="Times New Roman" w:eastAsia="Times New Roman" w:hAnsi="Times New Roman"/>
          <w:sz w:val="18"/>
          <w:szCs w:val="18"/>
          <w:b w:val="1"/>
          <w:bCs w:val="1"/>
          <w:i w:val="1"/>
          <w:iCs w:val="1"/>
          <w:color w:val="auto"/>
        </w:rPr>
        <w:t>Unit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the execution, delivery and performance of the applicable Unit Agreement will be duly authorized by Corporate Action, and will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conflict with or constitute a breach of the terms of any agreement or instrument to which the Company is subject;</w:t>
      </w:r>
    </w:p>
    <w:p>
      <w:pPr>
        <w:spacing w:after="0" w:line="175"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8"/>
          <w:szCs w:val="18"/>
          <w:color w:val="auto"/>
        </w:rPr>
        <w:t>J. to the extent that the obligations of the Company under any Unit Agreement may depend upon such matters, each of the parties thereto other than the Company, will be duly organized, validly existing and in good standing under the laws of its jurisdiction of organization and will be duly qualified to engage in the activities contemplated by such Unit Agreement; that such Unit Agreement has been duly authorized, executed and delivered by such party and constitutes the legal, valid and binding obligation of such party, enforceable against such party in accordance with its terms; that such party is in compliance, generally and with respect to acting as a party with respect to its obligations under such Unit Agreement, with all applicable laws and regulations, and that such party has the requisite organizational and legal power and authority to perform its obligations under such Unit Agreement;</w:t>
      </w:r>
    </w:p>
    <w:p>
      <w:pPr>
        <w:spacing w:after="0" w:line="187" w:lineRule="exact"/>
        <w:rPr>
          <w:sz w:val="20"/>
          <w:szCs w:val="20"/>
          <w:color w:val="auto"/>
        </w:rPr>
      </w:pPr>
    </w:p>
    <w:p>
      <w:pPr>
        <w:jc w:val="both"/>
        <w:ind w:firstLine="864"/>
        <w:spacing w:after="0" w:line="282" w:lineRule="auto"/>
        <w:rPr>
          <w:sz w:val="20"/>
          <w:szCs w:val="20"/>
          <w:color w:val="auto"/>
        </w:rPr>
      </w:pPr>
      <w:r>
        <w:rPr>
          <w:rFonts w:ascii="Times New Roman" w:cs="Times New Roman" w:eastAsia="Times New Roman" w:hAnsi="Times New Roman"/>
          <w:sz w:val="18"/>
          <w:szCs w:val="18"/>
          <w:color w:val="auto"/>
        </w:rPr>
        <w:t>K. any Units offered under the Registration Statement and the related purchase or similar agreement, as applicable, will be executed in the forms filed as exhibits to the Registration Statement or incorporated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jc w:val="both"/>
        <w:ind w:firstLine="864"/>
        <w:spacing w:after="0" w:line="262" w:lineRule="auto"/>
        <w:rPr>
          <w:sz w:val="20"/>
          <w:szCs w:val="20"/>
          <w:color w:val="auto"/>
        </w:rPr>
      </w:pPr>
      <w:r>
        <w:rPr>
          <w:rFonts w:ascii="Times New Roman" w:cs="Times New Roman" w:eastAsia="Times New Roman" w:hAnsi="Times New Roman"/>
          <w:sz w:val="18"/>
          <w:szCs w:val="18"/>
          <w:color w:val="auto"/>
        </w:rPr>
        <w:t>L. any Rights will be issued pursuant to rights agreements (each such rights agreement, a “</w:t>
      </w:r>
      <w:r>
        <w:rPr>
          <w:rFonts w:ascii="Times New Roman" w:cs="Times New Roman" w:eastAsia="Times New Roman" w:hAnsi="Times New Roman"/>
          <w:sz w:val="18"/>
          <w:szCs w:val="18"/>
          <w:b w:val="1"/>
          <w:bCs w:val="1"/>
          <w:i w:val="1"/>
          <w:iCs w:val="1"/>
          <w:color w:val="auto"/>
        </w:rPr>
        <w:t>Rights Agreement</w:t>
      </w:r>
      <w:r>
        <w:rPr>
          <w:rFonts w:ascii="Times New Roman" w:cs="Times New Roman" w:eastAsia="Times New Roman" w:hAnsi="Times New Roman"/>
          <w:sz w:val="18"/>
          <w:szCs w:val="18"/>
          <w:color w:val="auto"/>
        </w:rPr>
        <w:t>”) to be entered into by the Company and a rights agent (each, a “</w:t>
      </w:r>
      <w:r>
        <w:rPr>
          <w:rFonts w:ascii="Times New Roman" w:cs="Times New Roman" w:eastAsia="Times New Roman" w:hAnsi="Times New Roman"/>
          <w:sz w:val="18"/>
          <w:szCs w:val="18"/>
          <w:b w:val="1"/>
          <w:bCs w:val="1"/>
          <w:i w:val="1"/>
          <w:iCs w:val="1"/>
          <w:color w:val="auto"/>
        </w:rPr>
        <w:t>Rights Agent</w:t>
      </w:r>
      <w:r>
        <w:rPr>
          <w:rFonts w:ascii="Times New Roman" w:cs="Times New Roman" w:eastAsia="Times New Roman" w:hAnsi="Times New Roman"/>
          <w:sz w:val="18"/>
          <w:szCs w:val="18"/>
          <w:color w:val="auto"/>
        </w:rPr>
        <w:t>”) and the execution, delivery and performance of the applicable Warrant Agreement will be duly authorized by Corporate Action, and will not conflict with or constitute a breach of the terms of any agreement or instrument to which the Company is subject;</w:t>
      </w:r>
    </w:p>
    <w:p>
      <w:pPr>
        <w:spacing w:after="0" w:line="18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8"/>
          <w:szCs w:val="18"/>
          <w:color w:val="auto"/>
        </w:rPr>
        <w:t>M. to the extent that the obligations of the Company under any Rights Agreement may depend upon such matters, each of the parties thereto other than the Company, will be duly organized, validly existing and in good standing under the laws of its jurisdiction of organization and will be duly qualified to engage in the activities contemplated by such Rights Agreement; that such Rights Agreement has been duly authorized, executed and delivered by such party and constitutes the legal, valid and binding obligation of such party, enforceable against such party in accordance with its terms; that such party is in compliance, generally and with respect to acting as a party with respect to its obligations under such Rights Agreement, with all applicable laws and regulations, and that such party has the requisite organizational and legal power and authority to perform its obligations under such Rights Agreement;</w:t>
      </w:r>
    </w:p>
    <w:p>
      <w:pPr>
        <w:spacing w:after="0" w:line="187" w:lineRule="exact"/>
        <w:rPr>
          <w:sz w:val="20"/>
          <w:szCs w:val="20"/>
          <w:color w:val="auto"/>
        </w:rPr>
      </w:pPr>
    </w:p>
    <w:p>
      <w:pPr>
        <w:jc w:val="both"/>
        <w:ind w:firstLine="864"/>
        <w:spacing w:after="0" w:line="282" w:lineRule="auto"/>
        <w:rPr>
          <w:sz w:val="20"/>
          <w:szCs w:val="20"/>
          <w:color w:val="auto"/>
        </w:rPr>
      </w:pPr>
      <w:r>
        <w:rPr>
          <w:rFonts w:ascii="Times New Roman" w:cs="Times New Roman" w:eastAsia="Times New Roman" w:hAnsi="Times New Roman"/>
          <w:sz w:val="18"/>
          <w:szCs w:val="18"/>
          <w:color w:val="auto"/>
        </w:rPr>
        <w:t>N. any Rights offered under the Registration Statement and the related Rights Agreement, as applicable, will be executed in the forms filed as exhibits to the Registration Statement or incorporated by reference therein;</w:t>
      </w:r>
    </w:p>
    <w:p>
      <w:pPr>
        <w:spacing w:after="0" w:line="162"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8"/>
          <w:szCs w:val="18"/>
          <w:color w:val="auto"/>
        </w:rPr>
        <w:t>O. the Registration Statement and any amendments thereto (including post-effective amendments) will have become effective and such effectiveness shall not have been terminated or rescinded and will comply with all applicable federal and state laws at the time the Securities are offered and issued as contemplated by the Registration Statement;</w:t>
      </w:r>
    </w:p>
    <w:p>
      <w:pPr>
        <w:spacing w:after="0" w:line="176" w:lineRule="exact"/>
        <w:rPr>
          <w:sz w:val="20"/>
          <w:szCs w:val="20"/>
          <w:color w:val="auto"/>
        </w:rPr>
      </w:pPr>
    </w:p>
    <w:p>
      <w:pPr>
        <w:jc w:val="both"/>
        <w:ind w:right="20" w:firstLine="864"/>
        <w:spacing w:after="0" w:line="266" w:lineRule="auto"/>
        <w:rPr>
          <w:sz w:val="20"/>
          <w:szCs w:val="20"/>
          <w:color w:val="auto"/>
        </w:rPr>
      </w:pPr>
      <w:r>
        <w:rPr>
          <w:rFonts w:ascii="Times New Roman" w:cs="Times New Roman" w:eastAsia="Times New Roman" w:hAnsi="Times New Roman"/>
          <w:sz w:val="18"/>
          <w:szCs w:val="18"/>
          <w:color w:val="auto"/>
        </w:rPr>
        <w:t>P. a Prospectus Supplement will have been prepared, delivered (including through compliance with Rule 172 of the General Rules and Regulations promulgated under the Act) and filed with the Commission describing the Securities offered thereby and will comply with all applicable laws at the time the Securities are offered and issued as contemplated by the Registration Statement;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Q. all Securities will be issued and sold in compliance with applicable federal and state securities laws; and</w:t>
      </w:r>
    </w:p>
    <w:p>
      <w:pPr>
        <w:spacing w:after="0" w:line="221" w:lineRule="exact"/>
        <w:rPr>
          <w:sz w:val="20"/>
          <w:szCs w:val="20"/>
          <w:color w:val="auto"/>
        </w:rPr>
      </w:pPr>
    </w:p>
    <w:p>
      <w:pPr>
        <w:jc w:val="both"/>
        <w:ind w:firstLine="864"/>
        <w:spacing w:after="0" w:line="286" w:lineRule="auto"/>
        <w:rPr>
          <w:sz w:val="20"/>
          <w:szCs w:val="20"/>
          <w:color w:val="auto"/>
        </w:rPr>
      </w:pPr>
      <w:r>
        <w:rPr>
          <w:rFonts w:ascii="Times New Roman" w:cs="Times New Roman" w:eastAsia="Times New Roman" w:hAnsi="Times New Roman"/>
          <w:sz w:val="18"/>
          <w:szCs w:val="18"/>
          <w:color w:val="auto"/>
        </w:rPr>
        <w:t>R. a definitive purchase, underwriting or similar agreement (each, a “</w:t>
      </w:r>
      <w:r>
        <w:rPr>
          <w:rFonts w:ascii="Times New Roman" w:cs="Times New Roman" w:eastAsia="Times New Roman" w:hAnsi="Times New Roman"/>
          <w:sz w:val="18"/>
          <w:szCs w:val="18"/>
          <w:b w:val="1"/>
          <w:bCs w:val="1"/>
          <w:i w:val="1"/>
          <w:iCs w:val="1"/>
          <w:color w:val="auto"/>
        </w:rPr>
        <w:t>Definitive Agreement</w:t>
      </w:r>
      <w:r>
        <w:rPr>
          <w:rFonts w:ascii="Times New Roman" w:cs="Times New Roman" w:eastAsia="Times New Roman" w:hAnsi="Times New Roman"/>
          <w:sz w:val="18"/>
          <w:szCs w:val="18"/>
          <w:color w:val="auto"/>
        </w:rPr>
        <w:t>”) with respect to any Securities offered or issued will have been duly authorized and validly executed and delivered by the Company and the other parties thereto.</w:t>
      </w:r>
    </w:p>
    <w:p>
      <w:pPr>
        <w:spacing w:after="0" w:line="1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w:t>
      </w:r>
    </w:p>
    <w:p>
      <w:pPr>
        <w:spacing w:after="0" w:line="225" w:lineRule="exact"/>
        <w:rPr>
          <w:sz w:val="20"/>
          <w:szCs w:val="20"/>
          <w:color w:val="auto"/>
        </w:rPr>
      </w:pPr>
    </w:p>
    <w:p>
      <w:pPr>
        <w:jc w:val="both"/>
        <w:ind w:firstLine="872"/>
        <w:spacing w:after="0" w:line="255" w:lineRule="auto"/>
        <w:tabs>
          <w:tab w:leader="none" w:pos="105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due authorization by Corporate Action of the issuance and sale of shares of Common Stock and upon issuance and delivery of such shares of Common Stock against payment for such shares (in an amount at least equal to the aggregate par value of such shares of Common Stock) in accordance with the terms and provisions of the applicable Definitive Agreements, the terms of the Corporate Action and as contemplated by the Registration Statement and the applicable Prospectus Supplement, and, if applicable, upon the conversion, exchange or exercise of any other Securities in accordance with their respective terms, the terms of the Corporate Action and as contemplated by the Registration Statement and the applicable Prospectus Supplement (which shall, in each case, provide for payment of consideration that shall be at least equal to the aggregate par value of such shares of Common Stock), such shares of Common Stock will be validly issued, fully paid and nonassessable.</w:t>
      </w:r>
    </w:p>
    <w:p>
      <w:pPr>
        <w:spacing w:after="0" w:line="188" w:lineRule="exact"/>
        <w:rPr>
          <w:rFonts w:ascii="Times New Roman" w:cs="Times New Roman" w:eastAsia="Times New Roman" w:hAnsi="Times New Roman"/>
          <w:sz w:val="18"/>
          <w:szCs w:val="18"/>
          <w:color w:val="auto"/>
        </w:rPr>
      </w:pPr>
    </w:p>
    <w:p>
      <w:pPr>
        <w:jc w:val="both"/>
        <w:ind w:firstLine="872"/>
        <w:spacing w:after="0" w:line="255" w:lineRule="auto"/>
        <w:tabs>
          <w:tab w:leader="none" w:pos="104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due authorization by Corporate Action of the issuance and sale of shares of a series of Preferred Stock and upon issuance and delivery of such shares of Preferred Stock against payment for such shares (in an amount at least equal to the aggregate par value of such shares of Preferred Stock) in accordance with the terms and provisions of applicable Definitive Agreements, the terms of the Corporate Action and as contemplated by the Registration Statement and the applicable Prospectus Supplement, and, if applicable, upon the conversion, exchange or exercise of any other Securities in accordance with their respective terms, the terms of the Corporate Action and as contemplated by the Registration Statement and the applicable Prospectus Supplement (which shall, in either case, provide for payment of consideration at least equal to the aggregate par value of such shares of Preferred Stock), such shares of such series of Preferred Stock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5" w:name="page106"/>
    <w:bookmarkEnd w:id="105"/>
    <w:p>
      <w:pPr>
        <w:jc w:val="both"/>
        <w:ind w:firstLine="872"/>
        <w:spacing w:after="0" w:line="253" w:lineRule="auto"/>
        <w:tabs>
          <w:tab w:leader="none" w:pos="104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Indenture has been qualified under the Trust Indenture Act of 1939, as amended, the particular series of Debt Securities has been duly established in accordance with the terms of the applicable Indenture, the specific terms of a particular issuance of Debt Securities have been duly authorized by Corporate Action and are in accordance with the terms of the Indenture, the Indenture is duly executed and delivered by the Company, and such Debt Securities have been duly executed, authenticated, completed, issued and delivered, against payment for such Debt Securities, in accordance with the terms and provisions of the applicable Definitive Agreements, the terms of the Corporate Action and as contemplated by the Registration Statement and the applicable Prospectus Supplement, and, if applicable, upon the conversion, exchange or exercise of any other Securities in accordance with their respective terms, the terms of the Corporate Action and as contemplated by the Registration Statement and the applicable Prospectus Supplement, such Debt Securities will be validly issued and will constitute valid and binding obligations of the Company, and the Indenture will constitute a valid and binding obligation of the Company, except, with respect to each of the Debt Securities and the Indenture,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91" w:lineRule="exact"/>
        <w:rPr>
          <w:rFonts w:ascii="Times New Roman" w:cs="Times New Roman" w:eastAsia="Times New Roman" w:hAnsi="Times New Roman"/>
          <w:sz w:val="18"/>
          <w:szCs w:val="18"/>
          <w:color w:val="auto"/>
        </w:rPr>
      </w:pPr>
    </w:p>
    <w:p>
      <w:pPr>
        <w:jc w:val="both"/>
        <w:ind w:firstLine="872"/>
        <w:spacing w:after="0" w:line="254" w:lineRule="auto"/>
        <w:tabs>
          <w:tab w:leader="none" w:pos="10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Warrant Agreement providing for the specific terms of a particular issuance of Warrants has been duly authorized by Corporate Action and has been duly executed and delivered by the Company and the Warrant Agent named in such Warrant Agreement and such Warrants, conforming to the requirements of such Warrant Agreement, have been duly countersigned or authenticated, as required, by such Warrant Agent and duly executed and delivered by the Company against payment for such Warrants in accordance with the terms and provisions of such Warrant Agreement and applicable Definitive Agreements, the terms of the Corporate Action and as contemplated by the Registration Statement and the applicable Prospectus Supplement, such Warrants will be valid and binding obligations of the Company,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91" w:lineRule="exact"/>
        <w:rPr>
          <w:rFonts w:ascii="Times New Roman" w:cs="Times New Roman" w:eastAsia="Times New Roman" w:hAnsi="Times New Roman"/>
          <w:sz w:val="18"/>
          <w:szCs w:val="18"/>
          <w:color w:val="auto"/>
        </w:rPr>
      </w:pPr>
    </w:p>
    <w:p>
      <w:pPr>
        <w:jc w:val="both"/>
        <w:ind w:firstLine="872"/>
        <w:spacing w:after="0" w:line="255" w:lineRule="auto"/>
        <w:tabs>
          <w:tab w:leader="none" w:pos="105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Unit Agreement providing for the specific terms of a particular issuance of Unit has been duly authorized by Corporate Action and has been duly executed and delivered by the Company and the other parties named in such Unit Agreement and such Units, conforming to the requirements of such Unit Agreement, have been duly executed and delivered by the Company against payment for such Units in accordance with the terms and provisions of such Unit Agreement and applicable Definitive Agreements, the terms of the Corporate Action and as contemplated by the Registration Statement and the applicable Prospectus Supplement, such Units will be valid and binding obligations of the Company,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88" w:lineRule="exact"/>
        <w:rPr>
          <w:rFonts w:ascii="Times New Roman" w:cs="Times New Roman" w:eastAsia="Times New Roman" w:hAnsi="Times New Roman"/>
          <w:sz w:val="18"/>
          <w:szCs w:val="18"/>
          <w:color w:val="auto"/>
        </w:rPr>
      </w:pPr>
    </w:p>
    <w:p>
      <w:pPr>
        <w:jc w:val="both"/>
        <w:ind w:firstLine="872"/>
        <w:spacing w:after="0" w:line="254" w:lineRule="auto"/>
        <w:tabs>
          <w:tab w:leader="none" w:pos="105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Rights Agreement providing for the specific terms of a particular issuance of Rights has been duly authorized by Corporate Action and has been duly executed and delivered by the Company and the Rights Agent named in such Rights Agreement and such Rights, conforming to the requirements of such Rights Agreement, have been duly countersigned or authenticated, as required, by such Rights Agent and duly executed and delivered by the Company against payment for such Rights in accordance with the terms and provisions of such Rights Agreement and applicable Definitive Agreements, the terms of the Corporate Action and as contemplated by the Registration Statement and the applicable Prospectus Supplement, such Rights will be valid and binding obligations of the Company,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92" w:lineRule="exact"/>
        <w:rPr>
          <w:sz w:val="20"/>
          <w:szCs w:val="20"/>
          <w:color w:val="auto"/>
        </w:rPr>
      </w:pPr>
    </w:p>
    <w:p>
      <w:pPr>
        <w:jc w:val="both"/>
        <w:ind w:firstLine="864"/>
        <w:spacing w:after="0" w:line="261" w:lineRule="auto"/>
        <w:rPr>
          <w:sz w:val="20"/>
          <w:szCs w:val="20"/>
          <w:color w:val="auto"/>
        </w:rPr>
      </w:pPr>
      <w:r>
        <w:rPr>
          <w:rFonts w:ascii="Times New Roman" w:cs="Times New Roman" w:eastAsia="Times New Roman" w:hAnsi="Times New Roman"/>
          <w:sz w:val="18"/>
          <w:szCs w:val="18"/>
          <w:color w:val="auto"/>
        </w:rPr>
        <w:t>The foregoing opinions are limited to the General Corporation Law of the State of Delaware and, with respect to our opinion in paragraph 3 above, the State of New York, and we express no opinion with respect to the laws of any other state or jurisdiction. Although the Securities may be issued from time to time on a delayed or continuous basis, the opinions expressed herein are limited to the laws, including rules and regulations, as in effect on the date hereof.</w:t>
      </w:r>
    </w:p>
    <w:p>
      <w:pPr>
        <w:spacing w:after="0" w:line="180" w:lineRule="exact"/>
        <w:rPr>
          <w:sz w:val="20"/>
          <w:szCs w:val="20"/>
          <w:color w:val="auto"/>
        </w:rPr>
      </w:pPr>
    </w:p>
    <w:p>
      <w:pPr>
        <w:jc w:val="both"/>
        <w:ind w:right="20" w:firstLine="864"/>
        <w:spacing w:after="0" w:line="282" w:lineRule="auto"/>
        <w:rPr>
          <w:sz w:val="20"/>
          <w:szCs w:val="20"/>
          <w:color w:val="auto"/>
        </w:rPr>
      </w:pPr>
      <w:r>
        <w:rPr>
          <w:rFonts w:ascii="Times New Roman" w:cs="Times New Roman" w:eastAsia="Times New Roman" w:hAnsi="Times New Roman"/>
          <w:sz w:val="18"/>
          <w:szCs w:val="18"/>
          <w:color w:val="auto"/>
        </w:rPr>
        <w:t>The opinion letter is limited to the matters stated herein and no opinions may be implied or inferred beyond the matters expressly stated herein. The opinions expressed herein are as of the date hereof and we assume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jc w:val="both"/>
        <w:spacing w:after="0" w:line="282" w:lineRule="auto"/>
        <w:rPr>
          <w:sz w:val="20"/>
          <w:szCs w:val="20"/>
          <w:color w:val="auto"/>
        </w:rPr>
      </w:pPr>
      <w:r>
        <w:rPr>
          <w:rFonts w:ascii="Times New Roman" w:cs="Times New Roman" w:eastAsia="Times New Roman" w:hAnsi="Times New Roman"/>
          <w:sz w:val="18"/>
          <w:szCs w:val="18"/>
          <w:color w:val="auto"/>
        </w:rPr>
        <w:t>obligation to update or supplement such opinions to reflect any facts or circumstances that may hereafter come to our attention or any changes in the law that may hereafter occur.</w:t>
      </w:r>
    </w:p>
    <w:p>
      <w:pPr>
        <w:spacing w:after="0" w:line="162"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8"/>
          <w:szCs w:val="18"/>
          <w:color w:val="auto"/>
        </w:rPr>
        <w:t>We consent to your filing this opinion as Exhibit 5.1 to the Registration Statement and to the reference to our firm under the caption “Legal Matters” in the Prospectus. In giving such consent, we do not hereby admit that we are acting within the category of persons whose consent is required under Section 7 of the Securities Act or the rules or regulations of the Securities and Exchange Commission thereunder.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DLA Piper LLP (US)</w:t>
      </w:r>
    </w:p>
    <w:p>
      <w:pPr>
        <w:sectPr>
          <w:pgSz w:w="11900" w:h="16838" w:orient="portrait"/>
          <w:cols w:equalWidth="0" w:num="1">
            <w:col w:w="11240"/>
          </w:cols>
          <w:pgMar w:left="320" w:top="33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 2022</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22 Cortlandt Street, 16th Floor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New York 10007</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 Securities Registered under Registration Statement on Form S-3ASR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acted as counsel to Axsome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of its Registration Statement on Form S-3ASR (as amended or supplemented,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on December 2, 2022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relating to the registration of the offering by the Company of any combination of securities of the types specified therein. We are delivering this supplemental opinion letter in connection with the sales agreement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contained in the Registration Statement. The Prospectus relates to the issuance and sale, from time to time, by the Company of up to $250.0 million of shares of the Company’s common stock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par value $0.0001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covered by the Registration Statement. The Shares are being offered and sold pursuant to the Prospectus and the sales agreement dated March 1, 2022, by and between the Company and SVB Securities LLC, as sales agent (the “</w:t>
      </w:r>
      <w:r>
        <w:rPr>
          <w:rFonts w:ascii="Times New Roman" w:cs="Times New Roman" w:eastAsia="Times New Roman" w:hAnsi="Times New Roman"/>
          <w:sz w:val="18"/>
          <w:szCs w:val="18"/>
          <w:b w:val="1"/>
          <w:bCs w:val="1"/>
          <w:i w:val="1"/>
          <w:iCs w:val="1"/>
          <w:color w:val="auto"/>
        </w:rPr>
        <w:t>Sales Agreement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this opinion letter, we have examined the Registration Statement, the Prospectus, the Sales Agreement, and originals, or copies certified or otherwise identified to our satisfaction, of the Amended and Restated Certificate of Incorporation and the Amended and Restated Bylaws of the Company, and such other documents, records and other instruments as we have deemed appropriate for purposes of the opinion set forth herein.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foregoing, we are of the opinion that the Shares have been duly authorized by the Company and, when issued and sold by the Company and delivered by the Company against receipt of the purchase price therefor, in the manner contemplated by the Sales Agreement, will be validly issued, fully paid and non-assessable.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expressed herein are limited to the Delaware General Corporation Law.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use of this opinion as Exhibit 5.2 to the Registration Statement and to the reference to us under the caption “Legal Matters” in the Prospectus Supplement. In giving such consent, we do not hereby admit that we are acting within the category of persons whose consent is required under Section 7 of the Act or the rules or regulations of the SEC thereunder.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DLA Piper LLP (US)</w:t>
      </w:r>
    </w:p>
    <w:p>
      <w:pPr>
        <w:sectPr>
          <w:pgSz w:w="11900" w:h="16838" w:orient="portrait"/>
          <w:cols w:equalWidth="0" w:num="1">
            <w:col w:w="11240"/>
          </w:cols>
          <w:pgMar w:left="320" w:top="333"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333333"/>
        </w:rPr>
        <w:t>Exhibit 23.1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S-3) and related Prospectus of Axsome Therapeutics, Inc. for the registration of its common stock, preferred stock, warrants, debt securities, units and rights to purchase common stock, preferred stock, debt securities or units and to the incorporation by reference therein of our reports dated March 1, 2022, with respect to the consolidated financial statements of Axsome Therapeutics, Inc. and the effectiveness of internal control over financial reporting of Axsome Therapeutics, Inc., included in its Annual Report (Form 10-K) for the year ended December 31, 2021, filed with the Securities and Exchange Commission.</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December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0"/>
          <w:szCs w:val="10"/>
          <w:color w:val="747480"/>
        </w:rPr>
        <w:t>A member firm of Ernst &amp; Young Global Limited</w:t>
      </w:r>
    </w:p>
    <w:p>
      <w:pPr>
        <w:sectPr>
          <w:pgSz w:w="11900" w:h="16838" w:orient="portrait"/>
          <w:cols w:equalWidth="0" w:num="1">
            <w:col w:w="11240"/>
          </w:cols>
          <w:pgMar w:left="320" w:top="117"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343535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10" w:name="page111"/>
    <w:bookmarkEnd w:id="110"/>
    <w:tbl>
      <w:tblPr>
        <w:tblLayout w:type="fixed"/>
        <w:tblInd w:w="1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7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Table 1: Newly Registered and Carry Forward Securities</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102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ind w:right="1"/>
              <w:spacing w:after="0" w:line="132" w:lineRule="exact"/>
              <w:rPr>
                <w:sz w:val="20"/>
                <w:szCs w:val="20"/>
                <w:color w:val="auto"/>
              </w:rPr>
            </w:pPr>
            <w:r>
              <w:rPr>
                <w:rFonts w:ascii="Times New Roman" w:cs="Times New Roman" w:eastAsia="Times New Roman" w:hAnsi="Times New Roman"/>
                <w:sz w:val="12"/>
                <w:szCs w:val="12"/>
                <w:b w:val="1"/>
                <w:bCs w:val="1"/>
                <w:color w:val="auto"/>
                <w:w w:val="97"/>
              </w:rPr>
              <w:t>Filing Fee</w:t>
            </w:r>
          </w:p>
        </w:tc>
        <w:tc>
          <w:tcPr>
            <w:tcW w:w="0" w:type="dxa"/>
            <w:vAlign w:val="bottom"/>
          </w:tcPr>
          <w:p>
            <w:pPr>
              <w:spacing w:after="0"/>
              <w:rPr>
                <w:sz w:val="1"/>
                <w:szCs w:val="1"/>
                <w:color w:val="auto"/>
              </w:rPr>
            </w:pPr>
          </w:p>
        </w:tc>
      </w:tr>
      <w:tr>
        <w:trPr>
          <w:trHeight w:val="135"/>
        </w:trPr>
        <w:tc>
          <w:tcPr>
            <w:tcW w:w="102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Previously</w:t>
            </w:r>
          </w:p>
        </w:tc>
        <w:tc>
          <w:tcPr>
            <w:tcW w:w="0" w:type="dxa"/>
            <w:vAlign w:val="bottom"/>
          </w:tcPr>
          <w:p>
            <w:pPr>
              <w:spacing w:after="0"/>
              <w:rPr>
                <w:sz w:val="1"/>
                <w:szCs w:val="1"/>
                <w:color w:val="auto"/>
              </w:rPr>
            </w:pPr>
          </w:p>
        </w:tc>
      </w:tr>
      <w:tr>
        <w:trPr>
          <w:trHeight w:val="135"/>
        </w:trPr>
        <w:tc>
          <w:tcPr>
            <w:tcW w:w="102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ind w:right="1"/>
              <w:spacing w:after="0" w:line="135" w:lineRule="exact"/>
              <w:rPr>
                <w:sz w:val="20"/>
                <w:szCs w:val="20"/>
                <w:color w:val="auto"/>
              </w:rPr>
            </w:pPr>
            <w:r>
              <w:rPr>
                <w:rFonts w:ascii="Times New Roman" w:cs="Times New Roman" w:eastAsia="Times New Roman" w:hAnsi="Times New Roman"/>
                <w:sz w:val="12"/>
                <w:szCs w:val="12"/>
                <w:b w:val="1"/>
                <w:bCs w:val="1"/>
                <w:color w:val="auto"/>
              </w:rPr>
              <w:t>Paid In</w:t>
            </w:r>
          </w:p>
        </w:tc>
        <w:tc>
          <w:tcPr>
            <w:tcW w:w="0" w:type="dxa"/>
            <w:vAlign w:val="bottom"/>
          </w:tcPr>
          <w:p>
            <w:pPr>
              <w:spacing w:after="0"/>
              <w:rPr>
                <w:sz w:val="1"/>
                <w:szCs w:val="1"/>
                <w:color w:val="auto"/>
              </w:rPr>
            </w:pPr>
          </w:p>
        </w:tc>
      </w:tr>
      <w:tr>
        <w:trPr>
          <w:trHeight w:val="135"/>
        </w:trPr>
        <w:tc>
          <w:tcPr>
            <w:tcW w:w="102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ind w:right="1"/>
              <w:spacing w:after="0" w:line="135" w:lineRule="exact"/>
              <w:rPr>
                <w:sz w:val="20"/>
                <w:szCs w:val="20"/>
                <w:color w:val="auto"/>
              </w:rPr>
            </w:pPr>
            <w:r>
              <w:rPr>
                <w:rFonts w:ascii="Times New Roman" w:cs="Times New Roman" w:eastAsia="Times New Roman" w:hAnsi="Times New Roman"/>
                <w:sz w:val="12"/>
                <w:szCs w:val="12"/>
                <w:b w:val="1"/>
                <w:bCs w:val="1"/>
                <w:color w:val="auto"/>
                <w:w w:val="98"/>
              </w:rPr>
              <w:t>Connection</w:t>
            </w:r>
          </w:p>
        </w:tc>
        <w:tc>
          <w:tcPr>
            <w:tcW w:w="0" w:type="dxa"/>
            <w:vAlign w:val="bottom"/>
          </w:tcPr>
          <w:p>
            <w:pPr>
              <w:spacing w:after="0"/>
              <w:rPr>
                <w:sz w:val="1"/>
                <w:szCs w:val="1"/>
                <w:color w:val="auto"/>
              </w:rPr>
            </w:pPr>
          </w:p>
        </w:tc>
      </w:tr>
      <w:tr>
        <w:trPr>
          <w:trHeight w:val="135"/>
        </w:trPr>
        <w:tc>
          <w:tcPr>
            <w:tcW w:w="102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Fee</w:t>
            </w:r>
          </w:p>
        </w:tc>
        <w:tc>
          <w:tcPr>
            <w:tcW w:w="10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ind w:right="1"/>
              <w:spacing w:after="0" w:line="135" w:lineRule="exact"/>
              <w:rPr>
                <w:sz w:val="20"/>
                <w:szCs w:val="20"/>
                <w:color w:val="auto"/>
              </w:rPr>
            </w:pPr>
            <w:r>
              <w:rPr>
                <w:rFonts w:ascii="Times New Roman" w:cs="Times New Roman" w:eastAsia="Times New Roman" w:hAnsi="Times New Roman"/>
                <w:sz w:val="12"/>
                <w:szCs w:val="12"/>
                <w:b w:val="1"/>
                <w:bCs w:val="1"/>
                <w:color w:val="auto"/>
                <w:w w:val="96"/>
              </w:rPr>
              <w:t>with</w:t>
            </w:r>
          </w:p>
        </w:tc>
        <w:tc>
          <w:tcPr>
            <w:tcW w:w="0" w:type="dxa"/>
            <w:vAlign w:val="bottom"/>
          </w:tcPr>
          <w:p>
            <w:pPr>
              <w:spacing w:after="0"/>
              <w:rPr>
                <w:sz w:val="1"/>
                <w:szCs w:val="1"/>
                <w:color w:val="auto"/>
              </w:rPr>
            </w:pPr>
          </w:p>
        </w:tc>
      </w:tr>
      <w:tr>
        <w:trPr>
          <w:trHeight w:val="135"/>
        </w:trPr>
        <w:tc>
          <w:tcPr>
            <w:tcW w:w="102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Calculation</w:t>
            </w:r>
          </w:p>
        </w:tc>
        <w:tc>
          <w:tcPr>
            <w:tcW w:w="10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Proposed</w:t>
            </w:r>
          </w:p>
        </w:tc>
        <w:tc>
          <w:tcPr>
            <w:tcW w:w="4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Carry</w:t>
            </w:r>
          </w:p>
        </w:tc>
        <w:tc>
          <w:tcPr>
            <w:tcW w:w="40" w:type="dxa"/>
            <w:vAlign w:val="bottom"/>
          </w:tcPr>
          <w:p>
            <w:pPr>
              <w:spacing w:after="0"/>
              <w:rPr>
                <w:sz w:val="11"/>
                <w:szCs w:val="11"/>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Carry</w:t>
            </w:r>
          </w:p>
        </w:tc>
        <w:tc>
          <w:tcPr>
            <w:tcW w:w="20" w:type="dxa"/>
            <w:vAlign w:val="bottom"/>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Carry</w:t>
            </w:r>
          </w:p>
        </w:tc>
        <w:tc>
          <w:tcPr>
            <w:tcW w:w="880" w:type="dxa"/>
            <w:vAlign w:val="bottom"/>
            <w:tcBorders>
              <w:right w:val="single" w:sz="8" w:color="auto"/>
            </w:tcBorders>
          </w:tcPr>
          <w:p>
            <w:pPr>
              <w:jc w:val="center"/>
              <w:ind w:right="1"/>
              <w:spacing w:after="0" w:line="135" w:lineRule="exact"/>
              <w:rPr>
                <w:sz w:val="20"/>
                <w:szCs w:val="20"/>
                <w:color w:val="auto"/>
              </w:rPr>
            </w:pPr>
            <w:r>
              <w:rPr>
                <w:rFonts w:ascii="Times New Roman" w:cs="Times New Roman" w:eastAsia="Times New Roman" w:hAnsi="Times New Roman"/>
                <w:sz w:val="12"/>
                <w:szCs w:val="12"/>
                <w:b w:val="1"/>
                <w:bCs w:val="1"/>
                <w:color w:val="auto"/>
                <w:w w:val="94"/>
              </w:rPr>
              <w:t>Unsold</w:t>
            </w:r>
          </w:p>
        </w:tc>
        <w:tc>
          <w:tcPr>
            <w:tcW w:w="0" w:type="dxa"/>
            <w:vAlign w:val="bottom"/>
          </w:tcPr>
          <w:p>
            <w:pPr>
              <w:spacing w:after="0"/>
              <w:rPr>
                <w:sz w:val="1"/>
                <w:szCs w:val="1"/>
                <w:color w:val="auto"/>
              </w:rPr>
            </w:pPr>
          </w:p>
        </w:tc>
      </w:tr>
      <w:tr>
        <w:trPr>
          <w:trHeight w:val="122"/>
        </w:trPr>
        <w:tc>
          <w:tcPr>
            <w:tcW w:w="1020" w:type="dxa"/>
            <w:vAlign w:val="bottom"/>
            <w:tcBorders>
              <w:left w:val="single" w:sz="8" w:color="auto"/>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87"/>
              </w:rPr>
              <w:t>or</w:t>
            </w:r>
          </w:p>
        </w:tc>
        <w:tc>
          <w:tcPr>
            <w:tcW w:w="10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3"/>
              </w:rPr>
              <w:t>Maximum</w:t>
            </w:r>
          </w:p>
        </w:tc>
        <w:tc>
          <w:tcPr>
            <w:tcW w:w="40" w:type="dxa"/>
            <w:vAlign w:val="bottom"/>
          </w:tcPr>
          <w:p>
            <w:pPr>
              <w:spacing w:after="0"/>
              <w:rPr>
                <w:sz w:val="10"/>
                <w:szCs w:val="10"/>
                <w:color w:val="auto"/>
              </w:rPr>
            </w:pPr>
          </w:p>
        </w:tc>
        <w:tc>
          <w:tcPr>
            <w:tcW w:w="104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7"/>
              </w:rPr>
              <w:t>Maximum</w:t>
            </w:r>
          </w:p>
        </w:tc>
        <w:tc>
          <w:tcPr>
            <w:tcW w:w="120" w:type="dxa"/>
            <w:vAlign w:val="bottom"/>
            <w:gridSpan w:val="2"/>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6"/>
              </w:rPr>
              <w:t>Forward</w:t>
            </w:r>
          </w:p>
        </w:tc>
        <w:tc>
          <w:tcPr>
            <w:tcW w:w="880" w:type="dxa"/>
            <w:vAlign w:val="bottom"/>
            <w:tcBorders>
              <w:right w:val="single" w:sz="8" w:color="auto"/>
            </w:tcBorders>
          </w:tcPr>
          <w:p>
            <w:pPr>
              <w:jc w:val="center"/>
              <w:ind w:right="1"/>
              <w:spacing w:after="0" w:line="122"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0" w:type="dxa"/>
            <w:vAlign w:val="bottom"/>
          </w:tcPr>
          <w:p>
            <w:pPr>
              <w:spacing w:after="0"/>
              <w:rPr>
                <w:sz w:val="1"/>
                <w:szCs w:val="1"/>
                <w:color w:val="auto"/>
              </w:rPr>
            </w:pPr>
          </w:p>
        </w:tc>
      </w:tr>
      <w:tr>
        <w:trPr>
          <w:trHeight w:val="135"/>
        </w:trPr>
        <w:tc>
          <w:tcPr>
            <w:tcW w:w="102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jc w:val="center"/>
              <w:ind w:left="13"/>
              <w:spacing w:after="0" w:line="135" w:lineRule="exact"/>
              <w:rPr>
                <w:sz w:val="20"/>
                <w:szCs w:val="20"/>
                <w:color w:val="auto"/>
              </w:rPr>
            </w:pPr>
            <w:r>
              <w:rPr>
                <w:rFonts w:ascii="Times New Roman" w:cs="Times New Roman" w:eastAsia="Times New Roman" w:hAnsi="Times New Roman"/>
                <w:sz w:val="12"/>
                <w:szCs w:val="12"/>
                <w:b w:val="1"/>
                <w:bCs w:val="1"/>
                <w:color w:val="auto"/>
                <w:w w:val="98"/>
              </w:rPr>
              <w:t>Security</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Carry</w:t>
            </w:r>
          </w:p>
        </w:tc>
        <w:tc>
          <w:tcPr>
            <w:tcW w:w="10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Offering</w:t>
            </w:r>
          </w:p>
        </w:tc>
        <w:tc>
          <w:tcPr>
            <w:tcW w:w="40" w:type="dxa"/>
            <w:vAlign w:val="bottom"/>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Aggregate</w:t>
            </w:r>
          </w:p>
        </w:tc>
        <w:tc>
          <w:tcPr>
            <w:tcW w:w="120" w:type="dxa"/>
            <w:vAlign w:val="bottom"/>
            <w:gridSpan w:val="2"/>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Amount of</w:t>
            </w:r>
          </w:p>
        </w:tc>
        <w:tc>
          <w:tcPr>
            <w:tcW w:w="20" w:type="dxa"/>
            <w:vAlign w:val="bottom"/>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Forward</w:t>
            </w:r>
          </w:p>
        </w:tc>
        <w:tc>
          <w:tcPr>
            <w:tcW w:w="40" w:type="dxa"/>
            <w:vAlign w:val="bottom"/>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Forward</w:t>
            </w:r>
          </w:p>
        </w:tc>
        <w:tc>
          <w:tcPr>
            <w:tcW w:w="20" w:type="dxa"/>
            <w:vAlign w:val="bottom"/>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Initial</w:t>
            </w:r>
          </w:p>
        </w:tc>
        <w:tc>
          <w:tcPr>
            <w:tcW w:w="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to be</w:t>
            </w:r>
          </w:p>
        </w:tc>
        <w:tc>
          <w:tcPr>
            <w:tcW w:w="0" w:type="dxa"/>
            <w:vAlign w:val="bottom"/>
          </w:tcPr>
          <w:p>
            <w:pPr>
              <w:spacing w:after="0"/>
              <w:rPr>
                <w:sz w:val="1"/>
                <w:szCs w:val="1"/>
                <w:color w:val="auto"/>
              </w:rPr>
            </w:pPr>
          </w:p>
        </w:tc>
      </w:tr>
      <w:tr>
        <w:trPr>
          <w:trHeight w:val="145"/>
        </w:trPr>
        <w:tc>
          <w:tcPr>
            <w:tcW w:w="1020" w:type="dxa"/>
            <w:vAlign w:val="bottom"/>
            <w:tcBorders>
              <w:left w:val="single" w:sz="8" w:color="auto"/>
              <w:right w:val="single" w:sz="8" w:color="auto"/>
            </w:tcBorders>
          </w:tcPr>
          <w:p>
            <w:pPr>
              <w:spacing w:after="0"/>
              <w:rPr>
                <w:sz w:val="12"/>
                <w:szCs w:val="12"/>
                <w:color w:val="auto"/>
              </w:rPr>
            </w:pP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Security</w:t>
            </w:r>
          </w:p>
        </w:tc>
        <w:tc>
          <w:tcPr>
            <w:tcW w:w="1060" w:type="dxa"/>
            <w:vAlign w:val="bottom"/>
            <w:tcBorders>
              <w:right w:val="single" w:sz="8" w:color="auto"/>
            </w:tcBorders>
          </w:tcPr>
          <w:p>
            <w:pPr>
              <w:jc w:val="center"/>
              <w:ind w:left="13"/>
              <w:spacing w:after="0"/>
              <w:rPr>
                <w:sz w:val="20"/>
                <w:szCs w:val="20"/>
                <w:color w:val="auto"/>
              </w:rPr>
            </w:pPr>
            <w:r>
              <w:rPr>
                <w:rFonts w:ascii="Times New Roman" w:cs="Times New Roman" w:eastAsia="Times New Roman" w:hAnsi="Times New Roman"/>
                <w:sz w:val="12"/>
                <w:szCs w:val="12"/>
                <w:b w:val="1"/>
                <w:bCs w:val="1"/>
                <w:color w:val="auto"/>
                <w:w w:val="94"/>
              </w:rPr>
              <w:t>Class</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Forward</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40" w:type="dxa"/>
            <w:vAlign w:val="bottom"/>
          </w:tcPr>
          <w:p>
            <w:pPr>
              <w:spacing w:after="0"/>
              <w:rPr>
                <w:sz w:val="12"/>
                <w:szCs w:val="12"/>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Price Per</w:t>
            </w:r>
          </w:p>
        </w:tc>
        <w:tc>
          <w:tcPr>
            <w:tcW w:w="40" w:type="dxa"/>
            <w:vAlign w:val="bottom"/>
          </w:tcPr>
          <w:p>
            <w:pPr>
              <w:spacing w:after="0"/>
              <w:rPr>
                <w:sz w:val="12"/>
                <w:szCs w:val="12"/>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Offering</w:t>
            </w:r>
          </w:p>
        </w:tc>
        <w:tc>
          <w:tcPr>
            <w:tcW w:w="120" w:type="dxa"/>
            <w:vAlign w:val="bottom"/>
            <w:gridSpan w:val="2"/>
          </w:tcPr>
          <w:p>
            <w:pPr>
              <w:spacing w:after="0"/>
              <w:rPr>
                <w:sz w:val="12"/>
                <w:szCs w:val="12"/>
                <w:color w:val="auto"/>
              </w:rPr>
            </w:pPr>
          </w:p>
        </w:tc>
        <w:tc>
          <w:tcPr>
            <w:tcW w:w="840" w:type="dxa"/>
            <w:vAlign w:val="bottom"/>
            <w:tcBorders>
              <w:right w:val="single" w:sz="8" w:color="auto"/>
            </w:tcBorders>
          </w:tcPr>
          <w:p>
            <w:pPr>
              <w:jc w:val="center"/>
              <w:ind w:right="35"/>
              <w:spacing w:after="0"/>
              <w:rPr>
                <w:sz w:val="20"/>
                <w:szCs w:val="20"/>
                <w:color w:val="auto"/>
              </w:rPr>
            </w:pPr>
            <w:r>
              <w:rPr>
                <w:rFonts w:ascii="Times New Roman" w:cs="Times New Roman" w:eastAsia="Times New Roman" w:hAnsi="Times New Roman"/>
                <w:sz w:val="12"/>
                <w:szCs w:val="12"/>
                <w:b w:val="1"/>
                <w:bCs w:val="1"/>
                <w:color w:val="auto"/>
                <w:w w:val="99"/>
              </w:rPr>
              <w:t>Fee</w:t>
            </w:r>
          </w:p>
        </w:tc>
        <w:tc>
          <w:tcPr>
            <w:tcW w:w="20" w:type="dxa"/>
            <w:vAlign w:val="bottom"/>
          </w:tcPr>
          <w:p>
            <w:pPr>
              <w:spacing w:after="0"/>
              <w:rPr>
                <w:sz w:val="12"/>
                <w:szCs w:val="12"/>
                <w:color w:val="auto"/>
              </w:rPr>
            </w:pPr>
          </w:p>
        </w:tc>
        <w:tc>
          <w:tcPr>
            <w:tcW w:w="9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Registration</w:t>
            </w:r>
          </w:p>
        </w:tc>
        <w:tc>
          <w:tcPr>
            <w:tcW w:w="20" w:type="dxa"/>
            <w:vAlign w:val="bottom"/>
          </w:tcPr>
          <w:p>
            <w:pPr>
              <w:spacing w:after="0"/>
              <w:rPr>
                <w:sz w:val="12"/>
                <w:szCs w:val="12"/>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Form</w:t>
            </w:r>
          </w:p>
        </w:tc>
        <w:tc>
          <w:tcPr>
            <w:tcW w:w="40" w:type="dxa"/>
            <w:vAlign w:val="bottom"/>
          </w:tcPr>
          <w:p>
            <w:pPr>
              <w:spacing w:after="0"/>
              <w:rPr>
                <w:sz w:val="12"/>
                <w:szCs w:val="12"/>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File</w:t>
            </w:r>
          </w:p>
        </w:tc>
        <w:tc>
          <w:tcPr>
            <w:tcW w:w="20" w:type="dxa"/>
            <w:vAlign w:val="bottom"/>
          </w:tcPr>
          <w:p>
            <w:pPr>
              <w:spacing w:after="0"/>
              <w:rPr>
                <w:sz w:val="12"/>
                <w:szCs w:val="12"/>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Effective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Carried</w:t>
            </w: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Type</w:t>
            </w:r>
          </w:p>
        </w:tc>
        <w:tc>
          <w:tcPr>
            <w:tcW w:w="1060" w:type="dxa"/>
            <w:vAlign w:val="bottom"/>
            <w:tcBorders>
              <w:bottom w:val="single" w:sz="8" w:color="auto"/>
              <w:right w:val="single" w:sz="8" w:color="auto"/>
            </w:tcBorders>
          </w:tcPr>
          <w:p>
            <w:pPr>
              <w:jc w:val="center"/>
              <w:ind w:left="13"/>
              <w:spacing w:after="0"/>
              <w:rPr>
                <w:sz w:val="20"/>
                <w:szCs w:val="20"/>
                <w:color w:val="auto"/>
              </w:rPr>
            </w:pPr>
            <w:r>
              <w:rPr>
                <w:rFonts w:ascii="Times New Roman" w:cs="Times New Roman" w:eastAsia="Times New Roman" w:hAnsi="Times New Roman"/>
                <w:sz w:val="12"/>
                <w:szCs w:val="12"/>
                <w:b w:val="1"/>
                <w:bCs w:val="1"/>
                <w:color w:val="auto"/>
                <w:w w:val="99"/>
              </w:rPr>
              <w:t>Title(1)</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Rule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Registered</w:t>
            </w: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Unit</w:t>
            </w:r>
          </w:p>
        </w:tc>
        <w:tc>
          <w:tcPr>
            <w:tcW w:w="40" w:type="dxa"/>
            <w:vAlign w:val="bottom"/>
            <w:tcBorders>
              <w:bottom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Price</w:t>
            </w:r>
          </w:p>
        </w:tc>
        <w:tc>
          <w:tcPr>
            <w:tcW w:w="120" w:type="dxa"/>
            <w:vAlign w:val="bottom"/>
            <w:tcBorders>
              <w:bottom w:val="single" w:sz="8" w:color="auto"/>
            </w:tcBorders>
            <w:gridSpan w:val="2"/>
          </w:tcPr>
          <w:p>
            <w:pPr>
              <w:spacing w:after="0"/>
              <w:rPr>
                <w:sz w:val="14"/>
                <w:szCs w:val="14"/>
                <w:color w:val="auto"/>
              </w:rPr>
            </w:pPr>
          </w:p>
        </w:tc>
        <w:tc>
          <w:tcPr>
            <w:tcW w:w="840" w:type="dxa"/>
            <w:vAlign w:val="bottom"/>
            <w:tcBorders>
              <w:bottom w:val="single" w:sz="8" w:color="auto"/>
              <w:right w:val="single" w:sz="8" w:color="auto"/>
            </w:tcBorders>
          </w:tcPr>
          <w:p>
            <w:pPr>
              <w:jc w:val="center"/>
              <w:ind w:right="35"/>
              <w:spacing w:after="0"/>
              <w:rPr>
                <w:sz w:val="20"/>
                <w:szCs w:val="20"/>
                <w:color w:val="auto"/>
              </w:rPr>
            </w:pPr>
            <w:r>
              <w:rPr>
                <w:rFonts w:ascii="Times New Roman" w:cs="Times New Roman" w:eastAsia="Times New Roman" w:hAnsi="Times New Roman"/>
                <w:sz w:val="12"/>
                <w:szCs w:val="12"/>
                <w:b w:val="1"/>
                <w:bCs w:val="1"/>
                <w:color w:val="auto"/>
                <w:w w:val="91"/>
              </w:rPr>
              <w:t>Rate</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jc w:val="center"/>
              <w:ind w:right="175"/>
              <w:spacing w:after="0"/>
              <w:rPr>
                <w:sz w:val="20"/>
                <w:szCs w:val="20"/>
                <w:color w:val="auto"/>
              </w:rPr>
            </w:pPr>
            <w:r>
              <w:rPr>
                <w:rFonts w:ascii="Times New Roman" w:cs="Times New Roman" w:eastAsia="Times New Roman" w:hAnsi="Times New Roman"/>
                <w:sz w:val="12"/>
                <w:szCs w:val="12"/>
                <w:b w:val="1"/>
                <w:bCs w:val="1"/>
                <w:color w:val="auto"/>
                <w:w w:val="88"/>
              </w:rPr>
              <w:t>Fee</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Type</w:t>
            </w: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Number</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Forward</w:t>
            </w:r>
          </w:p>
        </w:tc>
        <w:tc>
          <w:tcPr>
            <w:tcW w:w="0" w:type="dxa"/>
            <w:vAlign w:val="bottom"/>
          </w:tcPr>
          <w:p>
            <w:pPr>
              <w:spacing w:after="0"/>
              <w:rPr>
                <w:sz w:val="1"/>
                <w:szCs w:val="1"/>
                <w:color w:val="auto"/>
              </w:rPr>
            </w:pPr>
          </w:p>
        </w:tc>
      </w:tr>
      <w:tr>
        <w:trPr>
          <w:trHeight w:val="176"/>
        </w:trPr>
        <w:tc>
          <w:tcPr>
            <w:tcW w:w="1020" w:type="dxa"/>
            <w:vAlign w:val="bottom"/>
            <w:tcBorders>
              <w:left w:val="single" w:sz="8" w:color="auto"/>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rPr>
              <w:t>Newly Registered Securities</w:t>
            </w: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020" w:type="dxa"/>
            <w:vAlign w:val="bottom"/>
            <w:tcBorders>
              <w:left w:val="single" w:sz="8" w:color="auto"/>
              <w:right w:val="single" w:sz="8" w:color="auto"/>
            </w:tcBorders>
            <w:shd w:val="clear" w:color="auto" w:fill="CFF0FC"/>
          </w:tcPr>
          <w:p>
            <w:pPr>
              <w:jc w:val="center"/>
              <w:ind w:left="93"/>
              <w:spacing w:after="0" w:line="132" w:lineRule="exact"/>
              <w:rPr>
                <w:sz w:val="20"/>
                <w:szCs w:val="20"/>
                <w:color w:val="auto"/>
              </w:rPr>
            </w:pPr>
            <w:r>
              <w:rPr>
                <w:rFonts w:ascii="Times New Roman" w:cs="Times New Roman" w:eastAsia="Times New Roman" w:hAnsi="Times New Roman"/>
                <w:sz w:val="13"/>
                <w:szCs w:val="13"/>
                <w:b w:val="1"/>
                <w:bCs w:val="1"/>
                <w:color w:val="auto"/>
              </w:rPr>
              <w:t>Fees to</w:t>
            </w:r>
          </w:p>
        </w:tc>
        <w:tc>
          <w:tcPr>
            <w:tcW w:w="600" w:type="dxa"/>
            <w:vAlign w:val="bottom"/>
            <w:tcBorders>
              <w:right w:val="single" w:sz="8" w:color="auto"/>
            </w:tcBorders>
            <w:shd w:val="clear" w:color="auto" w:fill="CFF0FC"/>
          </w:tcPr>
          <w:p>
            <w:pPr>
              <w:spacing w:after="0"/>
              <w:rPr>
                <w:sz w:val="11"/>
                <w:szCs w:val="11"/>
                <w:color w:val="auto"/>
              </w:rPr>
            </w:pPr>
          </w:p>
        </w:tc>
        <w:tc>
          <w:tcPr>
            <w:tcW w:w="1060" w:type="dxa"/>
            <w:vAlign w:val="bottom"/>
            <w:tcBorders>
              <w:right w:val="single" w:sz="8" w:color="auto"/>
            </w:tcBorders>
            <w:shd w:val="clear" w:color="auto" w:fill="CFF0FC"/>
          </w:tcPr>
          <w:p>
            <w:pPr>
              <w:jc w:val="center"/>
              <w:spacing w:after="0" w:line="132" w:lineRule="exact"/>
              <w:rPr>
                <w:sz w:val="20"/>
                <w:szCs w:val="20"/>
                <w:color w:val="auto"/>
              </w:rPr>
            </w:pPr>
            <w:r>
              <w:rPr>
                <w:rFonts w:ascii="Times New Roman" w:cs="Times New Roman" w:eastAsia="Times New Roman" w:hAnsi="Times New Roman"/>
                <w:sz w:val="13"/>
                <w:szCs w:val="13"/>
                <w:color w:val="auto"/>
              </w:rPr>
              <w:t>Common Stock of</w:t>
            </w:r>
          </w:p>
        </w:tc>
        <w:tc>
          <w:tcPr>
            <w:tcW w:w="900" w:type="dxa"/>
            <w:vAlign w:val="bottom"/>
            <w:tcBorders>
              <w:right w:val="single" w:sz="8" w:color="auto"/>
            </w:tcBorders>
            <w:shd w:val="clear" w:color="auto" w:fill="CFF0FC"/>
          </w:tcPr>
          <w:p>
            <w:pPr>
              <w:spacing w:after="0"/>
              <w:rPr>
                <w:sz w:val="11"/>
                <w:szCs w:val="11"/>
                <w:color w:val="auto"/>
              </w:rPr>
            </w:pPr>
          </w:p>
        </w:tc>
        <w:tc>
          <w:tcPr>
            <w:tcW w:w="10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2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4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spacing w:after="0"/>
              <w:rPr>
                <w:sz w:val="11"/>
                <w:szCs w:val="11"/>
                <w:color w:val="auto"/>
              </w:rPr>
            </w:pPr>
          </w:p>
        </w:tc>
        <w:tc>
          <w:tcPr>
            <w:tcW w:w="880" w:type="dxa"/>
            <w:vAlign w:val="bottom"/>
            <w:tcBorders>
              <w:right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20" w:type="dxa"/>
            <w:vAlign w:val="bottom"/>
            <w:tcBorders>
              <w:left w:val="single" w:sz="8" w:color="auto"/>
              <w:right w:val="single" w:sz="8" w:color="auto"/>
            </w:tcBorders>
            <w:shd w:val="clear" w:color="auto" w:fill="CFF0FC"/>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rPr>
              <w:t>be Paid</w:t>
            </w:r>
          </w:p>
        </w:tc>
        <w:tc>
          <w:tcPr>
            <w:tcW w:w="600" w:type="dxa"/>
            <w:vAlign w:val="bottom"/>
            <w:tcBorders>
              <w:right w:val="single" w:sz="8" w:color="auto"/>
            </w:tcBorders>
            <w:shd w:val="clear" w:color="auto" w:fill="CFF0FC"/>
          </w:tcPr>
          <w:p>
            <w:pPr>
              <w:spacing w:after="0"/>
              <w:rPr>
                <w:sz w:val="13"/>
                <w:szCs w:val="13"/>
                <w:color w:val="auto"/>
              </w:rPr>
            </w:pPr>
          </w:p>
        </w:tc>
        <w:tc>
          <w:tcPr>
            <w:tcW w:w="106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Axsome</w:t>
            </w:r>
          </w:p>
        </w:tc>
        <w:tc>
          <w:tcPr>
            <w:tcW w:w="90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Rule 456(b)</w:t>
            </w:r>
          </w:p>
        </w:tc>
        <w:tc>
          <w:tcPr>
            <w:tcW w:w="104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72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4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tcBorders>
              <w:right w:val="single" w:sz="8" w:color="auto"/>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80" w:type="dxa"/>
            <w:vAlign w:val="bottom"/>
            <w:tcBorders>
              <w:right w:val="single" w:sz="8" w:color="auto"/>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6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40" w:type="dxa"/>
            <w:vAlign w:val="bottom"/>
            <w:tcBorders>
              <w:right w:val="single" w:sz="8" w:color="auto"/>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60" w:type="dxa"/>
            <w:vAlign w:val="bottom"/>
            <w:tcBorders>
              <w:right w:val="single" w:sz="8" w:color="auto"/>
            </w:tcBorders>
            <w:shd w:val="clear" w:color="auto" w:fill="CFF0FC"/>
          </w:tcPr>
          <w:p>
            <w:pPr>
              <w:spacing w:after="0"/>
              <w:rPr>
                <w:sz w:val="13"/>
                <w:szCs w:val="13"/>
                <w:color w:val="auto"/>
              </w:rPr>
            </w:pPr>
          </w:p>
        </w:tc>
        <w:tc>
          <w:tcPr>
            <w:tcW w:w="880" w:type="dxa"/>
            <w:vAlign w:val="bottom"/>
            <w:tcBorders>
              <w:right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20" w:type="dxa"/>
            <w:vAlign w:val="bottom"/>
            <w:tcBorders>
              <w:left w:val="single" w:sz="8" w:color="auto"/>
              <w:right w:val="single" w:sz="8" w:color="auto"/>
            </w:tcBorders>
            <w:shd w:val="clear" w:color="auto" w:fill="CFF0FC"/>
          </w:tcPr>
          <w:p>
            <w:pPr>
              <w:spacing w:after="0"/>
              <w:rPr>
                <w:sz w:val="11"/>
                <w:szCs w:val="11"/>
                <w:color w:val="auto"/>
              </w:rPr>
            </w:pPr>
          </w:p>
        </w:tc>
        <w:tc>
          <w:tcPr>
            <w:tcW w:w="600" w:type="dxa"/>
            <w:vAlign w:val="bottom"/>
            <w:tcBorders>
              <w:right w:val="single" w:sz="8" w:color="auto"/>
            </w:tcBorders>
            <w:shd w:val="clear" w:color="auto" w:fill="CFF0FC"/>
          </w:tcPr>
          <w:p>
            <w:pPr>
              <w:spacing w:after="0"/>
              <w:rPr>
                <w:sz w:val="11"/>
                <w:szCs w:val="11"/>
                <w:color w:val="auto"/>
              </w:rPr>
            </w:pPr>
          </w:p>
        </w:tc>
        <w:tc>
          <w:tcPr>
            <w:tcW w:w="1060" w:type="dxa"/>
            <w:vAlign w:val="bottom"/>
            <w:tcBorders>
              <w:right w:val="single" w:sz="8" w:color="auto"/>
            </w:tcBorders>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rPr>
              <w:t>Therapeutics, Inc.,</w:t>
            </w:r>
          </w:p>
        </w:tc>
        <w:tc>
          <w:tcPr>
            <w:tcW w:w="900" w:type="dxa"/>
            <w:vAlign w:val="bottom"/>
            <w:tcBorders>
              <w:right w:val="single" w:sz="8" w:color="auto"/>
            </w:tcBorders>
            <w:vMerge w:val="continue"/>
            <w:shd w:val="clear" w:color="auto" w:fill="CFF0FC"/>
          </w:tcPr>
          <w:p>
            <w:pPr>
              <w:spacing w:after="0"/>
              <w:rPr>
                <w:sz w:val="11"/>
                <w:szCs w:val="11"/>
                <w:color w:val="auto"/>
              </w:rPr>
            </w:pPr>
          </w:p>
        </w:tc>
        <w:tc>
          <w:tcPr>
            <w:tcW w:w="10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2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4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spacing w:after="0"/>
              <w:rPr>
                <w:sz w:val="11"/>
                <w:szCs w:val="11"/>
                <w:color w:val="auto"/>
              </w:rPr>
            </w:pPr>
          </w:p>
        </w:tc>
        <w:tc>
          <w:tcPr>
            <w:tcW w:w="880" w:type="dxa"/>
            <w:vAlign w:val="bottom"/>
            <w:tcBorders>
              <w:right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20" w:type="dxa"/>
            <w:vAlign w:val="bottom"/>
            <w:tcBorders>
              <w:left w:val="single" w:sz="8" w:color="auto"/>
              <w:right w:val="single" w:sz="8" w:color="auto"/>
            </w:tcBorders>
            <w:shd w:val="clear" w:color="auto" w:fill="CFF0FC"/>
          </w:tcPr>
          <w:p>
            <w:pPr>
              <w:spacing w:after="0"/>
              <w:rPr>
                <w:sz w:val="12"/>
                <w:szCs w:val="12"/>
                <w:color w:val="auto"/>
              </w:rPr>
            </w:pPr>
          </w:p>
        </w:tc>
        <w:tc>
          <w:tcPr>
            <w:tcW w:w="600" w:type="dxa"/>
            <w:vAlign w:val="bottom"/>
            <w:tcBorders>
              <w:right w:val="single" w:sz="8" w:color="auto"/>
            </w:tcBorders>
            <w:shd w:val="clear" w:color="auto" w:fill="CFF0FC"/>
          </w:tcPr>
          <w:p>
            <w:pPr>
              <w:spacing w:after="0"/>
              <w:rPr>
                <w:sz w:val="12"/>
                <w:szCs w:val="12"/>
                <w:color w:val="auto"/>
              </w:rPr>
            </w:pPr>
          </w:p>
        </w:tc>
        <w:tc>
          <w:tcPr>
            <w:tcW w:w="106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par value $0.0001</w:t>
            </w:r>
          </w:p>
        </w:tc>
        <w:tc>
          <w:tcPr>
            <w:tcW w:w="90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and Rule</w:t>
            </w:r>
          </w:p>
        </w:tc>
        <w:tc>
          <w:tcPr>
            <w:tcW w:w="10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2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6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4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60" w:type="dxa"/>
            <w:vAlign w:val="bottom"/>
            <w:tcBorders>
              <w:right w:val="single" w:sz="8" w:color="auto"/>
            </w:tcBorders>
            <w:shd w:val="clear" w:color="auto" w:fill="CFF0FC"/>
          </w:tcPr>
          <w:p>
            <w:pPr>
              <w:spacing w:after="0"/>
              <w:rPr>
                <w:sz w:val="12"/>
                <w:szCs w:val="12"/>
                <w:color w:val="auto"/>
              </w:rPr>
            </w:pPr>
          </w:p>
        </w:tc>
        <w:tc>
          <w:tcPr>
            <w:tcW w:w="88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20" w:type="dxa"/>
            <w:vAlign w:val="bottom"/>
            <w:tcBorders>
              <w:left w:val="single" w:sz="8" w:color="auto"/>
              <w:right w:val="single" w:sz="8" w:color="auto"/>
            </w:tcBorders>
            <w:shd w:val="clear" w:color="auto" w:fill="CFF0FC"/>
          </w:tcPr>
          <w:p>
            <w:pPr>
              <w:spacing w:after="0"/>
              <w:rPr>
                <w:sz w:val="15"/>
                <w:szCs w:val="15"/>
                <w:color w:val="auto"/>
              </w:rPr>
            </w:pPr>
          </w:p>
        </w:tc>
        <w:tc>
          <w:tcPr>
            <w:tcW w:w="6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Equity</w:t>
            </w:r>
          </w:p>
        </w:tc>
        <w:tc>
          <w:tcPr>
            <w:tcW w:w="106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per share (2)(3)</w:t>
            </w:r>
          </w:p>
        </w:tc>
        <w:tc>
          <w:tcPr>
            <w:tcW w:w="9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457(r)</w:t>
            </w:r>
          </w:p>
        </w:tc>
        <w:tc>
          <w:tcPr>
            <w:tcW w:w="104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2"/>
              </w:rPr>
              <w:t>(2)</w:t>
            </w:r>
          </w:p>
        </w:tc>
        <w:tc>
          <w:tcPr>
            <w:tcW w:w="1080" w:type="dxa"/>
            <w:vAlign w:val="bottom"/>
            <w:tcBorders>
              <w:bottom w:val="single" w:sz="8" w:color="auto"/>
              <w:right w:val="single" w:sz="8" w:color="auto"/>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right w:val="single" w:sz="8" w:color="auto"/>
            </w:tcBorders>
            <w:shd w:val="clear" w:color="auto" w:fill="CFF0FC"/>
          </w:tcPr>
          <w:p>
            <w:pPr>
              <w:jc w:val="center"/>
              <w:ind w:right="55"/>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right w:val="single" w:sz="8" w:color="auto"/>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right w:val="single" w:sz="8" w:color="auto"/>
            </w:tcBorders>
            <w:shd w:val="clear" w:color="auto" w:fill="CFF0FC"/>
          </w:tcPr>
          <w:p>
            <w:pPr>
              <w:spacing w:after="0"/>
              <w:rPr>
                <w:sz w:val="15"/>
                <w:szCs w:val="15"/>
                <w:color w:val="auto"/>
              </w:rPr>
            </w:pPr>
          </w:p>
        </w:tc>
        <w:tc>
          <w:tcPr>
            <w:tcW w:w="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right w:val="single" w:sz="8" w:color="auto"/>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right w:val="single" w:sz="8" w:color="auto"/>
            </w:tcBorders>
            <w:shd w:val="clear" w:color="auto" w:fill="CFF0FC"/>
          </w:tcPr>
          <w:p>
            <w:pPr>
              <w:spacing w:after="0"/>
              <w:rPr>
                <w:sz w:val="15"/>
                <w:szCs w:val="15"/>
                <w:color w:val="auto"/>
              </w:rPr>
            </w:pPr>
          </w:p>
        </w:tc>
        <w:tc>
          <w:tcPr>
            <w:tcW w:w="880" w:type="dxa"/>
            <w:vAlign w:val="bottom"/>
            <w:tcBorders>
              <w:bottom w:val="single" w:sz="8" w:color="auto"/>
              <w:right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02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rPr>
              <w:t>Preferred Stock of</w:t>
            </w:r>
          </w:p>
        </w:tc>
        <w:tc>
          <w:tcPr>
            <w:tcW w:w="90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20" w:type="dxa"/>
            <w:vAlign w:val="bottom"/>
            <w:tcBorders>
              <w:left w:val="single" w:sz="8" w:color="auto"/>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Axsome</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Rule 456(b)</w:t>
            </w:r>
          </w:p>
        </w:tc>
        <w:tc>
          <w:tcPr>
            <w:tcW w:w="10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2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Therapeutics, Inc.,</w:t>
            </w:r>
          </w:p>
        </w:tc>
        <w:tc>
          <w:tcPr>
            <w:tcW w:w="90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20" w:type="dxa"/>
            <w:vAlign w:val="bottom"/>
            <w:tcBorders>
              <w:left w:val="single" w:sz="8" w:color="auto"/>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par value $0.0001</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and Rule</w:t>
            </w:r>
          </w:p>
        </w:tc>
        <w:tc>
          <w:tcPr>
            <w:tcW w:w="10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20" w:type="dxa"/>
            <w:vAlign w:val="bottom"/>
            <w:tcBorders>
              <w:left w:val="single" w:sz="8" w:color="auto"/>
              <w:bottom w:val="single" w:sz="8" w:color="CFF0FC"/>
              <w:right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Equity</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(2)(4)</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457(r)</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(2)</w:t>
            </w:r>
          </w:p>
        </w:tc>
        <w:tc>
          <w:tcPr>
            <w:tcW w:w="10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jc w:val="center"/>
              <w:ind w:right="55"/>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020" w:type="dxa"/>
            <w:vAlign w:val="bottom"/>
            <w:tcBorders>
              <w:left w:val="single" w:sz="8" w:color="auto"/>
              <w:right w:val="single" w:sz="8" w:color="auto"/>
            </w:tcBorders>
            <w:shd w:val="clear" w:color="auto" w:fill="CFF0FC"/>
          </w:tcPr>
          <w:p>
            <w:pPr>
              <w:spacing w:after="0"/>
              <w:rPr>
                <w:sz w:val="11"/>
                <w:szCs w:val="11"/>
                <w:color w:val="auto"/>
              </w:rPr>
            </w:pPr>
          </w:p>
        </w:tc>
        <w:tc>
          <w:tcPr>
            <w:tcW w:w="600" w:type="dxa"/>
            <w:vAlign w:val="bottom"/>
            <w:tcBorders>
              <w:right w:val="single" w:sz="8" w:color="auto"/>
            </w:tcBorders>
            <w:shd w:val="clear" w:color="auto" w:fill="CFF0FC"/>
          </w:tcPr>
          <w:p>
            <w:pPr>
              <w:spacing w:after="0"/>
              <w:rPr>
                <w:sz w:val="11"/>
                <w:szCs w:val="11"/>
                <w:color w:val="auto"/>
              </w:rPr>
            </w:pPr>
          </w:p>
        </w:tc>
        <w:tc>
          <w:tcPr>
            <w:tcW w:w="1060" w:type="dxa"/>
            <w:vAlign w:val="bottom"/>
            <w:tcBorders>
              <w:right w:val="single" w:sz="8" w:color="auto"/>
            </w:tcBorders>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rPr>
              <w:t>Debt Securities of</w:t>
            </w:r>
          </w:p>
        </w:tc>
        <w:tc>
          <w:tcPr>
            <w:tcW w:w="90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Rule 456(b)</w:t>
            </w:r>
          </w:p>
        </w:tc>
        <w:tc>
          <w:tcPr>
            <w:tcW w:w="10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2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4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spacing w:after="0"/>
              <w:rPr>
                <w:sz w:val="11"/>
                <w:szCs w:val="11"/>
                <w:color w:val="auto"/>
              </w:rPr>
            </w:pPr>
          </w:p>
        </w:tc>
        <w:tc>
          <w:tcPr>
            <w:tcW w:w="880" w:type="dxa"/>
            <w:vAlign w:val="bottom"/>
            <w:tcBorders>
              <w:right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Borders>
              <w:left w:val="single" w:sz="8" w:color="auto"/>
              <w:right w:val="single" w:sz="8" w:color="auto"/>
            </w:tcBorders>
            <w:shd w:val="clear" w:color="auto" w:fill="CFF0FC"/>
          </w:tcPr>
          <w:p>
            <w:pPr>
              <w:spacing w:after="0"/>
              <w:rPr>
                <w:sz w:val="11"/>
                <w:szCs w:val="11"/>
                <w:color w:val="auto"/>
              </w:rPr>
            </w:pPr>
          </w:p>
        </w:tc>
        <w:tc>
          <w:tcPr>
            <w:tcW w:w="600" w:type="dxa"/>
            <w:vAlign w:val="bottom"/>
            <w:tcBorders>
              <w:right w:val="single" w:sz="8" w:color="auto"/>
            </w:tcBorders>
            <w:shd w:val="clear" w:color="auto" w:fill="CFF0FC"/>
          </w:tcPr>
          <w:p>
            <w:pPr>
              <w:spacing w:after="0"/>
              <w:rPr>
                <w:sz w:val="11"/>
                <w:szCs w:val="11"/>
                <w:color w:val="auto"/>
              </w:rPr>
            </w:pPr>
          </w:p>
        </w:tc>
        <w:tc>
          <w:tcPr>
            <w:tcW w:w="1060" w:type="dxa"/>
            <w:vAlign w:val="bottom"/>
            <w:tcBorders>
              <w:right w:val="single" w:sz="8" w:color="auto"/>
            </w:tcBorders>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rPr>
              <w:t>Axsome</w:t>
            </w:r>
          </w:p>
        </w:tc>
        <w:tc>
          <w:tcPr>
            <w:tcW w:w="900" w:type="dxa"/>
            <w:vAlign w:val="bottom"/>
            <w:tcBorders>
              <w:right w:val="single" w:sz="8" w:color="auto"/>
            </w:tcBorders>
            <w:vMerge w:val="continue"/>
            <w:shd w:val="clear" w:color="auto" w:fill="CFF0FC"/>
          </w:tcPr>
          <w:p>
            <w:pPr>
              <w:spacing w:after="0"/>
              <w:rPr>
                <w:sz w:val="11"/>
                <w:szCs w:val="11"/>
                <w:color w:val="auto"/>
              </w:rPr>
            </w:pPr>
          </w:p>
        </w:tc>
        <w:tc>
          <w:tcPr>
            <w:tcW w:w="10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2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4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spacing w:after="0"/>
              <w:rPr>
                <w:sz w:val="11"/>
                <w:szCs w:val="11"/>
                <w:color w:val="auto"/>
              </w:rPr>
            </w:pPr>
          </w:p>
        </w:tc>
        <w:tc>
          <w:tcPr>
            <w:tcW w:w="880" w:type="dxa"/>
            <w:vAlign w:val="bottom"/>
            <w:tcBorders>
              <w:right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20" w:type="dxa"/>
            <w:vAlign w:val="bottom"/>
            <w:tcBorders>
              <w:left w:val="single" w:sz="8" w:color="auto"/>
              <w:right w:val="single" w:sz="8" w:color="auto"/>
            </w:tcBorders>
            <w:shd w:val="clear" w:color="auto" w:fill="CFF0FC"/>
          </w:tcPr>
          <w:p>
            <w:pPr>
              <w:spacing w:after="0"/>
              <w:rPr>
                <w:sz w:val="12"/>
                <w:szCs w:val="12"/>
                <w:color w:val="auto"/>
              </w:rPr>
            </w:pPr>
          </w:p>
        </w:tc>
        <w:tc>
          <w:tcPr>
            <w:tcW w:w="600" w:type="dxa"/>
            <w:vAlign w:val="bottom"/>
            <w:tcBorders>
              <w:right w:val="single" w:sz="8" w:color="auto"/>
            </w:tcBorders>
            <w:shd w:val="clear" w:color="auto" w:fill="CFF0FC"/>
          </w:tcPr>
          <w:p>
            <w:pPr>
              <w:spacing w:after="0"/>
              <w:rPr>
                <w:sz w:val="12"/>
                <w:szCs w:val="12"/>
                <w:color w:val="auto"/>
              </w:rPr>
            </w:pPr>
          </w:p>
        </w:tc>
        <w:tc>
          <w:tcPr>
            <w:tcW w:w="106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Therapeutics, Inc.</w:t>
            </w:r>
          </w:p>
        </w:tc>
        <w:tc>
          <w:tcPr>
            <w:tcW w:w="90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and Rule</w:t>
            </w:r>
          </w:p>
        </w:tc>
        <w:tc>
          <w:tcPr>
            <w:tcW w:w="10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2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6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4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60" w:type="dxa"/>
            <w:vAlign w:val="bottom"/>
            <w:tcBorders>
              <w:right w:val="single" w:sz="8" w:color="auto"/>
            </w:tcBorders>
            <w:shd w:val="clear" w:color="auto" w:fill="CFF0FC"/>
          </w:tcPr>
          <w:p>
            <w:pPr>
              <w:spacing w:after="0"/>
              <w:rPr>
                <w:sz w:val="12"/>
                <w:szCs w:val="12"/>
                <w:color w:val="auto"/>
              </w:rPr>
            </w:pPr>
          </w:p>
        </w:tc>
        <w:tc>
          <w:tcPr>
            <w:tcW w:w="88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20" w:type="dxa"/>
            <w:vAlign w:val="bottom"/>
            <w:tcBorders>
              <w:left w:val="single" w:sz="8" w:color="auto"/>
              <w:right w:val="single" w:sz="8" w:color="auto"/>
            </w:tcBorders>
            <w:shd w:val="clear" w:color="auto" w:fill="CFF0FC"/>
          </w:tcPr>
          <w:p>
            <w:pPr>
              <w:spacing w:after="0"/>
              <w:rPr>
                <w:sz w:val="15"/>
                <w:szCs w:val="15"/>
                <w:color w:val="auto"/>
              </w:rPr>
            </w:pPr>
          </w:p>
        </w:tc>
        <w:tc>
          <w:tcPr>
            <w:tcW w:w="6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Debt</w:t>
            </w:r>
          </w:p>
        </w:tc>
        <w:tc>
          <w:tcPr>
            <w:tcW w:w="106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(2)(5)</w:t>
            </w:r>
          </w:p>
        </w:tc>
        <w:tc>
          <w:tcPr>
            <w:tcW w:w="9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457(r)</w:t>
            </w:r>
          </w:p>
        </w:tc>
        <w:tc>
          <w:tcPr>
            <w:tcW w:w="104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2"/>
              </w:rPr>
              <w:t>(2)</w:t>
            </w:r>
          </w:p>
        </w:tc>
        <w:tc>
          <w:tcPr>
            <w:tcW w:w="1080" w:type="dxa"/>
            <w:vAlign w:val="bottom"/>
            <w:tcBorders>
              <w:bottom w:val="single" w:sz="8" w:color="auto"/>
              <w:right w:val="single" w:sz="8" w:color="auto"/>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right w:val="single" w:sz="8" w:color="auto"/>
            </w:tcBorders>
            <w:shd w:val="clear" w:color="auto" w:fill="CFF0FC"/>
          </w:tcPr>
          <w:p>
            <w:pPr>
              <w:jc w:val="center"/>
              <w:ind w:right="55"/>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right w:val="single" w:sz="8" w:color="auto"/>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right w:val="single" w:sz="8" w:color="auto"/>
            </w:tcBorders>
            <w:shd w:val="clear" w:color="auto" w:fill="CFF0FC"/>
          </w:tcPr>
          <w:p>
            <w:pPr>
              <w:spacing w:after="0"/>
              <w:rPr>
                <w:sz w:val="15"/>
                <w:szCs w:val="15"/>
                <w:color w:val="auto"/>
              </w:rPr>
            </w:pPr>
          </w:p>
        </w:tc>
        <w:tc>
          <w:tcPr>
            <w:tcW w:w="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right w:val="single" w:sz="8" w:color="auto"/>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right w:val="single" w:sz="8" w:color="auto"/>
            </w:tcBorders>
            <w:shd w:val="clear" w:color="auto" w:fill="CFF0FC"/>
          </w:tcPr>
          <w:p>
            <w:pPr>
              <w:spacing w:after="0"/>
              <w:rPr>
                <w:sz w:val="15"/>
                <w:szCs w:val="15"/>
                <w:color w:val="auto"/>
              </w:rPr>
            </w:pPr>
          </w:p>
        </w:tc>
        <w:tc>
          <w:tcPr>
            <w:tcW w:w="880" w:type="dxa"/>
            <w:vAlign w:val="bottom"/>
            <w:tcBorders>
              <w:bottom w:val="single" w:sz="8" w:color="auto"/>
              <w:right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02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rPr>
              <w:t>Warrants of</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Rule 456(b)</w:t>
            </w:r>
          </w:p>
        </w:tc>
        <w:tc>
          <w:tcPr>
            <w:tcW w:w="10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Axsome</w:t>
            </w:r>
          </w:p>
        </w:tc>
        <w:tc>
          <w:tcPr>
            <w:tcW w:w="90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20" w:type="dxa"/>
            <w:vAlign w:val="bottom"/>
            <w:tcBorders>
              <w:left w:val="single" w:sz="8" w:color="auto"/>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Therapeutics, Inc.</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and Rule</w:t>
            </w:r>
          </w:p>
        </w:tc>
        <w:tc>
          <w:tcPr>
            <w:tcW w:w="10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20" w:type="dxa"/>
            <w:vAlign w:val="bottom"/>
            <w:tcBorders>
              <w:left w:val="single" w:sz="8" w:color="auto"/>
              <w:bottom w:val="single" w:sz="8" w:color="CFF0FC"/>
              <w:right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Other</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(2)(6)</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457(r)</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(2)</w:t>
            </w:r>
          </w:p>
        </w:tc>
        <w:tc>
          <w:tcPr>
            <w:tcW w:w="10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jc w:val="center"/>
              <w:ind w:right="55"/>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020" w:type="dxa"/>
            <w:vAlign w:val="bottom"/>
            <w:tcBorders>
              <w:left w:val="single" w:sz="8" w:color="auto"/>
              <w:right w:val="single" w:sz="8" w:color="auto"/>
            </w:tcBorders>
            <w:shd w:val="clear" w:color="auto" w:fill="CFF0FC"/>
          </w:tcPr>
          <w:p>
            <w:pPr>
              <w:spacing w:after="0"/>
              <w:rPr>
                <w:sz w:val="11"/>
                <w:szCs w:val="11"/>
                <w:color w:val="auto"/>
              </w:rPr>
            </w:pPr>
          </w:p>
        </w:tc>
        <w:tc>
          <w:tcPr>
            <w:tcW w:w="600" w:type="dxa"/>
            <w:vAlign w:val="bottom"/>
            <w:tcBorders>
              <w:right w:val="single" w:sz="8" w:color="auto"/>
            </w:tcBorders>
            <w:shd w:val="clear" w:color="auto" w:fill="CFF0FC"/>
          </w:tcPr>
          <w:p>
            <w:pPr>
              <w:spacing w:after="0"/>
              <w:rPr>
                <w:sz w:val="11"/>
                <w:szCs w:val="11"/>
                <w:color w:val="auto"/>
              </w:rPr>
            </w:pPr>
          </w:p>
        </w:tc>
        <w:tc>
          <w:tcPr>
            <w:tcW w:w="1060" w:type="dxa"/>
            <w:vAlign w:val="bottom"/>
            <w:tcBorders>
              <w:right w:val="single" w:sz="8" w:color="auto"/>
            </w:tcBorders>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rPr>
              <w:t>Purchase Contracts</w:t>
            </w:r>
          </w:p>
        </w:tc>
        <w:tc>
          <w:tcPr>
            <w:tcW w:w="90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Rule 456(b)</w:t>
            </w:r>
          </w:p>
        </w:tc>
        <w:tc>
          <w:tcPr>
            <w:tcW w:w="10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2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4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spacing w:after="0"/>
              <w:rPr>
                <w:sz w:val="11"/>
                <w:szCs w:val="11"/>
                <w:color w:val="auto"/>
              </w:rPr>
            </w:pPr>
          </w:p>
        </w:tc>
        <w:tc>
          <w:tcPr>
            <w:tcW w:w="880" w:type="dxa"/>
            <w:vAlign w:val="bottom"/>
            <w:tcBorders>
              <w:right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Borders>
              <w:left w:val="single" w:sz="8" w:color="auto"/>
              <w:right w:val="single" w:sz="8" w:color="auto"/>
            </w:tcBorders>
            <w:shd w:val="clear" w:color="auto" w:fill="CFF0FC"/>
          </w:tcPr>
          <w:p>
            <w:pPr>
              <w:spacing w:after="0"/>
              <w:rPr>
                <w:sz w:val="11"/>
                <w:szCs w:val="11"/>
                <w:color w:val="auto"/>
              </w:rPr>
            </w:pPr>
          </w:p>
        </w:tc>
        <w:tc>
          <w:tcPr>
            <w:tcW w:w="600" w:type="dxa"/>
            <w:vAlign w:val="bottom"/>
            <w:tcBorders>
              <w:right w:val="single" w:sz="8" w:color="auto"/>
            </w:tcBorders>
            <w:shd w:val="clear" w:color="auto" w:fill="CFF0FC"/>
          </w:tcPr>
          <w:p>
            <w:pPr>
              <w:spacing w:after="0"/>
              <w:rPr>
                <w:sz w:val="11"/>
                <w:szCs w:val="11"/>
                <w:color w:val="auto"/>
              </w:rPr>
            </w:pPr>
          </w:p>
        </w:tc>
        <w:tc>
          <w:tcPr>
            <w:tcW w:w="1060" w:type="dxa"/>
            <w:vAlign w:val="bottom"/>
            <w:tcBorders>
              <w:right w:val="single" w:sz="8" w:color="auto"/>
            </w:tcBorders>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rPr>
              <w:t>of Axsome</w:t>
            </w:r>
          </w:p>
        </w:tc>
        <w:tc>
          <w:tcPr>
            <w:tcW w:w="900" w:type="dxa"/>
            <w:vAlign w:val="bottom"/>
            <w:tcBorders>
              <w:right w:val="single" w:sz="8" w:color="auto"/>
            </w:tcBorders>
            <w:vMerge w:val="continue"/>
            <w:shd w:val="clear" w:color="auto" w:fill="CFF0FC"/>
          </w:tcPr>
          <w:p>
            <w:pPr>
              <w:spacing w:after="0"/>
              <w:rPr>
                <w:sz w:val="11"/>
                <w:szCs w:val="11"/>
                <w:color w:val="auto"/>
              </w:rPr>
            </w:pPr>
          </w:p>
        </w:tc>
        <w:tc>
          <w:tcPr>
            <w:tcW w:w="10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2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4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spacing w:after="0"/>
              <w:rPr>
                <w:sz w:val="11"/>
                <w:szCs w:val="11"/>
                <w:color w:val="auto"/>
              </w:rPr>
            </w:pPr>
          </w:p>
        </w:tc>
        <w:tc>
          <w:tcPr>
            <w:tcW w:w="880" w:type="dxa"/>
            <w:vAlign w:val="bottom"/>
            <w:tcBorders>
              <w:right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20" w:type="dxa"/>
            <w:vAlign w:val="bottom"/>
            <w:tcBorders>
              <w:left w:val="single" w:sz="8" w:color="auto"/>
              <w:right w:val="single" w:sz="8" w:color="auto"/>
            </w:tcBorders>
            <w:shd w:val="clear" w:color="auto" w:fill="CFF0FC"/>
          </w:tcPr>
          <w:p>
            <w:pPr>
              <w:spacing w:after="0"/>
              <w:rPr>
                <w:sz w:val="12"/>
                <w:szCs w:val="12"/>
                <w:color w:val="auto"/>
              </w:rPr>
            </w:pPr>
          </w:p>
        </w:tc>
        <w:tc>
          <w:tcPr>
            <w:tcW w:w="600" w:type="dxa"/>
            <w:vAlign w:val="bottom"/>
            <w:tcBorders>
              <w:right w:val="single" w:sz="8" w:color="auto"/>
            </w:tcBorders>
            <w:shd w:val="clear" w:color="auto" w:fill="CFF0FC"/>
          </w:tcPr>
          <w:p>
            <w:pPr>
              <w:spacing w:after="0"/>
              <w:rPr>
                <w:sz w:val="12"/>
                <w:szCs w:val="12"/>
                <w:color w:val="auto"/>
              </w:rPr>
            </w:pPr>
          </w:p>
        </w:tc>
        <w:tc>
          <w:tcPr>
            <w:tcW w:w="106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Therapeutics, Inc.</w:t>
            </w:r>
          </w:p>
        </w:tc>
        <w:tc>
          <w:tcPr>
            <w:tcW w:w="90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and Rule</w:t>
            </w:r>
          </w:p>
        </w:tc>
        <w:tc>
          <w:tcPr>
            <w:tcW w:w="10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2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6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4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60" w:type="dxa"/>
            <w:vAlign w:val="bottom"/>
            <w:tcBorders>
              <w:right w:val="single" w:sz="8" w:color="auto"/>
            </w:tcBorders>
            <w:shd w:val="clear" w:color="auto" w:fill="CFF0FC"/>
          </w:tcPr>
          <w:p>
            <w:pPr>
              <w:spacing w:after="0"/>
              <w:rPr>
                <w:sz w:val="12"/>
                <w:szCs w:val="12"/>
                <w:color w:val="auto"/>
              </w:rPr>
            </w:pPr>
          </w:p>
        </w:tc>
        <w:tc>
          <w:tcPr>
            <w:tcW w:w="88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20" w:type="dxa"/>
            <w:vAlign w:val="bottom"/>
            <w:tcBorders>
              <w:left w:val="single" w:sz="8" w:color="auto"/>
              <w:right w:val="single" w:sz="8" w:color="auto"/>
            </w:tcBorders>
            <w:shd w:val="clear" w:color="auto" w:fill="CFF0FC"/>
          </w:tcPr>
          <w:p>
            <w:pPr>
              <w:spacing w:after="0"/>
              <w:rPr>
                <w:sz w:val="15"/>
                <w:szCs w:val="15"/>
                <w:color w:val="auto"/>
              </w:rPr>
            </w:pPr>
          </w:p>
        </w:tc>
        <w:tc>
          <w:tcPr>
            <w:tcW w:w="6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Other</w:t>
            </w:r>
          </w:p>
        </w:tc>
        <w:tc>
          <w:tcPr>
            <w:tcW w:w="106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(2)(7)</w:t>
            </w:r>
          </w:p>
        </w:tc>
        <w:tc>
          <w:tcPr>
            <w:tcW w:w="9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457(r)</w:t>
            </w:r>
          </w:p>
        </w:tc>
        <w:tc>
          <w:tcPr>
            <w:tcW w:w="104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2"/>
              </w:rPr>
              <w:t>(2)</w:t>
            </w:r>
          </w:p>
        </w:tc>
        <w:tc>
          <w:tcPr>
            <w:tcW w:w="1080" w:type="dxa"/>
            <w:vAlign w:val="bottom"/>
            <w:tcBorders>
              <w:bottom w:val="single" w:sz="8" w:color="auto"/>
              <w:right w:val="single" w:sz="8" w:color="auto"/>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right w:val="single" w:sz="8" w:color="auto"/>
            </w:tcBorders>
            <w:shd w:val="clear" w:color="auto" w:fill="CFF0FC"/>
          </w:tcPr>
          <w:p>
            <w:pPr>
              <w:jc w:val="center"/>
              <w:ind w:right="55"/>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right w:val="single" w:sz="8" w:color="auto"/>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right w:val="single" w:sz="8" w:color="auto"/>
            </w:tcBorders>
            <w:shd w:val="clear" w:color="auto" w:fill="CFF0FC"/>
          </w:tcPr>
          <w:p>
            <w:pPr>
              <w:spacing w:after="0"/>
              <w:rPr>
                <w:sz w:val="15"/>
                <w:szCs w:val="15"/>
                <w:color w:val="auto"/>
              </w:rPr>
            </w:pPr>
          </w:p>
        </w:tc>
        <w:tc>
          <w:tcPr>
            <w:tcW w:w="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right w:val="single" w:sz="8" w:color="auto"/>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right w:val="single" w:sz="8" w:color="auto"/>
            </w:tcBorders>
            <w:shd w:val="clear" w:color="auto" w:fill="CFF0FC"/>
          </w:tcPr>
          <w:p>
            <w:pPr>
              <w:spacing w:after="0"/>
              <w:rPr>
                <w:sz w:val="15"/>
                <w:szCs w:val="15"/>
                <w:color w:val="auto"/>
              </w:rPr>
            </w:pPr>
          </w:p>
        </w:tc>
        <w:tc>
          <w:tcPr>
            <w:tcW w:w="880" w:type="dxa"/>
            <w:vAlign w:val="bottom"/>
            <w:tcBorders>
              <w:bottom w:val="single" w:sz="8" w:color="auto"/>
              <w:right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02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rPr>
              <w:t>Units of Axsome</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Rule 456(b)</w:t>
            </w:r>
          </w:p>
        </w:tc>
        <w:tc>
          <w:tcPr>
            <w:tcW w:w="10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Therapeutics, Inc.,</w:t>
            </w:r>
          </w:p>
        </w:tc>
        <w:tc>
          <w:tcPr>
            <w:tcW w:w="90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20" w:type="dxa"/>
            <w:vAlign w:val="bottom"/>
            <w:tcBorders>
              <w:left w:val="single" w:sz="8" w:color="auto"/>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par value $0.01(2)</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and Rule</w:t>
            </w:r>
          </w:p>
        </w:tc>
        <w:tc>
          <w:tcPr>
            <w:tcW w:w="10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20" w:type="dxa"/>
            <w:vAlign w:val="bottom"/>
            <w:tcBorders>
              <w:left w:val="single" w:sz="8" w:color="auto"/>
              <w:bottom w:val="single" w:sz="8" w:color="CFF0FC"/>
              <w:right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Other</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(8)</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457(r)</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(2)</w:t>
            </w:r>
          </w:p>
        </w:tc>
        <w:tc>
          <w:tcPr>
            <w:tcW w:w="10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jc w:val="center"/>
              <w:ind w:right="55"/>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020" w:type="dxa"/>
            <w:vAlign w:val="bottom"/>
            <w:tcBorders>
              <w:left w:val="single" w:sz="8" w:color="auto"/>
              <w:right w:val="single" w:sz="8" w:color="auto"/>
            </w:tcBorders>
            <w:shd w:val="clear" w:color="auto" w:fill="CFF0FC"/>
          </w:tcPr>
          <w:p>
            <w:pPr>
              <w:spacing w:after="0"/>
              <w:rPr>
                <w:sz w:val="11"/>
                <w:szCs w:val="11"/>
                <w:color w:val="auto"/>
              </w:rPr>
            </w:pPr>
          </w:p>
        </w:tc>
        <w:tc>
          <w:tcPr>
            <w:tcW w:w="600" w:type="dxa"/>
            <w:vAlign w:val="bottom"/>
            <w:tcBorders>
              <w:right w:val="single" w:sz="8" w:color="auto"/>
            </w:tcBorders>
            <w:shd w:val="clear" w:color="auto" w:fill="CFF0FC"/>
          </w:tcPr>
          <w:p>
            <w:pPr>
              <w:spacing w:after="0"/>
              <w:rPr>
                <w:sz w:val="11"/>
                <w:szCs w:val="11"/>
                <w:color w:val="auto"/>
              </w:rPr>
            </w:pPr>
          </w:p>
        </w:tc>
        <w:tc>
          <w:tcPr>
            <w:tcW w:w="1060" w:type="dxa"/>
            <w:vAlign w:val="bottom"/>
            <w:tcBorders>
              <w:right w:val="single" w:sz="8" w:color="auto"/>
            </w:tcBorders>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rPr>
              <w:t>Common Stock of</w:t>
            </w:r>
          </w:p>
        </w:tc>
        <w:tc>
          <w:tcPr>
            <w:tcW w:w="900" w:type="dxa"/>
            <w:vAlign w:val="bottom"/>
            <w:tcBorders>
              <w:right w:val="single" w:sz="8" w:color="auto"/>
            </w:tcBorders>
            <w:shd w:val="clear" w:color="auto" w:fill="CFF0FC"/>
          </w:tcPr>
          <w:p>
            <w:pPr>
              <w:spacing w:after="0"/>
              <w:rPr>
                <w:sz w:val="11"/>
                <w:szCs w:val="11"/>
                <w:color w:val="auto"/>
              </w:rPr>
            </w:pPr>
          </w:p>
        </w:tc>
        <w:tc>
          <w:tcPr>
            <w:tcW w:w="10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2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4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spacing w:after="0"/>
              <w:rPr>
                <w:sz w:val="11"/>
                <w:szCs w:val="11"/>
                <w:color w:val="auto"/>
              </w:rPr>
            </w:pPr>
          </w:p>
        </w:tc>
        <w:tc>
          <w:tcPr>
            <w:tcW w:w="880" w:type="dxa"/>
            <w:vAlign w:val="bottom"/>
            <w:tcBorders>
              <w:right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20" w:type="dxa"/>
            <w:vAlign w:val="bottom"/>
            <w:tcBorders>
              <w:left w:val="single" w:sz="8" w:color="auto"/>
              <w:right w:val="single" w:sz="8" w:color="auto"/>
            </w:tcBorders>
            <w:shd w:val="clear" w:color="auto" w:fill="CFF0FC"/>
          </w:tcPr>
          <w:p>
            <w:pPr>
              <w:spacing w:after="0"/>
              <w:rPr>
                <w:sz w:val="12"/>
                <w:szCs w:val="12"/>
                <w:color w:val="auto"/>
              </w:rPr>
            </w:pPr>
          </w:p>
        </w:tc>
        <w:tc>
          <w:tcPr>
            <w:tcW w:w="600" w:type="dxa"/>
            <w:vAlign w:val="bottom"/>
            <w:tcBorders>
              <w:right w:val="single" w:sz="8" w:color="auto"/>
            </w:tcBorders>
            <w:shd w:val="clear" w:color="auto" w:fill="CFF0FC"/>
          </w:tcPr>
          <w:p>
            <w:pPr>
              <w:spacing w:after="0"/>
              <w:rPr>
                <w:sz w:val="12"/>
                <w:szCs w:val="12"/>
                <w:color w:val="auto"/>
              </w:rPr>
            </w:pPr>
          </w:p>
        </w:tc>
        <w:tc>
          <w:tcPr>
            <w:tcW w:w="106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Axsome</w:t>
            </w:r>
          </w:p>
        </w:tc>
        <w:tc>
          <w:tcPr>
            <w:tcW w:w="90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Rule 457(o)</w:t>
            </w:r>
          </w:p>
        </w:tc>
        <w:tc>
          <w:tcPr>
            <w:tcW w:w="10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2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6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4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60" w:type="dxa"/>
            <w:vAlign w:val="bottom"/>
            <w:tcBorders>
              <w:right w:val="single" w:sz="8" w:color="auto"/>
            </w:tcBorders>
            <w:shd w:val="clear" w:color="auto" w:fill="CFF0FC"/>
          </w:tcPr>
          <w:p>
            <w:pPr>
              <w:spacing w:after="0"/>
              <w:rPr>
                <w:sz w:val="12"/>
                <w:szCs w:val="12"/>
                <w:color w:val="auto"/>
              </w:rPr>
            </w:pPr>
          </w:p>
        </w:tc>
        <w:tc>
          <w:tcPr>
            <w:tcW w:w="88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20" w:type="dxa"/>
            <w:vAlign w:val="bottom"/>
            <w:tcBorders>
              <w:left w:val="single" w:sz="8" w:color="auto"/>
              <w:right w:val="single" w:sz="8" w:color="auto"/>
            </w:tcBorders>
            <w:shd w:val="clear" w:color="auto" w:fill="CFF0FC"/>
          </w:tcPr>
          <w:p>
            <w:pPr>
              <w:spacing w:after="0"/>
              <w:rPr>
                <w:sz w:val="11"/>
                <w:szCs w:val="11"/>
                <w:color w:val="auto"/>
              </w:rPr>
            </w:pPr>
          </w:p>
        </w:tc>
        <w:tc>
          <w:tcPr>
            <w:tcW w:w="600" w:type="dxa"/>
            <w:vAlign w:val="bottom"/>
            <w:tcBorders>
              <w:right w:val="single" w:sz="8" w:color="auto"/>
            </w:tcBorders>
            <w:shd w:val="clear" w:color="auto" w:fill="CFF0FC"/>
          </w:tcPr>
          <w:p>
            <w:pPr>
              <w:spacing w:after="0"/>
              <w:rPr>
                <w:sz w:val="11"/>
                <w:szCs w:val="11"/>
                <w:color w:val="auto"/>
              </w:rPr>
            </w:pPr>
          </w:p>
        </w:tc>
        <w:tc>
          <w:tcPr>
            <w:tcW w:w="1060" w:type="dxa"/>
            <w:vAlign w:val="bottom"/>
            <w:tcBorders>
              <w:right w:val="single" w:sz="8" w:color="auto"/>
            </w:tcBorders>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rPr>
              <w:t>Therapeutics, Inc.,</w:t>
            </w:r>
          </w:p>
        </w:tc>
        <w:tc>
          <w:tcPr>
            <w:tcW w:w="900" w:type="dxa"/>
            <w:vAlign w:val="bottom"/>
            <w:tcBorders>
              <w:right w:val="single" w:sz="8" w:color="auto"/>
            </w:tcBorders>
            <w:vMerge w:val="continue"/>
            <w:shd w:val="clear" w:color="auto" w:fill="CFF0FC"/>
          </w:tcPr>
          <w:p>
            <w:pPr>
              <w:spacing w:after="0"/>
              <w:rPr>
                <w:sz w:val="11"/>
                <w:szCs w:val="11"/>
                <w:color w:val="auto"/>
              </w:rPr>
            </w:pPr>
          </w:p>
        </w:tc>
        <w:tc>
          <w:tcPr>
            <w:tcW w:w="10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2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4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spacing w:after="0"/>
              <w:rPr>
                <w:sz w:val="11"/>
                <w:szCs w:val="11"/>
                <w:color w:val="auto"/>
              </w:rPr>
            </w:pPr>
          </w:p>
        </w:tc>
        <w:tc>
          <w:tcPr>
            <w:tcW w:w="880" w:type="dxa"/>
            <w:vAlign w:val="bottom"/>
            <w:tcBorders>
              <w:right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tcBorders>
              <w:left w:val="single" w:sz="8" w:color="auto"/>
              <w:right w:val="single" w:sz="8" w:color="auto"/>
            </w:tcBorders>
            <w:shd w:val="clear" w:color="auto" w:fill="CFF0FC"/>
          </w:tcPr>
          <w:p>
            <w:pPr>
              <w:spacing w:after="0"/>
              <w:rPr>
                <w:sz w:val="12"/>
                <w:szCs w:val="12"/>
                <w:color w:val="auto"/>
              </w:rPr>
            </w:pPr>
          </w:p>
        </w:tc>
        <w:tc>
          <w:tcPr>
            <w:tcW w:w="600" w:type="dxa"/>
            <w:vAlign w:val="bottom"/>
            <w:tcBorders>
              <w:right w:val="single" w:sz="8" w:color="auto"/>
            </w:tcBorders>
            <w:shd w:val="clear" w:color="auto" w:fill="CFF0FC"/>
          </w:tcPr>
          <w:p>
            <w:pPr>
              <w:spacing w:after="0"/>
              <w:rPr>
                <w:sz w:val="12"/>
                <w:szCs w:val="12"/>
                <w:color w:val="auto"/>
              </w:rPr>
            </w:pPr>
          </w:p>
        </w:tc>
        <w:tc>
          <w:tcPr>
            <w:tcW w:w="106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par value $0.0001</w:t>
            </w:r>
          </w:p>
        </w:tc>
        <w:tc>
          <w:tcPr>
            <w:tcW w:w="90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and Rule</w:t>
            </w:r>
          </w:p>
        </w:tc>
        <w:tc>
          <w:tcPr>
            <w:tcW w:w="10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2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6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4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60" w:type="dxa"/>
            <w:vAlign w:val="bottom"/>
            <w:tcBorders>
              <w:right w:val="single" w:sz="8" w:color="auto"/>
            </w:tcBorders>
            <w:shd w:val="clear" w:color="auto" w:fill="CFF0FC"/>
          </w:tcPr>
          <w:p>
            <w:pPr>
              <w:spacing w:after="0"/>
              <w:rPr>
                <w:sz w:val="12"/>
                <w:szCs w:val="12"/>
                <w:color w:val="auto"/>
              </w:rPr>
            </w:pPr>
          </w:p>
        </w:tc>
        <w:tc>
          <w:tcPr>
            <w:tcW w:w="88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20" w:type="dxa"/>
            <w:vAlign w:val="bottom"/>
            <w:tcBorders>
              <w:left w:val="single" w:sz="8" w:color="auto"/>
              <w:bottom w:val="single" w:sz="8" w:color="auto"/>
              <w:right w:val="single" w:sz="8" w:color="auto"/>
            </w:tcBorders>
            <w:shd w:val="clear" w:color="auto" w:fill="CFF0FC"/>
          </w:tcPr>
          <w:p>
            <w:pPr>
              <w:spacing w:after="0"/>
              <w:rPr>
                <w:sz w:val="15"/>
                <w:szCs w:val="15"/>
                <w:color w:val="auto"/>
              </w:rPr>
            </w:pPr>
          </w:p>
        </w:tc>
        <w:tc>
          <w:tcPr>
            <w:tcW w:w="6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Equity</w:t>
            </w:r>
          </w:p>
        </w:tc>
        <w:tc>
          <w:tcPr>
            <w:tcW w:w="106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per share</w:t>
            </w:r>
          </w:p>
        </w:tc>
        <w:tc>
          <w:tcPr>
            <w:tcW w:w="9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457(r)</w:t>
            </w:r>
          </w:p>
        </w:tc>
        <w:tc>
          <w:tcPr>
            <w:tcW w:w="104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$250,000,000</w:t>
            </w:r>
          </w:p>
        </w:tc>
        <w:tc>
          <w:tcPr>
            <w:tcW w:w="4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Borders>
              <w:bottom w:val="single" w:sz="8" w:color="auto"/>
            </w:tcBorders>
            <w:gridSpan w:val="2"/>
            <w:shd w:val="clear" w:color="auto" w:fill="CFF0FC"/>
          </w:tcPr>
          <w:p>
            <w:pPr>
              <w:spacing w:after="0"/>
              <w:rPr>
                <w:sz w:val="15"/>
                <w:szCs w:val="15"/>
                <w:color w:val="auto"/>
              </w:rPr>
            </w:pPr>
          </w:p>
        </w:tc>
        <w:tc>
          <w:tcPr>
            <w:tcW w:w="840" w:type="dxa"/>
            <w:vAlign w:val="bottom"/>
            <w:tcBorders>
              <w:bottom w:val="single" w:sz="8" w:color="auto"/>
              <w:right w:val="single" w:sz="8" w:color="auto"/>
            </w:tcBorders>
            <w:shd w:val="clear" w:color="auto" w:fill="CFF0FC"/>
          </w:tcPr>
          <w:p>
            <w:pPr>
              <w:jc w:val="center"/>
              <w:ind w:right="55"/>
              <w:spacing w:after="0"/>
              <w:rPr>
                <w:sz w:val="20"/>
                <w:szCs w:val="20"/>
                <w:color w:val="auto"/>
              </w:rPr>
            </w:pPr>
            <w:r>
              <w:rPr>
                <w:rFonts w:ascii="Times New Roman" w:cs="Times New Roman" w:eastAsia="Times New Roman" w:hAnsi="Times New Roman"/>
                <w:sz w:val="13"/>
                <w:szCs w:val="13"/>
                <w:color w:val="auto"/>
              </w:rPr>
              <w:t>$0.0001102</w:t>
            </w:r>
          </w:p>
        </w:tc>
        <w:tc>
          <w:tcPr>
            <w:tcW w:w="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right w:val="single" w:sz="8" w:color="auto"/>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$27,550</w:t>
            </w:r>
          </w:p>
        </w:tc>
        <w:tc>
          <w:tcPr>
            <w:tcW w:w="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right w:val="single" w:sz="8" w:color="auto"/>
            </w:tcBorders>
            <w:shd w:val="clear" w:color="auto" w:fill="CFF0FC"/>
          </w:tcPr>
          <w:p>
            <w:pPr>
              <w:spacing w:after="0"/>
              <w:rPr>
                <w:sz w:val="15"/>
                <w:szCs w:val="15"/>
                <w:color w:val="auto"/>
              </w:rPr>
            </w:pPr>
          </w:p>
        </w:tc>
        <w:tc>
          <w:tcPr>
            <w:tcW w:w="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right w:val="single" w:sz="8" w:color="auto"/>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right w:val="single" w:sz="8" w:color="auto"/>
            </w:tcBorders>
            <w:shd w:val="clear" w:color="auto" w:fill="CFF0FC"/>
          </w:tcPr>
          <w:p>
            <w:pPr>
              <w:spacing w:after="0"/>
              <w:rPr>
                <w:sz w:val="15"/>
                <w:szCs w:val="15"/>
                <w:color w:val="auto"/>
              </w:rPr>
            </w:pPr>
          </w:p>
        </w:tc>
        <w:tc>
          <w:tcPr>
            <w:tcW w:w="880" w:type="dxa"/>
            <w:vAlign w:val="bottom"/>
            <w:tcBorders>
              <w:bottom w:val="single" w:sz="8" w:color="auto"/>
              <w:right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020" w:type="dxa"/>
            <w:vAlign w:val="bottom"/>
            <w:tcBorders>
              <w:left w:val="single" w:sz="8" w:color="auto"/>
              <w:right w:val="single" w:sz="8" w:color="auto"/>
            </w:tcBorders>
          </w:tcPr>
          <w:p>
            <w:pPr>
              <w:jc w:val="center"/>
              <w:ind w:left="93"/>
              <w:spacing w:after="0" w:line="139" w:lineRule="exact"/>
              <w:rPr>
                <w:sz w:val="20"/>
                <w:szCs w:val="20"/>
                <w:color w:val="auto"/>
              </w:rPr>
            </w:pPr>
            <w:r>
              <w:rPr>
                <w:rFonts w:ascii="Times New Roman" w:cs="Times New Roman" w:eastAsia="Times New Roman" w:hAnsi="Times New Roman"/>
                <w:sz w:val="13"/>
                <w:szCs w:val="13"/>
                <w:b w:val="1"/>
                <w:bCs w:val="1"/>
                <w:color w:val="auto"/>
              </w:rPr>
              <w:t>Fees</w:t>
            </w:r>
          </w:p>
        </w:tc>
        <w:tc>
          <w:tcPr>
            <w:tcW w:w="6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Borders>
              <w:left w:val="single" w:sz="8" w:color="auto"/>
              <w:right w:val="single" w:sz="8" w:color="auto"/>
            </w:tcBorders>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rPr>
              <w:t>Previously</w:t>
            </w:r>
          </w:p>
        </w:tc>
        <w:tc>
          <w:tcPr>
            <w:tcW w:w="6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020" w:type="dxa"/>
            <w:vAlign w:val="bottom"/>
            <w:tcBorders>
              <w:left w:val="single" w:sz="8" w:color="auto"/>
              <w:bottom w:val="single" w:sz="8" w:color="auto"/>
              <w:right w:val="single" w:sz="8" w:color="auto"/>
            </w:tcBorders>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rPr>
              <w:t>Paid</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4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Borders>
              <w:bottom w:val="single" w:sz="8" w:color="auto"/>
            </w:tcBorders>
            <w:gridSpan w:val="2"/>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ind w:right="175"/>
              <w:spacing w:after="0"/>
              <w:rPr>
                <w:sz w:val="20"/>
                <w:szCs w:val="20"/>
                <w:color w:val="auto"/>
              </w:rPr>
            </w:pPr>
            <w:r>
              <w:rPr>
                <w:rFonts w:ascii="Times New Roman" w:cs="Times New Roman" w:eastAsia="Times New Roman" w:hAnsi="Times New Roman"/>
                <w:sz w:val="13"/>
                <w:szCs w:val="13"/>
                <w:color w:val="auto"/>
              </w:rPr>
              <w:t>N/A</w:t>
            </w: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Borders>
              <w:left w:val="single" w:sz="8" w:color="auto"/>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Carry Forward Securities</w:t>
            </w: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020" w:type="dxa"/>
            <w:vAlign w:val="bottom"/>
            <w:tcBorders>
              <w:left w:val="single" w:sz="8" w:color="auto"/>
              <w:right w:val="single" w:sz="8" w:color="auto"/>
            </w:tcBorders>
            <w:shd w:val="clear" w:color="auto" w:fill="CFF0FC"/>
          </w:tcPr>
          <w:p>
            <w:pPr>
              <w:jc w:val="center"/>
              <w:ind w:left="93"/>
              <w:spacing w:after="0" w:line="132" w:lineRule="exact"/>
              <w:rPr>
                <w:sz w:val="20"/>
                <w:szCs w:val="20"/>
                <w:color w:val="auto"/>
              </w:rPr>
            </w:pPr>
            <w:r>
              <w:rPr>
                <w:rFonts w:ascii="Times New Roman" w:cs="Times New Roman" w:eastAsia="Times New Roman" w:hAnsi="Times New Roman"/>
                <w:sz w:val="13"/>
                <w:szCs w:val="13"/>
                <w:b w:val="1"/>
                <w:bCs w:val="1"/>
                <w:color w:val="auto"/>
              </w:rPr>
              <w:t>Carry</w:t>
            </w:r>
          </w:p>
        </w:tc>
        <w:tc>
          <w:tcPr>
            <w:tcW w:w="600" w:type="dxa"/>
            <w:vAlign w:val="bottom"/>
            <w:tcBorders>
              <w:right w:val="single" w:sz="8" w:color="auto"/>
            </w:tcBorders>
            <w:shd w:val="clear" w:color="auto" w:fill="CFF0FC"/>
          </w:tcPr>
          <w:p>
            <w:pPr>
              <w:spacing w:after="0"/>
              <w:rPr>
                <w:sz w:val="11"/>
                <w:szCs w:val="11"/>
                <w:color w:val="auto"/>
              </w:rPr>
            </w:pPr>
          </w:p>
        </w:tc>
        <w:tc>
          <w:tcPr>
            <w:tcW w:w="1060" w:type="dxa"/>
            <w:vAlign w:val="bottom"/>
            <w:tcBorders>
              <w:right w:val="single" w:sz="8" w:color="auto"/>
            </w:tcBorders>
            <w:shd w:val="clear" w:color="auto" w:fill="CFF0FC"/>
          </w:tcPr>
          <w:p>
            <w:pPr>
              <w:spacing w:after="0"/>
              <w:rPr>
                <w:sz w:val="11"/>
                <w:szCs w:val="11"/>
                <w:color w:val="auto"/>
              </w:rPr>
            </w:pPr>
          </w:p>
        </w:tc>
        <w:tc>
          <w:tcPr>
            <w:tcW w:w="900" w:type="dxa"/>
            <w:vAlign w:val="bottom"/>
            <w:tcBorders>
              <w:right w:val="single" w:sz="8" w:color="auto"/>
            </w:tcBorders>
            <w:shd w:val="clear" w:color="auto" w:fill="CFF0FC"/>
          </w:tcPr>
          <w:p>
            <w:pPr>
              <w:spacing w:after="0"/>
              <w:rPr>
                <w:sz w:val="11"/>
                <w:szCs w:val="11"/>
                <w:color w:val="auto"/>
              </w:rPr>
            </w:pPr>
          </w:p>
        </w:tc>
        <w:tc>
          <w:tcPr>
            <w:tcW w:w="10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2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4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spacing w:after="0"/>
              <w:rPr>
                <w:sz w:val="11"/>
                <w:szCs w:val="11"/>
                <w:color w:val="auto"/>
              </w:rPr>
            </w:pPr>
          </w:p>
        </w:tc>
        <w:tc>
          <w:tcPr>
            <w:tcW w:w="880" w:type="dxa"/>
            <w:vAlign w:val="bottom"/>
            <w:tcBorders>
              <w:right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20" w:type="dxa"/>
            <w:vAlign w:val="bottom"/>
            <w:tcBorders>
              <w:left w:val="single" w:sz="8" w:color="auto"/>
              <w:right w:val="single" w:sz="8" w:color="auto"/>
            </w:tcBorders>
            <w:shd w:val="clear" w:color="auto" w:fill="CFF0FC"/>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rPr>
              <w:t>Forward</w:t>
            </w:r>
          </w:p>
        </w:tc>
        <w:tc>
          <w:tcPr>
            <w:tcW w:w="600" w:type="dxa"/>
            <w:vAlign w:val="bottom"/>
            <w:tcBorders>
              <w:right w:val="single" w:sz="8" w:color="auto"/>
            </w:tcBorders>
            <w:shd w:val="clear" w:color="auto" w:fill="CFF0FC"/>
          </w:tcPr>
          <w:p>
            <w:pPr>
              <w:spacing w:after="0"/>
              <w:rPr>
                <w:sz w:val="12"/>
                <w:szCs w:val="12"/>
                <w:color w:val="auto"/>
              </w:rPr>
            </w:pPr>
          </w:p>
        </w:tc>
        <w:tc>
          <w:tcPr>
            <w:tcW w:w="1060" w:type="dxa"/>
            <w:vAlign w:val="bottom"/>
            <w:tcBorders>
              <w:right w:val="single" w:sz="8" w:color="auto"/>
            </w:tcBorders>
            <w:shd w:val="clear" w:color="auto" w:fill="CFF0FC"/>
          </w:tcPr>
          <w:p>
            <w:pPr>
              <w:spacing w:after="0"/>
              <w:rPr>
                <w:sz w:val="12"/>
                <w:szCs w:val="12"/>
                <w:color w:val="auto"/>
              </w:rPr>
            </w:pPr>
          </w:p>
        </w:tc>
        <w:tc>
          <w:tcPr>
            <w:tcW w:w="900" w:type="dxa"/>
            <w:vAlign w:val="bottom"/>
            <w:tcBorders>
              <w:right w:val="single" w:sz="8" w:color="auto"/>
            </w:tcBorders>
            <w:shd w:val="clear" w:color="auto" w:fill="CFF0FC"/>
          </w:tcPr>
          <w:p>
            <w:pPr>
              <w:spacing w:after="0"/>
              <w:rPr>
                <w:sz w:val="12"/>
                <w:szCs w:val="12"/>
                <w:color w:val="auto"/>
              </w:rPr>
            </w:pPr>
          </w:p>
        </w:tc>
        <w:tc>
          <w:tcPr>
            <w:tcW w:w="10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2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6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4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60" w:type="dxa"/>
            <w:vAlign w:val="bottom"/>
            <w:tcBorders>
              <w:right w:val="single" w:sz="8" w:color="auto"/>
            </w:tcBorders>
            <w:shd w:val="clear" w:color="auto" w:fill="CFF0FC"/>
          </w:tcPr>
          <w:p>
            <w:pPr>
              <w:spacing w:after="0"/>
              <w:rPr>
                <w:sz w:val="12"/>
                <w:szCs w:val="12"/>
                <w:color w:val="auto"/>
              </w:rPr>
            </w:pPr>
          </w:p>
        </w:tc>
        <w:tc>
          <w:tcPr>
            <w:tcW w:w="88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020" w:type="dxa"/>
            <w:vAlign w:val="bottom"/>
            <w:tcBorders>
              <w:left w:val="single" w:sz="8" w:color="auto"/>
              <w:bottom w:val="single" w:sz="8" w:color="auto"/>
              <w:right w:val="single" w:sz="8" w:color="auto"/>
            </w:tcBorders>
            <w:shd w:val="clear" w:color="auto" w:fill="CFF0FC"/>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60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06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90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04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40" w:type="dxa"/>
            <w:vAlign w:val="bottom"/>
            <w:shd w:val="clear" w:color="auto" w:fill="CFF0FC"/>
          </w:tcPr>
          <w:p>
            <w:pPr>
              <w:spacing w:after="0"/>
              <w:rPr>
                <w:sz w:val="15"/>
                <w:szCs w:val="15"/>
                <w:color w:val="auto"/>
              </w:rPr>
            </w:pPr>
          </w:p>
        </w:tc>
        <w:tc>
          <w:tcPr>
            <w:tcW w:w="720" w:type="dxa"/>
            <w:vAlign w:val="bottom"/>
            <w:tcBorders>
              <w:bottom w:val="single" w:sz="8" w:color="auto"/>
              <w:right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4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4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right w:val="single" w:sz="8" w:color="auto"/>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right w:val="single" w:sz="8" w:color="auto"/>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6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880" w:type="dxa"/>
            <w:vAlign w:val="bottom"/>
            <w:tcBorders>
              <w:right w:val="single" w:sz="8" w:color="auto"/>
            </w:tcBorders>
            <w:shd w:val="clear" w:color="auto" w:fill="CFF0FC"/>
          </w:tcPr>
          <w:p>
            <w:pPr>
              <w:jc w:val="center"/>
              <w:ind w:right="1"/>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76"/>
        </w:trPr>
        <w:tc>
          <w:tcPr>
            <w:tcW w:w="1020" w:type="dxa"/>
            <w:vAlign w:val="bottom"/>
            <w:tcBorders>
              <w:left w:val="single" w:sz="8" w:color="auto"/>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9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Total Offering Amounts</w:t>
            </w: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gridSpan w:val="2"/>
          </w:tcPr>
          <w:p>
            <w:pPr>
              <w:jc w:val="right"/>
              <w:ind w:right="238"/>
              <w:spacing w:after="0"/>
              <w:rPr>
                <w:sz w:val="20"/>
                <w:szCs w:val="20"/>
                <w:color w:val="auto"/>
              </w:rPr>
            </w:pPr>
            <w:r>
              <w:rPr>
                <w:rFonts w:ascii="Times New Roman" w:cs="Times New Roman" w:eastAsia="Times New Roman" w:hAnsi="Times New Roman"/>
                <w:sz w:val="13"/>
                <w:szCs w:val="13"/>
                <w:color w:val="auto"/>
              </w:rPr>
              <w:t>$250,000,000</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color w:val="auto"/>
              </w:rPr>
              <w:t>$27,550</w:t>
            </w: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bottom w:val="single" w:sz="8" w:color="auto"/>
              <w:right w:val="single" w:sz="8" w:color="CFF0FC"/>
            </w:tcBorders>
            <w:shd w:val="clear" w:color="auto" w:fill="CFF0FC"/>
          </w:tcPr>
          <w:p>
            <w:pPr>
              <w:spacing w:after="0"/>
              <w:rPr>
                <w:sz w:val="14"/>
                <w:szCs w:val="14"/>
                <w:color w:val="auto"/>
              </w:rPr>
            </w:pPr>
          </w:p>
        </w:tc>
        <w:tc>
          <w:tcPr>
            <w:tcW w:w="600" w:type="dxa"/>
            <w:vAlign w:val="bottom"/>
            <w:tcBorders>
              <w:bottom w:val="single" w:sz="8" w:color="auto"/>
              <w:right w:val="single" w:sz="8" w:color="CFF0FC"/>
            </w:tcBorders>
            <w:shd w:val="clear" w:color="auto" w:fill="CFF0FC"/>
          </w:tcPr>
          <w:p>
            <w:pPr>
              <w:spacing w:after="0"/>
              <w:rPr>
                <w:sz w:val="14"/>
                <w:szCs w:val="14"/>
                <w:color w:val="auto"/>
              </w:rPr>
            </w:pPr>
          </w:p>
        </w:tc>
        <w:tc>
          <w:tcPr>
            <w:tcW w:w="1060" w:type="dxa"/>
            <w:vAlign w:val="bottom"/>
            <w:tcBorders>
              <w:bottom w:val="single" w:sz="8" w:color="auto"/>
              <w:right w:val="single" w:sz="8" w:color="CFF0FC"/>
            </w:tcBorders>
            <w:shd w:val="clear" w:color="auto" w:fill="CFF0FC"/>
          </w:tcPr>
          <w:p>
            <w:pPr>
              <w:spacing w:after="0"/>
              <w:rPr>
                <w:sz w:val="14"/>
                <w:szCs w:val="14"/>
                <w:color w:val="auto"/>
              </w:rPr>
            </w:pPr>
          </w:p>
        </w:tc>
        <w:tc>
          <w:tcPr>
            <w:tcW w:w="1940" w:type="dxa"/>
            <w:vAlign w:val="bottom"/>
            <w:tcBorders>
              <w:bottom w:val="single" w:sz="8" w:color="auto"/>
              <w:right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Total Fees Previously Paid</w:t>
            </w:r>
          </w:p>
        </w:tc>
        <w:tc>
          <w:tcPr>
            <w:tcW w:w="4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right w:val="single" w:sz="8" w:color="auto"/>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right w:val="single" w:sz="8" w:color="auto"/>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right w:val="single" w:sz="8" w:color="auto"/>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right w:val="single" w:sz="8" w:color="auto"/>
            </w:tcBorders>
            <w:shd w:val="clear" w:color="auto" w:fill="CFF0FC"/>
          </w:tcPr>
          <w:p>
            <w:pPr>
              <w:jc w:val="center"/>
              <w:ind w:right="175"/>
              <w:spacing w:after="0"/>
              <w:rPr>
                <w:sz w:val="20"/>
                <w:szCs w:val="20"/>
                <w:color w:val="auto"/>
              </w:rPr>
            </w:pPr>
            <w:r>
              <w:rPr>
                <w:rFonts w:ascii="Times New Roman" w:cs="Times New Roman" w:eastAsia="Times New Roman" w:hAnsi="Times New Roman"/>
                <w:sz w:val="13"/>
                <w:szCs w:val="13"/>
                <w:color w:val="auto"/>
              </w:rPr>
              <w:t>N/A</w:t>
            </w:r>
          </w:p>
        </w:tc>
        <w:tc>
          <w:tcPr>
            <w:tcW w:w="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right w:val="single" w:sz="8" w:color="auto"/>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right w:val="single" w:sz="8" w:color="auto"/>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right w:val="single" w:sz="8" w:color="auto"/>
            </w:tcBorders>
            <w:shd w:val="clear" w:color="auto" w:fill="CFF0FC"/>
          </w:tcPr>
          <w:p>
            <w:pPr>
              <w:spacing w:after="0"/>
              <w:rPr>
                <w:sz w:val="14"/>
                <w:szCs w:val="14"/>
                <w:color w:val="auto"/>
              </w:rPr>
            </w:pPr>
          </w:p>
        </w:tc>
        <w:tc>
          <w:tcPr>
            <w:tcW w:w="88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20" w:type="dxa"/>
            <w:vAlign w:val="bottom"/>
            <w:tcBorders>
              <w:left w:val="single" w:sz="8" w:color="auto"/>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Total Fee Offsets</w:t>
            </w: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ind w:right="175"/>
              <w:spacing w:after="0"/>
              <w:rPr>
                <w:sz w:val="20"/>
                <w:szCs w:val="20"/>
                <w:color w:val="auto"/>
              </w:rPr>
            </w:pPr>
            <w:r>
              <w:rPr>
                <w:rFonts w:ascii="Times New Roman" w:cs="Times New Roman" w:eastAsia="Times New Roman" w:hAnsi="Times New Roman"/>
                <w:sz w:val="13"/>
                <w:szCs w:val="13"/>
                <w:color w:val="auto"/>
              </w:rPr>
              <w:t>N/A</w:t>
            </w: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bottom w:val="single" w:sz="8" w:color="auto"/>
              <w:right w:val="single" w:sz="8" w:color="CFF0FC"/>
            </w:tcBorders>
            <w:shd w:val="clear" w:color="auto" w:fill="CFF0FC"/>
          </w:tcPr>
          <w:p>
            <w:pPr>
              <w:spacing w:after="0"/>
              <w:rPr>
                <w:sz w:val="14"/>
                <w:szCs w:val="14"/>
                <w:color w:val="auto"/>
              </w:rPr>
            </w:pPr>
          </w:p>
        </w:tc>
        <w:tc>
          <w:tcPr>
            <w:tcW w:w="600" w:type="dxa"/>
            <w:vAlign w:val="bottom"/>
            <w:tcBorders>
              <w:bottom w:val="single" w:sz="8" w:color="auto"/>
              <w:right w:val="single" w:sz="8" w:color="CFF0FC"/>
            </w:tcBorders>
            <w:shd w:val="clear" w:color="auto" w:fill="CFF0FC"/>
          </w:tcPr>
          <w:p>
            <w:pPr>
              <w:spacing w:after="0"/>
              <w:rPr>
                <w:sz w:val="14"/>
                <w:szCs w:val="14"/>
                <w:color w:val="auto"/>
              </w:rPr>
            </w:pPr>
          </w:p>
        </w:tc>
        <w:tc>
          <w:tcPr>
            <w:tcW w:w="1060" w:type="dxa"/>
            <w:vAlign w:val="bottom"/>
            <w:tcBorders>
              <w:bottom w:val="single" w:sz="8" w:color="auto"/>
              <w:right w:val="single" w:sz="8" w:color="CFF0FC"/>
            </w:tcBorders>
            <w:shd w:val="clear" w:color="auto" w:fill="CFF0FC"/>
          </w:tcPr>
          <w:p>
            <w:pPr>
              <w:spacing w:after="0"/>
              <w:rPr>
                <w:sz w:val="14"/>
                <w:szCs w:val="14"/>
                <w:color w:val="auto"/>
              </w:rPr>
            </w:pPr>
          </w:p>
        </w:tc>
        <w:tc>
          <w:tcPr>
            <w:tcW w:w="900" w:type="dxa"/>
            <w:vAlign w:val="bottom"/>
            <w:tcBorders>
              <w:bottom w:val="single" w:sz="8" w:color="auto"/>
              <w:right w:val="single" w:sz="8" w:color="CFF0FC"/>
            </w:tcBorders>
            <w:shd w:val="clear" w:color="auto" w:fill="CFF0FC"/>
          </w:tcPr>
          <w:p>
            <w:pPr>
              <w:spacing w:after="0"/>
              <w:rPr>
                <w:sz w:val="14"/>
                <w:szCs w:val="14"/>
                <w:color w:val="auto"/>
              </w:rPr>
            </w:pPr>
          </w:p>
        </w:tc>
        <w:tc>
          <w:tcPr>
            <w:tcW w:w="10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Net Fee Due</w:t>
            </w:r>
          </w:p>
        </w:tc>
        <w:tc>
          <w:tcPr>
            <w:tcW w:w="4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right w:val="single" w:sz="8" w:color="auto"/>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right w:val="single" w:sz="8" w:color="auto"/>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right w:val="single" w:sz="8" w:color="auto"/>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right w:val="single" w:sz="8" w:color="auto"/>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$27,550</w:t>
            </w:r>
          </w:p>
        </w:tc>
        <w:tc>
          <w:tcPr>
            <w:tcW w:w="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right w:val="single" w:sz="8" w:color="auto"/>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right w:val="single" w:sz="8" w:color="auto"/>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right w:val="single" w:sz="8" w:color="auto"/>
            </w:tcBorders>
            <w:shd w:val="clear" w:color="auto" w:fill="CFF0FC"/>
          </w:tcPr>
          <w:p>
            <w:pPr>
              <w:spacing w:after="0"/>
              <w:rPr>
                <w:sz w:val="14"/>
                <w:szCs w:val="14"/>
                <w:color w:val="auto"/>
              </w:rPr>
            </w:pPr>
          </w:p>
        </w:tc>
        <w:tc>
          <w:tcPr>
            <w:tcW w:w="88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-128270</wp:posOffset>
            </wp:positionV>
            <wp:extent cx="825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-128270</wp:posOffset>
            </wp:positionV>
            <wp:extent cx="825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-128270</wp:posOffset>
            </wp:positionV>
            <wp:extent cx="889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-248285</wp:posOffset>
            </wp:positionV>
            <wp:extent cx="825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-248285</wp:posOffset>
            </wp:positionV>
            <wp:extent cx="825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-248285</wp:posOffset>
            </wp:positionV>
            <wp:extent cx="889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-367665</wp:posOffset>
            </wp:positionV>
            <wp:extent cx="825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-367665</wp:posOffset>
            </wp:positionV>
            <wp:extent cx="825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-367665</wp:posOffset>
            </wp:positionV>
            <wp:extent cx="889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-488315</wp:posOffset>
            </wp:positionV>
            <wp:extent cx="825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-488315</wp:posOffset>
            </wp:positionV>
            <wp:extent cx="825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-488315</wp:posOffset>
            </wp:positionV>
            <wp:extent cx="889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-488315</wp:posOffset>
            </wp:positionV>
            <wp:extent cx="342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-796290</wp:posOffset>
            </wp:positionV>
            <wp:extent cx="825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-796290</wp:posOffset>
            </wp:positionV>
            <wp:extent cx="825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-796290</wp:posOffset>
            </wp:positionV>
            <wp:extent cx="889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-1224915</wp:posOffset>
            </wp:positionV>
            <wp:extent cx="825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-1224915</wp:posOffset>
            </wp:positionV>
            <wp:extent cx="825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-1224915</wp:posOffset>
            </wp:positionV>
            <wp:extent cx="889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-4217035</wp:posOffset>
            </wp:positionV>
            <wp:extent cx="825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-4217035</wp:posOffset>
            </wp:positionV>
            <wp:extent cx="825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-4217035</wp:posOffset>
            </wp:positionV>
            <wp:extent cx="889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-5219700</wp:posOffset>
            </wp:positionV>
            <wp:extent cx="825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-5219700</wp:posOffset>
            </wp:positionV>
            <wp:extent cx="825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-5219700</wp:posOffset>
            </wp:positionV>
            <wp:extent cx="889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78" w:lineRule="exact"/>
        <w:rPr>
          <w:sz w:val="20"/>
          <w:szCs w:val="20"/>
          <w:color w:val="auto"/>
        </w:rPr>
      </w:pPr>
    </w:p>
    <w:p>
      <w:pPr>
        <w:ind w:left="880" w:right="20" w:hanging="440"/>
        <w:spacing w:after="0" w:line="282" w:lineRule="auto"/>
        <w:tabs>
          <w:tab w:leader="none" w:pos="8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Pursuant to Rule 416 of the Securities Act of 1933, this Registration Statement also covers any additional securities that may be offered or issued in connection with any stock split, stock dividend or similar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111" w:name="page112"/>
    <w:bookmarkEnd w:id="111"/>
    <w:p>
      <w:pPr>
        <w:jc w:val="both"/>
        <w:ind w:left="440" w:hanging="440"/>
        <w:spacing w:after="0" w:line="256" w:lineRule="auto"/>
        <w:tabs>
          <w:tab w:leader="none" w:pos="4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 indeterminate aggregate amount of securities is being registered as may from time to time be offered for sale or sold at indeterminate prices. The Registrant is relying on Rule 456(b) and Rule 457(r) under the Securities Act of 1933, as amended, to defer payment of all registration fees. Separate consideration may or may not be received for securities that are issuable on exercise, conversion or exchange of other securities or that are issued in units. In connection with the securities offered hereby, the Registrant will pay “pay-as-you-go registration fees” in accordance with Rule 456(b). The Registrant will calculate the registration fee applicable to an offer of securities pursuant to this Registration Statement based on the fee payment rate in effect on the date of such fee payment.</w:t>
      </w:r>
    </w:p>
    <w:p>
      <w:pPr>
        <w:spacing w:after="0" w:line="79" w:lineRule="exact"/>
        <w:rPr>
          <w:rFonts w:ascii="Times New Roman" w:cs="Times New Roman" w:eastAsia="Times New Roman" w:hAnsi="Times New Roman"/>
          <w:sz w:val="16"/>
          <w:szCs w:val="16"/>
          <w:color w:val="auto"/>
        </w:rPr>
      </w:pPr>
    </w:p>
    <w:p>
      <w:pPr>
        <w:jc w:val="both"/>
        <w:ind w:left="440" w:hanging="440"/>
        <w:spacing w:after="0" w:line="266" w:lineRule="auto"/>
        <w:tabs>
          <w:tab w:leader="none" w:pos="4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Includes common stock issuable upon conversion or exchange of securities registered hereunder to the extent any such securities are, by their terms, convertible into or exchangeable for common stock, including upon the exercise of warrants or delivery upon settlement of purchase contracts.</w:t>
      </w:r>
    </w:p>
    <w:p>
      <w:pPr>
        <w:spacing w:after="0" w:line="67" w:lineRule="exact"/>
        <w:rPr>
          <w:rFonts w:ascii="Times New Roman" w:cs="Times New Roman" w:eastAsia="Times New Roman" w:hAnsi="Times New Roman"/>
          <w:sz w:val="16"/>
          <w:szCs w:val="16"/>
          <w:color w:val="auto"/>
        </w:rPr>
      </w:pPr>
    </w:p>
    <w:p>
      <w:pPr>
        <w:jc w:val="both"/>
        <w:ind w:left="440" w:hanging="440"/>
        <w:spacing w:after="0" w:line="266" w:lineRule="auto"/>
        <w:tabs>
          <w:tab w:leader="none" w:pos="4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Includes preferred stock issuable upon conversion or exchange of securities registered hereunder to the extent any such securities are, by their terms, convertible into or exchangeable for preferred stock, including upon the exercise of warrants or delivery upon settlement of purchase contracts.</w:t>
      </w:r>
    </w:p>
    <w:p>
      <w:pPr>
        <w:spacing w:after="0" w:line="67" w:lineRule="exact"/>
        <w:rPr>
          <w:rFonts w:ascii="Times New Roman" w:cs="Times New Roman" w:eastAsia="Times New Roman" w:hAnsi="Times New Roman"/>
          <w:sz w:val="16"/>
          <w:szCs w:val="16"/>
          <w:color w:val="auto"/>
        </w:rPr>
      </w:pPr>
    </w:p>
    <w:p>
      <w:pPr>
        <w:jc w:val="both"/>
        <w:ind w:left="440" w:hanging="440"/>
        <w:spacing w:after="0" w:line="266" w:lineRule="auto"/>
        <w:tabs>
          <w:tab w:leader="none" w:pos="4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Includes debt securities issuable upon conversion or exchange of securities registered hereunder to the extent any such securities are, by their terms, convertible into or exchangeable for debt securities, including upon the exercise of warrants or delivery upon settlement of purchase contracts.</w:t>
      </w:r>
    </w:p>
    <w:p>
      <w:pPr>
        <w:spacing w:after="0" w:line="67" w:lineRule="exact"/>
        <w:rPr>
          <w:rFonts w:ascii="Times New Roman" w:cs="Times New Roman" w:eastAsia="Times New Roman" w:hAnsi="Times New Roman"/>
          <w:sz w:val="16"/>
          <w:szCs w:val="16"/>
          <w:color w:val="auto"/>
        </w:rPr>
      </w:pPr>
    </w:p>
    <w:p>
      <w:pPr>
        <w:ind w:left="440" w:hanging="440"/>
        <w:spacing w:after="0" w:line="282" w:lineRule="auto"/>
        <w:tabs>
          <w:tab w:leader="none" w:pos="4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Warrants may represent rights to purchase debt securities, preferred stock, common stock or other securities registered hereunder. Warrants may be sold separately or with debt securities, preferred stock, common stock or other securities registered hereunder.</w:t>
      </w:r>
    </w:p>
    <w:p>
      <w:pPr>
        <w:spacing w:after="0" w:line="53" w:lineRule="exact"/>
        <w:rPr>
          <w:rFonts w:ascii="Times New Roman" w:cs="Times New Roman" w:eastAsia="Times New Roman" w:hAnsi="Times New Roman"/>
          <w:sz w:val="16"/>
          <w:szCs w:val="16"/>
          <w:color w:val="auto"/>
        </w:rPr>
      </w:pPr>
    </w:p>
    <w:p>
      <w:pPr>
        <w:jc w:val="both"/>
        <w:ind w:left="440" w:hanging="440"/>
        <w:spacing w:after="0" w:line="266" w:lineRule="auto"/>
        <w:tabs>
          <w:tab w:leader="none" w:pos="4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Includes purchase contracts issuable upon conversion or exchange of securities registered hereunder to the extent any such securities are, by their terms convertible into or exchangeable for purchase contracts. Each purchase contract obligates the Registrant to sell, and the holder thereof to purchase, an indeterminate number of debt securities, common stock, preferred stock or other securities registered hereunder.</w:t>
      </w:r>
    </w:p>
    <w:p>
      <w:pPr>
        <w:spacing w:after="0" w:line="67" w:lineRule="exact"/>
        <w:rPr>
          <w:rFonts w:ascii="Times New Roman" w:cs="Times New Roman" w:eastAsia="Times New Roman" w:hAnsi="Times New Roman"/>
          <w:sz w:val="16"/>
          <w:szCs w:val="16"/>
          <w:color w:val="auto"/>
        </w:rPr>
      </w:pPr>
    </w:p>
    <w:p>
      <w:pPr>
        <w:jc w:val="both"/>
        <w:ind w:left="440" w:hanging="440"/>
        <w:spacing w:after="0" w:line="261" w:lineRule="auto"/>
        <w:tabs>
          <w:tab w:leader="none" w:pos="4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Includes units issuable upon conversion or exchange of securities registered hereunder to the extent any such securities, are, by their terms convertible into or exchangeable for units, including upon the exercise of warrants or delivery upon settlement of purchase contracts. Each unit may consist of a combination of any two or more of the securities being registered hereby or debt obligations of third parties, including U.S. Treasury securities.</w:t>
      </w:r>
    </w:p>
    <w:sectPr>
      <w:pgSz w:w="11900" w:h="16838" w:orient="portrait"/>
      <w:cols w:equalWidth="0" w:num="1">
        <w:col w:w="10800"/>
      </w:cols>
      <w:pgMar w:left="760" w:top="4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decimal"/>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decimal"/>
      <w:start w:val="3"/>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1)"/>
      <w:numFmt w:val="decimal"/>
      <w:start w:val="212"/>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2"/>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amp;"/>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1)"/>
      <w:numFmt w:val="decimal"/>
      <w:start w:val="212"/>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1"/>
      <w:numFmt w:val="decimal"/>
      <w:start w:val="107"/>
    </w:lvl>
  </w:abstractNum>
  <w:abstractNum w:abstractNumId="46">
    <w:nsid w:val="79A1DEAA"/>
    <w:multiLevelType w:val="hybridMultilevel"/>
    <w:lvl w:ilvl="0">
      <w:lvlJc w:val="left"/>
      <w:lvlText w:val="**"/>
      <w:numFmt w:val="bullet"/>
      <w:start w:val="1"/>
    </w:lvl>
    <w:lvl w:ilvl="1">
      <w:lvlJc w:val="left"/>
      <w:lvlText w:val="*"/>
      <w:numFmt w:val="bullet"/>
      <w:start w:val="1"/>
    </w:lvl>
  </w:abstractNum>
  <w:abstractNum w:abstractNumId="47">
    <w:nsid w:val="75C6C33A"/>
    <w:multiLevelType w:val="hybridMultilevel"/>
    <w:lvl w:ilvl="0">
      <w:lvlJc w:val="left"/>
      <w:lvlText w:val="(%1)"/>
      <w:numFmt w:val="decimal"/>
      <w:start w:val="1"/>
    </w:lvl>
    <w:lvl w:ilvl="1">
      <w:lvlJc w:val="left"/>
      <w:lvlText w:val="(%2)"/>
      <w:numFmt w:val="lowerRoman"/>
      <w:start w:val="1"/>
    </w:lvl>
  </w:abstractNum>
  <w:abstractNum w:abstractNumId="48">
    <w:nsid w:val="12E685FB"/>
    <w:multiLevelType w:val="hybridMultilevel"/>
    <w:lvl w:ilvl="0">
      <w:lvlJc w:val="left"/>
      <w:lvlText w:val="(%1)"/>
      <w:numFmt w:val="decimal"/>
      <w:start w:val="2"/>
    </w:lvl>
    <w:lvl w:ilvl="1">
      <w:lvlJc w:val="left"/>
      <w:lvlText w:val="(%2)"/>
      <w:numFmt w:val="lowerRoman"/>
      <w:start w:val="1"/>
    </w:lvl>
  </w:abstractNum>
  <w:abstractNum w:abstractNumId="49">
    <w:nsid w:val="70C6A529"/>
    <w:multiLevelType w:val="hybridMultilevel"/>
    <w:lvl w:ilvl="0">
      <w:lvlJc w:val="left"/>
      <w:lvlText w:val="(%1)"/>
      <w:numFmt w:val="decimal"/>
      <w:start w:val="5"/>
    </w:lvl>
    <w:lvl w:ilvl="1">
      <w:lvlJc w:val="left"/>
      <w:lvlText w:val="(%2)"/>
      <w:numFmt w:val="lowerRoman"/>
      <w:start w:val="1"/>
    </w:lvl>
  </w:abstractNum>
  <w:abstractNum w:abstractNumId="50">
    <w:nsid w:val="520EEDD1"/>
    <w:multiLevelType w:val="hybridMultilevel"/>
    <w:lvl w:ilvl="0">
      <w:lvlJc w:val="left"/>
      <w:lvlText w:val="(%1)"/>
      <w:numFmt w:val="lowerRoman"/>
      <w:start w:val="2"/>
    </w:lvl>
  </w:abstractNum>
  <w:abstractNum w:abstractNumId="51">
    <w:nsid w:val="374A3FE6"/>
    <w:multiLevelType w:val="hybridMultilevel"/>
    <w:lvl w:ilvl="0">
      <w:lvlJc w:val="left"/>
      <w:lvlText w:val="(%1)"/>
      <w:numFmt w:val="lowerRoman"/>
      <w:start w:val="1"/>
    </w:lvl>
  </w:abstractNum>
  <w:abstractNum w:abstractNumId="52">
    <w:nsid w:val="4F4EF005"/>
    <w:multiLevelType w:val="hybridMultilevel"/>
    <w:lvl w:ilvl="0">
      <w:lvlJc w:val="left"/>
      <w:lvlText w:val="%1."/>
      <w:numFmt w:val="decimal"/>
      <w:start w:val="1"/>
    </w:lvl>
  </w:abstractNum>
  <w:abstractNum w:abstractNumId="53">
    <w:nsid w:val="23F9C13C"/>
    <w:multiLevelType w:val="hybridMultilevel"/>
    <w:lvl w:ilvl="0">
      <w:lvlJc w:val="left"/>
      <w:lvlText w:val="%1."/>
      <w:numFmt w:val="decimal"/>
      <w:start w:val="3"/>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jpe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64" Type="http://schemas.openxmlformats.org/officeDocument/2006/relationships/image" Target="media/image35.png"/><Relationship Id="rId65" Type="http://schemas.openxmlformats.org/officeDocument/2006/relationships/image" Target="media/image36.png"/><Relationship Id="rId66" Type="http://schemas.openxmlformats.org/officeDocument/2006/relationships/image" Target="media/image37.jpeg"/><Relationship Id="rId67" Type="http://schemas.openxmlformats.org/officeDocument/2006/relationships/image" Target="media/image38.png"/><Relationship Id="rId68" Type="http://schemas.openxmlformats.org/officeDocument/2006/relationships/image" Target="media/image39.png"/><Relationship Id="rId69" Type="http://schemas.openxmlformats.org/officeDocument/2006/relationships/image" Target="media/image40.png"/><Relationship Id="rId70" Type="http://schemas.openxmlformats.org/officeDocument/2006/relationships/image" Target="media/image41.jpeg"/><Relationship Id="rId71" Type="http://schemas.openxmlformats.org/officeDocument/2006/relationships/image" Target="media/image42.png"/><Relationship Id="rId72" Type="http://schemas.openxmlformats.org/officeDocument/2006/relationships/image" Target="media/image43.png"/><Relationship Id="rId73" Type="http://schemas.openxmlformats.org/officeDocument/2006/relationships/image" Target="media/image44.png"/><Relationship Id="rId74" Type="http://schemas.openxmlformats.org/officeDocument/2006/relationships/image" Target="media/image45.png"/><Relationship Id="rId75" Type="http://schemas.openxmlformats.org/officeDocument/2006/relationships/image" Target="media/image46.png"/><Relationship Id="rId76" Type="http://schemas.openxmlformats.org/officeDocument/2006/relationships/image" Target="media/image47.png"/><Relationship Id="rId77" Type="http://schemas.openxmlformats.org/officeDocument/2006/relationships/image" Target="media/image48.png"/><Relationship Id="rId78" Type="http://schemas.openxmlformats.org/officeDocument/2006/relationships/image" Target="media/image49.png"/><Relationship Id="rId79" Type="http://schemas.openxmlformats.org/officeDocument/2006/relationships/image" Target="media/image50.png"/><Relationship Id="rId80" Type="http://schemas.openxmlformats.org/officeDocument/2006/relationships/image" Target="media/image51.png"/><Relationship Id="rId81" Type="http://schemas.openxmlformats.org/officeDocument/2006/relationships/image" Target="media/image52.png"/><Relationship Id="rId82" Type="http://schemas.openxmlformats.org/officeDocument/2006/relationships/image" Target="media/image53.png"/><Relationship Id="rId83" Type="http://schemas.openxmlformats.org/officeDocument/2006/relationships/image" Target="media/image54.png"/><Relationship Id="rId84" Type="http://schemas.openxmlformats.org/officeDocument/2006/relationships/image" Target="media/image55.png"/><Relationship Id="rId85" Type="http://schemas.openxmlformats.org/officeDocument/2006/relationships/image" Target="media/image56.png"/><Relationship Id="rId86" Type="http://schemas.openxmlformats.org/officeDocument/2006/relationships/image" Target="media/image57.png"/><Relationship Id="rId87" Type="http://schemas.openxmlformats.org/officeDocument/2006/relationships/image" Target="media/image58.png"/><Relationship Id="rId88" Type="http://schemas.openxmlformats.org/officeDocument/2006/relationships/image" Target="media/image59.png"/><Relationship Id="rId89" Type="http://schemas.openxmlformats.org/officeDocument/2006/relationships/image" Target="media/image60.jpeg"/><Relationship Id="rId90" Type="http://schemas.openxmlformats.org/officeDocument/2006/relationships/image" Target="media/image61.png"/><Relationship Id="rId91" Type="http://schemas.openxmlformats.org/officeDocument/2006/relationships/image" Target="media/image62.png"/><Relationship Id="rId92" Type="http://schemas.openxmlformats.org/officeDocument/2006/relationships/image" Target="media/image63.png"/><Relationship Id="rId93" Type="http://schemas.openxmlformats.org/officeDocument/2006/relationships/image" Target="media/image64.png"/><Relationship Id="rId94" Type="http://schemas.openxmlformats.org/officeDocument/2006/relationships/image" Target="media/image65.png"/><Relationship Id="rId99" Type="http://schemas.openxmlformats.org/officeDocument/2006/relationships/image" Target="media/image66.png"/><Relationship Id="rId100" Type="http://schemas.openxmlformats.org/officeDocument/2006/relationships/image" Target="media/image67.png"/><Relationship Id="rId101" Type="http://schemas.openxmlformats.org/officeDocument/2006/relationships/image" Target="media/image68.png"/><Relationship Id="rId102" Type="http://schemas.openxmlformats.org/officeDocument/2006/relationships/image" Target="media/image69.png"/><Relationship Id="rId103" Type="http://schemas.openxmlformats.org/officeDocument/2006/relationships/image" Target="media/image70.png"/><Relationship Id="rId104" Type="http://schemas.openxmlformats.org/officeDocument/2006/relationships/image" Target="media/image71.png"/><Relationship Id="rId105" Type="http://schemas.openxmlformats.org/officeDocument/2006/relationships/image" Target="media/image72.png"/><Relationship Id="rId106" Type="http://schemas.openxmlformats.org/officeDocument/2006/relationships/image" Target="media/image73.png"/><Relationship Id="rId107" Type="http://schemas.openxmlformats.org/officeDocument/2006/relationships/image" Target="media/image74.png"/><Relationship Id="rId108" Type="http://schemas.openxmlformats.org/officeDocument/2006/relationships/image" Target="media/image75.png"/><Relationship Id="rId109" Type="http://schemas.openxmlformats.org/officeDocument/2006/relationships/image" Target="media/image76.png"/><Relationship Id="rId110" Type="http://schemas.openxmlformats.org/officeDocument/2006/relationships/image" Target="media/image77.png"/><Relationship Id="rId111" Type="http://schemas.openxmlformats.org/officeDocument/2006/relationships/image" Target="media/image78.png"/><Relationship Id="rId112" Type="http://schemas.openxmlformats.org/officeDocument/2006/relationships/image" Target="media/image79.png"/><Relationship Id="rId113" Type="http://schemas.openxmlformats.org/officeDocument/2006/relationships/image" Target="media/image80.png"/><Relationship Id="rId114" Type="http://schemas.openxmlformats.org/officeDocument/2006/relationships/image" Target="media/image81.png"/><Relationship Id="rId115" Type="http://schemas.openxmlformats.org/officeDocument/2006/relationships/image" Target="media/image82.png"/><Relationship Id="rId116" Type="http://schemas.openxmlformats.org/officeDocument/2006/relationships/image" Target="media/image83.png"/><Relationship Id="rId117" Type="http://schemas.openxmlformats.org/officeDocument/2006/relationships/image" Target="media/image84.png"/><Relationship Id="rId118" Type="http://schemas.openxmlformats.org/officeDocument/2006/relationships/image" Target="media/image85.png"/><Relationship Id="rId119" Type="http://schemas.openxmlformats.org/officeDocument/2006/relationships/image" Target="media/image86.png"/><Relationship Id="rId120" Type="http://schemas.openxmlformats.org/officeDocument/2006/relationships/image" Target="media/image87.png"/><Relationship Id="rId121" Type="http://schemas.openxmlformats.org/officeDocument/2006/relationships/image" Target="media/image88.png"/><Relationship Id="rId122" Type="http://schemas.openxmlformats.org/officeDocument/2006/relationships/image" Target="media/image89.png"/><Relationship Id="rId123" Type="http://schemas.openxmlformats.org/officeDocument/2006/relationships/image" Target="media/image90.png"/><Relationship Id="rId124" Type="http://schemas.openxmlformats.org/officeDocument/2006/relationships/image" Target="media/image91.png"/><Relationship Id="rId125" Type="http://schemas.openxmlformats.org/officeDocument/2006/relationships/image" Target="media/image92.png"/><Relationship Id="rId126" Type="http://schemas.openxmlformats.org/officeDocument/2006/relationships/image" Target="media/image93.png"/><Relationship Id="rId127"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png"/><Relationship Id="rId133" Type="http://schemas.openxmlformats.org/officeDocument/2006/relationships/image" Target="media/image100.png"/><Relationship Id="rId134" Type="http://schemas.openxmlformats.org/officeDocument/2006/relationships/image" Target="media/image101.png"/><Relationship Id="rId135" Type="http://schemas.openxmlformats.org/officeDocument/2006/relationships/image" Target="media/image102.png"/><Relationship Id="rId136" Type="http://schemas.openxmlformats.org/officeDocument/2006/relationships/image" Target="media/image103.png"/><Relationship Id="rId137" Type="http://schemas.openxmlformats.org/officeDocument/2006/relationships/image" Target="media/image104.png"/><Relationship Id="rId138" Type="http://schemas.openxmlformats.org/officeDocument/2006/relationships/image" Target="media/image105.png"/><Relationship Id="rId139" Type="http://schemas.openxmlformats.org/officeDocument/2006/relationships/image" Target="media/image106.png"/><Relationship Id="rId140" Type="http://schemas.openxmlformats.org/officeDocument/2006/relationships/image" Target="media/image107.png"/><Relationship Id="rId141" Type="http://schemas.openxmlformats.org/officeDocument/2006/relationships/image" Target="media/image108.png"/><Relationship Id="rId142" Type="http://schemas.openxmlformats.org/officeDocument/2006/relationships/image" Target="media/image109.png"/><Relationship Id="rId143" Type="http://schemas.openxmlformats.org/officeDocument/2006/relationships/image" Target="media/image110.png"/><Relationship Id="rId144" Type="http://schemas.openxmlformats.org/officeDocument/2006/relationships/image" Target="media/image111.png"/><Relationship Id="rId145" Type="http://schemas.openxmlformats.org/officeDocument/2006/relationships/image" Target="media/image112.png"/><Relationship Id="rId146"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87" Type="http://schemas.openxmlformats.org/officeDocument/2006/relationships/image" Target="media/image154.png"/><Relationship Id="rId188" Type="http://schemas.openxmlformats.org/officeDocument/2006/relationships/image" Target="media/image155.png"/><Relationship Id="rId189" Type="http://schemas.openxmlformats.org/officeDocument/2006/relationships/image" Target="media/image156.png"/><Relationship Id="rId190"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5" Type="http://schemas.openxmlformats.org/officeDocument/2006/relationships/hyperlink" Target="https://www.sec.gov/ix?doc=/Archives/edgar/data/1579428/000095017022002576/axsm-20220301.htm" TargetMode="External"/><Relationship Id="rId43" Type="http://schemas.openxmlformats.org/officeDocument/2006/relationships/hyperlink" Target="https://www.sec.gov/ix?doc=/Archives/edgar/data/0001579428/000095017022002568/axsm-20211231.htm" TargetMode="External"/><Relationship Id="rId44" Type="http://schemas.openxmlformats.org/officeDocument/2006/relationships/hyperlink" Target="http://www.sec.gov/Archives/edgar/data/1579428/000095017022006020/axsm_2022_proxy_4.xx.22_.htm" TargetMode="External"/><Relationship Id="rId45" Type="http://schemas.openxmlformats.org/officeDocument/2006/relationships/hyperlink" Target="https://www.sec.gov/ix?doc=/Archives/edgar/data/0001579428/000095017022006901/axsm-20220331.htm" TargetMode="External"/><Relationship Id="rId46" Type="http://schemas.openxmlformats.org/officeDocument/2006/relationships/hyperlink" Target="https://www.sec.gov/ix?doc=/Archives/edgar/data/0001579428/000095017022016143/axsm-20220630.htm" TargetMode="External"/><Relationship Id="rId47" Type="http://schemas.openxmlformats.org/officeDocument/2006/relationships/hyperlink" Target="https://www.sec.gov/ix?doc=/Archives/edgar/data/1579428/000095017022022710/axsm-20220930.htm" TargetMode="External"/><Relationship Id="rId48" Type="http://schemas.openxmlformats.org/officeDocument/2006/relationships/hyperlink" Target="http://www.sec.gov/Archives/edgar/data/0001579428/000095017022004722/axsm-20220325.htm" TargetMode="External"/><Relationship Id="rId49" Type="http://schemas.openxmlformats.org/officeDocument/2006/relationships/hyperlink" Target="https://www.sec.gov/ix?doc=/Archives/edgar/data/1579428/000095017022005231/axsm-20220325.htm" TargetMode="External"/><Relationship Id="rId50" Type="http://schemas.openxmlformats.org/officeDocument/2006/relationships/hyperlink" Target="https://www.sec.gov/ix?doc=/Archives/edgar/data/0001579428/000095017022005776/axsm-20220419.htm" TargetMode="External"/><Relationship Id="rId51" Type="http://schemas.openxmlformats.org/officeDocument/2006/relationships/hyperlink" Target="https://www.sec.gov/ix?doc=/Archives/edgar/data/0001579428/000095017022006038/axsm-20220422.htm" TargetMode="External"/><Relationship Id="rId52" Type="http://schemas.openxmlformats.org/officeDocument/2006/relationships/hyperlink" Target="https://www.sec.gov/ix?doc=/Archives/edgar/data/0001579428/000095017022006770/axsm-20220429.htm" TargetMode="External"/><Relationship Id="rId53" Type="http://schemas.openxmlformats.org/officeDocument/2006/relationships/hyperlink" Target="https://www.sec.gov/ix?doc=/Archives/edgar/data/0001579428/000119312522144265/d334684d8k.htm" TargetMode="External"/><Relationship Id="rId54" Type="http://schemas.openxmlformats.org/officeDocument/2006/relationships/hyperlink" Target="https://www.sec.gov/ix?doc=/Archives/edgar/data/0001579428/000095017022010230/axsm-20220518.htm" TargetMode="External"/><Relationship Id="rId55" Type="http://schemas.openxmlformats.org/officeDocument/2006/relationships/hyperlink" Target="http://www.sec.gov/Archives/edgar/data/0001579428/000119312522225573/d394428d8k.htm" TargetMode="External"/><Relationship Id="rId56" Type="http://schemas.openxmlformats.org/officeDocument/2006/relationships/hyperlink" Target="https://www.sec.gov/ix?doc=/Archives/edgar/data/1579428/000095017022017665/axsm-20220819.htm" TargetMode="External"/><Relationship Id="rId57" Type="http://schemas.openxmlformats.org/officeDocument/2006/relationships/hyperlink" Target="https://www.sec.gov/ix?doc=/Archives/edgar/data/1579428/000095017022018036/axsm-20220901.htm" TargetMode="External"/><Relationship Id="rId58" Type="http://schemas.openxmlformats.org/officeDocument/2006/relationships/hyperlink" Target="https://www.sec.gov/ix?doc=/Archives/edgar/data/1579428/000095017022018238/axsm-20220908.htm" TargetMode="External"/><Relationship Id="rId59" Type="http://schemas.openxmlformats.org/officeDocument/2006/relationships/hyperlink" Target="https://www.sec.gov/ix?doc=/Archives/edgar/data/1579428/000095017022018989/axsm-20220929.htm" TargetMode="External"/><Relationship Id="rId60" Type="http://schemas.openxmlformats.org/officeDocument/2006/relationships/hyperlink" Target="https://www.sec.gov/ix?doc=/Archives/edgar/data/1579428/000095017022019151/axsm-20221003.htm" TargetMode="External"/><Relationship Id="rId61" Type="http://schemas.openxmlformats.org/officeDocument/2006/relationships/hyperlink" Target="https://www.sec.gov/ix?doc=/Archives/edgar/data/1579428/000095017022019762/axsm-20221020.htm" TargetMode="External"/><Relationship Id="rId62" Type="http://schemas.openxmlformats.org/officeDocument/2006/relationships/hyperlink" Target="http://www.sec.gov/Archives/edgar/data/0001579428/000095017022025086/axsm-20221114.htm" TargetMode="External"/><Relationship Id="rId63" Type="http://schemas.openxmlformats.org/officeDocument/2006/relationships/hyperlink" Target="https://www.sec.gov/ix?doc=/Archives/edgar/data/1579428/000095017022025706/axsm-20221128.htm" TargetMode="External"/><Relationship Id="rId95" Type="http://schemas.openxmlformats.org/officeDocument/2006/relationships/hyperlink" Target="http://www.sec.gov/Archives/edgar/data/1579428/000095017022002576/axsm-ex1_1.htm" TargetMode="External"/><Relationship Id="rId96" Type="http://schemas.openxmlformats.org/officeDocument/2006/relationships/hyperlink" Target="http://www.sec.gov/Archives/edgar/data/1579428/000110465915081125/a15-24048_1ex3d1.htm" TargetMode="External"/><Relationship Id="rId97" Type="http://schemas.openxmlformats.org/officeDocument/2006/relationships/hyperlink" Target="http://www.sec.gov/Archives/edgar/data/1579428/000110465915081125/a15-24048_1ex3d2.htm" TargetMode="External"/><Relationship Id="rId98" Type="http://schemas.openxmlformats.org/officeDocument/2006/relationships/hyperlink" Target="http://www.sec.gov/Archives/edgar/data/1579428/000104746915008199/a2226320z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2022-12-02T16:37:00Z</dcterms:created>
  <dcterms:modified xsi:type="dcterms:W3CDTF">2022-12-02T16:37:00Z</dcterms:modified>
</cp:coreProperties>
</file>