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333-214859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16, 2016)</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160020</wp:posOffset>
            </wp:positionV>
            <wp:extent cx="245237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Axsome Therapeutics,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entered into a sales agreement, or the Sales Agreement, with Leerink Partners LLC, or Leerink, dated October 20, 2017,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$30,000,000 from time to time through Leerink, acting as our agent.</w:t>
      </w:r>
    </w:p>
    <w:p>
      <w:pPr>
        <w:spacing w:after="0" w:line="197" w:lineRule="exact"/>
        <w:rPr>
          <w:sz w:val="24"/>
          <w:szCs w:val="24"/>
          <w:color w:val="auto"/>
        </w:rPr>
      </w:pPr>
    </w:p>
    <w:p>
      <w:pPr>
        <w:ind w:right="220"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"AXSM." On October 19, 2017, the last reported sale price of our common stock was $4.97 per share.</w:t>
      </w:r>
    </w:p>
    <w:p>
      <w:pPr>
        <w:spacing w:after="0" w:line="186" w:lineRule="exact"/>
        <w:rPr>
          <w:sz w:val="24"/>
          <w:szCs w:val="24"/>
          <w:color w:val="auto"/>
        </w:rPr>
      </w:pPr>
    </w:p>
    <w:p>
      <w:pPr>
        <w:ind w:right="180" w:firstLine="351"/>
        <w:spacing w:after="0" w:line="255" w:lineRule="auto"/>
        <w:rPr>
          <w:sz w:val="20"/>
          <w:szCs w:val="20"/>
          <w:color w:val="auto"/>
        </w:rPr>
      </w:pPr>
      <w:r>
        <w:rPr>
          <w:rFonts w:ascii="Arial" w:cs="Arial" w:eastAsia="Arial" w:hAnsi="Arial"/>
          <w:sz w:val="18"/>
          <w:szCs w:val="18"/>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Leerink is not required to sell any specific number or dollar amount of shares of our common stock, but will act as our sales agent using commercially reasonable efforts consistent with its normal trading and sales practices, on mutually agreed terms between Leerink and us. There is no arrangement for funds to be received in any escrow, trust or similar arrangement.</w:t>
      </w:r>
    </w:p>
    <w:p>
      <w:pPr>
        <w:spacing w:after="0" w:line="197" w:lineRule="exact"/>
        <w:rPr>
          <w:sz w:val="24"/>
          <w:szCs w:val="24"/>
          <w:color w:val="auto"/>
        </w:rPr>
      </w:pPr>
    </w:p>
    <w:p>
      <w:pPr>
        <w:ind w:firstLine="348"/>
        <w:spacing w:after="0" w:line="254" w:lineRule="auto"/>
        <w:rPr>
          <w:sz w:val="20"/>
          <w:szCs w:val="20"/>
          <w:color w:val="auto"/>
        </w:rPr>
      </w:pPr>
      <w:r>
        <w:rPr>
          <w:rFonts w:ascii="Arial" w:cs="Arial" w:eastAsia="Arial" w:hAnsi="Arial"/>
          <w:sz w:val="18"/>
          <w:szCs w:val="18"/>
          <w:color w:val="auto"/>
        </w:rPr>
        <w:t>The compensation payable to Leerink for sales of common stock sold pursuant to the Sales Agreement will be an amount equal to 3.0% of the gross proceeds of any shares of common stock sold under the Sales Agreement. See "Plan of Distribution" beginning on page S-16 for additional information regarding the compensation to be paid to Leerink. In connection with the sale of the common stock on our behalf, Leerink will be deemed to be an "underwriter" within the meaning of the Securities Act and the compensation paid to Leerink will be deemed to be underwriting commissions or discounts. We have also agreed in the Sales Agreement to provide indemnification and contribution to Leerink with respect to certain liabilities, including liabilities under the Securities Act or the Securities Exchange Act of 1934, as amended.</w:t>
      </w:r>
    </w:p>
    <w:p>
      <w:pPr>
        <w:spacing w:after="0" w:line="198" w:lineRule="exact"/>
        <w:rPr>
          <w:sz w:val="24"/>
          <w:szCs w:val="24"/>
          <w:color w:val="auto"/>
        </w:rPr>
      </w:pPr>
    </w:p>
    <w:p>
      <w:pPr>
        <w:ind w:right="420" w:firstLine="348"/>
        <w:spacing w:after="0" w:line="268"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180" w:firstLine="351"/>
        <w:spacing w:after="0" w:line="243"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S-5 of this prospectus supplement and the risk factors in the documents incorporated by reference in this prospectus supplement and the accompanying prospectus.</w:t>
      </w:r>
    </w:p>
    <w:p>
      <w:pPr>
        <w:spacing w:after="0" w:line="190" w:lineRule="exact"/>
        <w:rPr>
          <w:sz w:val="24"/>
          <w:szCs w:val="24"/>
          <w:color w:val="auto"/>
        </w:rPr>
      </w:pPr>
    </w:p>
    <w:p>
      <w:pPr>
        <w:ind w:right="8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Leerink Partners</w:t>
      </w:r>
    </w:p>
    <w:p>
      <w:pPr>
        <w:sectPr>
          <w:pgSz w:w="11900" w:h="16838" w:orient="portrait"/>
          <w:cols w:equalWidth="0" w:num="1">
            <w:col w:w="11420"/>
          </w:cols>
          <w:pgMar w:left="240" w:top="685" w:right="239" w:bottom="958" w:gutter="0" w:footer="0" w:header="0"/>
        </w:sect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October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958"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60" w:type="dxa"/>
            <w:vAlign w:val="bottom"/>
            <w:tcBorders>
              <w:bottom w:val="single" w:sz="8" w:color="auto"/>
            </w:tcBorders>
            <w:gridSpan w:val="8"/>
          </w:tcPr>
          <w:p>
            <w:pPr>
              <w:jc w:val="right"/>
              <w:ind w:right="12"/>
              <w:spacing w:after="0"/>
              <w:rPr>
                <w:sz w:val="20"/>
                <w:szCs w:val="20"/>
                <w:color w:val="auto"/>
              </w:rPr>
            </w:pPr>
            <w:r>
              <w:rPr>
                <w:rFonts w:ascii="Arial" w:cs="Arial" w:eastAsia="Arial" w:hAnsi="Arial"/>
                <w:sz w:val="14"/>
                <w:szCs w:val="14"/>
                <w:b w:val="1"/>
                <w:bCs w:val="1"/>
                <w:color w:val="auto"/>
              </w:rPr>
              <w:t>Page</w:t>
            </w:r>
          </w:p>
        </w:tc>
      </w:tr>
      <w:tr>
        <w:trPr>
          <w:trHeight w:val="4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5"/>
              </w:rPr>
              <w:t>Prospectus Supplement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24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60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gridSpan w:val="4"/>
          </w:tcPr>
          <w:p>
            <w:pPr>
              <w:jc w:val="right"/>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r>
      <w:tr>
        <w:trPr>
          <w:trHeight w:val="196"/>
        </w:trPr>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Regarding Forward-Looking Statements</w:t>
              </w:r>
            </w:hyperlink>
          </w:p>
        </w:tc>
        <w:tc>
          <w:tcPr>
            <w:tcW w:w="44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S-iii</w:t>
              </w:r>
            </w:hyperlink>
          </w:p>
        </w:tc>
      </w:tr>
      <w:tr>
        <w:trPr>
          <w:trHeight w:val="196"/>
        </w:trPr>
        <w:tc>
          <w:tcPr>
            <w:tcW w:w="238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61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5">
              <w:r>
                <w:rPr>
                  <w:rFonts w:ascii="Arial" w:cs="Arial" w:eastAsia="Arial" w:hAnsi="Arial"/>
                  <w:sz w:val="18"/>
                  <w:szCs w:val="18"/>
                  <w:color w:val="0000EE"/>
                  <w:w w:val="78"/>
                </w:rPr>
                <w:t>S-1</w:t>
              </w:r>
            </w:hyperlink>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62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9">
              <w:r>
                <w:rPr>
                  <w:rFonts w:ascii="Arial" w:cs="Arial" w:eastAsia="Arial" w:hAnsi="Arial"/>
                  <w:sz w:val="18"/>
                  <w:szCs w:val="18"/>
                  <w:color w:val="0000EE"/>
                  <w:w w:val="78"/>
                </w:rPr>
                <w:t>S-5</w:t>
              </w:r>
            </w:hyperlink>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Use of Proceeds</w:t>
              </w:r>
            </w:hyperlink>
          </w:p>
        </w:tc>
        <w:tc>
          <w:tcPr>
            <w:tcW w:w="736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S-11</w:t>
              </w:r>
            </w:hyperlink>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Dividend Policy</w:t>
              </w:r>
            </w:hyperlink>
          </w:p>
        </w:tc>
        <w:tc>
          <w:tcPr>
            <w:tcW w:w="734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S-12</w:t>
              </w:r>
            </w:hyperlink>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Dilution</w:t>
              </w:r>
            </w:hyperlink>
          </w:p>
        </w:tc>
        <w:tc>
          <w:tcPr>
            <w:tcW w:w="792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S-13</w:t>
              </w:r>
            </w:hyperlink>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Price Range of Common Stock</w:t>
              </w:r>
            </w:hyperlink>
          </w:p>
        </w:tc>
        <w:tc>
          <w:tcPr>
            <w:tcW w:w="63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S-15</w:t>
              </w:r>
            </w:hyperlink>
          </w:p>
        </w:tc>
      </w:tr>
      <w:tr>
        <w:trPr>
          <w:trHeight w:val="196"/>
        </w:trPr>
        <w:tc>
          <w:tcPr>
            <w:tcW w:w="8520" w:type="dxa"/>
            <w:vAlign w:val="bottom"/>
            <w:gridSpan w:val="2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120" w:type="dxa"/>
            <w:vAlign w:val="bottom"/>
          </w:tcPr>
          <w:p>
            <w:pPr>
              <w:spacing w:after="0"/>
              <w:rPr>
                <w:sz w:val="17"/>
                <w:szCs w:val="17"/>
                <w:color w:val="auto"/>
              </w:rPr>
            </w:pPr>
          </w:p>
        </w:tc>
        <w:tc>
          <w:tcPr>
            <w:tcW w:w="340" w:type="dxa"/>
            <w:vAlign w:val="bottom"/>
            <w:gridSpan w:val="7"/>
          </w:tcPr>
          <w:p>
            <w:pPr>
              <w:jc w:val="right"/>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S-16</w:t>
              </w:r>
            </w:hyperlink>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71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7"/>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S-18</w:t>
              </w:r>
            </w:hyperlink>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754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7"/>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852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7"/>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S-18</w:t>
              </w:r>
            </w:hyperlink>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Information Incorporated by Reference</w:t>
              </w:r>
            </w:hyperlink>
          </w:p>
        </w:tc>
        <w:tc>
          <w:tcPr>
            <w:tcW w:w="57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7"/>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S-19</w:t>
              </w:r>
            </w:hyperlink>
          </w:p>
        </w:tc>
      </w:tr>
      <w:tr>
        <w:trPr>
          <w:trHeight w:val="451"/>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60" w:type="dxa"/>
            <w:vAlign w:val="bottom"/>
            <w:gridSpan w:val="2"/>
          </w:tcPr>
          <w:p>
            <w:pPr>
              <w:jc w:val="center"/>
              <w:ind w:right="3600"/>
              <w:spacing w:after="0"/>
              <w:rPr>
                <w:sz w:val="20"/>
                <w:szCs w:val="20"/>
                <w:color w:val="auto"/>
              </w:rPr>
            </w:pPr>
            <w:r>
              <w:rPr>
                <w:rFonts w:ascii="Arial" w:cs="Arial" w:eastAsia="Arial" w:hAnsi="Arial"/>
                <w:sz w:val="18"/>
                <w:szCs w:val="18"/>
                <w:b w:val="1"/>
                <w:bCs w:val="1"/>
                <w:color w:val="auto"/>
                <w:w w:val="83"/>
              </w:rPr>
              <w:t>Prospectus</w:t>
            </w:r>
          </w:p>
        </w:tc>
        <w:tc>
          <w:tcPr>
            <w:tcW w:w="1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94"/>
        </w:trPr>
        <w:tc>
          <w:tcPr>
            <w:tcW w:w="852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About This Prospectus</w:t>
              </w:r>
            </w:hyperlink>
          </w:p>
        </w:tc>
        <w:tc>
          <w:tcPr>
            <w:tcW w:w="460" w:type="dxa"/>
            <w:vAlign w:val="bottom"/>
            <w:gridSpan w:val="8"/>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3</w:t>
              </w:r>
            </w:hyperlink>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Axsome Therapeutics, Inc.</w:t>
              </w:r>
            </w:hyperlink>
          </w:p>
        </w:tc>
        <w:tc>
          <w:tcPr>
            <w:tcW w:w="6580" w:type="dxa"/>
            <w:vAlign w:val="bottom"/>
            <w:gridSpan w:val="11"/>
          </w:tcPr>
          <w:p>
            <w:pPr>
              <w:spacing w:after="0"/>
              <w:rPr>
                <w:sz w:val="17"/>
                <w:szCs w:val="17"/>
                <w:color w:val="auto"/>
              </w:rPr>
            </w:pPr>
          </w:p>
        </w:tc>
        <w:tc>
          <w:tcPr>
            <w:tcW w:w="3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3</w:t>
              </w:r>
            </w:hyperlink>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Forward-Looking Statements</w:t>
              </w:r>
            </w:hyperlink>
          </w:p>
        </w:tc>
        <w:tc>
          <w:tcPr>
            <w:tcW w:w="6440" w:type="dxa"/>
            <w:vAlign w:val="bottom"/>
            <w:gridSpan w:val="9"/>
          </w:tcPr>
          <w:p>
            <w:pPr>
              <w:spacing w:after="0"/>
              <w:rPr>
                <w:sz w:val="17"/>
                <w:szCs w:val="17"/>
                <w:color w:val="auto"/>
              </w:rPr>
            </w:pPr>
          </w:p>
        </w:tc>
        <w:tc>
          <w:tcPr>
            <w:tcW w:w="3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4</w:t>
              </w:r>
            </w:hyperlink>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7620" w:type="dxa"/>
            <w:vAlign w:val="bottom"/>
            <w:gridSpan w:val="20"/>
          </w:tcPr>
          <w:p>
            <w:pPr>
              <w:spacing w:after="0"/>
              <w:rPr>
                <w:sz w:val="17"/>
                <w:szCs w:val="17"/>
                <w:color w:val="auto"/>
              </w:rPr>
            </w:pPr>
          </w:p>
        </w:tc>
        <w:tc>
          <w:tcPr>
            <w:tcW w:w="3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5</w:t>
              </w:r>
            </w:hyperlink>
          </w:p>
        </w:tc>
      </w:tr>
      <w:tr>
        <w:trPr>
          <w:trHeight w:val="196"/>
        </w:trPr>
        <w:tc>
          <w:tcPr>
            <w:tcW w:w="852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 and Preferred Stock Dividend Requirements</w:t>
              </w:r>
            </w:hyperlink>
          </w:p>
        </w:tc>
        <w:tc>
          <w:tcPr>
            <w:tcW w:w="460" w:type="dxa"/>
            <w:vAlign w:val="bottom"/>
            <w:gridSpan w:val="8"/>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6</w:t>
              </w:r>
            </w:hyperlink>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Use of Proceeds</w:t>
              </w:r>
            </w:hyperlink>
          </w:p>
        </w:tc>
        <w:tc>
          <w:tcPr>
            <w:tcW w:w="4480" w:type="dxa"/>
            <w:vAlign w:val="bottom"/>
            <w:tcBorders>
              <w:top w:val="single" w:sz="8" w:color="0000EE"/>
            </w:tcBorders>
            <w:gridSpan w:val="17"/>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gridSpan w:val="7"/>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Capital Stock</w:t>
              </w:r>
            </w:hyperlink>
          </w:p>
        </w:tc>
        <w:tc>
          <w:tcPr>
            <w:tcW w:w="6500" w:type="dxa"/>
            <w:vAlign w:val="bottom"/>
            <w:gridSpan w:val="10"/>
          </w:tcPr>
          <w:p>
            <w:pPr>
              <w:spacing w:after="0"/>
              <w:rPr>
                <w:sz w:val="17"/>
                <w:szCs w:val="17"/>
                <w:color w:val="auto"/>
              </w:rPr>
            </w:pPr>
          </w:p>
        </w:tc>
        <w:tc>
          <w:tcPr>
            <w:tcW w:w="360" w:type="dxa"/>
            <w:vAlign w:val="bottom"/>
            <w:gridSpan w:val="7"/>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r>
      <w:tr>
        <w:trPr>
          <w:trHeight w:val="196"/>
        </w:trPr>
        <w:tc>
          <w:tcPr>
            <w:tcW w:w="1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Warrants</w:t>
              </w:r>
            </w:hyperlink>
          </w:p>
        </w:tc>
        <w:tc>
          <w:tcPr>
            <w:tcW w:w="6820" w:type="dxa"/>
            <w:vAlign w:val="bottom"/>
            <w:gridSpan w:val="12"/>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10</w:t>
              </w:r>
            </w:hyperlink>
          </w:p>
        </w:tc>
      </w:tr>
      <w:tr>
        <w:trPr>
          <w:trHeight w:val="196"/>
        </w:trPr>
        <w:tc>
          <w:tcPr>
            <w:tcW w:w="852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Debt Securities</w:t>
              </w:r>
            </w:hyperlink>
          </w:p>
        </w:tc>
        <w:tc>
          <w:tcPr>
            <w:tcW w:w="460" w:type="dxa"/>
            <w:vAlign w:val="bottom"/>
            <w:gridSpan w:val="8"/>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12</w:t>
              </w:r>
            </w:hyperlink>
          </w:p>
        </w:tc>
      </w:tr>
      <w:tr>
        <w:trPr>
          <w:trHeight w:val="196"/>
        </w:trPr>
        <w:tc>
          <w:tcPr>
            <w:tcW w:w="2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Rights</w:t>
              </w:r>
            </w:hyperlink>
          </w:p>
        </w:tc>
        <w:tc>
          <w:tcPr>
            <w:tcW w:w="6380" w:type="dxa"/>
            <w:vAlign w:val="bottom"/>
            <w:gridSpan w:val="8"/>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20</w:t>
              </w:r>
            </w:hyperlink>
          </w:p>
        </w:tc>
      </w:tr>
      <w:tr>
        <w:trPr>
          <w:trHeight w:val="196"/>
        </w:trPr>
        <w:tc>
          <w:tcPr>
            <w:tcW w:w="152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Description Of Units</w:t>
              </w:r>
            </w:hyperlink>
          </w:p>
        </w:tc>
        <w:tc>
          <w:tcPr>
            <w:tcW w:w="7000" w:type="dxa"/>
            <w:vAlign w:val="bottom"/>
            <w:gridSpan w:val="14"/>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22</w:t>
              </w:r>
            </w:hyperlink>
          </w:p>
        </w:tc>
      </w:tr>
      <w:tr>
        <w:trPr>
          <w:trHeight w:val="196"/>
        </w:trPr>
        <w:tc>
          <w:tcPr>
            <w:tcW w:w="1480" w:type="dxa"/>
            <w:vAlign w:val="bottom"/>
            <w:tcBorders>
              <w:top w:val="single" w:sz="8" w:color="0000EE"/>
            </w:tcBorders>
            <w:gridSpan w:val="8"/>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Plan of Distribution</w:t>
              </w:r>
            </w:hyperlink>
          </w:p>
        </w:tc>
        <w:tc>
          <w:tcPr>
            <w:tcW w:w="7040" w:type="dxa"/>
            <w:vAlign w:val="bottom"/>
            <w:gridSpan w:val="15"/>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22</w:t>
              </w:r>
            </w:hyperlink>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7120" w:type="dxa"/>
            <w:vAlign w:val="bottom"/>
            <w:gridSpan w:val="16"/>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24</w:t>
              </w:r>
            </w:hyperlink>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7540" w:type="dxa"/>
            <w:vAlign w:val="bottom"/>
            <w:gridSpan w:val="19"/>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24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20" w:type="dxa"/>
            <w:vAlign w:val="bottom"/>
            <w:gridSpan w:val="18"/>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520" w:type="dxa"/>
            <w:vAlign w:val="bottom"/>
            <w:gridSpan w:val="2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460" w:type="dxa"/>
            <w:vAlign w:val="bottom"/>
            <w:gridSpan w:val="8"/>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24</w:t>
              </w:r>
            </w:hyperlink>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Information Incorporated by Reference</w:t>
              </w:r>
            </w:hyperlink>
          </w:p>
        </w:tc>
        <w:tc>
          <w:tcPr>
            <w:tcW w:w="5720" w:type="dxa"/>
            <w:vAlign w:val="bottom"/>
            <w:gridSpan w:val="3"/>
          </w:tcPr>
          <w:p>
            <w:pPr>
              <w:spacing w:after="0"/>
              <w:rPr>
                <w:sz w:val="17"/>
                <w:szCs w:val="17"/>
                <w:color w:val="auto"/>
              </w:rPr>
            </w:pPr>
          </w:p>
        </w:tc>
        <w:tc>
          <w:tcPr>
            <w:tcW w:w="28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Neither we nor Leerink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Leerink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when making your investment decision. You should also read and consider the information in the documents we have referred you to in the sections of this prospectus supplement and the accompanying prospectus entitled "Where You Can Find More Information" and "Information Incorporated by Reference."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form part of a registration statement on Form S-3 (No. 333-214859)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74"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You should rely only on the information that we have included or incorporated by reference in this prospectus supplement, the accompanying prospectus and any related free writing prospectus that we have authorized for use in connection with this offering. Neither we nor Leerink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97" w:lineRule="exact"/>
        <w:rPr>
          <w:sz w:val="20"/>
          <w:szCs w:val="20"/>
          <w:color w:val="auto"/>
        </w:rPr>
      </w:pPr>
    </w:p>
    <w:p>
      <w:pPr>
        <w:ind w:right="40" w:firstLine="345"/>
        <w:spacing w:after="0" w:line="291" w:lineRule="auto"/>
        <w:rPr>
          <w:sz w:val="20"/>
          <w:szCs w:val="20"/>
          <w:color w:val="auto"/>
        </w:rPr>
      </w:pPr>
      <w:r>
        <w:rPr>
          <w:rFonts w:ascii="Arial" w:cs="Arial" w:eastAsia="Arial" w:hAnsi="Arial"/>
          <w:sz w:val="16"/>
          <w:szCs w:val="16"/>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7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particular, our statements regarding trends and potential future results are examples of such forward-looking statements. The forward-looking statements include risks and uncertainties, including, but not limited to, our expectations regarding sales of our common stock pursuant to the Sales Agreement;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ability to generate revenues in the future;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8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3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00" w:firstLine="351"/>
        <w:spacing w:after="0" w:line="287" w:lineRule="auto"/>
        <w:rPr>
          <w:sz w:val="20"/>
          <w:szCs w:val="20"/>
          <w:color w:val="auto"/>
        </w:rPr>
      </w:pPr>
      <w:r>
        <w:rPr>
          <w:rFonts w:ascii="Arial" w:cs="Arial" w:eastAsia="Arial" w:hAnsi="Arial"/>
          <w:sz w:val="16"/>
          <w:szCs w:val="16"/>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supplement, in our Annual Reports on Form 10-K, in any subsequent Quarterly Reports on Form 10-Q and in our other reports filed from time to time with the SEC, which are incorporated by reference into this prospectus supplement and the accompanying prospectus, before deciding to buy shares of our common stock. Unless the context requires otherwise, references in this prospectus supplement to "Axsome," "we," "us" and "our" refer to Axsome Therapeutics, Inc. and our subsidiaries.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240" w:right="20" w:firstLine="348"/>
        <w:spacing w:after="0" w:line="287" w:lineRule="auto"/>
        <w:rPr>
          <w:sz w:val="20"/>
          <w:szCs w:val="20"/>
          <w:color w:val="auto"/>
        </w:rPr>
      </w:pPr>
      <w:r>
        <w:rPr>
          <w:rFonts w:ascii="Arial" w:cs="Arial" w:eastAsia="Arial" w:hAnsi="Arial"/>
          <w:sz w:val="16"/>
          <w:szCs w:val="16"/>
          <w:color w:val="auto"/>
        </w:rPr>
        <w:t>We are a clinical-stage biopharmaceutical company developing novel therapies for central nervous system, or CNS, disorders for which there are limited treatment options. By focusing on this therapeutic area, we are addressing significant and growing markets where current treatment options are limited or inadequate. Our product candidate portfolio includes three clinical-stage candidates, AXS-02, AXS-05, and AXS-06, which we are developing for multiple indications. We are conducting a Phase 3 trial with AXS-05 in treatment resistant depression, or TRD, which we refer to as the STRIDE-1 study, and a Phase 2/3 trial in agitation in patients with Alzheimer's disease, or AD, which we refer to as the ADVANCE-1 study. We are also conducting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We have completed a Phase 1 trial of AXS-06. We aim to become a fully integrated biopharmaceutical company that develops and commercializes differentiated therapies that expand the treatment options available to caregivers and improve the lives of patients living with CNS disorders.</w:t>
      </w:r>
    </w:p>
    <w:p>
      <w:pPr>
        <w:spacing w:after="0" w:line="177" w:lineRule="exact"/>
        <w:rPr>
          <w:sz w:val="20"/>
          <w:szCs w:val="20"/>
          <w:color w:val="auto"/>
        </w:rPr>
      </w:pPr>
    </w:p>
    <w:p>
      <w:pPr>
        <w:ind w:left="240" w:firstLine="342"/>
        <w:spacing w:after="0" w:line="290" w:lineRule="auto"/>
        <w:rPr>
          <w:sz w:val="20"/>
          <w:szCs w:val="20"/>
          <w:color w:val="auto"/>
        </w:rPr>
      </w:pPr>
      <w:r>
        <w:rPr>
          <w:rFonts w:ascii="Arial" w:cs="Arial" w:eastAsia="Arial" w:hAnsi="Arial"/>
          <w:sz w:val="16"/>
          <w:szCs w:val="16"/>
          <w:color w:val="auto"/>
        </w:rPr>
        <w:t>AXS-05 is an innovative fixed-dose combination of dextromethorphan, or DM, and bupropion. We are developing AXS-05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three Phase 1 trials that DM plasma levels are substantially increased into a potentially therapeutic range with the co-administration of bupropion. Bupropion is itself active at distinct CNS receptors, providing the potential for an additive or synergistic effect. We intend to seek U.S. Food and Drug Administration, or FDA, approval for AXS-05 utilizing the 505(b)(2) regulatory development pathway.</w:t>
      </w:r>
    </w:p>
    <w:p>
      <w:pPr>
        <w:spacing w:after="0" w:line="172" w:lineRule="exact"/>
        <w:rPr>
          <w:sz w:val="20"/>
          <w:szCs w:val="20"/>
          <w:color w:val="auto"/>
        </w:rPr>
      </w:pPr>
    </w:p>
    <w:p>
      <w:pPr>
        <w:ind w:left="240" w:right="140" w:firstLine="351"/>
        <w:spacing w:after="0" w:line="294" w:lineRule="auto"/>
        <w:rPr>
          <w:sz w:val="20"/>
          <w:szCs w:val="20"/>
          <w:color w:val="auto"/>
        </w:rPr>
      </w:pPr>
      <w:r>
        <w:rPr>
          <w:rFonts w:ascii="Arial" w:cs="Arial" w:eastAsia="Arial" w:hAnsi="Arial"/>
          <w:sz w:val="16"/>
          <w:szCs w:val="16"/>
          <w:color w:val="auto"/>
        </w:rPr>
        <w:t>Our second product candidate, AXS-02 (disodium zoledronate tetrahydrate), is a potentially first-in-class, oral, targeted, non-opioid therapeutic for chronic pain. AXS-02 is a potent inhibitor of osteoclasts, which are bone remodeling cells that break down bone tissue. We are initially developing AXS-02 for the treatment of pain in the following three conditions: CRPS; knee OA associated with BMLs; and CLBP associated with type 1 or mixed type 1 and type 2 MCs. These conditions exhibit target lesions or specific pathology that we believe may be addressed by the mechanisms of action of AXS-02, such as inhibition of osteoclast activity. These mechanisms may result in a reduction of pain in these conditions.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81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28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We have successfully completed a Phase 1 trial of AXS-02 to characterize the pharmacokinetics of zoledronic acid and its effects on markers of bone resorption after oral administration of AXS-02. The results of our Phase 1 trial demonstrated that oral administration of AXS-02 tablets resulted in rapid absorption of zoledronic acid, which is the active molecule in AXS-02 and the free acid form of disodium zoledronate tetrahydrate, and substantial suppression of bone resorption markers, which are proteins indicative of bone tissue breakdown. We intend to seek FDA approval for AXS-02 utilizing the 505(b)(2) regulatory development pathway. AXS-02 has been granted Orphan Drug Designation by the FDA and Orphan Medicinal Product Designation by the European Medicines Agency, or EMA, for the treatment of CRPS.</w:t>
      </w:r>
    </w:p>
    <w:p>
      <w:pPr>
        <w:spacing w:after="0" w:line="174" w:lineRule="exact"/>
        <w:rPr>
          <w:sz w:val="20"/>
          <w:szCs w:val="20"/>
          <w:color w:val="auto"/>
        </w:rPr>
      </w:pPr>
    </w:p>
    <w:p>
      <w:pPr>
        <w:ind w:left="240" w:right="20" w:firstLine="351"/>
        <w:spacing w:after="0" w:line="286" w:lineRule="auto"/>
        <w:rPr>
          <w:sz w:val="20"/>
          <w:szCs w:val="20"/>
          <w:color w:val="auto"/>
        </w:rPr>
      </w:pPr>
      <w:r>
        <w:rPr>
          <w:rFonts w:ascii="Arial" w:cs="Arial" w:eastAsia="Arial" w:hAnsi="Arial"/>
          <w:sz w:val="16"/>
          <w:szCs w:val="16"/>
          <w:color w:val="auto"/>
        </w:rPr>
        <w:t>Our third product candidate, AXS 06, is a novel, oral, non-opioid, fixed-dose combination of MoSEIC™, or Molecular Solubility Enhanced Inclusion Complex, meloxicam and esomeprazole. We are developing AXS-06 initially for the treatment of OA and rheumatoid arthritis.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AXS-06 utilizes our proprietary MoSEIC™ technology to substantially increase the solubility and speed the absorption of meloxicam while maintaining durability of action.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Tmax for meloxicam, the trial's primary endpoint, was nine times faster for AXS-06 as compared to standard meloxicam. We intend to seek FDA approval for AXS 06 utilizing the 505(b)(2) regulatory development pathway. Further clinical development of AXS-06 is contingent upon availability of resources.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current product candidate pipeline is summarized in the graphic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w:t>
      </w:r>
    </w:p>
    <w:p>
      <w:pPr>
        <w:spacing w:after="0" w:line="231" w:lineRule="exact"/>
        <w:rPr>
          <w:sz w:val="20"/>
          <w:szCs w:val="20"/>
          <w:color w:val="auto"/>
        </w:rPr>
      </w:pPr>
    </w:p>
    <w:p>
      <w:pPr>
        <w:ind w:left="240" w:right="120" w:firstLine="351"/>
        <w:spacing w:after="0" w:line="268" w:lineRule="auto"/>
        <w:rPr>
          <w:sz w:val="20"/>
          <w:szCs w:val="20"/>
          <w:color w:val="auto"/>
        </w:rPr>
      </w:pPr>
      <w:r>
        <w:rPr>
          <w:rFonts w:ascii="Arial" w:cs="Arial" w:eastAsia="Arial" w:hAnsi="Arial"/>
          <w:sz w:val="18"/>
          <w:szCs w:val="18"/>
          <w:color w:val="auto"/>
        </w:rPr>
        <w:t>On September 7, 2017, we issued a press release announcing that the results of the interim analyses for the CREATE-1 and COAST-1 trials of AXS-02 are anticipated late December 2017 to early January 2018.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49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14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20" w:firstLine="348"/>
        <w:spacing w:after="0" w:line="268" w:lineRule="auto"/>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25 Broadway, 9th Floor, New York, New York 10004, and our telephone number is (212) 332-3241.</w:t>
      </w:r>
    </w:p>
    <w:p>
      <w:pPr>
        <w:spacing w:after="0" w:line="186" w:lineRule="exact"/>
        <w:rPr>
          <w:sz w:val="20"/>
          <w:szCs w:val="20"/>
          <w:color w:val="auto"/>
        </w:rPr>
      </w:pPr>
    </w:p>
    <w:p>
      <w:pPr>
        <w:ind w:left="240" w:right="60" w:firstLine="351"/>
        <w:spacing w:after="0" w:line="318" w:lineRule="auto"/>
        <w:rPr>
          <w:sz w:val="20"/>
          <w:szCs w:val="20"/>
          <w:color w:val="auto"/>
        </w:rPr>
      </w:pPr>
      <w:r>
        <w:rPr>
          <w:rFonts w:ascii="Arial" w:cs="Arial" w:eastAsia="Arial" w:hAnsi="Arial"/>
          <w:sz w:val="15"/>
          <w:szCs w:val="15"/>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and on our website at </w:t>
      </w:r>
      <w:r>
        <w:rPr>
          <w:rFonts w:ascii="Arial" w:cs="Arial" w:eastAsia="Arial" w:hAnsi="Arial"/>
          <w:sz w:val="15"/>
          <w:szCs w:val="15"/>
          <w:i w:val="1"/>
          <w:iCs w:val="1"/>
          <w:color w:val="auto"/>
        </w:rPr>
        <w:t>www.axsome.com</w:t>
      </w:r>
      <w:r>
        <w:rPr>
          <w:rFonts w:ascii="Arial" w:cs="Arial" w:eastAsia="Arial" w:hAnsi="Arial"/>
          <w:sz w:val="15"/>
          <w:szCs w:val="15"/>
          <w:color w:val="auto"/>
        </w:rPr>
        <w:t>. The public can also obtain copies of these filings by visiting the SEC's Public Reference Room at 100 F Street NE, Washington D.C. 20549, or by calling the SEC at 1-800-SEC-0330.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80" w:firstLine="34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221" w:lineRule="exact"/>
        <w:rPr>
          <w:sz w:val="20"/>
          <w:szCs w:val="20"/>
          <w:color w:val="auto"/>
        </w:rPr>
      </w:pPr>
    </w:p>
    <w:p>
      <w:pPr>
        <w:ind w:left="1320" w:right="340" w:hanging="538"/>
        <w:spacing w:after="0" w:line="332" w:lineRule="auto"/>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requirement for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2" w:lineRule="exact"/>
        <w:rPr>
          <w:rFonts w:ascii="Arial" w:cs="Arial" w:eastAsia="Arial" w:hAnsi="Arial"/>
          <w:sz w:val="16"/>
          <w:szCs w:val="16"/>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internal controls over financial reporting;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requirements for non-binding advisory votes on executive compensation or golden parachute arrangements.</w:t>
      </w:r>
    </w:p>
    <w:p>
      <w:pPr>
        <w:spacing w:after="0" w:line="225"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may take advantage of these provisions for up to five years from the date of our initial public offering in November 2015 or such earlier time that we no longer qualify as an emerging growth company. We would cease to be an emerging growth company if we have more than $1.07 billion in total annual gross revenue, have more than $700 million in market value of our capital stock held by non-affiliates or issue more than $1.0 billion of non-convertible debt over a three-year period. We may choose to take advantage of some but not all of these reduced reporting requirements and other burdens. We have taken advantage of some reduced reporting burdens in this prospectus supplement, the accompanying prospectus and the documents incorporated by reference herein and therein. Accordingly, the information that we provide stockholders may be different than what you might obtain from other public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3185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18579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Common stock offered by us</w:t>
      </w:r>
    </w:p>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1920"/>
        <w:spacing w:after="0" w:line="268" w:lineRule="auto"/>
        <w:rPr>
          <w:sz w:val="20"/>
          <w:szCs w:val="20"/>
          <w:color w:val="auto"/>
        </w:rPr>
      </w:pPr>
      <w:r>
        <w:rPr>
          <w:rFonts w:ascii="Arial" w:cs="Arial" w:eastAsia="Arial" w:hAnsi="Arial"/>
          <w:sz w:val="18"/>
          <w:szCs w:val="18"/>
          <w:color w:val="auto"/>
        </w:rPr>
        <w:t>Shares of our common stock having an aggregate offering price of up to $30 million.</w:t>
      </w:r>
    </w:p>
    <w:p>
      <w:pPr>
        <w:spacing w:after="0" w:line="186" w:lineRule="exact"/>
        <w:rPr>
          <w:sz w:val="20"/>
          <w:szCs w:val="20"/>
          <w:color w:val="auto"/>
        </w:rPr>
      </w:pPr>
    </w:p>
    <w:p>
      <w:pPr>
        <w:ind w:right="1440"/>
        <w:spacing w:after="0" w:line="332" w:lineRule="auto"/>
        <w:rPr>
          <w:sz w:val="20"/>
          <w:szCs w:val="20"/>
          <w:color w:val="auto"/>
        </w:rPr>
      </w:pPr>
      <w:r>
        <w:rPr>
          <w:rFonts w:ascii="Arial" w:cs="Arial" w:eastAsia="Arial" w:hAnsi="Arial"/>
          <w:sz w:val="16"/>
          <w:szCs w:val="16"/>
          <w:color w:val="auto"/>
        </w:rPr>
        <w:t>"At the market offering" that may be made from time to time through our sales agent, Leerink Partners LLC. See "Plan of Distribution" on page S-16.</w:t>
      </w:r>
    </w:p>
    <w:p>
      <w:pPr>
        <w:spacing w:after="0" w:line="139" w:lineRule="exact"/>
        <w:rPr>
          <w:sz w:val="20"/>
          <w:szCs w:val="20"/>
          <w:color w:val="auto"/>
        </w:rPr>
      </w:pPr>
    </w:p>
    <w:p>
      <w:pPr>
        <w:ind w:right="1340"/>
        <w:spacing w:after="0" w:line="306" w:lineRule="auto"/>
        <w:rPr>
          <w:sz w:val="20"/>
          <w:szCs w:val="20"/>
          <w:color w:val="auto"/>
        </w:rPr>
      </w:pPr>
      <w:r>
        <w:rPr>
          <w:rFonts w:ascii="Arial" w:cs="Arial" w:eastAsia="Arial" w:hAnsi="Arial"/>
          <w:sz w:val="16"/>
          <w:szCs w:val="16"/>
          <w:color w:val="auto"/>
        </w:rPr>
        <w:t>We intend to use the net proceeds from this offering to fund the ongoing clinical development of our late stage product candidates, AXS 05 and AXS 02, and other general corporate purposes. See "Use of Proceeds."</w:t>
      </w:r>
    </w:p>
    <w:p>
      <w:pPr>
        <w:spacing w:after="0" w:line="161" w:lineRule="exact"/>
        <w:rPr>
          <w:sz w:val="20"/>
          <w:szCs w:val="20"/>
          <w:color w:val="auto"/>
        </w:rPr>
      </w:pPr>
    </w:p>
    <w:p>
      <w:pPr>
        <w:sectPr>
          <w:pgSz w:w="11900" w:h="16838" w:orient="portrait"/>
          <w:cols w:equalWidth="0" w:num="2">
            <w:col w:w="3720" w:space="720"/>
            <w:col w:w="698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80" w:type="dxa"/>
            <w:vAlign w:val="bottom"/>
          </w:tcPr>
          <w:p>
            <w:pPr>
              <w:ind w:left="1340"/>
              <w:spacing w:after="0"/>
              <w:rPr>
                <w:sz w:val="20"/>
                <w:szCs w:val="20"/>
                <w:color w:val="auto"/>
              </w:rPr>
            </w:pPr>
            <w:r>
              <w:rPr>
                <w:rFonts w:ascii="Arial" w:cs="Arial" w:eastAsia="Arial" w:hAnsi="Arial"/>
                <w:sz w:val="18"/>
                <w:szCs w:val="18"/>
                <w:color w:val="auto"/>
              </w:rPr>
              <w:t>Risk factors</w:t>
            </w:r>
          </w:p>
        </w:tc>
        <w:tc>
          <w:tcPr>
            <w:tcW w:w="7340" w:type="dxa"/>
            <w:vAlign w:val="bottom"/>
          </w:tcPr>
          <w:p>
            <w:pPr>
              <w:ind w:left="360"/>
              <w:spacing w:after="0"/>
              <w:rPr>
                <w:sz w:val="20"/>
                <w:szCs w:val="20"/>
                <w:color w:val="auto"/>
              </w:rPr>
            </w:pPr>
            <w:r>
              <w:rPr>
                <w:rFonts w:ascii="Arial" w:cs="Arial" w:eastAsia="Arial" w:hAnsi="Arial"/>
                <w:sz w:val="18"/>
                <w:szCs w:val="18"/>
                <w:color w:val="auto"/>
              </w:rPr>
              <w:t>Investing in our common stock involves a high degree of risk. You should read</w:t>
            </w:r>
          </w:p>
        </w:tc>
      </w:tr>
      <w:tr>
        <w:trPr>
          <w:trHeight w:val="216"/>
        </w:trPr>
        <w:tc>
          <w:tcPr>
            <w:tcW w:w="408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the "Risk Factors" section of this prospectus supplement beginning on page S-5</w:t>
            </w:r>
          </w:p>
        </w:tc>
      </w:tr>
      <w:tr>
        <w:trPr>
          <w:trHeight w:val="216"/>
        </w:trPr>
        <w:tc>
          <w:tcPr>
            <w:tcW w:w="408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as well as those risk factors that are incorporated by reference in this prospectus</w:t>
            </w:r>
          </w:p>
        </w:tc>
      </w:tr>
      <w:tr>
        <w:trPr>
          <w:trHeight w:val="216"/>
        </w:trPr>
        <w:tc>
          <w:tcPr>
            <w:tcW w:w="408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supplement and the accompanying prospectus for a discussion of factors to</w:t>
            </w:r>
          </w:p>
        </w:tc>
      </w:tr>
      <w:tr>
        <w:trPr>
          <w:trHeight w:val="222"/>
        </w:trPr>
        <w:tc>
          <w:tcPr>
            <w:tcW w:w="4080" w:type="dxa"/>
            <w:vAlign w:val="bottom"/>
          </w:tcPr>
          <w:p>
            <w:pPr>
              <w:spacing w:after="0"/>
              <w:rPr>
                <w:sz w:val="19"/>
                <w:szCs w:val="19"/>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consider carefully before deciding to invest in shares of our common stock.</w:t>
            </w:r>
          </w:p>
        </w:tc>
      </w:tr>
      <w:tr>
        <w:trPr>
          <w:trHeight w:val="432"/>
        </w:trPr>
        <w:tc>
          <w:tcPr>
            <w:tcW w:w="4080" w:type="dxa"/>
            <w:vAlign w:val="bottom"/>
          </w:tcPr>
          <w:p>
            <w:pPr>
              <w:ind w:left="1340"/>
              <w:spacing w:after="0"/>
              <w:rPr>
                <w:sz w:val="20"/>
                <w:szCs w:val="20"/>
                <w:color w:val="auto"/>
              </w:rPr>
            </w:pPr>
            <w:r>
              <w:rPr>
                <w:rFonts w:ascii="Arial" w:cs="Arial" w:eastAsia="Arial" w:hAnsi="Arial"/>
                <w:sz w:val="18"/>
                <w:szCs w:val="18"/>
                <w:color w:val="auto"/>
              </w:rPr>
              <w:t>NASDAQ Global Market symbol</w:t>
            </w:r>
          </w:p>
        </w:tc>
        <w:tc>
          <w:tcPr>
            <w:tcW w:w="7340" w:type="dxa"/>
            <w:vAlign w:val="bottom"/>
          </w:tcPr>
          <w:p>
            <w:pPr>
              <w:ind w:left="360"/>
              <w:spacing w:after="0"/>
              <w:rPr>
                <w:sz w:val="20"/>
                <w:szCs w:val="20"/>
                <w:color w:val="auto"/>
              </w:rPr>
            </w:pPr>
            <w:r>
              <w:rPr>
                <w:rFonts w:ascii="Arial" w:cs="Arial" w:eastAsia="Arial" w:hAnsi="Arial"/>
                <w:sz w:val="18"/>
                <w:szCs w:val="18"/>
                <w:color w:val="auto"/>
              </w:rPr>
              <w:t>AXSM</w:t>
            </w:r>
          </w:p>
        </w:tc>
      </w:tr>
      <w:tr>
        <w:trPr>
          <w:trHeight w:val="228"/>
        </w:trPr>
        <w:tc>
          <w:tcPr>
            <w:tcW w:w="408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spacing w:after="0"/>
              <w:rPr>
                <w:sz w:val="19"/>
                <w:szCs w:val="19"/>
                <w:color w:val="auto"/>
              </w:rPr>
            </w:pPr>
          </w:p>
        </w:tc>
      </w:tr>
      <w:tr>
        <w:trPr>
          <w:trHeight w:val="427"/>
        </w:trPr>
        <w:tc>
          <w:tcPr>
            <w:tcW w:w="4080" w:type="dxa"/>
            <w:vAlign w:val="bottom"/>
          </w:tcPr>
          <w:p>
            <w:pPr>
              <w:spacing w:after="0"/>
              <w:rPr>
                <w:sz w:val="24"/>
                <w:szCs w:val="24"/>
                <w:color w:val="auto"/>
              </w:rPr>
            </w:pPr>
          </w:p>
        </w:tc>
        <w:tc>
          <w:tcPr>
            <w:tcW w:w="7340" w:type="dxa"/>
            <w:vAlign w:val="bottom"/>
          </w:tcPr>
          <w:p>
            <w:pPr>
              <w:ind w:left="1520"/>
              <w:spacing w:after="0"/>
              <w:rPr>
                <w:sz w:val="20"/>
                <w:szCs w:val="20"/>
                <w:color w:val="auto"/>
              </w:rPr>
            </w:pPr>
            <w:r>
              <w:rPr>
                <w:rFonts w:ascii="Arial" w:cs="Arial" w:eastAsia="Arial" w:hAnsi="Arial"/>
                <w:sz w:val="18"/>
                <w:szCs w:val="18"/>
                <w:color w:val="auto"/>
              </w:rPr>
              <w:t>S-4</w:t>
            </w: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incur substantial and increasing losses for the foreseeable future. We may never achieve or maintain profitability, which would depress the market price of our common stock, and could cause you to lose all or a part of your investment.</w:t>
      </w:r>
    </w:p>
    <w:p>
      <w:pPr>
        <w:spacing w:after="0" w:line="194"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AXS-02 and AXS-05, with the goal of achieving regulatory approval. Since inception, we have incurred significant operating losses. Our net losses were $15.1 million and $27.2 million for the six months ended June 30, 2017 and the year ended December 31, 2016, respectively. As of June 30, 2017, we had an accumulated deficit of $62.7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AXS-05, AXS-02, AXS-06 and our other current and future product candidates. In addition, we expect to incur significant sales, marketing and manufacturing expenses related to the commercialization of our current and future product candidates, if they are approved by the FDA. As a result, we expect to continue to incur significant losses for the foreseeable future. We anticipate that our expenses will increase substantially as we continue to progress the development of our current product candidates.</w:t>
      </w:r>
    </w:p>
    <w:p>
      <w:pPr>
        <w:spacing w:after="0" w:line="174" w:lineRule="exact"/>
        <w:rPr>
          <w:sz w:val="20"/>
          <w:szCs w:val="20"/>
          <w:color w:val="auto"/>
        </w:rPr>
      </w:pPr>
    </w:p>
    <w:p>
      <w:pPr>
        <w:ind w:right="180" w:firstLine="348"/>
        <w:spacing w:after="0" w:line="289"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97" w:lineRule="exact"/>
        <w:rPr>
          <w:sz w:val="20"/>
          <w:szCs w:val="20"/>
          <w:color w:val="auto"/>
        </w:rPr>
      </w:pPr>
    </w:p>
    <w:p>
      <w:pPr>
        <w:ind w:right="160" w:firstLine="395"/>
        <w:spacing w:after="0" w:line="268" w:lineRule="auto"/>
        <w:rPr>
          <w:sz w:val="20"/>
          <w:szCs w:val="20"/>
          <w:color w:val="auto"/>
        </w:rPr>
      </w:pPr>
      <w:r>
        <w:rPr>
          <w:rFonts w:ascii="Arial" w:cs="Arial" w:eastAsia="Arial" w:hAnsi="Arial"/>
          <w:sz w:val="18"/>
          <w:szCs w:val="18"/>
          <w:b w:val="1"/>
          <w:bCs w:val="1"/>
          <w:i w:val="1"/>
          <w:iCs w:val="1"/>
          <w:color w:val="auto"/>
        </w:rPr>
        <w:t>We will need to obtain additional financing to fund our operations and, if we are unable to obtain such financing, we may be unable to complete the development and commercialization of our product candidates.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time-consuming, expensive, and uncertain process that takes years to complete. We will need to raise additional capital to:</w:t>
      </w:r>
    </w:p>
    <w:p>
      <w:pPr>
        <w:spacing w:after="0" w:line="208" w:lineRule="exact"/>
        <w:rPr>
          <w:sz w:val="20"/>
          <w:szCs w:val="20"/>
          <w:color w:val="auto"/>
        </w:rPr>
      </w:pPr>
    </w:p>
    <w:p>
      <w:pPr>
        <w:ind w:left="1080" w:right="1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21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qualify and outsource the commercial-scale manufacturing of our products under current good manufacturing practices;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in-license other product candidates.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Further, we may not have sufficient financial resources to meet all of our objectives if any of AXS-05, AXS-02 or AXS-06 is approved by regulatory authorities, which could require us to postpone, scale back or eliminate some or all of these objectives, including our potential launch activities relating to AXS-05, AXS-02 and AXS-06. Our future funding requirements will depend on many factors, including, but not limited to:</w:t>
      </w:r>
    </w:p>
    <w:p>
      <w:pPr>
        <w:spacing w:after="0" w:line="174"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costs related to our Phase 3 development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221"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co-promotion or other arrangements that we may establish;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the commercialization of our current or future product candidates.</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Management will have broad discretion as to the use of any proceeds from this offering, and we may not use the proceeds effectively.</w:t>
      </w:r>
    </w:p>
    <w:p>
      <w:pPr>
        <w:spacing w:after="0" w:line="24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Leerink at any time throughout the term of the Sales Agreement. The number of shares that are sold through Leerink after delivering a placement notice will fluctuate based on a number of factors, including the market price of our common stock during the sales period, any limits we may set with Leerink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70" w:lineRule="exact"/>
        <w:rPr>
          <w:sz w:val="20"/>
          <w:szCs w:val="20"/>
          <w:color w:val="auto"/>
        </w:rPr>
      </w:pPr>
    </w:p>
    <w:p>
      <w:pPr>
        <w:ind w:right="460" w:firstLine="395"/>
        <w:spacing w:after="0" w:line="268"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If you purchase our common stock in this offering, you may incur immediate and substantial dilution in the book value of your shares.</w:t>
      </w:r>
    </w:p>
    <w:p>
      <w:pPr>
        <w:spacing w:after="0" w:line="248"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6,036,217 shares of our common stock are sold at an assumed offering price of $4.97 per share, the last reported sale price of our common stock on the NASDAQ Global Market on October 19, 2017, for aggregate gross proceeds of $30 million, and after deducting commissions and estimated offering expenses payable by us, you would experience immediate dilution of $3.23 per share, representing the difference between our as adjusted net tangible book value per share as of June 30, 2017,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177" w:lineRule="exact"/>
        <w:rPr>
          <w:sz w:val="20"/>
          <w:szCs w:val="20"/>
          <w:color w:val="auto"/>
        </w:rPr>
      </w:pPr>
    </w:p>
    <w:p>
      <w:pPr>
        <w:ind w:right="620" w:firstLine="395"/>
        <w:spacing w:after="0" w:line="332"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Risk Factors</w:t>
      </w:r>
    </w:p>
    <w:p>
      <w:pPr>
        <w:spacing w:after="0" w:line="231"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72"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AXS-02, AXS-05, or any other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("the '239 patent") was filed at the USPTO by Grunenthal GmbH (Grunenthal), and the post-grant review was instituted on July 7, 2017. In addition, in May 2017 and October 2017, petitions for post-grant review of U.S. Patent No. 9,408,862 ("the '862 patent") and of U.S. Patent No. 9,539,268 ("the '268 patent"), respectively, were filed at the USPTO by Grunenthal. 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petitions request that the Patent Trial and Appeal Board, or PTAB, initiate proceedings to review the validity of the '239, the '862, and the '268 patents.</w:t>
      </w:r>
    </w:p>
    <w:p>
      <w:pPr>
        <w:spacing w:after="0" w:line="17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We cannot predict what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outcomes of the proceedings for the '239 patent will be. In August 2017, we responded to and opposed the petition for the '862 patent.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'862 patent, or what the outcomes of the proceeding would be if it is initiated. If the PTAB decides to initiate a proceeding, it may determine that all the claims of the challenged patent are unpatentable. We also intend to respond to and oppose the petition for the '268 patent, after which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'268 patent, or what the outcomes of the proceeding would be if it is initiated. If the PTAB decides to initiate a proceeding, it may determine that all the claims of the challenged patent are unpatentable. Additionally, we cannot be sure that the validity of the claims in other issued patents covering any of our current or future product candidates will not also be challenged. We may incur increased expenses related to the growth of our intellectual property portfolio and to its defense.</w:t>
      </w:r>
    </w:p>
    <w:p>
      <w:pPr>
        <w:spacing w:after="0" w:line="17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may issue and sell shares of our common stock having an aggregate offering price of up to $30 million from time to time. Because there is no minimum offering amount required as a condition to close this offering, the actual total public offering amount, commissions to Leerink and proceeds to us, if any, are not determinable at this time. There can be no assurance that we will sell any shares under the Sales Agreement as a source of financing.</w:t>
      </w:r>
    </w:p>
    <w:p>
      <w:pPr>
        <w:spacing w:after="0" w:line="16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intend to use the net proceeds from this offering to fund the ongoing clinical development of our late stage product candidates, AXS 05 and AXS 02, and other general corporate purposes.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9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not declared or paid any cash dividends on our capital stock since our inception. We currently anticipate that we will retain future earnings, if any, for the development, operation and expansion of our business and do not anticipate declaring or paying any cash dividends in the foreseeable future.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 In addition, the terms of our existing credit facility with Silicon Valley Bank, or SVB, preclude us from paying cash dividends without the consent of SVB. As a result, we anticipate that only appreciation of the price of our common stock, if any, will provide a return to investors in this offering for at least the foreseeable future.</w:t>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16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At June 30, 2017, our net tangible book value was $22,754,608, or $0.96 per share of common stock, based on 23,608,084 shares of common stock then outstanding. After giving effect to the assumed sale by us of an aggregate of 6,036,217 shares of our common stock at an assumed offering price of $4.97 per share, the last reported sale price of our common stock on the NASDAQ Global Market on October 19, 2017, for aggregate gross proceeds of $30 million, and after deducting commissions and estimated offering expenses payable by us, our net tangible book value at June 30, 2017 would have been $51,654,607, or $1.74 per share of common stock. This represents an immediate increase in net tangible book value to existing stockholders of $0.78 per share and an immediate dilution of $3.23 per share to new investors purchasing common stock at the assumed offering price of $4.97 per share in this offering.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this per share dilution to the new investors purchasing shares of common stock in this offering:</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tangible book value per share at June 30, 2017</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Increase in net tangible book value per share attributable to new investors purchasing shares in this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0.78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7440" w:type="dxa"/>
            <w:vAlign w:val="bottom"/>
            <w:gridSpan w:val="2"/>
          </w:tcPr>
          <w:p>
            <w:pPr>
              <w:spacing w:after="0"/>
              <w:rPr>
                <w:sz w:val="20"/>
                <w:szCs w:val="20"/>
                <w:color w:val="auto"/>
              </w:rPr>
            </w:pPr>
            <w:r>
              <w:rPr>
                <w:rFonts w:ascii="Arial" w:cs="Arial" w:eastAsia="Arial" w:hAnsi="Arial"/>
                <w:sz w:val="18"/>
                <w:szCs w:val="18"/>
                <w:color w:val="auto"/>
                <w:w w:val="96"/>
              </w:rPr>
              <w:t>As adjusted net tangible book value per share at June 30, 2017, after giving effect to this offering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foregoing table and calculations are based on 23,608,084 shares of our common stock outstanding as of June 30, 2017, and exclude 249,797 shares of common stock issuable upon the exercise of outstanding warrants as of June 30, 2017, consisting of 65,228 warrants with an exercise price of $7.41 per share, 42,059 warrants with an exercise price of $5.94 per share, 142,510 warrants with an exercise price of $1.30 per share, 2,169,540 shares of common stock issuable upon exercise of stock options outstanding as of June 30, 2017, at a weighted average exercise price of $5.52 per share, and 3,030,616 shares of common stock that remain available under our 2015 Omnibus Incentive Compensation Plan for future grants.</w:t>
      </w:r>
    </w:p>
    <w:p>
      <w:pPr>
        <w:spacing w:after="0" w:line="17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increase of $1.00 per share in the price at which the shares are sold from the assumed offering price of $4.97 per share shown in the table above, assuming all of our common stock in the aggregate amount of $30 million during the term of the Sales Agreement with Leerink is sold at that price, would increase our as adjusted net tangible book value per share to $1.80 per share and would increase the dilution in net tangible book value per share to new investors in this offering to $4.17 per share, after deducting commissions and estimated offering expenses payable by us. A decrease of $1.00 per share in the price at which the shares are sold from the assumed offering price of $4.97 per share shown in the table above, assuming all of our common stock in the aggregate amount of $30 million during the term of the Sales Agreement with Leerink is sold at that price, would decrease our as adjusted net tangible book value per share to $1.66 per share and would decrease the dilution in net tangible book value per share to new investors in this offering to $2.31 per share, after deducting commissions and estimated offering expenses payable by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information discussed above is illustrative only and the shares subject to our Sales Agreement with Leerink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Our common stock was listed on the NASDAQ Capital Market under the symbol "AXSM" between November 19, 2015 and March 2, 2017. Effective as of March 3, 2017, our common stock has been listed on the NASDAQ Global Market under the same symbol. Prior to our initial public offering in November 2015, there was no public trading market for our common stock. The following table sets forth the high and low sales prices per share of our common stock as reported on the NASDAQ Capital Market and the NASDAQ Global Market, as applicable, for the periods indicated:</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October 19,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8.35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15.74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Fourth Quarter (from November 19,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October 19, 2017, the last sale price of our common stock, as reported on the NASDAQ Global Market, was $4.97 per share.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entered into a Sales Agreement with Leerink Partners LLC, or Leerink, under which we may issue and sell up to $30 million of our common stock from time to time through Leerink as our sales agent.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Leerink will offer our common stock subject to the terms and conditions of the Sales Agreement on a daily basis or as otherwise agreed upon by us and Leerink. We will designate the maximum number or amount of common stock to be sold through Leerink on a daily basis or otherwise determine such maximum number or amount together with Leerink. Subject to the terms and conditions of the Sales Agreement, Leerink will use commercially reasonable efforts consistent with its normal trading and sales practices to sell on our behalf all of the common stock requested to be sold by us. We may instruct Leerink not to sell common stock if the sales cannot be effected at or above a minimum price designated by us in any such instruction. Leerink or we may suspend the offering of our common stock being made through Leerink under the Sales Agreement upon proper notice to the other party. Leerink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compensation payable to Leerink as sales agent will be an amount equal to 3.0% of the gross proceeds of any shares of common stock sold through it pursuant to the Sales Agreement. We have also agreed to reimburse Leerink for actual outside legal expenses incurred by Leerink in connection with this offering, including Leerink's counsel fees in an amount up to $50,000, plus an additional amount of up to $15,000 in connection with any filings made with the Financial Industry Regulatory Authority, Inc., or FINRA. In accordance with FINRA Rule 5110 these reimbursed fees and expenses are deemed sales compensation to Leerink in connection with this offering. We estimate that the total expenses of the offering payable by us, excluding commissions payable to Leerink under the Sales Agreement, will be approximately $200,000.</w:t>
      </w:r>
    </w:p>
    <w:p>
      <w:pPr>
        <w:spacing w:after="0" w:line="174"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spacing w:after="0" w:line="139"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Leerink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14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will report at least quarterly the number of shares of common stock sold through Leerink under the Sales Agreement, the net proceeds to us and the compensation paid by us to Leerink in connection with the sales of common stock during the relevant period.</w:t>
      </w:r>
    </w:p>
    <w:p>
      <w:pPr>
        <w:spacing w:after="0" w:line="186" w:lineRule="exact"/>
        <w:rPr>
          <w:sz w:val="20"/>
          <w:szCs w:val="20"/>
          <w:color w:val="auto"/>
        </w:rPr>
      </w:pPr>
    </w:p>
    <w:p>
      <w:pPr>
        <w:jc w:val="both"/>
        <w:ind w:right="220" w:firstLine="351"/>
        <w:spacing w:after="0" w:line="332" w:lineRule="auto"/>
        <w:rPr>
          <w:sz w:val="20"/>
          <w:szCs w:val="20"/>
          <w:color w:val="auto"/>
        </w:rPr>
      </w:pPr>
      <w:r>
        <w:rPr>
          <w:rFonts w:ascii="Arial" w:cs="Arial" w:eastAsia="Arial" w:hAnsi="Arial"/>
          <w:sz w:val="16"/>
          <w:szCs w:val="16"/>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connection with the sale of the common stock on our behalf pursuant to the Sales Agreement, Leerink will be deemed to be an "underwriter" within the meaning of the Securities Act and the compensation paid to Leerink will be deemed to be underwriting commissions or discounts. We have agreed in the Sales Agreement to provide indemnification and contribution to Leerink with respect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liabilities, including liabilities under the Securities Act or the Exchange Act. As sales agent, Leerink will not engage in any transactions that stabilize our common stock.</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common stock is listed on the NASDAQ Global Market and trade under the symbol "AXSM." The transfer agent of our common stock is American Stock Transfer &amp; Trust Company, LLC.</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Leerink and/or its affiliates have provided, and may in the future provide, various investment banking and other financial services for us for which services they have received, and may in the future receive, customary fees.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validity of the common stock being offered by this prospectus supplement will be passed upon for us by Morgan, Lewis &amp; Bockius LLP, New York, New York. Covington &amp; Burling LLP, New York, New York, is counsel to Leerink in connection with this offering.</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as set forth in their report, which is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as of their respective dates,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supplement and the accompanying prospectus form part of a registration statement on Form S-3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supplement, regardless of the time of delivery of this prospectus supplement or any sale of the securities offered hereby.</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maintain a website at </w:t>
      </w:r>
      <w:r>
        <w:rPr>
          <w:rFonts w:ascii="Arial" w:cs="Arial" w:eastAsia="Arial" w:hAnsi="Arial"/>
          <w:sz w:val="16"/>
          <w:szCs w:val="16"/>
          <w:i w:val="1"/>
          <w:iCs w:val="1"/>
          <w:color w:val="auto"/>
        </w:rPr>
        <w:t>www.axsome.com</w:t>
      </w:r>
      <w:r>
        <w:rPr>
          <w:rFonts w:ascii="Arial" w:cs="Arial" w:eastAsia="Arial" w:hAnsi="Arial"/>
          <w:sz w:val="16"/>
          <w:szCs w:val="16"/>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7, 2017;</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our definitive proxy statement on Schedule 14A for our 2017 Annual Meeting of Stockholders, filed with the SEC on April 28, 2017, to the extent incorporated by reference in Part III of the Form 10 K for the fiscal year ended December 31, 2016;</w:t>
      </w:r>
    </w:p>
    <w:p>
      <w:pPr>
        <w:spacing w:after="0" w:line="152"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2017 and June 30, 2017, filed with the SEC on May 9, 2017 and August 9, 2017, respectively;</w:t>
      </w:r>
    </w:p>
    <w:p>
      <w:pPr>
        <w:spacing w:after="0" w:line="199"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4, 2017, January 12, 2017, February 10, 2017, February 14, 2017, March 14, 2017, March 21, 2017, March 30, 2017, March 31, 2017, May 9, 2017 (solely with respect to Item 8.01), June 2, 2017, June 19, 2017, July 7, 2017, July 18, 2017, July 26, 2017, September 11, 2017 and September 18, 2017; and</w:t>
      </w:r>
    </w:p>
    <w:p>
      <w:pPr>
        <w:spacing w:after="0" w:line="221"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8-A12B, filed with the SEC on November 16, 2015 (File No. 001-37635), and all amendments or reports filed for the purpose of updating such description.</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spacing w:after="0" w:line="167"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spacing w:after="0" w:line="15" w:lineRule="exact"/>
        <w:rPr>
          <w:sz w:val="20"/>
          <w:szCs w:val="20"/>
          <w:color w:val="auto"/>
        </w:rPr>
      </w:pPr>
    </w:p>
    <w:p>
      <w:pPr>
        <w:ind w:left="5460" w:hanging="217"/>
        <w:spacing w:after="0"/>
        <w:tabs>
          <w:tab w:leader="none" w:pos="5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Broadway</w:t>
      </w:r>
    </w:p>
    <w:p>
      <w:pPr>
        <w:spacing w:after="0" w:line="9"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3" w:lineRule="exact"/>
        <w:rPr>
          <w:sz w:val="20"/>
          <w:szCs w:val="20"/>
          <w:color w:val="auto"/>
        </w:rPr>
      </w:pPr>
    </w:p>
    <w:p>
      <w:pPr>
        <w:ind w:left="5540" w:right="5160" w:hanging="375"/>
        <w:spacing w:after="0" w:line="613" w:lineRule="auto"/>
        <w:tabs>
          <w:tab w:leader="none" w:pos="5581" w:val="left"/>
        </w:tabs>
        <w:numPr>
          <w:ilvl w:val="0"/>
          <w:numId w:val="7"/>
        </w:numPr>
        <w:rPr>
          <w:rFonts w:ascii="Arial" w:cs="Arial" w:eastAsia="Arial" w:hAnsi="Arial"/>
          <w:sz w:val="16"/>
          <w:szCs w:val="16"/>
          <w:color w:val="auto"/>
        </w:rPr>
      </w:pPr>
      <w:r>
        <w:rPr>
          <w:rFonts w:ascii="Arial" w:cs="Arial" w:eastAsia="Arial" w:hAnsi="Arial"/>
          <w:sz w:val="16"/>
          <w:szCs w:val="16"/>
          <w:color w:val="auto"/>
        </w:rPr>
        <w:t>332-3241 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152400</wp:posOffset>
            </wp:positionV>
            <wp:extent cx="2452370" cy="754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$150,000,000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Rights to Purchase Common Stock, Preferred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 or Units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 We may sell any combination of these securities in one or more offerings with an aggregate initial offering price of up to $150,000,000.</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common stock is listed on the NASDAQ Capital Market under the symbol "AXSM." On November 30, 2016, the closing price of our common stock was $6.55.</w:t>
      </w:r>
    </w:p>
    <w:p>
      <w:pPr>
        <w:spacing w:after="0" w:line="167" w:lineRule="exact"/>
        <w:rPr>
          <w:sz w:val="20"/>
          <w:szCs w:val="20"/>
          <w:color w:val="auto"/>
        </w:rPr>
      </w:pPr>
    </w:p>
    <w:p>
      <w:pPr>
        <w:ind w:right="3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5 of this prospectus.</w:t>
      </w:r>
    </w:p>
    <w:p>
      <w:pPr>
        <w:spacing w:after="0" w:line="200"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88"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944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AXSOME THERAPEUTICS, INC</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5</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w w:val="99"/>
              </w:rPr>
              <w:t>RATIO OF EARNINGS TO FIXED CHARGES AND PREFERRED STOCK DIVIDEND REQUIREMENTS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10</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12</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RIGHTS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20</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DESCRIPTION OF UNITS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22</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EXPERTS</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24</w:t>
            </w:r>
          </w:p>
        </w:tc>
      </w:tr>
      <w:tr>
        <w:trPr>
          <w:trHeight w:val="432"/>
        </w:trPr>
        <w:tc>
          <w:tcPr>
            <w:tcW w:w="9440" w:type="dxa"/>
            <w:vAlign w:val="bottom"/>
          </w:tcPr>
          <w:p>
            <w:pPr>
              <w:ind w:left="1140"/>
              <w:spacing w:after="0"/>
              <w:rPr>
                <w:sz w:val="20"/>
                <w:szCs w:val="20"/>
                <w:color w:val="auto"/>
              </w:rPr>
            </w:pPr>
            <w:r>
              <w:rPr>
                <w:rFonts w:ascii="Arial" w:cs="Arial" w:eastAsia="Arial" w:hAnsi="Arial"/>
                <w:sz w:val="18"/>
                <w:szCs w:val="18"/>
                <w:color w:val="auto"/>
              </w:rPr>
              <w:t>INFORMATION INCORPORATED BY REFERENCE</w:t>
            </w:r>
          </w:p>
        </w:tc>
        <w:tc>
          <w:tcPr>
            <w:tcW w:w="1980" w:type="dxa"/>
            <w:vAlign w:val="bottom"/>
          </w:tcPr>
          <w:p>
            <w:pPr>
              <w:jc w:val="right"/>
              <w:ind w:right="1212"/>
              <w:spacing w:after="0"/>
              <w:rPr>
                <w:sz w:val="20"/>
                <w:szCs w:val="20"/>
                <w:color w:val="auto"/>
              </w:rPr>
            </w:pPr>
            <w:r>
              <w:rPr>
                <w:rFonts w:ascii="Arial" w:cs="Arial" w:eastAsia="Arial" w:hAnsi="Arial"/>
                <w:sz w:val="18"/>
                <w:szCs w:val="18"/>
                <w:color w:val="auto"/>
              </w:rPr>
              <w:t>25</w:t>
            </w:r>
          </w:p>
        </w:tc>
      </w:tr>
      <w:tr>
        <w:trPr>
          <w:trHeight w:val="432"/>
        </w:trPr>
        <w:tc>
          <w:tcPr>
            <w:tcW w:w="9440" w:type="dxa"/>
            <w:vAlign w:val="bottom"/>
          </w:tcPr>
          <w:p>
            <w:pPr>
              <w:ind w:left="56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r>
      <w:tr>
        <w:trPr>
          <w:trHeight w:val="228"/>
        </w:trPr>
        <w:tc>
          <w:tcPr>
            <w:tcW w:w="94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initial offering price of up to $150,000,000.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72"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or at the SEC public reference room, as discussed below under the heading "Where You Can Find More Information."</w:t>
      </w:r>
    </w:p>
    <w:p>
      <w:pPr>
        <w:spacing w:after="0" w:line="161" w:lineRule="exact"/>
        <w:rPr>
          <w:sz w:val="20"/>
          <w:szCs w:val="20"/>
          <w:color w:val="auto"/>
        </w:rPr>
      </w:pPr>
    </w:p>
    <w:p>
      <w:pPr>
        <w:ind w:firstLine="345"/>
        <w:spacing w:after="0" w:line="255"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97" w:lineRule="exact"/>
        <w:rPr>
          <w:sz w:val="20"/>
          <w:szCs w:val="20"/>
          <w:color w:val="auto"/>
        </w:rPr>
      </w:pPr>
    </w:p>
    <w:p>
      <w:pPr>
        <w:ind w:right="220" w:firstLine="348"/>
        <w:spacing w:after="0" w:line="323" w:lineRule="auto"/>
        <w:rPr>
          <w:sz w:val="20"/>
          <w:szCs w:val="20"/>
          <w:color w:val="auto"/>
        </w:rPr>
      </w:pPr>
      <w:r>
        <w:rPr>
          <w:rFonts w:ascii="Arial" w:cs="Arial" w:eastAsia="Arial" w:hAnsi="Arial"/>
          <w:sz w:val="15"/>
          <w:szCs w:val="15"/>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5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are a clinical 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two late stage candidates, AXS-02 and AXS-05, which we are developing for multiple indications. We have initiated a Phase 3 trial with AXS-02 in complex regional pain syndrome, or CRPS, which we refer to as the CREATE-1 study, and a Phase 3 trial with AXS-02 in knee osteoarthritis, or OA, associated with bone marrow lesions, or BMLs, pursuant to a Special Protocol Assessment, or SPA, which we refer to as the COAST-1 study. We have also initiated a Phase 3 trial with AXS-05 in treatment resistant depression, or TRD, which we refer to as the STRIDE-1 study, and plan to initiate a Phase 2/3 trial in agitation in patients with Alzheimer's disease, or AD. We aim to become a fully integrated biopharmaceutical company that develops and commercializes differentiated therapies that expand the treatment options available to caregivers and improve the lives of patients living with CNS disorders.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 w:name="page27"/>
    <w:bookmarkEnd w:id="26"/>
    <w:p>
      <w:pPr>
        <w:ind w:firstLine="351"/>
        <w:spacing w:after="0" w:line="282" w:lineRule="auto"/>
        <w:rPr>
          <w:sz w:val="20"/>
          <w:szCs w:val="20"/>
          <w:color w:val="auto"/>
        </w:rPr>
      </w:pPr>
      <w:r>
        <w:rPr>
          <w:rFonts w:ascii="Arial" w:cs="Arial" w:eastAsia="Arial" w:hAnsi="Arial"/>
          <w:sz w:val="16"/>
          <w:szCs w:val="16"/>
          <w:color w:val="auto"/>
        </w:rPr>
        <w:t>Our first product candidate, AXS-02 (disodium zoledronate tetrahydrate), is a potentially first-in-class, oral, targeted, non-opioid therapeutic for chronic pain. AXS-02 is a potent inhibitor of osteoclasts, which are bone remodeling cells that break down bone tissue. We are initially developing AXS-02 for the treatment of pain in the following three conditions: CRPS; knee OA associated with BMLs; and chronic low back pain, or CLBP, associated with type 1 or mixed type 1 and type 2 Modic changes, or MCs. These conditions exhibit target lesions or specific pathology that we believe may be addressed by the mechanisms of action of AXS-02, such as inhibition of osteoclast activity. These mechanisms may result in a reduction of pain in these conditions. We have successfully completed a Phase 1 trial of AXS-02 to characterize the pharmacokinetics of zoledronic acid and its effects on markers of bone resorption after oral administration of AXS-02. The results of our Phase 1 trial demonstrated that oral administration of AXS-02 tablets resulted in rapid absorption of zoledronic acid, which is the active molecule in AXS-02 and the free acid form of disodium zoledronate tetrahydrate, and substantial suppression of bone resorption markers, which are proteins indicative of bone tissue breakdown. We intend to seek U.S. Food and Drug Administration, or FDA, approval for AXS-02 utilizing the 505(b)</w:t>
      </w:r>
    </w:p>
    <w:p>
      <w:pPr>
        <w:spacing w:after="0" w:line="5" w:lineRule="exact"/>
        <w:rPr>
          <w:sz w:val="20"/>
          <w:szCs w:val="20"/>
          <w:color w:val="auto"/>
        </w:rPr>
      </w:pPr>
    </w:p>
    <w:p>
      <w:pPr>
        <w:ind w:right="180"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development pathway. AXS-02 has been granted Orphan Drug Designation by the FDA and Orphan Medicinal Product Designation by the EMA for the treatment of CRPS.</w:t>
      </w:r>
    </w:p>
    <w:p>
      <w:pPr>
        <w:spacing w:after="0" w:line="19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second product candidate, AXS-05, is an innovative fixed-dose combination of dextromethorphan, or DM, and bupropion. We are developing AXS-05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AXS-05 uses bupropion as a novel drug delivery method to inhibit DM metabolism and increase its bioavailability. We have demonstrated in three Phase 1 trials that DM plasma levels are substantially increased into a potentially therapeutic range with the co administration of bupropion. Bupropion is itself active at distinct CNS receptors providing the potential for an additive or synergistic effect. We intend to seek FDA approval for AXS-05 utilizing the 505(b)(2) regulatory development pathway.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one active program, AXS-06, in preclinical development. We are developing AXS-06 for the treatment of chronic pain disorders.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principal executive offices are located at 25 Broadway, 9th Floor, New York, New York 10004,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 The public can also obtain copies of these filings by visiting the SEC's Public Reference Room at 100 F Street NE, Washington DC 20549, or by calling the SEC at 1-800-SEC-0330 or by accessing the SEC's website at www.sec.gov.</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ind w:right="40"/>
        <w:spacing w:after="0" w:line="287" w:lineRule="auto"/>
        <w:rPr>
          <w:sz w:val="20"/>
          <w:szCs w:val="20"/>
          <w:color w:val="auto"/>
        </w:rPr>
      </w:pPr>
      <w:r>
        <w:rPr>
          <w:rFonts w:ascii="Arial" w:cs="Arial" w:eastAsia="Arial" w:hAnsi="Arial"/>
          <w:sz w:val="16"/>
          <w:szCs w:val="16"/>
          <w:color w:val="auto"/>
        </w:rPr>
        <w:t>"plans,"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uncertainties that affect our business and our market, particularly those discussed in the "Risk Factors" section of our Annual Report on Form 10-K for the year ended December 31, 2015, as amended,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77"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2015, as amended,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b w:val="1"/>
          <w:bCs w:val="1"/>
          <w:color w:val="auto"/>
        </w:rPr>
        <w:t>RATIO OF EARNINGS TO FIXED CHARGES AND PREFERRED STOCK DIVIDEND REQUIREMENTS</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following table sets forth our ratio of earnings to fixed charges and our ratio of earnings to combined fixed charges and preferred stock dividends for each of the periods indicated. You should read this table in conjunction with the financial statements and notes incorporated by reference in this registration statement.</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 of earnings to fixed charges(1)(2)</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6"/>
              </w:rPr>
              <w:t>Ratios of earnings to combined fixed charges and preferred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stock dividends(1)(2)</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2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our losses for the nine months ended September 30, 2016 and the years ended December 31, 2015, 2014 and 2013, the coverage ratio was less than 1:1.</w:t>
      </w:r>
    </w:p>
    <w:p>
      <w:pPr>
        <w:spacing w:after="0" w:line="212" w:lineRule="exact"/>
        <w:rPr>
          <w:rFonts w:ascii="Arial" w:cs="Arial" w:eastAsia="Arial" w:hAnsi="Arial"/>
          <w:sz w:val="18"/>
          <w:szCs w:val="18"/>
          <w:color w:val="auto"/>
        </w:rPr>
      </w:pPr>
    </w:p>
    <w:p>
      <w:pPr>
        <w:ind w:left="1680" w:right="12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have needed to generate additional earnings of $19.9 million, $12.2 million, $6.0 million and $2.2 million for the nine months ended September 30, 2016 and the years ended December 31, 2015, 2014 and 2013, respectively, to cover our fixed charges and our combined fixed charges and preferred stock dividends in those periods.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include, but are not limited to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Amended and Restated Certificate of Incorporation provides the authority to issue 150,000,000 shares of common stock, par value $0.0001 per share. At November 28, 2016, there were 19,153,417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Capital Market under the symbol "AXSM."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issuance of any preferred stock could adversely affect the rights of the holders of common stock and, therefore, reduce the value of the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ability of our board of directors to issue preferred stock could discourage, delay or prevent a takeover or change in control.</w:t>
      </w:r>
    </w:p>
    <w:p>
      <w:pPr>
        <w:spacing w:after="0" w:line="21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right="480" w:firstLine="348"/>
        <w:spacing w:after="0" w:line="268"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174"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General Corporation Law of Delaware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jc w:val="both"/>
        <w:ind w:right="680" w:firstLine="351"/>
        <w:spacing w:after="0" w:line="259"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Certain Amended and Restated Certificate of Incorporation and Amended and Restated Bylaws Provisions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53" w:lineRule="exact"/>
        <w:rPr>
          <w:sz w:val="20"/>
          <w:szCs w:val="20"/>
          <w:color w:val="auto"/>
        </w:rPr>
      </w:pPr>
    </w:p>
    <w:p>
      <w:pPr>
        <w:ind w:left="1080" w:right="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239" w:lineRule="exact"/>
        <w:rPr>
          <w:rFonts w:ascii="Arial" w:cs="Arial" w:eastAsia="Arial" w:hAnsi="Arial"/>
          <w:sz w:val="18"/>
          <w:szCs w:val="18"/>
          <w:color w:val="auto"/>
        </w:rPr>
      </w:pPr>
    </w:p>
    <w:p>
      <w:pPr>
        <w:ind w:left="1080" w:right="260" w:hanging="532"/>
        <w:spacing w:after="0" w:line="188" w:lineRule="auto"/>
        <w:tabs>
          <w:tab w:leader="none" w:pos="1080" w:val="left"/>
        </w:tabs>
        <w:numPr>
          <w:ilvl w:val="0"/>
          <w:numId w:val="11"/>
        </w:numPr>
        <w:rPr>
          <w:rFonts w:ascii="Arial" w:cs="Arial" w:eastAsia="Arial" w:hAnsi="Arial"/>
          <w:sz w:val="35"/>
          <w:szCs w:val="35"/>
          <w:color w:val="auto"/>
          <w:vertAlign w:val="superscript"/>
        </w:rPr>
      </w:pPr>
      <w:r>
        <w:rPr>
          <w:rFonts w:ascii="Arial" w:cs="Arial" w:eastAsia="Arial" w:hAnsi="Arial"/>
          <w:sz w:val="18"/>
          <w:szCs w:val="18"/>
          <w:color w:val="auto"/>
        </w:rPr>
        <w:t>Provide for the removal of a director only with cause and by the affirmative vote of the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or more of the shares then entitled to vote at an election of our directors;</w:t>
      </w:r>
    </w:p>
    <w:p>
      <w:pPr>
        <w:spacing w:after="0" w:line="23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any action instituted against our officers or directors in connection with their service to us to be brought in the state of Delaware.</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Amended and Restated Certificate of Incorporation contains provisions permitted under the General Corporation Law of Delaware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General Corporation Law of Delaware.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6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that the warrants are issued with and the number of warrants issued with each security;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any securities issued with the warrants will be separately transferable;</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3" w:name="page34"/>
    <w:bookmarkEnd w:id="33"/>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prospectus supplement relating to a particular issue of warrants to issue debt securities will describe the terms of those warrants, including the following:</w:t>
      </w:r>
    </w:p>
    <w:p>
      <w:pPr>
        <w:spacing w:after="0" w:line="27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4" w:name="page35"/>
    <w:bookmarkEnd w:id="34"/>
    <w:p>
      <w:pPr>
        <w:ind w:firstLine="351"/>
        <w:spacing w:after="0" w:line="33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3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prospectus supplement will describe the particular terms of any series of debt securities we may issue, including some or all of the following:</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52"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including those related to original issue discount, if applicable;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72"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1"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Conversion and Exchange</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5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225"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54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6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5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252" w:lineRule="exact"/>
        <w:rPr>
          <w:rFonts w:ascii="Arial" w:cs="Arial" w:eastAsia="Arial" w:hAnsi="Arial"/>
          <w:sz w:val="18"/>
          <w:szCs w:val="18"/>
          <w:color w:val="auto"/>
        </w:rPr>
      </w:pPr>
    </w:p>
    <w:p>
      <w:pPr>
        <w:ind w:left="1080" w:right="40" w:hanging="532"/>
        <w:spacing w:after="0" w:line="370"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225"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66" w:lineRule="exact"/>
        <w:rPr>
          <w:sz w:val="20"/>
          <w:szCs w:val="20"/>
          <w:color w:val="auto"/>
        </w:rPr>
      </w:pPr>
    </w:p>
    <w:p>
      <w:pPr>
        <w:ind w:left="1080" w:right="10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jc w:val="both"/>
        <w:ind w:left="1080" w:right="200"/>
        <w:spacing w:after="0" w:line="259" w:lineRule="auto"/>
        <w:rPr>
          <w:sz w:val="20"/>
          <w:szCs w:val="20"/>
          <w:color w:val="auto"/>
        </w:rPr>
      </w:pPr>
      <w:r>
        <w:rPr>
          <w:rFonts w:ascii="Arial" w:cs="Arial" w:eastAsia="Arial" w:hAnsi="Arial"/>
          <w:sz w:val="18"/>
          <w:szCs w:val="18"/>
          <w:color w:val="auto"/>
        </w:rPr>
        <w:t>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20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21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ind w:left="54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275"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39"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99" w:lineRule="exact"/>
        <w:rPr>
          <w:sz w:val="20"/>
          <w:szCs w:val="20"/>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 —Legal Defeasance."</w:t>
      </w:r>
    </w:p>
    <w:p>
      <w:pPr>
        <w:spacing w:after="0" w:line="194"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ind w:left="54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210" w:lineRule="exact"/>
        <w:rPr>
          <w:sz w:val="20"/>
          <w:szCs w:val="20"/>
          <w:color w:val="auto"/>
        </w:rPr>
      </w:pPr>
    </w:p>
    <w:p>
      <w:pPr>
        <w:ind w:left="1080" w:right="320" w:hanging="532"/>
        <w:spacing w:after="0" w:line="30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7"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must deliver to the trustee certain documentation stating that all conditions precedent to covenant defeasance have been complied with.</w:t>
      </w:r>
    </w:p>
    <w:p>
      <w:pPr>
        <w:spacing w:after="0" w:line="248"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74" w:lineRule="exact"/>
        <w:rPr>
          <w:sz w:val="20"/>
          <w:szCs w:val="20"/>
          <w:color w:val="auto"/>
        </w:rPr>
      </w:pPr>
    </w:p>
    <w:p>
      <w:pPr>
        <w:ind w:left="1080" w:right="32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87"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211"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ind w:right="120" w:firstLine="351"/>
        <w:spacing w:after="0" w:line="256" w:lineRule="auto"/>
        <w:rPr>
          <w:sz w:val="20"/>
          <w:szCs w:val="20"/>
          <w:color w:val="auto"/>
        </w:rPr>
      </w:pPr>
      <w:r>
        <w:rPr>
          <w:rFonts w:ascii="Arial" w:cs="Arial" w:eastAsia="Arial" w:hAnsi="Arial"/>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239" w:lineRule="exact"/>
        <w:rPr>
          <w:sz w:val="20"/>
          <w:szCs w:val="20"/>
          <w:color w:val="auto"/>
        </w:rPr>
      </w:pPr>
    </w:p>
    <w:p>
      <w:pPr>
        <w:ind w:left="1080" w:right="20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right="460" w:firstLine="348"/>
        <w:spacing w:after="0" w:line="268"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6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7"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8"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99" w:lineRule="exact"/>
        <w:rPr>
          <w:sz w:val="20"/>
          <w:szCs w:val="20"/>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provision for the issuance, payment, settlement, transfer or exchange of the units or of the securities comprising the units;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252" w:lineRule="exact"/>
        <w:rPr>
          <w:rFonts w:ascii="Arial" w:cs="Arial" w:eastAsia="Arial" w:hAnsi="Arial"/>
          <w:sz w:val="18"/>
          <w:szCs w:val="18"/>
          <w:color w:val="auto"/>
        </w:rPr>
      </w:pPr>
    </w:p>
    <w:p>
      <w:pPr>
        <w:ind w:left="5620" w:right="5540" w:hanging="5072"/>
        <w:spacing w:after="0" w:line="613" w:lineRule="auto"/>
        <w:tabs>
          <w:tab w:leader="none" w:pos="108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name or names of any managing underwriter or underwriters;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5" w:name="page46"/>
    <w:bookmarkEnd w:id="45"/>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94"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6" w:name="page47"/>
    <w:bookmarkEnd w:id="46"/>
    <w:p>
      <w:pPr>
        <w:ind w:left="36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86"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validity of the securities being offered hereby will be passed upon for us by Morgan, Lewis &amp; Bockius LLP, New York, New York.</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10-K/A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1"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7" w:lineRule="exact"/>
        <w:rPr>
          <w:sz w:val="20"/>
          <w:szCs w:val="20"/>
          <w:color w:val="auto"/>
        </w:rPr>
      </w:pPr>
    </w:p>
    <w:p>
      <w:pPr>
        <w:ind w:left="1080" w:right="4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 filed with the SEC on March 24, 2016 (the "Form 10-K"), and amended on August 9, 2016;</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meeting of stockholders filed with the SEC on April 27, 2016, to the extent incorporated by reference in Part III of the Form 10-K;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March 31, 2016 filed with the SEC on May 11, 2016, and amended on August 9, 2016;</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2016 filed with the SEC on August 9,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2016 filed with the SEC on November 14, 2016;</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22, 2016, March 29, 2016 (as to Item 8.01 and Exhibit 99.2 only), April 21, 2016, May 5, 2016, June 10, 2016, July 12, 2016, September 2, 2016 and November 10, 2016;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description of our common stock contained in the registration statement on Form 8-A, filed on November 16, 2015, and all amendments and reports updating such description.</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Axsome Therapeutics, Inc.</w:t>
      </w:r>
    </w:p>
    <w:p>
      <w:pPr>
        <w:spacing w:after="0" w:line="15" w:lineRule="exact"/>
        <w:rPr>
          <w:sz w:val="20"/>
          <w:szCs w:val="20"/>
          <w:color w:val="auto"/>
        </w:rPr>
      </w:pPr>
    </w:p>
    <w:p>
      <w:pPr>
        <w:ind w:left="5380" w:right="5180" w:hanging="137"/>
        <w:spacing w:after="0" w:line="323" w:lineRule="auto"/>
        <w:tabs>
          <w:tab w:leader="none" w:pos="54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47" w:lineRule="exact"/>
        <w:rPr>
          <w:sz w:val="20"/>
          <w:szCs w:val="20"/>
          <w:color w:val="auto"/>
        </w:rPr>
      </w:pPr>
    </w:p>
    <w:p>
      <w:pPr>
        <w:ind w:left="5580" w:hanging="415"/>
        <w:spacing w:after="0"/>
        <w:tabs>
          <w:tab w:leader="none" w:pos="5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332-3241</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00"/>
        <w:spacing w:after="0"/>
        <w:rPr>
          <w:sz w:val="20"/>
          <w:szCs w:val="20"/>
          <w:color w:val="auto"/>
        </w:rPr>
      </w:pPr>
      <w:r>
        <w:rPr>
          <w:rFonts w:ascii="Arial" w:cs="Arial" w:eastAsia="Arial" w:hAnsi="Arial"/>
          <w:sz w:val="24"/>
          <w:szCs w:val="24"/>
          <w:b w:val="1"/>
          <w:bCs w:val="1"/>
          <w:color w:val="auto"/>
        </w:rPr>
        <w:t>$30,000,000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160020</wp:posOffset>
            </wp:positionV>
            <wp:extent cx="2452370" cy="754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Axsome Therapeutics, Inc.</w:t>
      </w:r>
    </w:p>
    <w:p>
      <w:pPr>
        <w:spacing w:after="0" w:line="260"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Leerink Partners</w:t>
      </w:r>
    </w:p>
    <w:p>
      <w:pPr>
        <w:spacing w:after="0" w:line="24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October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25"/>
    </w:lvl>
  </w:abstractNum>
  <w:abstractNum w:abstractNumId="6">
    <w:nsid w:val="628C895D"/>
    <w:multiLevelType w:val="hybridMultilevel"/>
    <w:lvl w:ilvl="0">
      <w:lvlJc w:val="left"/>
      <w:lvlText w:val="(%1)"/>
      <w:numFmt w:val="decimal"/>
      <w:start w:val="212"/>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25"/>
    </w:lvl>
  </w:abstractNum>
  <w:abstractNum w:abstractNumId="34">
    <w:nsid w:val="5577F8E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2019-12-07T20:40:07Z</dcterms:created>
  <dcterms:modified xsi:type="dcterms:W3CDTF">2019-12-07T20:40:07Z</dcterms:modified>
</cp:coreProperties>
</file>