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05464T104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20" w:hanging="912"/>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Rule 13d-1(b)</w:t>
      </w:r>
    </w:p>
    <w:p>
      <w:pPr>
        <w:spacing w:after="0" w:line="27" w:lineRule="exact"/>
        <w:rPr>
          <w:sz w:val="24"/>
          <w:szCs w:val="24"/>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13d-1(c)</w:t>
      </w:r>
    </w:p>
    <w:p>
      <w:pPr>
        <w:spacing w:after="0" w:line="9" w:lineRule="exact"/>
        <w:rPr>
          <w:sz w:val="24"/>
          <w:szCs w:val="24"/>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13d-1(d)</w:t>
      </w:r>
    </w:p>
    <w:p>
      <w:pPr>
        <w:spacing w:after="0" w:line="207" w:lineRule="exact"/>
        <w:rPr>
          <w:sz w:val="24"/>
          <w:szCs w:val="24"/>
          <w:color w:val="auto"/>
        </w:rPr>
      </w:pPr>
    </w:p>
    <w:p>
      <w:pPr>
        <w:ind w:right="40"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114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Each Reporting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CUSIP No. 05464T104</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Iridian Asset Management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4"/>
          <w:szCs w:val="24"/>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 [X ]</w:t>
      </w:r>
      <w:r>
        <w:rPr>
          <w:sz w:val="20"/>
          <w:szCs w:val="20"/>
          <w:color w:val="auto"/>
        </w:rPr>
        <w:tab/>
      </w:r>
      <w:r>
        <w:rPr>
          <w:rFonts w:ascii="Times New Roman" w:cs="Times New Roman" w:eastAsia="Times New Roman" w:hAnsi="Times New Roman"/>
          <w:sz w:val="18"/>
          <w:szCs w:val="18"/>
          <w:color w:val="auto"/>
        </w:rPr>
        <w:t>(b) [  ]</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USE ONLY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7" w:lineRule="exact"/>
        <w:rPr>
          <w:sz w:val="24"/>
          <w:szCs w:val="24"/>
          <w:color w:val="auto"/>
        </w:rPr>
      </w:pPr>
    </w:p>
    <w:p>
      <w:pPr>
        <w:ind w:left="560" w:right="7600" w:hanging="551"/>
        <w:spacing w:after="0" w:line="282"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61" w:lineRule="exact"/>
        <w:rPr>
          <w:rFonts w:ascii="Times New Roman" w:cs="Times New Roman" w:eastAsia="Times New Roman" w:hAnsi="Times New Roman"/>
          <w:sz w:val="18"/>
          <w:szCs w:val="18"/>
          <w:color w:val="auto"/>
        </w:rPr>
      </w:pPr>
    </w:p>
    <w:p>
      <w:pPr>
        <w:ind w:left="560" w:right="7420" w:hanging="551"/>
        <w:spacing w:after="0" w:line="282"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2,064,158</w:t>
      </w:r>
    </w:p>
    <w:p>
      <w:pPr>
        <w:spacing w:after="0" w:line="161" w:lineRule="exact"/>
        <w:rPr>
          <w:rFonts w:ascii="Times New Roman" w:cs="Times New Roman" w:eastAsia="Times New Roman" w:hAnsi="Times New Roman"/>
          <w:sz w:val="18"/>
          <w:szCs w:val="18"/>
          <w:color w:val="auto"/>
        </w:rPr>
      </w:pPr>
    </w:p>
    <w:p>
      <w:pPr>
        <w:ind w:left="560" w:right="7240" w:hanging="551"/>
        <w:spacing w:after="0" w:line="282"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61" w:lineRule="exact"/>
        <w:rPr>
          <w:rFonts w:ascii="Times New Roman" w:cs="Times New Roman" w:eastAsia="Times New Roman" w:hAnsi="Times New Roman"/>
          <w:sz w:val="18"/>
          <w:szCs w:val="18"/>
          <w:color w:val="auto"/>
        </w:rPr>
      </w:pPr>
    </w:p>
    <w:p>
      <w:pPr>
        <w:ind w:left="560" w:right="7060" w:hanging="551"/>
        <w:spacing w:after="0" w:line="282"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2,064,158</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2,064,158</w:t>
      </w:r>
    </w:p>
    <w:p>
      <w:pPr>
        <w:sectPr>
          <w:pgSz w:w="11900" w:h="16838" w:orient="portrait"/>
          <w:cols w:equalWidth="0" w:num="2">
            <w:col w:w="1200" w:space="540"/>
            <w:col w:w="9500"/>
          </w:cols>
          <w:pgMar w:left="320" w:top="1147" w:right="339" w:bottom="0" w:gutter="0" w:footer="0" w:header="0"/>
          <w:type w:val="continuous"/>
        </w:sectPr>
      </w:pPr>
    </w:p>
    <w:bookmarkStart w:id="1" w:name="page2"/>
    <w:bookmarkEnd w:id="1"/>
    <w:p>
      <w:pPr>
        <w:ind w:left="1080"/>
        <w:spacing w:after="0"/>
        <w:tabs>
          <w:tab w:leader="none" w:pos="1720" w:val="left"/>
          <w:tab w:leader="none" w:pos="8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 (See Instructions) [</w:t>
        <w:tab/>
        <w:t>]</w:t>
      </w:r>
    </w:p>
    <w:p>
      <w:pPr>
        <w:spacing w:after="0" w:line="225" w:lineRule="exact"/>
        <w:rPr>
          <w:sz w:val="20"/>
          <w:szCs w:val="20"/>
          <w:color w:val="auto"/>
        </w:rPr>
      </w:pPr>
    </w:p>
    <w:p>
      <w:pPr>
        <w:ind w:left="1740" w:right="4599" w:hanging="666"/>
        <w:spacing w:after="0" w:line="282" w:lineRule="auto"/>
        <w:tabs>
          <w:tab w:leader="none" w:pos="1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w:t>
      </w:r>
    </w:p>
    <w:p>
      <w:pPr>
        <w:spacing w:after="0" w:line="161" w:lineRule="exact"/>
        <w:rPr>
          <w:rFonts w:ascii="Times New Roman" w:cs="Times New Roman" w:eastAsia="Times New Roman" w:hAnsi="Times New Roman"/>
          <w:sz w:val="18"/>
          <w:szCs w:val="18"/>
          <w:color w:val="auto"/>
        </w:rPr>
      </w:pPr>
    </w:p>
    <w:p>
      <w:pPr>
        <w:ind w:left="1740" w:hanging="666"/>
        <w:spacing w:after="0"/>
        <w:tabs>
          <w:tab w:leader="none" w:pos="1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CUSIP No. 05464T104</w:t>
      </w:r>
    </w:p>
    <w:p>
      <w:pPr>
        <w:spacing w:after="0" w:line="207" w:lineRule="exact"/>
        <w:rPr>
          <w:sz w:val="20"/>
          <w:szCs w:val="20"/>
          <w:color w:val="auto"/>
        </w:rPr>
      </w:pPr>
    </w:p>
    <w:p>
      <w:pPr>
        <w:ind w:left="1740" w:hanging="666"/>
        <w:spacing w:after="0"/>
        <w:tabs>
          <w:tab w:leader="none" w:pos="1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L. Cohen</w:t>
      </w:r>
    </w:p>
    <w:p>
      <w:pPr>
        <w:spacing w:after="0" w:line="27"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ectPr>
          <w:pgSz w:w="11900" w:h="16838" w:orient="portrait"/>
          <w:cols w:equalWidth="0" w:num="1">
            <w:col w:w="10139"/>
          </w:cols>
          <w:pgMar w:left="320" w:top="337" w:right="1440" w:bottom="0" w:gutter="0" w:footer="0" w:header="0"/>
        </w:sect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 [ X ]</w:t>
      </w:r>
      <w:r>
        <w:rPr>
          <w:sz w:val="20"/>
          <w:szCs w:val="20"/>
          <w:color w:val="auto"/>
        </w:rPr>
        <w:tab/>
      </w:r>
      <w:r>
        <w:rPr>
          <w:rFonts w:ascii="Times New Roman" w:cs="Times New Roman" w:eastAsia="Times New Roman" w:hAnsi="Times New Roman"/>
          <w:sz w:val="18"/>
          <w:szCs w:val="18"/>
          <w:color w:val="auto"/>
        </w:rPr>
        <w:t>(b)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USE ONLY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560" w:right="6499" w:hanging="551"/>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61" w:lineRule="exact"/>
        <w:rPr>
          <w:rFonts w:ascii="Times New Roman" w:cs="Times New Roman" w:eastAsia="Times New Roman" w:hAnsi="Times New Roman"/>
          <w:sz w:val="18"/>
          <w:szCs w:val="18"/>
          <w:color w:val="auto"/>
        </w:rPr>
      </w:pPr>
    </w:p>
    <w:p>
      <w:pPr>
        <w:ind w:left="560" w:right="6319" w:hanging="551"/>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2,064,158</w:t>
      </w:r>
    </w:p>
    <w:p>
      <w:pPr>
        <w:spacing w:after="0" w:line="161" w:lineRule="exact"/>
        <w:rPr>
          <w:rFonts w:ascii="Times New Roman" w:cs="Times New Roman" w:eastAsia="Times New Roman" w:hAnsi="Times New Roman"/>
          <w:sz w:val="18"/>
          <w:szCs w:val="18"/>
          <w:color w:val="auto"/>
        </w:rPr>
      </w:pPr>
    </w:p>
    <w:p>
      <w:pPr>
        <w:ind w:left="560" w:right="6139" w:hanging="551"/>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61" w:lineRule="exact"/>
        <w:rPr>
          <w:rFonts w:ascii="Times New Roman" w:cs="Times New Roman" w:eastAsia="Times New Roman" w:hAnsi="Times New Roman"/>
          <w:sz w:val="18"/>
          <w:szCs w:val="18"/>
          <w:color w:val="auto"/>
        </w:rPr>
      </w:pPr>
    </w:p>
    <w:p>
      <w:pPr>
        <w:ind w:left="560" w:right="5959" w:hanging="551"/>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2,064,158</w:t>
      </w:r>
    </w:p>
    <w:p>
      <w:pPr>
        <w:spacing w:after="0" w:line="162" w:lineRule="exact"/>
        <w:rPr>
          <w:sz w:val="20"/>
          <w:szCs w:val="20"/>
          <w:color w:val="auto"/>
        </w:rPr>
      </w:pPr>
    </w:p>
    <w:p>
      <w:pPr>
        <w:sectPr>
          <w:pgSz w:w="11900" w:h="16838" w:orient="portrait"/>
          <w:cols w:equalWidth="0" w:num="2">
            <w:col w:w="1200" w:space="540"/>
            <w:col w:w="8399"/>
          </w:cols>
          <w:pgMar w:left="320" w:top="337" w:right="1440" w:bottom="0" w:gutter="0" w:footer="0" w:header="0"/>
          <w:type w:val="continuous"/>
        </w:sectPr>
      </w:pPr>
    </w:p>
    <w:p>
      <w:pPr>
        <w:ind w:left="1740" w:right="3579" w:hanging="666"/>
        <w:spacing w:after="0" w:line="282" w:lineRule="auto"/>
        <w:tabs>
          <w:tab w:leader="none" w:pos="1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2,064,158</w:t>
      </w:r>
    </w:p>
    <w:p>
      <w:pPr>
        <w:spacing w:after="0" w:line="162" w:lineRule="exact"/>
        <w:rPr>
          <w:sz w:val="20"/>
          <w:szCs w:val="20"/>
          <w:color w:val="auto"/>
        </w:rPr>
      </w:pPr>
    </w:p>
    <w:p>
      <w:pPr>
        <w:ind w:left="1080"/>
        <w:spacing w:after="0"/>
        <w:tabs>
          <w:tab w:leader="none" w:pos="1720" w:val="left"/>
          <w:tab w:leader="none" w:pos="8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 (See Instructions) [</w:t>
        <w:tab/>
        <w:t>]</w:t>
      </w:r>
    </w:p>
    <w:p>
      <w:pPr>
        <w:spacing w:after="0" w:line="225" w:lineRule="exact"/>
        <w:rPr>
          <w:sz w:val="20"/>
          <w:szCs w:val="20"/>
          <w:color w:val="auto"/>
        </w:rPr>
      </w:pPr>
    </w:p>
    <w:p>
      <w:pPr>
        <w:ind w:left="1740" w:right="4599" w:hanging="666"/>
        <w:spacing w:after="0" w:line="282" w:lineRule="auto"/>
        <w:tabs>
          <w:tab w:leader="none" w:pos="1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w:t>
      </w:r>
    </w:p>
    <w:p>
      <w:pPr>
        <w:spacing w:after="0" w:line="161" w:lineRule="exact"/>
        <w:rPr>
          <w:rFonts w:ascii="Times New Roman" w:cs="Times New Roman" w:eastAsia="Times New Roman" w:hAnsi="Times New Roman"/>
          <w:sz w:val="18"/>
          <w:szCs w:val="18"/>
          <w:color w:val="auto"/>
        </w:rPr>
      </w:pPr>
    </w:p>
    <w:p>
      <w:pPr>
        <w:ind w:left="1740" w:hanging="666"/>
        <w:spacing w:after="0"/>
        <w:tabs>
          <w:tab w:leader="none" w:pos="1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CUSIP No. 05464T104</w:t>
      </w:r>
    </w:p>
    <w:p>
      <w:pPr>
        <w:spacing w:after="0" w:line="207" w:lineRule="exact"/>
        <w:rPr>
          <w:sz w:val="20"/>
          <w:szCs w:val="20"/>
          <w:color w:val="auto"/>
        </w:rPr>
      </w:pPr>
    </w:p>
    <w:p>
      <w:pPr>
        <w:ind w:left="1740" w:hanging="666"/>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Harold J. Levy</w:t>
      </w:r>
    </w:p>
    <w:p>
      <w:pPr>
        <w:spacing w:after="0" w:line="27"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6" w:lineRule="exact"/>
        <w:rPr>
          <w:rFonts w:ascii="Times New Roman" w:cs="Times New Roman" w:eastAsia="Times New Roman" w:hAnsi="Times New Roman"/>
          <w:sz w:val="18"/>
          <w:szCs w:val="18"/>
          <w:color w:val="auto"/>
        </w:rPr>
      </w:pPr>
    </w:p>
    <w:p>
      <w:pPr>
        <w:ind w:left="1740" w:hanging="666"/>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740"/>
        <w:spacing w:after="0"/>
        <w:tabs>
          <w:tab w:leader="none" w:pos="2580" w:val="left"/>
        </w:tabs>
        <w:rPr>
          <w:sz w:val="20"/>
          <w:szCs w:val="20"/>
          <w:color w:val="auto"/>
        </w:rPr>
      </w:pPr>
      <w:r>
        <w:rPr>
          <w:rFonts w:ascii="Times New Roman" w:cs="Times New Roman" w:eastAsia="Times New Roman" w:hAnsi="Times New Roman"/>
          <w:sz w:val="18"/>
          <w:szCs w:val="18"/>
          <w:color w:val="auto"/>
        </w:rPr>
        <w:t>(a) [X]</w:t>
      </w:r>
      <w:r>
        <w:rPr>
          <w:sz w:val="20"/>
          <w:szCs w:val="20"/>
          <w:color w:val="auto"/>
        </w:rPr>
        <w:tab/>
      </w:r>
      <w:r>
        <w:rPr>
          <w:rFonts w:ascii="Times New Roman" w:cs="Times New Roman" w:eastAsia="Times New Roman" w:hAnsi="Times New Roman"/>
          <w:sz w:val="18"/>
          <w:szCs w:val="18"/>
          <w:color w:val="auto"/>
        </w:rPr>
        <w:t>(b) [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414"/>
        </w:trPr>
        <w:tc>
          <w:tcPr>
            <w:tcW w:w="1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Citizenship or Place of Organization</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41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2,064,158</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0139"/>
          </w:cols>
          <w:pgMar w:left="320" w:top="337" w:right="1440" w:bottom="0" w:gutter="0" w:footer="0" w:header="0"/>
          <w:type w:val="continuous"/>
        </w:sectPr>
      </w:pPr>
    </w:p>
    <w:bookmarkStart w:id="2" w:name="page3"/>
    <w:bookmarkEnd w:id="2"/>
    <w:p>
      <w:pPr>
        <w:ind w:left="2300" w:right="7060" w:hanging="551"/>
        <w:spacing w:after="0" w:line="282" w:lineRule="auto"/>
        <w:tabs>
          <w:tab w:leader="none" w:pos="2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2,064,158</w:t>
      </w:r>
    </w:p>
    <w:p>
      <w:pPr>
        <w:spacing w:after="0" w:line="161" w:lineRule="exact"/>
        <w:rPr>
          <w:rFonts w:ascii="Times New Roman" w:cs="Times New Roman" w:eastAsia="Times New Roman" w:hAnsi="Times New Roman"/>
          <w:sz w:val="18"/>
          <w:szCs w:val="18"/>
          <w:color w:val="auto"/>
        </w:rPr>
      </w:pPr>
    </w:p>
    <w:p>
      <w:pPr>
        <w:ind w:left="1740" w:right="4680" w:hanging="666"/>
        <w:spacing w:after="0" w:line="282" w:lineRule="auto"/>
        <w:tabs>
          <w:tab w:leader="none" w:pos="1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2,064,158</w:t>
      </w:r>
    </w:p>
    <w:p>
      <w:pPr>
        <w:spacing w:after="0" w:line="162" w:lineRule="exact"/>
        <w:rPr>
          <w:sz w:val="20"/>
          <w:szCs w:val="20"/>
          <w:color w:val="auto"/>
        </w:rPr>
      </w:pPr>
    </w:p>
    <w:p>
      <w:pPr>
        <w:ind w:left="1080"/>
        <w:spacing w:after="0"/>
        <w:tabs>
          <w:tab w:leader="none" w:pos="1720" w:val="left"/>
          <w:tab w:leader="none" w:pos="8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 (See Instructions) [</w:t>
        <w:tab/>
        <w:t>]</w:t>
      </w:r>
    </w:p>
    <w:p>
      <w:pPr>
        <w:spacing w:after="0" w:line="225" w:lineRule="exact"/>
        <w:rPr>
          <w:sz w:val="20"/>
          <w:szCs w:val="20"/>
          <w:color w:val="auto"/>
        </w:rPr>
      </w:pPr>
    </w:p>
    <w:p>
      <w:pPr>
        <w:ind w:left="1740" w:right="5700" w:hanging="666"/>
        <w:spacing w:after="0" w:line="282" w:lineRule="auto"/>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5.5%</w:t>
      </w:r>
    </w:p>
    <w:p>
      <w:pPr>
        <w:spacing w:after="0" w:line="161" w:lineRule="exact"/>
        <w:rPr>
          <w:rFonts w:ascii="Times New Roman" w:cs="Times New Roman" w:eastAsia="Times New Roman" w:hAnsi="Times New Roman"/>
          <w:sz w:val="18"/>
          <w:szCs w:val="18"/>
          <w:color w:val="auto"/>
        </w:rPr>
      </w:pPr>
    </w:p>
    <w:p>
      <w:pPr>
        <w:ind w:left="1740" w:hanging="666"/>
        <w:spacing w:after="0"/>
        <w:tabs>
          <w:tab w:leader="none" w:pos="1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31" w:lineRule="exact"/>
        <w:rPr>
          <w:sz w:val="20"/>
          <w:szCs w:val="20"/>
          <w:color w:val="auto"/>
        </w:rPr>
      </w:pPr>
    </w:p>
    <w:p>
      <w:pPr>
        <w:ind w:left="920" w:hanging="49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06"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Therapeutics, Inc.</w:t>
      </w:r>
    </w:p>
    <w:p>
      <w:pPr>
        <w:spacing w:after="0" w:line="225" w:lineRule="exact"/>
        <w:rPr>
          <w:rFonts w:ascii="Times New Roman" w:cs="Times New Roman" w:eastAsia="Times New Roman" w:hAnsi="Times New Roman"/>
          <w:sz w:val="18"/>
          <w:szCs w:val="18"/>
          <w:color w:val="auto"/>
        </w:rPr>
      </w:pPr>
    </w:p>
    <w:p>
      <w:pPr>
        <w:ind w:left="920" w:right="6940" w:hanging="494"/>
        <w:spacing w:after="0" w:line="312" w:lineRule="auto"/>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22 Cortlandt Street, New York, NY 10007</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920" w:hanging="49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06" w:lineRule="exact"/>
        <w:rPr>
          <w:rFonts w:ascii="Times New Roman" w:cs="Times New Roman" w:eastAsia="Times New Roman" w:hAnsi="Times New Roman"/>
          <w:sz w:val="18"/>
          <w:szCs w:val="18"/>
          <w:color w:val="auto"/>
        </w:rPr>
      </w:pPr>
    </w:p>
    <w:p>
      <w:pPr>
        <w:ind w:left="92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being filed by and on behalf of Iridian Asset Management LLC ("Iridian"), David L. Cohen ("Cohen") and Harold J. Levy ("Levy") (collectively, the "Reporting Persons").</w:t>
      </w:r>
    </w:p>
    <w:p>
      <w:pPr>
        <w:ind w:left="92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Iridian is majority owned by Arovid Associates LLC, a Delaware limited liability company owned and controlled by the following: 12.5% by Cohen, 12.5% by Levy, 37.5% by LLMD LLC, a Delaware limited liability company, and 37.5% by ALHERO LLC, a Delaware limited liability company. LLMD LLC is owned 1% by Cohen, and 99% by a family trust controlled by Cohen. ALHERO LLC is owned 1% by Levy and 99% by a family trust controlled by Levy.</w:t>
      </w:r>
    </w:p>
    <w:p>
      <w:pPr>
        <w:spacing w:after="0" w:line="1" w:lineRule="exact"/>
        <w:rPr>
          <w:rFonts w:ascii="Times New Roman" w:cs="Times New Roman" w:eastAsia="Times New Roman" w:hAnsi="Times New Roman"/>
          <w:sz w:val="18"/>
          <w:szCs w:val="18"/>
          <w:color w:val="auto"/>
        </w:rPr>
      </w:pPr>
    </w:p>
    <w:p>
      <w:pPr>
        <w:ind w:left="920" w:hanging="49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06"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Reporting Persons is 276 Post Road West, Westport, CT 06880-4704.</w:t>
      </w:r>
    </w:p>
    <w:p>
      <w:pPr>
        <w:spacing w:after="0" w:line="225" w:lineRule="exact"/>
        <w:rPr>
          <w:rFonts w:ascii="Times New Roman" w:cs="Times New Roman" w:eastAsia="Times New Roman" w:hAnsi="Times New Roman"/>
          <w:sz w:val="18"/>
          <w:szCs w:val="18"/>
          <w:color w:val="auto"/>
        </w:rPr>
      </w:pPr>
    </w:p>
    <w:p>
      <w:pPr>
        <w:ind w:left="920" w:hanging="49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Iridian is a Delaware limited liability company. Cohen and Levy are US citizens.</w:t>
      </w:r>
    </w:p>
    <w:p>
      <w:pPr>
        <w:spacing w:after="0" w:line="225" w:lineRule="exact"/>
        <w:rPr>
          <w:rFonts w:ascii="Times New Roman" w:cs="Times New Roman" w:eastAsia="Times New Roman" w:hAnsi="Times New Roman"/>
          <w:sz w:val="18"/>
          <w:szCs w:val="18"/>
          <w:color w:val="auto"/>
        </w:rPr>
      </w:pPr>
    </w:p>
    <w:p>
      <w:pPr>
        <w:ind w:left="920" w:hanging="49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$0.0001 per share</w:t>
      </w:r>
    </w:p>
    <w:p>
      <w:pPr>
        <w:spacing w:after="0" w:line="225" w:lineRule="exact"/>
        <w:rPr>
          <w:rFonts w:ascii="Times New Roman" w:cs="Times New Roman" w:eastAsia="Times New Roman" w:hAnsi="Times New Roman"/>
          <w:sz w:val="18"/>
          <w:szCs w:val="18"/>
          <w:color w:val="auto"/>
        </w:rPr>
      </w:pPr>
    </w:p>
    <w:p>
      <w:pPr>
        <w:ind w:left="920" w:right="9180" w:hanging="494"/>
        <w:spacing w:after="0" w:line="527"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05464T104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6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§§240.13d-1(b) or 240.13d-2(b) or (c), check whether the person filing is a:</w:t>
            </w:r>
          </w:p>
        </w:tc>
      </w:tr>
      <w:tr>
        <w:trPr>
          <w:trHeight w:val="216"/>
        </w:trPr>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16"/>
        </w:trPr>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216"/>
        </w:trPr>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234"/>
        </w:trPr>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bl>
    <w:p>
      <w:pPr>
        <w:ind w:left="920" w:hanging="49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investment adviser in accordance with §240.13d-1(b)(1)(ii)(E);</w:t>
      </w:r>
    </w:p>
    <w:tbl>
      <w:tblPr>
        <w:tblLayout w:type="fixed"/>
        <w:tblInd w:w="42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 Act of</w:t>
            </w:r>
          </w:p>
        </w:tc>
      </w:tr>
      <w:tr>
        <w:trPr>
          <w:trHeight w:val="216"/>
        </w:trPr>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1940 (15 U.S.C. 80a-3);</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Group, in accordance with §240.13d-1(b)(1)(ii)(J).</w:t>
            </w:r>
          </w:p>
        </w:tc>
      </w:tr>
    </w:tbl>
    <w:p>
      <w:pPr>
        <w:spacing w:after="0" w:line="1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31" w:lineRule="exact"/>
        <w:rPr>
          <w:sz w:val="20"/>
          <w:szCs w:val="20"/>
          <w:color w:val="auto"/>
        </w:rPr>
      </w:pPr>
    </w:p>
    <w:p>
      <w:pPr>
        <w:ind w:left="920" w:hanging="49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and Percent of Class:</w:t>
      </w:r>
    </w:p>
    <w:p>
      <w:pPr>
        <w:spacing w:after="0" w:line="9" w:lineRule="exact"/>
        <w:rPr>
          <w:sz w:val="20"/>
          <w:szCs w:val="20"/>
          <w:color w:val="auto"/>
        </w:rPr>
      </w:pPr>
    </w:p>
    <w:p>
      <w:pPr>
        <w:ind w:left="420"/>
        <w:spacing w:after="0"/>
        <w:tabs>
          <w:tab w:leader="none" w:pos="900" w:val="left"/>
        </w:tabs>
        <w:rPr>
          <w:sz w:val="20"/>
          <w:szCs w:val="20"/>
          <w:color w:val="auto"/>
        </w:rPr>
      </w:pPr>
      <w:r>
        <w:rPr>
          <w:rFonts w:ascii="Times New Roman" w:cs="Times New Roman" w:eastAsia="Times New Roman" w:hAnsi="Times New Roman"/>
          <w:sz w:val="18"/>
          <w:szCs w:val="18"/>
          <w:color w:val="auto"/>
        </w:rPr>
        <w:t>and</w:t>
        <w:tab/>
        <w:t>As of the date of this Statement, the Reporting Persons beneficially owned in the aggregate 2,064,158 shares of Common Stock which equates</w:t>
      </w:r>
    </w:p>
    <w:p>
      <w:pPr>
        <w:spacing w:after="0" w:line="9" w:lineRule="exact"/>
        <w:rPr>
          <w:sz w:val="20"/>
          <w:szCs w:val="20"/>
          <w:color w:val="auto"/>
        </w:rPr>
      </w:pPr>
    </w:p>
    <w:p>
      <w:pPr>
        <w:ind w:left="920" w:right="20" w:hanging="494"/>
        <w:spacing w:after="0" w:line="250"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approximately 5.5% of the issued and outstanding shares (the percentage of shares based upon 37,344,201 shares issued and outstanding as of October 30, 2020 as set forth in the Issuer's Quarterly Report on Form 10-Q for the quarter ended September 30, 2020).</w:t>
      </w:r>
    </w:p>
    <w:p>
      <w:pPr>
        <w:ind w:left="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Iridian has direct beneficial ownership of the shares of Common Stock in the accounts for which it serves as the investment adviser under its investment management agreements.</w:t>
      </w:r>
    </w:p>
    <w:p>
      <w:pPr>
        <w:jc w:val="both"/>
        <w:ind w:left="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Cohen and Levy may be deemed to possess beneficial ownership of the shares of Common Stock beneficially owned by Iridian by virtue of their indirect controlling ownership of Iridian, and having the power to vote and direct the disposition of shares of Common Stock as joint Chief Investment Officers of Iridian. Messrs. Cohen and Levy disclaim beneficial ownership of such shares.</w:t>
      </w:r>
    </w:p>
    <w:p>
      <w:pPr>
        <w:spacing w:after="0" w:line="1"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"beneficial ownership" has the meaning set forth in Rule 13d-3 under the Securities Exchange Act of 1934, as amended.</w:t>
      </w:r>
    </w:p>
    <w:p>
      <w:pPr>
        <w:sectPr>
          <w:pgSz w:w="11900" w:h="16838" w:orient="portrait"/>
          <w:cols w:equalWidth="0" w:num="1">
            <w:col w:w="11240"/>
          </w:cols>
          <w:pgMar w:left="320" w:top="337" w:right="339" w:bottom="0" w:gutter="0" w:footer="0" w:header="0"/>
        </w:sectPr>
      </w:pPr>
    </w:p>
    <w:bookmarkStart w:id="3" w:name="page4"/>
    <w:bookmarkEnd w:id="3"/>
    <w:p>
      <w:pPr>
        <w:ind w:left="920" w:hanging="49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vote or dispose.</w:t>
      </w:r>
    </w:p>
    <w:p>
      <w:pPr>
        <w:spacing w:after="0" w:line="27" w:lineRule="exact"/>
        <w:rPr>
          <w:rFonts w:ascii="Times New Roman" w:cs="Times New Roman" w:eastAsia="Times New Roman" w:hAnsi="Times New Roman"/>
          <w:sz w:val="18"/>
          <w:szCs w:val="18"/>
          <w:color w:val="auto"/>
        </w:rPr>
      </w:pPr>
    </w:p>
    <w:p>
      <w:pPr>
        <w:jc w:val="both"/>
        <w:ind w:left="9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Iridian has the direct power to vote or direct the vote, and the direct power to dispose or direct the disposition, of 2,064,158 shares of Common Stock. Cohen and Levy may be deemed to share with Iridian the power to vote or direct the vote and to dispose or direct the disposition of such shares.</w:t>
      </w:r>
    </w:p>
    <w:p>
      <w:pPr>
        <w:spacing w:after="0" w:line="3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w:t>
      </w:r>
    </w:p>
    <w:p>
      <w:pPr>
        <w:spacing w:after="0" w:line="9"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color w:val="auto"/>
        </w:rPr>
        <w:t>percent of the class of securities, check the following [</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 Identification and Classification of the Subsidiary Which Acquired the Security Being Reported on By the Parent Holding Company </w:t>
      </w:r>
      <w:r>
        <w:rPr>
          <w:rFonts w:ascii="Times New Roman" w:cs="Times New Roman" w:eastAsia="Times New Roman" w:hAnsi="Times New Roman"/>
          <w:sz w:val="18"/>
          <w:szCs w:val="18"/>
          <w:color w:val="auto"/>
        </w:rPr>
        <w:t>Not Applicable.</w:t>
      </w:r>
    </w:p>
    <w:p>
      <w:pPr>
        <w:spacing w:after="0" w:line="1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Iridian is an investment adviser registered under Section 203 of the Investment Advisers Act of 1940, and its principal business is managing a number of accounts containing securities over which Iridian has voting and dispositive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Messrs. Cohen and Levy has a controlling interest in Iridian and serves as Co-Chief Executive Officer of Iridian.</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signing below the undersigned certifies that, to the best of its or his knowledge and belief, the securities referred to above were acquired and are held in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such purpose or effect.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After reasonable inquiry and to the best of its or his knowledge and belief, we certify that the information set forth in this statement is true, complete and correct.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413g123212020, 2021</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IRIDIAN ASSET MANAGEMENT LLC</w:t>
      </w:r>
    </w:p>
    <w:p>
      <w:pPr>
        <w:sectPr>
          <w:pgSz w:w="11900" w:h="16838" w:orient="portrait"/>
          <w:cols w:equalWidth="0" w:num="1">
            <w:col w:w="11240"/>
          </w:cols>
          <w:pgMar w:left="320" w:top="360" w:right="339" w:bottom="1440" w:gutter="0" w:footer="0" w:header="0"/>
        </w:sectPr>
      </w:pPr>
    </w:p>
    <w:p>
      <w:pPr>
        <w:spacing w:after="0" w:line="20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M.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Jeffrey M. Elliott</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00" w:lineRule="exact"/>
        <w:rPr>
          <w:sz w:val="20"/>
          <w:szCs w:val="20"/>
          <w:color w:val="auto"/>
        </w:rPr>
      </w:pPr>
    </w:p>
    <w:p>
      <w:pPr>
        <w:sectPr>
          <w:pgSz w:w="11900" w:h="16838" w:orient="portrait"/>
          <w:cols w:equalWidth="0" w:num="2">
            <w:col w:w="5800" w:space="200"/>
            <w:col w:w="5240"/>
          </w:cols>
          <w:pgMar w:left="320" w:top="360" w:right="339" w:bottom="1440" w:gutter="0" w:footer="0" w:header="0"/>
          <w:type w:val="continuous"/>
        </w:sectPr>
      </w:pP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David L. Cohen</w:t>
      </w:r>
    </w:p>
    <w:p>
      <w:pPr>
        <w:sectPr>
          <w:pgSz w:w="11900" w:h="16838" w:orient="portrait"/>
          <w:cols w:equalWidth="0" w:num="1">
            <w:col w:w="11240"/>
          </w:cols>
          <w:pgMar w:left="320" w:top="360" w:right="339" w:bottom="1440" w:gutter="0" w:footer="0" w:header="0"/>
          <w:type w:val="continuous"/>
        </w:sectPr>
      </w:pP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M.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Jeffrey M. Elliott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ectPr>
          <w:pgSz w:w="11900" w:h="16838" w:orient="portrait"/>
          <w:cols w:equalWidth="0" w:num="2">
            <w:col w:w="5800" w:space="200"/>
            <w:col w:w="5240"/>
          </w:cols>
          <w:pgMar w:left="320" w:top="360" w:right="339" w:bottom="1440" w:gutter="0" w:footer="0" w:header="0"/>
          <w:type w:val="continuous"/>
        </w:sectPr>
      </w:pP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Harold J. Levy</w:t>
      </w:r>
    </w:p>
    <w:p>
      <w:pPr>
        <w:sectPr>
          <w:pgSz w:w="11900" w:h="16838" w:orient="portrait"/>
          <w:cols w:equalWidth="0" w:num="1">
            <w:col w:w="11240"/>
          </w:cols>
          <w:pgMar w:left="320" w:top="360" w:right="339" w:bottom="1440" w:gutter="0" w:footer="0" w:header="0"/>
          <w:type w:val="continuous"/>
        </w:sectPr>
      </w:pP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M.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Jeffrey M. Elliott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Agent</w:t>
      </w:r>
    </w:p>
    <w:p>
      <w:pPr>
        <w:sectPr>
          <w:pgSz w:w="11900" w:h="16838" w:orient="portrait"/>
          <w:cols w:equalWidth="0" w:num="2">
            <w:col w:w="5800" w:space="200"/>
            <w:col w:w="5240"/>
          </w:cols>
          <w:pgMar w:left="320" w:top="360"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JOINT FILING AGREEMENT is made and entered into by and among Iridian Asset Management LLC, David L. Cohen and Harold J. Levy.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(or otherwise deliver as appropriate) all filings on Schedule 13D and Schedule 13G (the “Filings”) required to be filed by them pursuant to Section 13(d) or 13(g) under the Securities Exchange Act of 1934, as amended, with respect to their respective ownership of any securities of Axsome Therapeutics, Inc. that are required to be reported on any Filings. Each party to this Agreement further agrees and covenants to the other parties that it will fully cooperate with such other parties in the preparation and timely filing (and other delivery) of all such 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2021</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IRIDIAN ASSET MANAGEMENT LLC</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M.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M. Elliott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00" w:lineRule="exact"/>
        <w:rPr>
          <w:sz w:val="20"/>
          <w:szCs w:val="20"/>
          <w:color w:val="auto"/>
        </w:rPr>
      </w:pPr>
    </w:p>
    <w:p>
      <w:pPr>
        <w:sectPr>
          <w:pgSz w:w="11900" w:h="16838" w:orient="portrait"/>
          <w:cols w:equalWidth="0" w:num="2">
            <w:col w:w="5840" w:space="160"/>
            <w:col w:w="5240"/>
          </w:cols>
          <w:pgMar w:left="320" w:top="121" w:right="339" w:bottom="1440" w:gutter="0" w:footer="0" w:header="0"/>
          <w:type w:val="continuous"/>
        </w:sectPr>
      </w:pP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David L. Cohen</w:t>
      </w:r>
    </w:p>
    <w:p>
      <w:pPr>
        <w:sectPr>
          <w:pgSz w:w="11900" w:h="16838" w:orient="portrait"/>
          <w:cols w:equalWidth="0" w:num="1">
            <w:col w:w="11240"/>
          </w:cols>
          <w:pgMar w:left="320" w:top="121" w:right="339" w:bottom="1440" w:gutter="0" w:footer="0" w:header="0"/>
          <w:type w:val="continuous"/>
        </w:sectPr>
      </w:pP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M.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M. Elliott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ectPr>
          <w:pgSz w:w="11900" w:h="16838" w:orient="portrait"/>
          <w:cols w:equalWidth="0" w:num="2">
            <w:col w:w="5840" w:space="160"/>
            <w:col w:w="5240"/>
          </w:cols>
          <w:pgMar w:left="320" w:top="121" w:right="339" w:bottom="1440" w:gutter="0" w:footer="0" w:header="0"/>
          <w:type w:val="continuous"/>
        </w:sectPr>
      </w:pPr>
    </w:p>
    <w:p>
      <w:pPr>
        <w:spacing w:after="0" w:line="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Harold J. Levy</w:t>
      </w:r>
    </w:p>
    <w:p>
      <w:pPr>
        <w:sectPr>
          <w:pgSz w:w="11900" w:h="16838" w:orient="portrait"/>
          <w:cols w:equalWidth="0" w:num="1">
            <w:col w:w="11240"/>
          </w:cols>
          <w:pgMar w:left="320" w:top="121" w:right="339" w:bottom="1440" w:gutter="0" w:footer="0" w:header="0"/>
          <w:type w:val="continuous"/>
        </w:sectPr>
      </w:pP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M. Elliott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M. Elliott</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Agent</w:t>
      </w:r>
    </w:p>
    <w:sectPr>
      <w:pgSz w:w="11900" w:h="16838" w:orient="portrait"/>
      <w:cols w:equalWidth="0" w:num="2">
        <w:col w:w="5840" w:space="160"/>
        <w:col w:w="5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1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5"/>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lvl w:ilvl="1">
      <w:lvlJc w:val="left"/>
      <w:lvlText w:val="%2."/>
      <w:numFmt w:val="decimal"/>
      <w:start w:val="8"/>
    </w:lvl>
  </w:abstractNum>
  <w:abstractNum w:abstractNumId="12">
    <w:nsid w:val="4E6AFB66"/>
    <w:multiLevelType w:val="hybridMultilevel"/>
    <w:lvl w:ilvl="0">
      <w:lvlJc w:val="left"/>
      <w:lvlText w:val="%1."/>
      <w:numFmt w:val="decimal"/>
      <w:start w:val="9"/>
    </w:lvl>
    <w:lvl w:ilvl="1">
      <w:lvlJc w:val="left"/>
      <w:lvlText w:val="%2"/>
      <w:numFmt w:val="decimal"/>
      <w:start w:val="1"/>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2021-02-04T07:33:48Z</dcterms:created>
  <dcterms:modified xsi:type="dcterms:W3CDTF">2021-02-04T07:33:48Z</dcterms:modified>
</cp:coreProperties>
</file>