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70485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80" w:lineRule="exact"/>
        <w:rPr>
          <w:sz w:val="24"/>
          <w:szCs w:val="24"/>
          <w:color w:val="auto"/>
        </w:rPr>
      </w:pPr>
    </w:p>
    <w:p>
      <w:pPr>
        <w:ind w:left="1580" w:hanging="182"/>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72" w:lineRule="exact"/>
        <w:rPr>
          <w:rFonts w:ascii="MS PGothic" w:cs="MS PGothic" w:eastAsia="MS PGothic" w:hAnsi="MS PGothic"/>
          <w:sz w:val="16"/>
          <w:szCs w:val="16"/>
          <w:color w:val="auto"/>
          <w:highlight w:val="black"/>
        </w:rPr>
      </w:pPr>
    </w:p>
    <w:p>
      <w:pPr>
        <w:ind w:left="41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For the quarterly period ended March 31, 2025</w:t>
      </w:r>
    </w:p>
    <w:p>
      <w:pPr>
        <w:spacing w:after="0" w:line="72"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2" w:lineRule="exact"/>
        <w:rPr>
          <w:rFonts w:ascii="MS PGothic" w:cs="MS PGothic" w:eastAsia="MS PGothic" w:hAnsi="MS PGothic"/>
          <w:sz w:val="16"/>
          <w:szCs w:val="16"/>
          <w:color w:val="auto"/>
          <w:highlight w:val="black"/>
        </w:rPr>
      </w:pPr>
    </w:p>
    <w:p>
      <w:pPr>
        <w:jc w:val="center"/>
        <w:ind w:left="3800" w:right="1400" w:hanging="2398"/>
        <w:spacing w:after="0" w:line="334" w:lineRule="auto"/>
        <w:tabs>
          <w:tab w:leader="none" w:pos="1592"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6" w:lineRule="exact"/>
        <w:rPr>
          <w:sz w:val="24"/>
          <w:szCs w:val="24"/>
          <w:color w:val="auto"/>
        </w:rPr>
      </w:pPr>
    </w:p>
    <w:tbl>
      <w:tblPr>
        <w:tblLayout w:type="fixed"/>
        <w:tblInd w:w="1100" w:type="dxa"/>
        <w:tblCellMar>
          <w:top w:w="0" w:type="dxa"/>
          <w:left w:w="0" w:type="dxa"/>
          <w:bottom w:w="0" w:type="dxa"/>
          <w:right w:w="0" w:type="dxa"/>
        </w:tblCellMar>
      </w:tblP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37"/>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One World Trade Center</w:t>
            </w:r>
          </w:p>
        </w:tc>
        <w:tc>
          <w:tcPr>
            <w:tcW w:w="3520" w:type="dxa"/>
            <w:vAlign w:val="bottom"/>
          </w:tcPr>
          <w:p>
            <w:pPr>
              <w:spacing w:after="0"/>
              <w:rPr>
                <w:sz w:val="20"/>
                <w:szCs w:val="20"/>
                <w:color w:val="auto"/>
              </w:rPr>
            </w:pPr>
          </w:p>
        </w:tc>
      </w:tr>
      <w:tr>
        <w:trPr>
          <w:trHeight w:val="203"/>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29th Floor</w:t>
            </w:r>
          </w:p>
        </w:tc>
        <w:tc>
          <w:tcPr>
            <w:tcW w:w="3520" w:type="dxa"/>
            <w:vAlign w:val="bottom"/>
          </w:tcPr>
          <w:p>
            <w:pPr>
              <w:spacing w:after="0"/>
              <w:rPr>
                <w:sz w:val="17"/>
                <w:szCs w:val="17"/>
                <w:color w:val="auto"/>
              </w:rPr>
            </w:pPr>
          </w:p>
        </w:tc>
      </w:t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352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66"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49,236,365 shares of the registrant’s common stock, $0.0001 par value, outstanding as of April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1048385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40" w:type="dxa"/>
            <w:vAlign w:val="bottom"/>
            <w:gridSpan w:val="4"/>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w w:val="99"/>
              </w:rPr>
              <w:t>CAUTIONARY NOTE REGARDING FORWARD LOOKING STATEMENTS</w:t>
            </w:r>
          </w:p>
        </w:tc>
        <w:tc>
          <w:tcPr>
            <w:tcW w:w="4660" w:type="dxa"/>
            <w:vAlign w:val="bottom"/>
            <w:gridSpan w:val="2"/>
            <w:vMerge w:val="restart"/>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5860" w:type="dxa"/>
            <w:vAlign w:val="bottom"/>
            <w:tcBorders>
              <w:bottom w:val="single" w:sz="8" w:color="0000EE"/>
            </w:tcBorders>
            <w:gridSpan w:val="12"/>
            <w:vMerge w:val="continue"/>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240" w:type="dxa"/>
            <w:vAlign w:val="bottom"/>
            <w:gridSpan w:val="4"/>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3040" w:type="dxa"/>
            <w:vAlign w:val="bottom"/>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5220" w:type="dxa"/>
            <w:vAlign w:val="bottom"/>
            <w:gridSpan w:val="3"/>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620" w:type="dxa"/>
            <w:vAlign w:val="bottom"/>
            <w:tcBorders>
              <w:top w:val="single" w:sz="8" w:color="0000EE"/>
            </w:tcBorders>
            <w:gridSpan w:val="3"/>
          </w:tcPr>
          <w:p>
            <w:pPr>
              <w:spacing w:after="0"/>
              <w:rPr>
                <w:sz w:val="24"/>
                <w:szCs w:val="24"/>
                <w:color w:val="auto"/>
              </w:rPr>
            </w:pPr>
          </w:p>
        </w:tc>
        <w:tc>
          <w:tcPr>
            <w:tcW w:w="7540" w:type="dxa"/>
            <w:vAlign w:val="bottom"/>
            <w:gridSpan w:val="5"/>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8180" w:type="dxa"/>
            <w:vAlign w:val="bottom"/>
            <w:gridSpan w:val="9"/>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Signatures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885"/>
        </w:trPr>
        <w:tc>
          <w:tcPr>
            <w:tcW w:w="102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4140" w:type="dxa"/>
            <w:vAlign w:val="bottom"/>
            <w:gridSpan w:val="9"/>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0"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spacing w:after="0" w:line="117" w:lineRule="exact"/>
        <w:rPr>
          <w:rFonts w:ascii="Times New Roman" w:cs="Times New Roman" w:eastAsia="Times New Roman" w:hAnsi="Times New Roman"/>
          <w:sz w:val="18"/>
          <w:szCs w:val="18"/>
          <w:color w:val="auto"/>
        </w:rPr>
      </w:pPr>
    </w:p>
    <w:p>
      <w:pPr>
        <w:ind w:left="760" w:right="9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40"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geopolitical conflicts or pandemics;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projections, sales forecasts, and potential peak market data;</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acquisitions and in-licensing transactions;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2"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300,910</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485,064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596,671</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568,498</w:t>
            </w:r>
          </w:p>
        </w:tc>
        <w:tc>
          <w:tcPr>
            <w:tcW w:w="100" w:type="dxa"/>
            <w:vAlign w:val="bottom"/>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85,659</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91,680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543,466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511,483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6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7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49,216,759 and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48,667,587 shares issued and outstanding at March 31, 2025 and December 31, 2024, respectively)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1,235,400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1,179,797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(1,182,200)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(1,122,787)</w:t>
            </w: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596,671</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568,498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-2965450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-2948305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-2965450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-2948305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-2116455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-2116455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120,358</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revenue</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100" w:type="dxa"/>
            <w:vAlign w:val="bottom"/>
          </w:tcPr>
          <w:p>
            <w:pPr>
              <w:spacing w:after="0"/>
              <w:rPr>
                <w:sz w:val="18"/>
                <w:szCs w:val="18"/>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98,970</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8"/>
                <w:szCs w:val="18"/>
                <w:color w:val="auto"/>
              </w:rPr>
            </w:pPr>
          </w:p>
        </w:tc>
      </w:tr>
      <w:tr>
        <w:trPr>
          <w:trHeight w:val="210"/>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178,445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(67,275)</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(1,082)</w:t>
            </w:r>
          </w:p>
        </w:tc>
      </w:tr>
      <w:tr>
        <w:trPr>
          <w:trHeight w:val="20"/>
        </w:trPr>
        <w:tc>
          <w:tcPr>
            <w:tcW w:w="62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(68,357)</w:t>
            </w: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(68,357)</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90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7"/>
        </w:trPr>
        <w:tc>
          <w:tcPr>
            <w:tcW w:w="6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48,871,163</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47,393,563</w:t>
            </w:r>
          </w:p>
        </w:tc>
        <w:tc>
          <w:tcPr>
            <w:tcW w:w="100" w:type="dxa"/>
            <w:vAlign w:val="bottom"/>
            <w:tcBorders>
              <w:top w:val="single" w:sz="8" w:color="CFF0FC"/>
            </w:tcBorders>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-2185035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-1062355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-779780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12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212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2"/>
            <w:vMerge w:val="continue"/>
          </w:tcPr>
          <w:p>
            <w:pPr>
              <w:spacing w:after="0"/>
              <w:rPr>
                <w:sz w:val="13"/>
                <w:szCs w:val="13"/>
                <w:color w:val="auto"/>
              </w:rPr>
            </w:pPr>
          </w:p>
        </w:tc>
        <w:tc>
          <w:tcPr>
            <w:tcW w:w="11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47,351,363</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1,026,543</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(835,571)</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80,294</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32,918</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(1,618)</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(68,357)</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(68,357)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47,464,575</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1,047,959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(903,928)</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2024</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48,667,587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1,179,797</w:t>
            </w:r>
          </w:p>
        </w:tc>
        <w:tc>
          <w:tcPr>
            <w:tcW w:w="220" w:type="dxa"/>
            <w:vAlign w:val="bottom"/>
          </w:tcPr>
          <w:p>
            <w:pPr>
              <w:spacing w:after="0"/>
              <w:rPr>
                <w:sz w:val="17"/>
                <w:szCs w:val="17"/>
                <w:color w:val="auto"/>
              </w:rPr>
            </w:pPr>
          </w:p>
        </w:tc>
        <w:tc>
          <w:tcPr>
            <w:tcW w:w="12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(1,122,787)</w:t>
            </w:r>
          </w:p>
        </w:tc>
        <w:tc>
          <w:tcPr>
            <w:tcW w:w="1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331,853</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60,835</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19,257</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(4,336)</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(59,413)</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(59,413)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49,216,759</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1,235,400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(1,182,200)</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-1156335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-1139190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-1156335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-1139190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-1156335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-1139190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-1156335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-1139190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(59,413)</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(68,357)</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lease modification</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amortization for finance lease</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lease liability</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(6,615)</w:t>
            </w: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(3,917)</w:t>
            </w: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(8,415)</w:t>
            </w:r>
          </w:p>
        </w:tc>
      </w:tr>
      <w:tr>
        <w:trPr>
          <w:trHeight w:val="20"/>
        </w:trPr>
        <w:tc>
          <w:tcPr>
            <w:tcW w:w="68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(43,375)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(53,467)</w:t>
            </w: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equipment</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6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principal portion of finance lease obligation</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financing</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common stock issuance costs</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options</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(1,907)</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tax withholdings on stock awards</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(1,618)</w:t>
            </w:r>
          </w:p>
        </w:tc>
      </w:tr>
      <w:tr>
        <w:trPr>
          <w:trHeight w:val="20"/>
        </w:trPr>
        <w:tc>
          <w:tcPr>
            <w:tcW w:w="6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(1,187)</w:t>
            </w:r>
          </w:p>
        </w:tc>
      </w:tr>
      <w:tr>
        <w:trPr>
          <w:trHeight w:val="20"/>
        </w:trPr>
        <w:tc>
          <w:tcPr>
            <w:tcW w:w="68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(54,752)</w:t>
            </w:r>
          </w:p>
        </w:tc>
      </w:tr>
      <w:tr>
        <w:trPr>
          <w:trHeight w:val="216"/>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8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315,353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386,193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8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300,910</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331,441</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8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8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 obtained in exchange for finance lease liability</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operating lease right-of-use asset due to lease modification</w:t>
            </w:r>
          </w:p>
        </w:tc>
        <w:tc>
          <w:tcPr>
            <w:tcW w:w="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operating lease liability due to lease modification</w:t>
            </w: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-2976880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-2976880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-1288415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-1005205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Axsome Therapeutics, Inc. (“Axsome” or the “Company”), based in New York, New York, is a biopharmaceutical company dedicated to the development and commercialization of innovative medicines for people living with central nervous system (“CNS”) conditions. Axsome has a diverse portfolio of U.S. Food and Drug Administration (FDA) approved treatments for major depressive disorder, excessive daytime sleepiness associated with narcolepsy or obstructive sleep apnea, and migraine, and an expansive pipeline comprising of multiple late-stage development programs addressing a broad range of serious neurological and psychiatric conditions that impact over 150 million people in the United States.</w:t>
      </w:r>
    </w:p>
    <w:p>
      <w:pPr>
        <w:spacing w:after="0" w:line="190"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18"/>
          <w:szCs w:val="18"/>
          <w:color w:val="auto"/>
        </w:rPr>
        <w:t>In August 2022, the Company acquired the U.S. rights to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(solriamfetol) from Jazz Pharmaceuticals plc (“Jazz”), and in November 2022, the Company acquired worldwide ex-U.S. rights (excluding certain Asian markets) from Jazz (collectively, the “Acquisition”). Sunosi was approved for the treatment of excessive daytime sleepiness (EDS) in adult patients with narcolepsy or obstructive sleep apnea by the FDA in March 2019 and by the European Commission in January 2020. In February 2023, the Company announced a licensing transaction with Atnahs Pharma UK Limited (“Pharmanovia”) to market Sunosi in Europe and certain countries in the Middle East / North Africa.</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August 2022,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(dextromethorphan-bupropion) was approved by the FDA for the treatment of major depressive disorder in adults.</w:t>
      </w:r>
    </w:p>
    <w:p>
      <w:pPr>
        <w:spacing w:after="0"/>
        <w:rPr>
          <w:sz w:val="20"/>
          <w:szCs w:val="20"/>
          <w:color w:val="auto"/>
        </w:rPr>
      </w:pPr>
      <w:r>
        <w:rPr>
          <w:rFonts w:ascii="Times New Roman" w:cs="Times New Roman" w:eastAsia="Times New Roman" w:hAnsi="Times New Roman"/>
          <w:sz w:val="18"/>
          <w:szCs w:val="18"/>
          <w:color w:val="auto"/>
        </w:rPr>
        <w:t>The Company announced the commercial availability of Auvelity in the U.S. in October 2022.</w:t>
      </w:r>
    </w:p>
    <w:p>
      <w:pPr>
        <w:spacing w:after="0" w:line="212" w:lineRule="exact"/>
        <w:rPr>
          <w:sz w:val="20"/>
          <w:szCs w:val="20"/>
          <w:color w:val="auto"/>
        </w:rPr>
      </w:pPr>
    </w:p>
    <w:p>
      <w:pPr>
        <w:jc w:val="both"/>
        <w:ind w:right="140" w:firstLine="749"/>
        <w:spacing w:after="0" w:line="234" w:lineRule="auto"/>
        <w:rPr>
          <w:sz w:val="20"/>
          <w:szCs w:val="20"/>
          <w:color w:val="auto"/>
        </w:rPr>
      </w:pPr>
      <w:r>
        <w:rPr>
          <w:rFonts w:ascii="Times New Roman" w:cs="Times New Roman" w:eastAsia="Times New Roman" w:hAnsi="Times New Roman"/>
          <w:sz w:val="18"/>
          <w:szCs w:val="18"/>
          <w:color w:val="auto"/>
        </w:rPr>
        <w:t>In January 2025,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meloxicam-rizatriptan) was approved by the FDA for the acute treatment of migraine with or without aura in adults. The Company refers herein to Auvelity, Sunosi, Symbravo, AXS-12, AXS-14, and its programs to develop additional indications for AXS-05 and solriamfetol as the Company’s products.</w:t>
      </w:r>
    </w:p>
    <w:p>
      <w:pPr>
        <w:spacing w:after="0" w:line="198"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accounting principles generally accepted in the United States (“GAAP”) for interim information and pursuant to the rules and regulations of the Securities and Exchange Commission (the “SEC”) for reporting on Form 10-Q. Accordingly, certain information and footnote disclosures normally included in financial statements prepared in accordance with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2024 filed with the SEC on February 18, 2025.</w:t>
      </w:r>
    </w:p>
    <w:p>
      <w:pPr>
        <w:spacing w:after="0" w:line="187"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2025 are not necessarily indicative of the operating results for the full fiscal year or any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and may never become profitable. As of March 31, 2025, the Company had an accumulated deficit of $1,182.2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sales of Auvelity and Sunosi,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currently has three commercial products, Auvelity and Sunosi, and its recently FDA-approved product, Symbravo. There can be no assurance that the Company’s research and development efforts will result in additional successfully commercialized products.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and Note 13.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8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Revenues from product sales are recorded net of reserves for variable consideration. These reserves reflect the Company’s best estimate of the amount of consideration to which the Company is entitled based on the terms of the contracts. The Company sells Auvelity and Sunosi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 for Symbravo in January 2025 and did not record any product sales with respect to Symbravo for the periods covered by this report. See Note 13. Revenues for a further breakout of product sales, 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9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8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 </w:t>
      </w:r>
      <w:r>
        <w:rPr>
          <w:rFonts w:ascii="Times New Roman" w:cs="Times New Roman" w:eastAsia="Times New Roman" w:hAnsi="Times New Roman"/>
          <w:sz w:val="18"/>
          <w:szCs w:val="18"/>
          <w:color w:val="auto"/>
        </w:rPr>
        <w:t>The Company generally provides discounts which include incentive fees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 </w:t>
      </w:r>
      <w:r>
        <w:rPr>
          <w:rFonts w:ascii="Times New Roman" w:cs="Times New Roman" w:eastAsia="Times New Roman" w:hAnsi="Times New Roman"/>
          <w:sz w:val="18"/>
          <w:szCs w:val="18"/>
          <w:color w:val="auto"/>
        </w:rPr>
        <w:t>The Company generally offers a limited right of return for product that has been purchased from the Company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and Discounts - </w:t>
      </w:r>
      <w:r>
        <w:rPr>
          <w:rFonts w:ascii="Times New Roman" w:cs="Times New Roman" w:eastAsia="Times New Roman" w:hAnsi="Times New Roman"/>
          <w:sz w:val="18"/>
          <w:szCs w:val="18"/>
          <w:color w:val="auto"/>
        </w:rPr>
        <w:t>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Rebates - </w:t>
      </w:r>
      <w:r>
        <w:rPr>
          <w:rFonts w:ascii="Times New Roman" w:cs="Times New Roman" w:eastAsia="Times New Roman" w:hAnsi="Times New Roman"/>
          <w:sz w:val="18"/>
          <w:szCs w:val="18"/>
          <w:color w:val="auto"/>
        </w:rPr>
        <w:t>Rebates apply to: Medicaid, managed care, and supplemental rebates to all applicable states as defined by the statutory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for Medicare Inflation Based Rebates resulting from the Inflation Reduction Act of 2022 which includes measures requiring manufacturers to pay rebates where price increases exceed the rate of inflation. The Company estimates these rebates and records such estimates in the same period the related product sales are recognized, resulting in a reduction to product sales as well as a component of accrued expenses and other current liabilities.</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Coverage Gap - </w:t>
      </w:r>
      <w:r>
        <w:rPr>
          <w:rFonts w:ascii="Times New Roman" w:cs="Times New Roman" w:eastAsia="Times New Roman" w:hAnsi="Times New Roman"/>
          <w:sz w:val="18"/>
          <w:szCs w:val="18"/>
          <w:color w:val="auto"/>
        </w:rPr>
        <w:t>The Medicare Part D coverage gap is a period of consumer payment for prescription medication costs which lies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coverage limit and the catastrophic-coverage threshold, when the patient is a member of a Medicare Part D prescription-drug program administered by the Centers for Medicare &amp; Medicaid Services. The Company estimates the percentage of goods sold to patients in the Coverage Gap and adjusts the transaction price for such discount at the time of sale resulting in a reduction to product sales as well as a component of accrued expenses and other current liabilities.</w:t>
      </w:r>
    </w:p>
    <w:p>
      <w:pPr>
        <w:spacing w:after="0" w:line="183"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Program Redesign </w:t>
      </w:r>
      <w:r>
        <w:rPr>
          <w:rFonts w:ascii="Times New Roman" w:cs="Times New Roman" w:eastAsia="Times New Roman" w:hAnsi="Times New Roman"/>
          <w:sz w:val="18"/>
          <w:szCs w:val="18"/>
          <w:color w:val="auto"/>
        </w:rPr>
        <w:t>- Effective January 1, 2025, the Medicare Part D coverage gap program was replaced with a redesigned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The Company estimates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18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 </w:t>
      </w:r>
      <w:r>
        <w:rPr>
          <w:rFonts w:ascii="Times New Roman" w:cs="Times New Roman" w:eastAsia="Times New Roman" w:hAnsi="Times New Roman"/>
          <w:sz w:val="18"/>
          <w:szCs w:val="18"/>
          <w:color w:val="auto"/>
        </w:rPr>
        <w:t>Other incentives which the Company offers include voluntary patient assistance programs, such as the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185"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right="420" w:firstLine="749"/>
        <w:spacing w:after="0" w:line="312" w:lineRule="auto"/>
        <w:rPr>
          <w:sz w:val="20"/>
          <w:szCs w:val="20"/>
          <w:color w:val="auto"/>
        </w:rPr>
      </w:pPr>
      <w:r>
        <w:rPr>
          <w:rFonts w:ascii="Times New Roman" w:cs="Times New Roman" w:eastAsia="Times New Roman" w:hAnsi="Times New Roman"/>
          <w:sz w:val="17"/>
          <w:szCs w:val="17"/>
          <w:color w:val="auto"/>
        </w:rPr>
        <w:t>The Company’s cost of revenue consists of cost of product sales. Cost of product sales primarily include direct costs (inclusive of material, shipping, handling, and manufacturing costs), overhead and product royalties. Cost of product sales excludes depreciation and amortization.</w:t>
      </w:r>
    </w:p>
    <w:p>
      <w:pPr>
        <w:spacing w:after="0" w:line="140"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$165.0 million based on revenue milestones and $1.0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18. Segment Information below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March 31, 2025, the balance of cash and cash equivalents was $300.9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a concentration of credit risk consist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maintains its cash deposits at financial institutions, which cash deposits exceed insured limits. At March 31, 2025,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 net below for further information.</w:t>
      </w:r>
    </w:p>
    <w:p>
      <w:pPr>
        <w:spacing w:after="0" w:line="183"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 of Risk, Other </w:t>
      </w:r>
      <w:r>
        <w:rPr>
          <w:rFonts w:ascii="Times New Roman" w:cs="Times New Roman" w:eastAsia="Times New Roman" w:hAnsi="Times New Roman"/>
          <w:sz w:val="18"/>
          <w:szCs w:val="18"/>
          <w:color w:val="auto"/>
        </w:rPr>
        <w:t>- The Company has a limited number of contract manufacturers for its products. At times, the Company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one manufacturer or supplier for its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Acquisition, the Company recorded goodwill and an intangible asset.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March 31, 2025, the Company has determined that it has one reporting unit. The Company has not identified any events or changes in circumstances that indicate the existence of potential impairment of goodwill during the three months ended March 31, 2025. The balance of goodwill was $12.0 million at both March 31, 2025 and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reporting entity to develop its own assumptions.</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are cash and cash equivalents, accounts receivable, accounts payable, accrued expenses and other liabilities, contingent warrant liability, current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6. Fair Value of Financial Instruments for further detail.</w:t>
      </w:r>
    </w:p>
    <w:p>
      <w:pPr>
        <w:spacing w:after="0" w:line="187"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the Black-Scholes model based on key assumption and inputs. The Company utilizes a probability assessment to estimate the likelihood of vesting for the remaining Loan Agreement (as defined below) warrants and allocated the probability of occurrence percentage to the fair values calculated, and, therefore, is considered Level 3 within the fair value hierarchy. The Company accounts for warrants anticipated to be issued in the future under the Loan Agreement as liabilities and measures them at fair value using the Black-Scholes valuation model. The warrants are subject to remeasurement at each prospective balance sheet date, with any changes in the fair value recorded in the consolidated statements of operations. See Note 6. Fair Value of Financial Instruments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net arise from product sales and represent amounts due from its customers. They are generally stated at the gross sales amount, less reserves resulting from trade discounts and allowances and chargebacks. Accounts receivable typically has a standard payment term of 60 days or less and does not bear interest.</w:t>
      </w:r>
    </w:p>
    <w:p>
      <w:pPr>
        <w:spacing w:after="0" w:line="17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March 31, 2025, the Company has not recorded any allowances for doubtful accounts receivable. For further information about accounts receivable, see Note 3. Accounts Receivable, net.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w:t>
      </w:r>
    </w:p>
    <w:p>
      <w:pPr>
        <w:spacing w:after="0" w:line="174"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evaluates amendments to its debt instruments 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470”) to determine whether the amendment should be accounted for as a 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the cost of revenue.</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net</w:t>
      </w:r>
    </w:p>
    <w:p>
      <w:pPr>
        <w:spacing w:after="0" w:line="188"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and are expensed as incurred. The Company considers advertising costs as expenses related to the promotion of the Company’s commercial products. For the three months ended March 31, 2025 and 2024, advertising costs were $27.7 million and $24.0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ending December 31, 2025 and has not recorded an income tax benefit for the three months ended March 31, 2025 since it is projecting losses and has incurred year to date losses in all jurisdictions from which the Company does not benefit due to the full valuation allowance position against the Company’s deferred tax assets.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March 31, 2025,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8" w:lineRule="exact"/>
        <w:rPr>
          <w:sz w:val="20"/>
          <w:szCs w:val="20"/>
          <w:color w:val="auto"/>
        </w:rPr>
      </w:pPr>
    </w:p>
    <w:p>
      <w:pPr>
        <w:ind w:right="60" w:firstLine="749"/>
        <w:spacing w:after="0" w:line="231" w:lineRule="exact"/>
        <w:rPr>
          <w:sz w:val="20"/>
          <w:szCs w:val="20"/>
          <w:color w:val="auto"/>
        </w:rPr>
      </w:pPr>
      <w:r>
        <w:rPr>
          <w:rFonts w:ascii="Times New Roman" w:cs="Times New Roman" w:eastAsia="Times New Roman" w:hAnsi="Times New Roman"/>
          <w:sz w:val="18"/>
          <w:szCs w:val="18"/>
          <w:color w:val="auto"/>
        </w:rPr>
        <w:t>For stock options issued, the Company estimates the grant date fair value of each option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w:t>
      </w:r>
    </w:p>
    <w:p>
      <w:pPr>
        <w:spacing w:after="0" w:line="200"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For restricted stock units (“RSUs”) and performance stock units (“PSUs”), the Company issues them in the form of Company common stock. The fair market value of these awards is based on the market closing price per share on the grant date and for certain awards that are subject to a post-vesting holding period, an illiquidity discount is also applied.</w:t>
      </w:r>
    </w:p>
    <w:p>
      <w:pPr>
        <w:spacing w:after="0" w:line="176" w:lineRule="exact"/>
        <w:rPr>
          <w:sz w:val="20"/>
          <w:szCs w:val="20"/>
          <w:color w:val="auto"/>
        </w:rPr>
      </w:pPr>
    </w:p>
    <w:p>
      <w:pPr>
        <w:jc w:val="both"/>
        <w:ind w:right="60" w:firstLine="749"/>
        <w:spacing w:after="0" w:line="272" w:lineRule="auto"/>
        <w:rPr>
          <w:sz w:val="20"/>
          <w:szCs w:val="20"/>
          <w:color w:val="auto"/>
        </w:rPr>
      </w:pPr>
      <w:r>
        <w:rPr>
          <w:rFonts w:ascii="Times New Roman" w:cs="Times New Roman" w:eastAsia="Times New Roman" w:hAnsi="Times New Roman"/>
          <w:sz w:val="17"/>
          <w:szCs w:val="17"/>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PSUs, the Company recognizes stock-based compensation expense when the achievement of the performance condition becomes probable.</w:t>
      </w:r>
    </w:p>
    <w:p>
      <w:pPr>
        <w:spacing w:after="0" w:line="2"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Stock-based compensation expense for PSUs with cliff-vesting terms is recognized on a straight-line basis. At the end of each reporting period, the Company reassesses the probability of achieving the performance condition and adjusts the stock-based compensation expense accordingly.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expense related to the stock-based compensation is recorded within the same financial statement line item as the grantee’s cash compensation. The Company’s policy upon exercise of stock options, vesting of RSUs and PSUs is that shares will be issued as new shares drawing on the Company’s 2015 Omnibus Incentive Compensation Plan share pool that was adopted by the stockholders in November 2015. In addition, the Company accounts for equity award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three months ended March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3"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181"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Leases are accounted for under </w:t>
      </w:r>
      <w:r>
        <w:rPr>
          <w:rFonts w:ascii="Times New Roman" w:cs="Times New Roman" w:eastAsia="Times New Roman" w:hAnsi="Times New Roman"/>
          <w:sz w:val="18"/>
          <w:szCs w:val="18"/>
          <w:i w:val="1"/>
          <w:iCs w:val="1"/>
          <w:color w:val="auto"/>
        </w:rPr>
        <w:t>ASC 842, Leases</w:t>
      </w:r>
      <w:r>
        <w:rPr>
          <w:rFonts w:ascii="Times New Roman" w:cs="Times New Roman" w:eastAsia="Times New Roman" w:hAnsi="Times New Roman"/>
          <w:sz w:val="18"/>
          <w:szCs w:val="18"/>
          <w:color w:val="auto"/>
        </w:rPr>
        <w:t xml:space="preserve"> (“ASC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evaluates amendments to its lease arrangements in accordance with ASC 842.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spacing w:after="0" w:line="180"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176,178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155,505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Reserves for variable consideration</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(13,504)</w:t>
            </w:r>
          </w:p>
        </w:tc>
      </w:tr>
      <w:tr>
        <w:trPr>
          <w:trHeight w:val="20"/>
        </w:trPr>
        <w:tc>
          <w:tcPr>
            <w:tcW w:w="7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161,398</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shd w:val="clear" w:color="auto" w:fill="CFF0FC"/>
          </w:tcPr>
          <w:p>
            <w:pPr>
              <w:spacing w:after="0"/>
              <w:rPr>
                <w:sz w:val="21"/>
                <w:szCs w:val="21"/>
                <w:color w:val="auto"/>
              </w:rPr>
            </w:pPr>
          </w:p>
        </w:tc>
      </w:tr>
      <w:tr>
        <w:trPr>
          <w:trHeight w:val="655"/>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4. Inventory</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There were no material inventory reserves or write downs of any excess and obsolete inventory as of March 31, 2025. Non-current inventory, which consists of raw materials and work in progress inventory, is included in non-current inventory and other assets on the accompanying consolidated balance sheets. Non-current inventory is estimated to be consumed beyond the next 12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the intangible asset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1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jc w:val="center"/>
              <w:ind w:right="353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260" w:type="dxa"/>
            <w:vAlign w:val="bottom"/>
          </w:tcPr>
          <w:p>
            <w:pPr>
              <w:spacing w:after="0"/>
              <w:rPr>
                <w:sz w:val="18"/>
                <w:szCs w:val="18"/>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8-years</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45,322</w:t>
            </w:r>
          </w:p>
        </w:tc>
        <w:tc>
          <w:tcPr>
            <w:tcW w:w="26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7-years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Based on the finite-lived intangible asset recorded as of March 31, 2025, and assuming the underlying asset will not be impaired and that the Company will not change the expected life of the asset, future amortization expense over the next five years and periods thereafter are estimated to be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73"/>
        </w:trPr>
        <w:tc>
          <w:tcPr>
            <w:tcW w:w="9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2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$8.6 million and non-current contingent consideration liability of $90.6 million in the consolidated balance sheet as of March 31, 2025.</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financial instruments measured on a recurring basis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231,582</w:t>
            </w:r>
          </w:p>
        </w:tc>
        <w:tc>
          <w:tcPr>
            <w:tcW w:w="12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99,192</w:t>
            </w:r>
          </w:p>
        </w:tc>
        <w:tc>
          <w:tcPr>
            <w:tcW w:w="120" w:type="dxa"/>
            <w:vAlign w:val="bottom"/>
          </w:tcPr>
          <w:p>
            <w:pPr>
              <w:spacing w:after="0"/>
              <w:rPr>
                <w:sz w:val="20"/>
                <w:szCs w:val="20"/>
                <w:color w:val="auto"/>
              </w:rPr>
            </w:pPr>
          </w:p>
        </w:tc>
      </w:tr>
      <w:tr>
        <w:trPr>
          <w:trHeight w:val="846"/>
        </w:trPr>
        <w:tc>
          <w:tcPr>
            <w:tcW w:w="458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244,097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244,097</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99,965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99,965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contingent consideration liabilities is marked-to-market at each reporting period and was remeasured at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contingent consideration liabilities as of March 31, 2025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20" w:type="dxa"/>
            <w:vAlign w:val="bottom"/>
          </w:tcPr>
          <w:p>
            <w:pPr>
              <w:spacing w:after="0"/>
              <w:rPr>
                <w:sz w:val="15"/>
                <w:szCs w:val="15"/>
                <w:color w:val="auto"/>
              </w:rPr>
            </w:pP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99,965</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fair value</w:t>
            </w:r>
          </w:p>
        </w:tc>
        <w:tc>
          <w:tcPr>
            <w:tcW w:w="12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(2,285)</w:t>
            </w:r>
          </w:p>
        </w:tc>
      </w:tr>
      <w:tr>
        <w:trPr>
          <w:trHeight w:val="228"/>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2025 (Level 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99,192</w:t>
            </w:r>
          </w:p>
        </w:tc>
        <w:tc>
          <w:tcPr>
            <w:tcW w:w="12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2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00" w:type="dxa"/>
            <w:vAlign w:val="bottom"/>
          </w:tcPr>
          <w:p>
            <w:pPr>
              <w:spacing w:after="0"/>
              <w:rPr>
                <w:sz w:val="10"/>
                <w:szCs w:val="10"/>
                <w:color w:val="auto"/>
              </w:rPr>
            </w:pPr>
          </w:p>
        </w:tc>
        <w:tc>
          <w:tcPr>
            <w:tcW w:w="2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120" w:type="dxa"/>
            <w:vAlign w:val="bottom"/>
          </w:tcPr>
          <w:p>
            <w:pPr>
              <w:spacing w:after="0"/>
              <w:rPr>
                <w:sz w:val="10"/>
                <w:szCs w:val="10"/>
                <w:color w:val="auto"/>
              </w:rPr>
            </w:pPr>
          </w:p>
        </w:tc>
        <w:tc>
          <w:tcPr>
            <w:tcW w:w="2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91"/>
        </w:trPr>
        <w:tc>
          <w:tcPr>
            <w:tcW w:w="1600" w:type="dxa"/>
            <w:vAlign w:val="bottom"/>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auto"/>
              </w:rPr>
              <w:t>Contingent</w:t>
            </w:r>
          </w:p>
        </w:tc>
        <w:tc>
          <w:tcPr>
            <w:tcW w:w="23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Probability weighted income</w:t>
            </w:r>
          </w:p>
        </w:tc>
        <w:tc>
          <w:tcPr>
            <w:tcW w:w="12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Discount rate</w:t>
            </w:r>
          </w:p>
        </w:tc>
        <w:tc>
          <w:tcPr>
            <w:tcW w:w="2420" w:type="dxa"/>
            <w:vAlign w:val="bottom"/>
            <w:gridSpan w:val="2"/>
            <w:shd w:val="clear" w:color="auto" w:fill="CFF0FC"/>
          </w:tcPr>
          <w:p>
            <w:pPr>
              <w:jc w:val="right"/>
              <w:ind w:right="850"/>
              <w:spacing w:after="0" w:line="191" w:lineRule="exact"/>
              <w:rPr>
                <w:sz w:val="20"/>
                <w:szCs w:val="20"/>
                <w:color w:val="auto"/>
              </w:rPr>
            </w:pPr>
            <w:r>
              <w:rPr>
                <w:rFonts w:ascii="Times New Roman" w:cs="Times New Roman" w:eastAsia="Times New Roman" w:hAnsi="Times New Roman"/>
                <w:sz w:val="18"/>
                <w:szCs w:val="18"/>
                <w:color w:val="auto"/>
              </w:rPr>
              <w:t>12.7%</w:t>
            </w:r>
          </w:p>
        </w:tc>
        <w:tc>
          <w:tcPr>
            <w:tcW w:w="2460" w:type="dxa"/>
            <w:vAlign w:val="bottom"/>
            <w:gridSpan w:val="2"/>
            <w:shd w:val="clear" w:color="auto" w:fill="CFF0FC"/>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4"/>
        </w:trPr>
        <w:tc>
          <w:tcPr>
            <w:tcW w:w="1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2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4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17.3% - 20.3%</w:t>
            </w:r>
          </w:p>
        </w:tc>
        <w:tc>
          <w:tcPr>
            <w:tcW w:w="24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17.6% - 20.6%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are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8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11,246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14,431</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19,598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28,225</w:t>
            </w: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3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10,361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17,498</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95,768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73,952</w:t>
            </w: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7,908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9,958</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3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3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1,816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1,421</w:t>
            </w:r>
          </w:p>
        </w:tc>
      </w:tr>
      <w:tr>
        <w:trPr>
          <w:trHeight w:val="24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149,199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147,987</w:t>
            </w:r>
          </w:p>
        </w:tc>
      </w:tr>
      <w:tr>
        <w:trPr>
          <w:trHeight w:val="844"/>
        </w:trPr>
        <w:tc>
          <w:tcPr>
            <w:tcW w:w="4680" w:type="dxa"/>
            <w:vAlign w:val="bottom"/>
            <w:tcBorders>
              <w:top w:val="single" w:sz="8" w:color="CFF0FC"/>
            </w:tcBorders>
          </w:tcPr>
          <w:p>
            <w:pPr>
              <w:spacing w:after="0"/>
              <w:rPr>
                <w:sz w:val="24"/>
                <w:szCs w:val="24"/>
                <w:color w:val="auto"/>
              </w:rPr>
            </w:pPr>
          </w:p>
        </w:tc>
        <w:tc>
          <w:tcPr>
            <w:tcW w:w="306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-1071245</wp:posOffset>
            </wp:positionV>
            <wp:extent cx="111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111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Capital, Inc.</w:t>
      </w:r>
    </w:p>
    <w:p>
      <w:pPr>
        <w:spacing w:after="0" w:line="227"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For the purposes of this Note 8, capitalized terms used but not otherwise defined herein shall have the meanings assigned to them in the Loan Agreement (as defined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to the Loan Agreement</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September 30, 2024, the Company entered into a Fifth Amendment (the “Fifth Amendment”) to its Loan and Security Agreement, dated as of September 25, 2020 (as amended by that certain First Amendment to Loan and Security Agreement, dated as of October 14, 2021, as further amended by the Second Amendment to Loan and Security Agreement, dated as of March 27, 2022, as further amended by the Third Amendment to Loan and Security Agreement, dated as of January 9, 2023, and as further amended by the Waiver and Fourth Amendment to Loan and Security Agreement, dated as of May 8, 2023) (the “Loan Agreement”) with Hercules Capital, Inc., a Maryland corporation (“Hercules”), in its capacity as administrative agent and collateral agent, and the other financial institutions or entities party thereto as lenders (collectively, the “Lenders”), with respect to the term loan thereunder (the “2020 Term Loan”).</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Fifth Amendment amended the terms of the Loan Agreement to, among other things: (i) increase the Tranche 3 Commitment from $75.0 to $80.0 million; (ii) extend the availability periods of Tranche 1D to June 15, 2025 and that of Tranche 1E to December 15, 2025, as set forth in greater detail in the Fifth Amendment; (iii) alter the terms of Performance Covenant A, Performance Covenant B, and Performance Covenant C and also add a Performance Covenant D, as set forth in greater detail in the Fifth Amendment; (iv) conditionally waive the requirement that the Company maintain Qualified Cash in an amount greater than or equal to the sum of $30.0 million plus the Qualified Cash A/P Amount at all times during such periods of time that the Company’s Market Capitalization exceeds $1.5 billion; and (v) permit Axsome Malta Ltd. (“Axsome Malta”) to request an Advance from the Lenders up to a certain amount to the extent that the Company may request an Advance in such amount and to increase the amount of Cash that Axsome Malta may hold outside of the United States, as set forth in greater detail in the Fifth Amendment.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Waiver and Fourth Amendment (the “Fourth Amendment”) to the Loan Agreement with Hercules and the Third Amendment (the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Loan Agreement with Hercules incorporate the following amendments:</w:t>
      </w:r>
    </w:p>
    <w:p>
      <w:pPr>
        <w:spacing w:after="0" w:line="99" w:lineRule="exact"/>
        <w:rPr>
          <w:sz w:val="20"/>
          <w:szCs w:val="20"/>
          <w:color w:val="auto"/>
        </w:rPr>
      </w:pPr>
    </w:p>
    <w:p>
      <w:pPr>
        <w:ind w:left="1020" w:right="4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cash held by Axsome Malta outside of the United States from $3.0 million to $15.0 million for a 45-day period after the closing of the Fourth Amendment and to $10.0 million thereafter;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of any purported default with respect to the amount of cash held by Axsome Malta prior to the date of the Fourth Amendment;</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Hercules granted the Company a waiver to the Fourth Amendment, permitting Axsome Malta to hold up to $12.5 million in Cash outside of the United States until December 31, 2023;</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to January 1, 2028, unless the Company meets certain revenue targets as described in the Loan Agreement, in which case the Company can extend the maturity date to January 1, 2029;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principal amount under the Loan Agreement from $300.0 million to $350.0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20" w:right="20" w:hanging="503"/>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 the Loan Agreement, change the term loan advance amounts and availability dates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respectively, to one tranche of $25.0 million, changing the Tranche 3 Advance from two sub-tranches of $15.0 million and $5.0 million, respectively, to one tranche of $75.0 million, and removing the Tranche 4 Advance and Tranche 5 Advance entirely;</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interest rate applicable to extensions of credit under the Loan Agreement to equal (a) if the prime rate is greater than or equal to</w:t>
      </w:r>
    </w:p>
    <w:p>
      <w:pPr>
        <w:spacing w:after="0" w:line="27" w:lineRule="exact"/>
        <w:rPr>
          <w:rFonts w:ascii="Times New Roman" w:cs="Times New Roman" w:eastAsia="Times New Roman" w:hAnsi="Times New Roman"/>
          <w:sz w:val="18"/>
          <w:szCs w:val="18"/>
          <w:color w:val="auto"/>
        </w:rPr>
      </w:pPr>
    </w:p>
    <w:p>
      <w:pPr>
        <w:ind w:left="102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the greater of either (i) the prime rate plus 2.20%, and (ii) 9.95%, but in no event greater than 10.70%, and (b) if the prime rate is less than 7.00%, 9.70%;</w:t>
      </w:r>
    </w:p>
    <w:p>
      <w:pPr>
        <w:spacing w:after="0" w:line="7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minimum cash requirement of the Company to the sum of $30.0 million plus the Qualified Cash A/P Amount;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pay a facility fee equal to 0.75% of the amount of principal actually funded pursuant to the Tranche 1B Advance, Tranche 1C Advance, Tranche 1D Advance, Tranche 1E Advance, Tranche 2 Advance, and Tranche 3 Advance.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Company had allowed Tranche 2, which totaled $25.0 million, to expire undrawn.</w:t>
      </w:r>
    </w:p>
    <w:p>
      <w:pPr>
        <w:spacing w:after="0" w:line="225"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Antecip and Hercules.</w:t>
      </w:r>
    </w:p>
    <w:p>
      <w:pPr>
        <w:spacing w:after="0" w:line="183"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Effective upon closing of the Fifth Amendment in September 2024, the following limited financial covenants apply:</w:t>
      </w:r>
    </w:p>
    <w:p>
      <w:pPr>
        <w:spacing w:after="0" w:line="75" w:lineRule="exact"/>
        <w:rPr>
          <w:sz w:val="20"/>
          <w:szCs w:val="20"/>
          <w:color w:val="auto"/>
        </w:rPr>
      </w:pPr>
    </w:p>
    <w:p>
      <w:pPr>
        <w:ind w:left="1020" w:right="3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all times must maintain Qualified Cash in an aggregate amount greater than or equal to $30.0 million plus the Qualified Cash A/P Amount; provided that compliance with such covenant shall be conditionally waived during such periods of time that the Company’s Market Capitalization exceeds $1.5 billion.</w:t>
      </w:r>
    </w:p>
    <w:p>
      <w:pPr>
        <w:spacing w:after="0" w:line="6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meet, beginning June 30, 2023, any of the following conditions: (A) ensure that at all times its market capitalization exceeds $1.0 billion and that it maintains Qualified Cash in an amount not less than 30% of the sum of the outstanding principal amount of the Term Loan Advances plus the Qualified Cash A/P Amount, (B) ensure that at all times that it maintains Qualified Cash in an amount not less than 50% of the sum of the outstanding principal amount of the Term Loan Advances plus the Qualified Cash A/P Amount, or (C) ensure that at all times its market capitalization exceeds $1.5 billion. Alternatively, the Company must, beginning with fiscal quarter ending September 30, 2024, and for each quarter thereafter, achieve T6M Net Product Revenue in an amount equal to at least the amount set forth on Schedule 7.20(b) of the Loan Agreement opposite the last day of each fiscal quarter identified in the table therein, tested on a quarterly basis.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20" w:right="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Malta, a company organized under the laws of the Republic of Malta, may request an Advance from the Lenders up to a certain amount to the extent that the Company may request an Advance in such amount, and Axsome Malta may not hold Cash outside of the United States in excess of the sum of $10.0 million and the aggregate outstanding principal amount of Advances drawn by Axsome Malta.</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pay certain end of term charges, including (A) an initial end of term charge of $4.45 million and (B) a subsequent end of term charge of (i) 1.10% of the aggregate amount of all Tranche 1A Advances plus (ii) 4.95% of the aggregate amount of all term loan advances (other than Tranche 1A Advances) funded minus (iii) any charges paid by the Borrower to the Lenders related to partial prepayments of the outstanding Secured Obligations. The end of term charges are being accreted into interest expense using the effective interest rate method over the term of the loan.</w:t>
      </w:r>
    </w:p>
    <w:p>
      <w:pPr>
        <w:spacing w:after="0" w:line="183"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If certain maturity extension conditions are satisfied, the Company must pay an extension end of term charge equal to 1.00% of the aggregate amount of all Term Loan Advances outstanding as of the date on which the maturity extension conditions are satisfied, in addition to the end of term charges described above.</w:t>
      </w:r>
    </w:p>
    <w:p>
      <w:pPr>
        <w:spacing w:after="0" w:line="176"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may, at its option prepay the term loans in full or in part, subject to a prepayment penalty equal to (i) 2.0% of the Advance amount prepaid if the prepayment occurs prior to February 1, 2024, (ii) 1.5% of the Advance amount prepaid if the prepayment occurs on or after February 1, 2024 but prior to February 1, 2025, and (iii) 1.0% of the Advance amount prepaid if the prepayment occurs on or after February 1, 2025 but prior to February 1, 2026.</w:t>
      </w:r>
    </w:p>
    <w:p>
      <w:pPr>
        <w:spacing w:after="0" w:line="180" w:lineRule="exact"/>
        <w:rPr>
          <w:sz w:val="20"/>
          <w:szCs w:val="20"/>
          <w:color w:val="auto"/>
        </w:rPr>
      </w:pPr>
    </w:p>
    <w:p>
      <w:pPr>
        <w:ind w:right="120" w:firstLine="749"/>
        <w:spacing w:after="0" w:line="277" w:lineRule="auto"/>
        <w:rPr>
          <w:sz w:val="20"/>
          <w:szCs w:val="20"/>
          <w:color w:val="auto"/>
        </w:rPr>
      </w:pPr>
      <w:r>
        <w:rPr>
          <w:rFonts w:ascii="Times New Roman" w:cs="Times New Roman" w:eastAsia="Times New Roman" w:hAnsi="Times New Roman"/>
          <w:sz w:val="17"/>
          <w:szCs w:val="17"/>
          <w:color w:val="auto"/>
        </w:rPr>
        <w:t xml:space="preserve">The Company evaluated whether the Third Amendment entered into in January 2023 represented a debt modification or extinguishment in accordance with ASC 470-50, </w:t>
      </w:r>
      <w:r>
        <w:rPr>
          <w:rFonts w:ascii="Times New Roman" w:cs="Times New Roman" w:eastAsia="Times New Roman" w:hAnsi="Times New Roman"/>
          <w:sz w:val="17"/>
          <w:szCs w:val="17"/>
          <w:i w:val="1"/>
          <w:iCs w:val="1"/>
          <w:color w:val="auto"/>
        </w:rPr>
        <w:t>Debt – Modifications and Extinguishments</w:t>
      </w:r>
      <w:r>
        <w:rPr>
          <w:rFonts w:ascii="Times New Roman" w:cs="Times New Roman" w:eastAsia="Times New Roman" w:hAnsi="Times New Roman"/>
          <w:sz w:val="17"/>
          <w:szCs w:val="17"/>
          <w:color w:val="auto"/>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 utilizing the effective interest rate method.</w:t>
      </w:r>
    </w:p>
    <w:p>
      <w:pPr>
        <w:spacing w:after="0" w:line="168"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Company also evaluated whether the Fifth Amendment entered into September 2024 represented a debt modification or extinguishment in accordance with ASC 470. As the terms of the Fifth Amendment are not substantially different as compared to that of the Fourth Amendment, the Company treated the amendment as a debt modification.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8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debt</w:t>
            </w:r>
          </w:p>
        </w:tc>
        <w:tc>
          <w:tcPr>
            <w:tcW w:w="2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180,000</w:t>
            </w: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accreted final payment fee</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4,085</w:t>
            </w: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1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19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181,377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180,710</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of debt approximates its fair value given its variable interest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amortization of the final payment fee, and amortization of the debt discount related to the issuance costs and warrants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18"/>
                <w:szCs w:val="18"/>
                <w:color w:val="auto"/>
              </w:rPr>
            </w:pPr>
          </w:p>
        </w:tc>
      </w:tr>
      <w:tr>
        <w:trPr>
          <w:trHeight w:val="432"/>
        </w:trPr>
        <w:tc>
          <w:tcPr>
            <w:tcW w:w="7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Scheduled principal payments on outstanding debt, as of March 31, 2025, are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180,000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180,000</w:t>
            </w:r>
          </w:p>
        </w:tc>
        <w:tc>
          <w:tcPr>
            <w:tcW w:w="100" w:type="dxa"/>
            <w:vAlign w:val="bottom"/>
            <w:tcBorders>
              <w:bottom w:val="single" w:sz="8" w:color="auto"/>
            </w:tcBorders>
            <w:shd w:val="clear" w:color="auto" w:fill="CFF0FC"/>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2023, the Company entered into a sublease agreement (“Initial Sublease”) for the previous office space located at One World Trade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w:t>
      </w:r>
    </w:p>
    <w:p>
      <w:pPr>
        <w:spacing w:after="0" w:line="20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January 2025, the Company entered into an amended sublease agreement (the “First Amendment”) to terminate the existing space in its corporate office and commence occupancy of different space within the same building. The First Amendment was treated as a lease modification to the Initial Sublease which resulted in the recognition of a gain on modification of $2.3 million which is included in selling, general and administrative expenses. The Company also recorded a right-of-use asset and corresponding lease liability of $23.9 million during the three months ended March 31, 2025. Based on the Company’s past experience and current expectations for administrative office needs, the Company determined the lease term to be approximately six years. As of March 31, 2025, the remaining lease term for the Company’s operating lease was 6.0 years with the discount rate of 7.12%.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three months ended March 31, 2025, the Company recognized a right-of-use asset and lease liability, both, of $1.5 million in connection to this lease. As of March 31, 2025, right-of-use asset and lease liability related to the finance lease were $5.4 million and $5.5 million, respectively, and the weighted average remaining lease term was 3.1 years, with a weighted average discount rate of 9.5%.</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expenses recognized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7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3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3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r>
      <w:tr>
        <w:trPr>
          <w:trHeight w:val="234"/>
        </w:trPr>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846"/>
        </w:trPr>
        <w:tc>
          <w:tcPr>
            <w:tcW w:w="4060" w:type="dxa"/>
            <w:vAlign w:val="bottom"/>
          </w:tcPr>
          <w:p>
            <w:pPr>
              <w:spacing w:after="0"/>
              <w:rPr>
                <w:sz w:val="24"/>
                <w:szCs w:val="24"/>
                <w:color w:val="auto"/>
              </w:rPr>
            </w:pPr>
          </w:p>
        </w:tc>
        <w:tc>
          <w:tcPr>
            <w:tcW w:w="368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minimum lease payments of the Company’s leases as of March 31, 2025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5"/>
                <w:szCs w:val="15"/>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9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27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31,316</w:t>
            </w: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(6,957)</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r>
      <w:tr>
        <w:trPr>
          <w:trHeight w:val="250"/>
        </w:trPr>
        <w:tc>
          <w:tcPr>
            <w:tcW w:w="50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7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December 2019, the Company entered into a sales agreement (the “December 2019 Sales Agreement”) with SVB Securities LLC (now known as Leerink Partners LLC) (“Leerink”), pursuant to which the Company may sell up to $80 million in shares of the Company’s common stock from time to time through Leerink, acting as the Company’s sales agent, in one or more at-the-market offerings utilizing an automatic shelf registration statement (the “2019 Shelf Registration Statement”) the Company filed with the U.S. Securities and Exchange Commission (the “SEC”) on December 5, 2019 for the issuance of common stock, preferred stock, warrants, rights, debt securities and units. Leerink is entitled to receive a commission of 3.0% of the gross proceeds for any shares sold under the December 2019 Sales Agreement. The December 2019 Sales Agreement was replaced by the March 2022 Sales Agreement (as defined below).</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“March 2022 Sales Agreement”) with Leerink and filed a prospectus supplement, pursuant to which the Company could sell up to $200 million in shares of the Company’s common stock from time to time through Leerink, acting as the Company’s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dated December 5, 2019, by and between the Company and Leerink. The Company exhausted sales of shares of the Company’s common stock under its prior at-the-market offering program.</w:t>
      </w:r>
    </w:p>
    <w:p>
      <w:pPr>
        <w:spacing w:after="0" w:line="18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August 2022, the Company filed a prospectus supplement to the 2019 Shelf Registration Statement for the issuance and sale, if any, of up to an additional $250 million in shares of the Company’s common stock. The Company will pay Leerink a commission of up to 3.0% of the gross sales proceeds of any shares sold through Leerink, acting as sales agent, under the March 2022 Sales Agreement.</w:t>
      </w:r>
    </w:p>
    <w:p>
      <w:pPr>
        <w:spacing w:after="0" w:line="176"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the Company’s common stock that may be issued and sold from time to time through Leerink, as the Company’s sales agent, under the March 2022 Sales Agreement.</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Under the March 2022 Sales Agreement, for the three months ended March 31, 2025, the Company received approximately $19.7 million in gross proceeds through the sale of 156,484 shares, of which net proceeds were approximately $19.3 million. The Company did not utilize the March 2022 Sales Agreement with Leerink during the three months ended March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Upon the closing of the Second Amendment, which occurred in March 2022, Hercules also purchased 152,487 of the Company’s unregistered common stock for a total consideration of $5.0 million at a share price equal to $32.79 per share, pursuant to a share transfer agreement.</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Public Offering</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On December 2, 2022, the Company filed an automatic shelf registration statement (the “2022 Shelf Registration Statement”) with the SEC for the issuance of common stock, preferred stock, warrants, rights, debt securities and units. It became effective upon filing with the SEC and is currently the Company’s only active shelf registration.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In November 2015, the 2015 Omnibus Incentive Compensation Plan (the “2015 Plan”) was adopted by the Company’s stockholders. As of March 31, 2025, there were 2,419,922 shares available for future grant under the 2015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 option activity as of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6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8,439,121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6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274,595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128.92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51.33</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Forfeited/Canceled</w:t>
            </w:r>
          </w:p>
        </w:tc>
        <w:tc>
          <w:tcPr>
            <w:tcW w:w="13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8,289,857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48.97</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565,499</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320" w:type="dxa"/>
            <w:vAlign w:val="bottom"/>
          </w:tcPr>
          <w:p>
            <w:pPr>
              <w:spacing w:after="0"/>
              <w:rPr>
                <w:sz w:val="17"/>
                <w:szCs w:val="17"/>
                <w:color w:val="auto"/>
              </w:rPr>
            </w:pPr>
          </w:p>
        </w:tc>
        <w:tc>
          <w:tcPr>
            <w:tcW w:w="1300" w:type="dxa"/>
            <w:vAlign w:val="bottom"/>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8,289,857</w:t>
            </w: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48.97</w:t>
            </w:r>
          </w:p>
        </w:tc>
        <w:tc>
          <w:tcPr>
            <w:tcW w:w="140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565,499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2025</w:t>
            </w:r>
          </w:p>
        </w:tc>
        <w:tc>
          <w:tcPr>
            <w:tcW w:w="2620" w:type="dxa"/>
            <w:vAlign w:val="bottom"/>
            <w:gridSpan w:val="2"/>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5,431,100</w:t>
            </w: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36.45</w:t>
            </w:r>
          </w:p>
        </w:tc>
        <w:tc>
          <w:tcPr>
            <w:tcW w:w="1400" w:type="dxa"/>
            <w:vAlign w:val="bottom"/>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435,560</w:t>
            </w:r>
          </w:p>
        </w:tc>
        <w:tc>
          <w:tcPr>
            <w:tcW w:w="0" w:type="dxa"/>
            <w:vAlign w:val="bottom"/>
          </w:tcPr>
          <w:p>
            <w:pPr>
              <w:spacing w:after="0"/>
              <w:rPr>
                <w:sz w:val="1"/>
                <w:szCs w:val="1"/>
                <w:color w:val="auto"/>
              </w:rPr>
            </w:pPr>
          </w:p>
        </w:tc>
      </w:tr>
      <w:tr>
        <w:trPr>
          <w:trHeight w:val="845"/>
        </w:trPr>
        <w:tc>
          <w:tcPr>
            <w:tcW w:w="4460" w:type="dxa"/>
            <w:vAlign w:val="bottom"/>
            <w:tcBorders>
              <w:top w:val="single" w:sz="8" w:color="CFF0FC"/>
            </w:tcBorders>
          </w:tcPr>
          <w:p>
            <w:pPr>
              <w:spacing w:after="0"/>
              <w:rPr>
                <w:sz w:val="24"/>
                <w:szCs w:val="24"/>
                <w:color w:val="auto"/>
              </w:rPr>
            </w:pP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-1396365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-1379220</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-1396365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-1379220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-1396365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-1379220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-1071245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-1053465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-1071245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-1053465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-1071245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-1053465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192"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was $92.48 per option for the three months ended March 31, 2025. As of March 31, 2025, there was $148.8 million of total unrecognized compensation cost related to unvested stock options which is expected to be recognized over a weighted average period of 2.3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fair value of the RSUs is recognized as an expense ratably over the vesting period of four years. As of March 31, 2025, total compensation cost not yet recognized related to unvested RSUs was $79.1 million, which is expected to be recognized over a weighted-average period of 2.9 years. The intrinsic value of RSUs lapsed during the three months ended March 31, 2025 was $12.1 million.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RSU activity for the three months ended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906,944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(244,299)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993,202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February 2025, the Company granted PSUs to the executive officers. Vesting of the PSUs is subject to achievement of specified performance goals, which include achieving revenue, clinical, and regulatory targets. The actual number of common shares that would ultimately be issued is calculated by multiplying the number of PSUs granted by a payout multiplier ranging from 0 to 2. Achievement of the performance goals will ultimately be determined by the Compensation Committee or the Board at the end of the vesting term, which is approximately 3 years from the grant date. As of March 31, 2025, total compensation cost not yet recognized related to unvested PSUs was $5.9 million, which is expected to be recognized over a weighted-average period of 3.0 years.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PSU activity for the three months ended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466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3020" w:type="dxa"/>
            <w:vAlign w:val="bottom"/>
          </w:tcPr>
          <w:p>
            <w:pPr>
              <w:spacing w:after="0"/>
              <w:rPr>
                <w:sz w:val="15"/>
                <w:szCs w:val="15"/>
                <w:color w:val="auto"/>
              </w:rPr>
            </w:pP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0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0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0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30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4660" w:type="dxa"/>
            <w:vAlign w:val="bottom"/>
            <w:tcBorders>
              <w:top w:val="single" w:sz="8" w:color="CFF0FC"/>
            </w:tcBorders>
          </w:tcPr>
          <w:p>
            <w:pPr>
              <w:spacing w:after="0"/>
              <w:rPr>
                <w:sz w:val="24"/>
                <w:szCs w:val="24"/>
                <w:color w:val="auto"/>
              </w:rPr>
            </w:pPr>
          </w:p>
        </w:tc>
        <w:tc>
          <w:tcPr>
            <w:tcW w:w="302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first offering period pursuant to the ESPP on June 1, 2023, and such offering ended on May 31, 2024.</w:t>
      </w:r>
    </w:p>
    <w:p>
      <w:pPr>
        <w:spacing w:after="0" w:line="180"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shares of common stock have been purchased or issued pursuant to the ESPP, and $0.3 million of expense was recorded for the same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Stock-based compensation expense recognized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6,459</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16,849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15,622</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23,308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20,190</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$0.3 million for both the three months ended March 31, 2025 and 2024. Capitalized stock-based compensation is recognized as an expense in cost of product sales when the related product is sold or in selling, general and administrative expense when the related product is dispensed as a physician sample.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three months ended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entry into the Third Amendment,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(59,413)</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(68,357)</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48,871,163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47,393,563</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they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26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20" w:type="dxa"/>
            <w:vAlign w:val="bottom"/>
            <w:tcBorders>
              <w:bottom w:val="single" w:sz="8" w:color="auto"/>
            </w:tcBorders>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7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8,289,857</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9,156,130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7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993,202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922,651</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57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64,281</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57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79,220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79,220</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404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61,717</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53,500</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7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9,488,277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10,211,501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0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30</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Revenues</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Company sells Auvelity and Sunosi in the United States through the Distributors. The Company also sells Sunosi to Distributors in Canada and on a product supply basis to Pharmanovia. Sunosi is subsequently sold by Pharmanovia in certain ex-U.S. markets. For the three months ended March 31, 2025, the Company’s three largest customers represented approximately 32%, 30%, and 27% of the Company’s gross product sales.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Royalty revenue is related to sales of Sunosi by Pharmanovia in certain ex-U.S. markets.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product: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200" w:type="dxa"/>
            <w:vAlign w:val="bottom"/>
          </w:tcPr>
          <w:p>
            <w:pPr>
              <w:ind w:left="37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Auvelity</w:t>
            </w:r>
          </w:p>
        </w:tc>
        <w:tc>
          <w:tcPr>
            <w:tcW w:w="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96,231</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Sunosi</w:t>
            </w:r>
          </w:p>
        </w:tc>
        <w:tc>
          <w:tcPr>
            <w:tcW w:w="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Sunosi royalty revenue</w:t>
            </w:r>
          </w:p>
        </w:tc>
        <w:tc>
          <w:tcPr>
            <w:tcW w:w="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121,463</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geographic location:</w:t>
            </w: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0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200" w:type="dxa"/>
            <w:vAlign w:val="bottom"/>
          </w:tcPr>
          <w:p>
            <w:pPr>
              <w:ind w:left="37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119,413</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121,463</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-2073910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-590550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product sales, net includes adjustments for provisions for product sales made in 2024 resulting from changes in estimates of $1.1 million for Auvelity and $0.9 million for Sunosi. For the three months ended March 31, 2024, product sales, net includes adjustments for provisions for product sales made in 2023 resulting from changes in estimates of $1.2 million for Auvelity and $0.6 million for Sunosi.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consideration for entering the Pharmanovia License Agreement, the Company received a non-refundable upfront payment of €62.0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($65.7 million). The Company also will receive a royalty percentage in the mid-twenties on Sunosi net sales in the Territory and is eligible to receive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milestone payments totaling up to €94.5 million.</w:t>
      </w:r>
    </w:p>
    <w:p>
      <w:pPr>
        <w:spacing w:after="0" w:line="207" w:lineRule="exact"/>
        <w:rPr>
          <w:sz w:val="20"/>
          <w:szCs w:val="20"/>
          <w:color w:val="auto"/>
        </w:rPr>
      </w:pPr>
    </w:p>
    <w:p>
      <w:pPr>
        <w:ind w:right="100" w:firstLine="794"/>
        <w:spacing w:after="0" w:line="253" w:lineRule="auto"/>
        <w:rPr>
          <w:sz w:val="20"/>
          <w:szCs w:val="20"/>
          <w:color w:val="auto"/>
        </w:rPr>
      </w:pPr>
      <w:r>
        <w:rPr>
          <w:rFonts w:ascii="Times New Roman" w:cs="Times New Roman" w:eastAsia="Times New Roman" w:hAnsi="Times New Roman"/>
          <w:sz w:val="18"/>
          <w:szCs w:val="18"/>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The Company recognized royalty revenue of $1.1 million and $0.9 million for the three months ended March 31, 2025 and 2024, respectively, related to Pharmanovia’s sales of Sunosi. No other development or sales-based milestones were recognized during the three months ended March 31, 2025 and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w:t>
      </w:r>
    </w:p>
    <w:p>
      <w:pPr>
        <w:ind w:left="5540" w:right="1520" w:hanging="5532"/>
        <w:spacing w:after="0" w:line="761" w:lineRule="auto"/>
        <w:tabs>
          <w:tab w:leader="none" w:pos="2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and 2024, no milestone payments or royalties were paid to Pfizer by the Company.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three months ended March 31, 2025 and 2024, the Company recorded royalty expense of $2.9 million and $1.6 million, respectively, for royalty due to Antecip, which is equal to 3.0% of net sales of Auvelity. This is considered to be a related party transaction.</w:t>
      </w:r>
    </w:p>
    <w:p>
      <w:pPr>
        <w:spacing w:after="0" w:line="19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Loan Agreement, the Company entered into the Direct Agreement with Antecip and Hercules, pursuant to which Antecip consented to the collateral assignment of the License Agreement under the Loan Agreement, among other things.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Royalty Agreements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agreed to make non-refundable, non-creditable royalty payments to Jazz equal to a (A) high single-digit royalty for any current indication, or (B) mid-single-digit royalty for any future indication of net sales in the U.S. Territory made during the applicable royalty term. There are no royalty payments due to Jazz for net sales outside of the U.S. Territory.</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$165.0 million based on revenue milestones and $1.0 million based on development milestones.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the Company’s loss before income taxes and effective tax rates for all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ind w:left="372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8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680" w:type="dxa"/>
            <w:vAlign w:val="bottom"/>
          </w:tcPr>
          <w:p>
            <w:pPr>
              <w:ind w:left="37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(59,413)</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(68,357)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111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(the “IRS”) and other tax authorities to determine the adequacy of its income tax reserves and expense. Should actual events or results differ from the Company’s current expectations, charges or credits to its income tax expense may become necessary.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did not record a tax expense for the three months ended March 31, 2025 and 2024.</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Company did not have any unrecognized tax benefits as of March 31, 2025 related to uncertain tax positions that would impact the effective income tax rate if recognized.</w:t>
      </w:r>
    </w:p>
    <w:p>
      <w:pPr>
        <w:spacing w:after="0" w:line="162"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Company is currently under examination by the IRS for the Company’s 2021 U.S. income tax return.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Additionally, since the launch of Auvelity in the fourth quarter of 2022, the Company recorded royalty expense of $2.9 million and $1.6 million for the three months ended March 31, 2025 and 2024, respectively, which equal 3.0% of net sales for those respective periods.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 a party to three exclusive license agreements with Antecip Bioventures II LLC, an entity owned by Dr. Tabuteau. See Note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for further information regarding the license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 making process reflects the way in which the financial information is regularly reviewed and used by the CODM to evaluate performance, set operational targets, forecast future financial results, and allocate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one reportable segment and includes the reconciliation to consolidated net loss.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121,463</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 (excluding share-based compensation expense):</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Solriamfetol</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AXS-05</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AXS-07</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AXS-12</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AXS-14</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(a)</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 (excluding share-based compensation expense)</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 (excluding share-based compensation expense)</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71,196</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69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4"/>
                <w:szCs w:val="24"/>
                <w:color w:val="auto"/>
                <w:vertAlign w:val="superscript"/>
              </w:rPr>
              <w:t>(b)</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(c)</w:t>
            </w:r>
          </w:p>
        </w:tc>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(59,413)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(68,357)</w:t>
            </w:r>
          </w:p>
        </w:tc>
      </w:tr>
      <w:tr>
        <w:trPr>
          <w:trHeight w:val="210"/>
        </w:trPr>
        <w:tc>
          <w:tcPr>
            <w:tcW w:w="698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loss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7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(59,413)</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(68,357)</w:t>
            </w: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-590550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research and development expenses primarily consist of facilities charges, third party consultant costs, costs related to other product candidates, and other unallocated costs.</w:t>
      </w:r>
    </w:p>
    <w:p>
      <w:pPr>
        <w:ind w:left="300" w:right="100" w:hanging="292"/>
        <w:spacing w:after="0" w:line="216" w:lineRule="auto"/>
        <w:tabs>
          <w:tab w:leader="none" w:pos="3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net of $2,431 for the three months ended March 31, 2025 comprises (i) consolidated interest expense of $5,258 and (ii) consolidated interest income of $2,827. Interest expense, net of $1,082 for the three months ended March 31, 2024 comprises (i) consolidated interest expense of $5,406 and (ii) consolidated interest income of $4,324.</w:t>
      </w:r>
    </w:p>
    <w:p>
      <w:pPr>
        <w:ind w:left="300" w:hanging="292"/>
        <w:spacing w:after="0"/>
        <w:tabs>
          <w:tab w:leader="none" w:pos="3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included in Segment net loss include intangible asset amortization and other miscellaneous items.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2. Summary of Significant Accounting Policies for further details on the products from which the Company derives its revenues.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13. Revenues for details of revenue from external customers by geography.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2024 which was filed with the U.S. Securities and Exchange Commission, or SEC, on February 18, 2025</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are a biopharmaceutical company dedicated to the development and commercialization of innovative medicines for people living central nervous system (“CNS”) conditions.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124" w:lineRule="exact"/>
        <w:rPr>
          <w:sz w:val="20"/>
          <w:szCs w:val="20"/>
          <w:color w:val="auto"/>
        </w:rPr>
      </w:pPr>
    </w:p>
    <w:p>
      <w:pPr>
        <w:ind w:left="1020" w:right="20" w:hanging="503"/>
        <w:spacing w:after="0" w:line="245" w:lineRule="auto"/>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Auvelity</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Auvelity (dextromethorphan-bupropion) is a novel, oral, N-methyl-D-aspartate (NMDA) receptor antagonist, sigma-1 receptor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agonist, aminoketone, and CYP2D6 inhibitor. Auvelity was developed by the Company and approved by the FDA for the treatment of major depressive disorder (MDD) in adults in August 2022. We initiated the commercial launch of Auvelity in the United States in October 2022. We refer to the proprietary dextromethorphan-bupropion formulation contained in Auvelity as AXS-05. As used in this report, “Auvelity” refers to AXS-05 approved by the FDA for the treatment of MDD in adults, and “AXS-05” refers to, where applicable, Auvelity as well as AXS-05 for the treatment of indications beyond MDD in adults.</w:t>
      </w:r>
    </w:p>
    <w:p>
      <w:pPr>
        <w:spacing w:after="0" w:line="92" w:lineRule="exact"/>
        <w:rPr>
          <w:rFonts w:ascii="Times New Roman" w:cs="Times New Roman" w:eastAsia="Times New Roman" w:hAnsi="Times New Roman"/>
          <w:sz w:val="18"/>
          <w:szCs w:val="18"/>
          <w:b w:val="1"/>
          <w:bCs w:val="1"/>
          <w:i w:val="1"/>
          <w:iCs w:val="1"/>
          <w:color w:val="auto"/>
        </w:rPr>
      </w:pPr>
    </w:p>
    <w:p>
      <w:pPr>
        <w:ind w:left="1020" w:right="20" w:hanging="503"/>
        <w:spacing w:after="0" w:line="243" w:lineRule="auto"/>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Sunosi</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Sunosi (solriamfetol) is a novel, oral, dopamine and norepinephrine reuptake inhibitor (DNRI), trace amine-associated receptor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(TAAR1) agonist, and 5-HT</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xml:space="preserve"> agonist. Sunosi was approved for the treatment of EDS in adult patients with narcolepsy or obstructive sleep apnea (OSA) by the FDA in 2019 and by the European Commission in 2020.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As used in this report, “Sunosi” refers to solriamfetol approved for the treatment of EDS in patients with narcolepsy or OSA, and “solriamfetol” refers to, where applicable, Sunosi as well as solriamfetol for the treatment of indications beyond EDS in patients with narcolepsy or OSA.</w:t>
      </w:r>
    </w:p>
    <w:p>
      <w:pPr>
        <w:spacing w:after="0" w:line="93" w:lineRule="exact"/>
        <w:rPr>
          <w:rFonts w:ascii="Times New Roman" w:cs="Times New Roman" w:eastAsia="Times New Roman" w:hAnsi="Times New Roman"/>
          <w:sz w:val="18"/>
          <w:szCs w:val="18"/>
          <w:b w:val="1"/>
          <w:bCs w:val="1"/>
          <w:i w:val="1"/>
          <w:iCs w:val="1"/>
          <w:color w:val="auto"/>
        </w:rPr>
      </w:pPr>
    </w:p>
    <w:p>
      <w:pPr>
        <w:ind w:left="1020" w:right="120" w:hanging="503"/>
        <w:spacing w:after="0" w:line="226" w:lineRule="auto"/>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Symbravo</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Symbravo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meloxicam-rizatriptan) is a novel, oral, rapidly absorbed, multi-mechanistic, selective COX-2 inhibitor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5-HT</w:t>
      </w:r>
      <w:r>
        <w:rPr>
          <w:rFonts w:ascii="Times New Roman" w:cs="Times New Roman" w:eastAsia="Times New Roman" w:hAnsi="Times New Roman"/>
          <w:sz w:val="24"/>
          <w:szCs w:val="24"/>
          <w:color w:val="auto"/>
          <w:vertAlign w:val="subscript"/>
        </w:rPr>
        <w:t>1B/1D</w:t>
      </w:r>
      <w:r>
        <w:rPr>
          <w:rFonts w:ascii="Times New Roman" w:cs="Times New Roman" w:eastAsia="Times New Roman" w:hAnsi="Times New Roman"/>
          <w:sz w:val="18"/>
          <w:szCs w:val="18"/>
          <w:color w:val="auto"/>
        </w:rPr>
        <w:t xml:space="preserve"> agonist. Symbravo was developed by the Company and approved by the FDA for the acute treatment of migraine with or without aura in adults in January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advancing a diversified, late-stage pipeline of novel product candidates for serious neurological and psychiatric conditions.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AXS-05 (dextromethorphan-bupropion) is a novel, oral, investigational NMDA receptor antagonist, sigma-1 receptor agonist, aminoketone, and CYP2D6 inhibitor being developed for the treatment of Alzheimer’s disease agitation, or AD agitation, and smoking cessation. AXS-05 utilizes a proprietary formulation and dose of dextromethorphan and bupropion, and Axsome’s metabolic inhibition technology, to modulate the delivery of the components. We have successfully completed the Phase 3 clinical program of AXS-05 in AD agitation consisting of four Phase 3, placebo-controlled efficacy trials and a long-term safety trial. AXS-05 has been granted FDA Breakthrough Therapy designation for AD agitation.</w:t>
      </w:r>
    </w:p>
    <w:p>
      <w:pPr>
        <w:spacing w:after="0" w:line="124"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Solriamfetol is an oral, DNRI, TAAR1 agonist, and 5-HT</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xml:space="preserve"> agonist being developed for the treatment of attention deficit hyperactivity disorder (“ADHD”), major depressive disorder (MDD) with EDS, binge eating disorder (“BED”) and excessive sleepiness associated with shift work disorder (“SWD”). We recently announced topline results from the FOCUS Phase 3 trial of solriamfetol in ADHD in adults and the PARADIGM Phase 3 trial of solriamfetol in MDD. Enrollment for the ENGAGE and SUSTAIN Phase 3 trials of solriamfetol in BED and SWD, respectively, are ongoing.</w:t>
      </w:r>
    </w:p>
    <w:p>
      <w:pPr>
        <w:spacing w:after="0" w:line="18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AXS-12 (reboxetine) is a novel, oral, investigational, highly selective and potent norepinephrine reuptake inhibitor and cortical dopamine modulator being developed for the treatment of narcolepsy. We have successfully completed three Phase 2 and Phase 3, placebo-controlled efficacy trials and a long-term safety trial. AXS-12 has been granted FDA Orphan Drug Designation for narcolepsy.</w:t>
      </w:r>
    </w:p>
    <w:p>
      <w:pPr>
        <w:spacing w:after="0" w:line="17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AXS-14 (esreboxetine) is a novel, oral, investigational, highly selective and potent norepinephrine reuptake inhibitor being developed for the management of fibromyalgia. Esreboxetine, the SS-enantiomer of reboxetine, is more potent and selective than racemic reboxetine. We have submitted an NDA to the FDA for AXS-14 for the management of fibromyalgia.</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engaging in other discovery and preclinical activities, the commercial launches of Auvelity and Sunosi, and preparatory activities for the launch of Symbravo. Subsequent to our IPO, we financed our operations primarily through proceeds from sales of our common stock to equity investors and debt borrowings. For a further discussion, see the section entitled “Liquidity and Capital Resources” below.</w:t>
      </w:r>
    </w:p>
    <w:p>
      <w:pPr>
        <w:spacing w:after="0" w:line="180"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We have begun commercial sales of Auvelity and Sunosi, and plan to commercially launch Symbravo, but we have limited experience with commercializing these, or any, products.</w:t>
      </w:r>
    </w:p>
    <w:p>
      <w:pPr>
        <w:spacing w:after="0" w:line="16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$59.4 million and $68.4 million for the three months ended March 31, 2025 and 2024, respectively. Our accumulated deficit as of March 31, 2025 was $1,182.2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generated total revenues of $121.5 million and $75.0 million in the three months ended March 31, 2025 and 2024, respectively.</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34" w:lineRule="exact"/>
        <w:rPr>
          <w:sz w:val="20"/>
          <w:szCs w:val="20"/>
          <w:color w:val="auto"/>
        </w:rPr>
      </w:pPr>
    </w:p>
    <w:p>
      <w:pPr>
        <w:ind w:right="140" w:firstLine="749"/>
        <w:spacing w:after="0" w:line="234" w:lineRule="auto"/>
        <w:rPr>
          <w:sz w:val="20"/>
          <w:szCs w:val="20"/>
          <w:color w:val="auto"/>
        </w:rPr>
      </w:pPr>
      <w:r>
        <w:rPr>
          <w:rFonts w:ascii="Times New Roman" w:cs="Times New Roman" w:eastAsia="Times New Roman" w:hAnsi="Times New Roman"/>
          <w:sz w:val="18"/>
          <w:szCs w:val="18"/>
          <w:color w:val="auto"/>
        </w:rPr>
        <w:t>In February 2023, we entered into the Pharmanovia License Agreement with Pharmanovia to commercialize and further develop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Territory. Pharmanovia is a UK-based global life cycle management healthcare company that focuses on four core therapeutic areas – Oncology, Endocrinology, Neurology and Cardiovascular.</w:t>
      </w:r>
    </w:p>
    <w:p>
      <w:pPr>
        <w:spacing w:after="0" w:line="19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are eligible to receive sales-based and other milestone payments totaling up to €94.5 million. We will receive a royalty percentage in the mid-twenties on net sales of the Licensed Products (as defined in the Pharmanovia License Agreement) in the Territory. We recognized royalty revenue of $1.1 million and $0.9 million for the three months ended March 31, 2025 and 2024, respectively, related to Pharmanovia’s sales of Sunosi.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60" w:firstLine="749"/>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0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8"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 for Variable Consideration</w:t>
      </w:r>
    </w:p>
    <w:p>
      <w:pPr>
        <w:spacing w:after="0" w:line="227"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Program Redesign </w:t>
      </w:r>
      <w:r>
        <w:rPr>
          <w:rFonts w:ascii="Times New Roman" w:cs="Times New Roman" w:eastAsia="Times New Roman" w:hAnsi="Times New Roman"/>
          <w:sz w:val="18"/>
          <w:szCs w:val="18"/>
          <w:color w:val="auto"/>
        </w:rPr>
        <w:t>- Effective January 1, 2025, the Medicare Part D coverage gap program was replaced with a redesigned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We estimate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184"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Except for the Medicare Part D Program Redesign, as discussed above, there have been no material changes to the critical accounting policies disclosed in our 2024 Annual Report on Form 10-K. Our critical accounting policies are described in the notes to the consolidated financial statements appearing elsewhere in this Quarterly Report on Form 10-Q.</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120,358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74,096</w:t>
            </w: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revenue</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903</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121,463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74,999</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9,789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6,297</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44,785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36,830</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120,787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98,970</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1,572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1,589</w:t>
            </w:r>
          </w:p>
        </w:tc>
      </w:tr>
      <w:tr>
        <w:trPr>
          <w:trHeight w:val="210"/>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178,445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142,274</w:t>
            </w:r>
          </w:p>
        </w:tc>
      </w:tr>
      <w:tr>
        <w:trPr>
          <w:trHeight w:val="191"/>
        </w:trPr>
        <w:tc>
          <w:tcPr>
            <w:tcW w:w="6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(56,982)</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(67,275)</w:t>
            </w:r>
          </w:p>
        </w:tc>
      </w:tr>
      <w:tr>
        <w:trPr>
          <w:trHeight w:val="234"/>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(68,357)</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(59,413)</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(68,357)</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5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5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48,871,163</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47,393,563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-2185035</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-1062355</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-351155</wp:posOffset>
            </wp:positionV>
            <wp:extent cx="1111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-333375</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ind w:right="3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sales, net. </w:t>
      </w:r>
      <w:r>
        <w:rPr>
          <w:rFonts w:ascii="Times New Roman" w:cs="Times New Roman" w:eastAsia="Times New Roman" w:hAnsi="Times New Roman"/>
          <w:sz w:val="18"/>
          <w:szCs w:val="18"/>
          <w:color w:val="auto"/>
        </w:rPr>
        <w:t>Auvelity U.S. net sales were $96.2 million and $53.4 million for the three months ended March 31,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Sunosi net sales were $24.1 million and $20.7 million for the three months ended March 31, 2025 and 2024, respectively. The increases in product sales were primarily due to the increase in unit sales volume for both Auvelity and Sunosi.</w:t>
      </w:r>
    </w:p>
    <w:p>
      <w:pPr>
        <w:spacing w:after="0" w:line="175"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of our sales allowance and reserves as of and for the three months ended March 31, 2025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80" w:type="dxa"/>
            <w:vAlign w:val="bottom"/>
          </w:tcPr>
          <w:p>
            <w:pPr>
              <w:spacing w:after="0"/>
              <w:rPr>
                <w:sz w:val="12"/>
                <w:szCs w:val="12"/>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Cash discounts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Medicaid and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rebates, returns</w:t>
            </w: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chargebacks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Medicare rebates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Payments/credits</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(72,916)</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(29,715)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(7,904)</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(110,535)</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67,110</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In connection with the February 2023 Pharmanovia License Agreement to commercialize Sunosi in certain ex-U.S. markets,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royalty revenue of $1.1 million and $0.9 million for the three months ended March 31, 2025 and 2024, respectively, attributable to Pharmanovia sales of Sunosi in the out-licensed markets. The increase was in line with the increase in unit sales volume of Sunosi in certain ex-U.S. markets.</w:t>
      </w:r>
    </w:p>
    <w:p>
      <w:pPr>
        <w:spacing w:after="0" w:line="173" w:lineRule="exact"/>
        <w:rPr>
          <w:sz w:val="20"/>
          <w:szCs w:val="20"/>
          <w:color w:val="auto"/>
        </w:rPr>
      </w:pPr>
    </w:p>
    <w:p>
      <w:pPr>
        <w:ind w:right="1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$9.8 million for the three months ended March 31, 2025, as compared to $6.3 million for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The increase was in line with the increase in sales of Auvelity and Sunosi.</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expenses for our primary products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and 2024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Solriamfetol</w:t>
            </w: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11,806</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8,564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AXS-05</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14,477</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13,525</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AXS-07</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4,479</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AXS-12</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2,409</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AXS-14</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1,186</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2,609</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3,969</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2,546</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6,459</w:t>
            </w: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4,568</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44,785</w:t>
            </w:r>
          </w:p>
        </w:tc>
        <w:tc>
          <w:tcPr>
            <w:tcW w:w="11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36,830</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research and development expenses primarily consist of facilities charges, third party consultant costs, costs related to other product candidates, and other unallocated costs.</w:t>
      </w:r>
    </w:p>
    <w:p>
      <w:pPr>
        <w:spacing w:after="0" w:line="208"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$8.0 million for the three months ended March 31, 2025, as compared to the same period in 2024. The increase was primarily related to the ongoing Phase 3 trials for solriamfetol and AXS-12, higher pre-FDA approval activity costs for AXS-07, and higher personnel costs due to organizational growth. We expect research and development costs to increase moderately from current levels as we continue to further develop our current and future product candidates.</w:t>
      </w:r>
    </w:p>
    <w:p>
      <w:pPr>
        <w:spacing w:after="0" w:line="178"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$120.8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$99.0 million for the same period in 2024. The increase was primarily related to higher commercial activities for Auvelity, launch readiness activities for Symbravo, and higher personnel costs related to organizational growth, including non-cash stock-based compensation. We expect selling, general and administrative expenses to increase as we expand marketing, promotional, and advertising costs for Auvelity, and prepare for the launch of Symbravo and other potential product launches.</w:t>
      </w:r>
    </w:p>
    <w:p>
      <w:pPr>
        <w:spacing w:after="0" w:line="183" w:lineRule="exact"/>
        <w:rPr>
          <w:sz w:val="20"/>
          <w:szCs w:val="20"/>
          <w:color w:val="auto"/>
        </w:rPr>
      </w:pPr>
    </w:p>
    <w:p>
      <w:pPr>
        <w:ind w:right="2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(Gain) in Fair Value of Contingent Consideration. </w:t>
      </w:r>
      <w:r>
        <w:rPr>
          <w:rFonts w:ascii="Times New Roman" w:cs="Times New Roman" w:eastAsia="Times New Roman" w:hAnsi="Times New Roman"/>
          <w:sz w:val="18"/>
          <w:szCs w:val="18"/>
          <w:color w:val="auto"/>
        </w:rPr>
        <w:t>The $1.5 million change for the three months ended March 31, 2025,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 million change for the same period in 2024, was primarily related to changes in significant unobservable inputs, including discount rates.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We amortize the intangible asset, which we recognized as part of the Acquisition, over its useful life of 10 years.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was $1.6 million for both the three months ended March 31, 2025 and 2024.</w:t>
      </w:r>
    </w:p>
    <w:p>
      <w:pPr>
        <w:spacing w:after="0" w:line="205" w:lineRule="exact"/>
        <w:rPr>
          <w:sz w:val="20"/>
          <w:szCs w:val="20"/>
          <w:color w:val="auto"/>
        </w:rPr>
      </w:pPr>
    </w:p>
    <w:p>
      <w:pPr>
        <w:ind w:right="4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$2.4 million for the three months ended March 31, 2025, as compared to $1.1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2024. The increase was mainly due to less interest income on lower cash balances.</w:t>
      </w:r>
    </w:p>
    <w:p>
      <w:pPr>
        <w:spacing w:after="0" w:line="158" w:lineRule="exact"/>
        <w:rPr>
          <w:sz w:val="20"/>
          <w:szCs w:val="20"/>
          <w:color w:val="auto"/>
        </w:rPr>
      </w:pPr>
    </w:p>
    <w:p>
      <w:pPr>
        <w:ind w:right="1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did not record an income tax expense for both the three months ended March 31, 2025 and 2024 due to losses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all jurisdictions during the quarter from which we do not benefit due to the full valuation allowance position against our deferred tax assets.</w:t>
      </w:r>
    </w:p>
    <w:p>
      <w:pPr>
        <w:spacing w:after="0" w:line="158"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was $59.4 million for the three months ended March 31, 2025, as compared to $68.4 million for the same period in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higher sales which was partially offset by higher research and development spend from ongoing clinical trial expenses, higher selling, general and administrative expenses from commercial activities related to Auvelity, Sunosi, and Symbravo, including sales force and marketing spend, and higher personnel costs due to organizational growth, including non-cash stock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80" w:firstLine="749"/>
        <w:spacing w:after="0" w:line="282" w:lineRule="auto"/>
        <w:rPr>
          <w:sz w:val="20"/>
          <w:szCs w:val="20"/>
          <w:color w:val="auto"/>
        </w:rPr>
      </w:pPr>
      <w:r>
        <w:rPr>
          <w:rFonts w:ascii="Times New Roman" w:cs="Times New Roman" w:eastAsia="Times New Roman" w:hAnsi="Times New Roman"/>
          <w:sz w:val="18"/>
          <w:szCs w:val="18"/>
          <w:color w:val="auto"/>
        </w:rPr>
        <w:t>Since our inception through March 31, 2025, we have financed our operations primarily through proceeds from equity offerings, debt borrowings, and proceeds from product sales. See discussion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December 2019, we entered into a sales agreement, or the December 2019 Sales Agreement, with SVB Securities LLC (now known as Leerink Partners LLC), or Leerink, pursuant to which we may sell up to $80 million in shares of our common stock from time to time through Leerink, acting as our sales agent, in one or more at-the-market offerings utilizing an automatic shelf registration statement we filed with the SEC on December 5, 2019 for the issuance of common stock, preferred stock, warrants, rights, debt securities and units up to an unlimited amount, which we refer to as the 2019 Shelf Registration Statement. Leerink is entitled to receive a commission of 3.0% of the gross proceeds for any shares sold under the December 2019 Sales Agreement.</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March 2022, we entered into a sales agreement, or the March 2022 Sales Agreement with Leerink, and filed a prospectus supplement, pursuant to which we may sell up to $200 million in shares of our common stock from time to time through Leerink, acting as our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by and between us and Leerink. We exhausted sales of shares of our common stock under our prior at-the-market offering program.</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August 2022, we filed a prospectus supplement to the 2019 Shelf Registration Statement for the issuance and sale, if any, of up to an additional $250 million in shares of our common stock. Leerink is entitled to receive a commission of up to 3.0% of the gross proceeds for any shares sold under the March 2022 Sales Agreement.</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sales agent, under the March 2022 Sales Agreement.</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Under the March 2022 Sales Agreement, for the three months ended March 31, 2025, we received approximately $19.7 million in gross proceeds through the sale of 156,484 shares, of which net proceeds were approximately $19.3 million. We did not utilize the March 2022 Sales Agreement with Leerink during the three months ended March 31,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January 2023, we entered into a Third Amendment to the Loan Agreement, or the Third Amendment, with Hercules. The Third Amendment increased the size of the Term Loan Advance (as defined in the Loan Agreement) to $350.0 million, reduces the interest rate, and extends the maturity and interest-only period of the Loan Agreement. In September 2024, we entered into a Fifth Amendment to the Loan Agreement, or the Fifth Amendment, with Hercules. The Fifth Amendment amended the terms of the Loan Agreement to, among other things: (i) increase the size of the aggregate principal amount under tranche 3 of the 2020 Term Loan (as defined below) from $75.0 to $80.0 million; (ii) extend the availability periods of certain tranches of the 2020 Term Loan; (iii) alter the terms of the performance covenants contained in the Loan Agreement and also add a new performance covenant; (iv) conditionally waive the minimum cash requirement during such periods of time that Axsome’s market capitalization exceeds $1.5 billion; and (v) permit Axsome Malta Ltd., or the Malta Subsidiary, to request an advance from the Lenders (as defined in the Loan Agreement) up to a certain amount to the extent that Axsome may request an advance in such amount and to increase the amount of cash that the Malta Subsidiary may hold outside of the United States, as set forth in greater detail in the Fifth Amendment. We drew down upon tranche 1C of the 2020 Term Loan, and as of March 31, 2025, we had approximately $180 million outstanding and $150 million remaining under the 2020 Term Loan. See the “Contractual Obligations and Commitments – January 2023 Third Amendment to the Loan and Security Agreement – Hercules” and “Contractual Obligations and Commitments – September 2024 Fifth Amendment to the Loan and Security Agreement – Hercules” sections below, and Note 8. Loan and Security Agreement for more information.</w:t>
      </w:r>
    </w:p>
    <w:p>
      <w:pPr>
        <w:spacing w:after="0" w:line="187"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On February 21, 2023, we entered into a Sublease with Advance Magazine Publishers d/b/a Conde Nast for the entirety of the twenty-second floor of One Word Trade Center in New York, NY, or the Initial Sublease.</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January 17, 2025, we entered into an Amendment to our Sublease, or First Amendment, pursuant to which we will relinquish our existing space in One World Trade Center and commence occupancy of different space within the building. This space is utilized as our corporate and executive offices. The First Amendment extends the Initial Sublease expiration date to January 31, 2036. We now have a one-time option to terminate the Sublease effective March 30, 2031 upon the payment of a fee to the sublandlord. The Company is responsible for base rent under the Sublease and certain additional customary variable costs, such as an allocable portion of building taxes and operating expenses. In connection with the Initial Sublease and First Amendment, we received certain rent and work concessions from the sublandlord.</w:t>
      </w:r>
    </w:p>
    <w:p>
      <w:pPr>
        <w:spacing w:after="0" w:line="187" w:lineRule="exact"/>
        <w:rPr>
          <w:sz w:val="20"/>
          <w:szCs w:val="20"/>
          <w:color w:val="auto"/>
        </w:rPr>
      </w:pPr>
    </w:p>
    <w:p>
      <w:pPr>
        <w:ind w:right="80" w:firstLine="794"/>
        <w:spacing w:after="0" w:line="266"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See Note 9. Commitments and Contingencies for further information on future contractual obligations.</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c>
          <w:tcPr>
            <w:tcW w:w="11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2"/>
                <w:szCs w:val="12"/>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7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7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(53,467)</w:t>
            </w: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29,270</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7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(54,752)</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ind w:right="3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three months ended March 31, 2025 was $43.4 million, as compared to $53.5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2024. The decrease of $10.1 million was primarily due to higher net product revenues from Auvelity and Sunosi in 2025, which was partially offset by an increase in cash used in commercial and clinical activities.</w:t>
      </w:r>
    </w:p>
    <w:p>
      <w:pPr>
        <w:spacing w:after="0" w:line="173"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three months ended March 31, 2025 was $338 thousand, as compared to $98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for the three months ended March 31, 2024. The increase was impacted by the move into our new corporate office space during the first quarter of 2025.</w:t>
      </w:r>
    </w:p>
    <w:p>
      <w:pPr>
        <w:spacing w:after="0" w:line="173"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$29.3 million for the three months ended March 31, 2025, which included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$19.3 million from issuance of common stock for financing purposes as well as proceeds of $17.0 million from the issuance of common stock upon the exercise of employee stock options, which was partially offset by payments of contingent consideration and tax withholdings on stock awards, for a total of $6.6 million. Cash used in financing activities was $1.2 million for the three months ended March 31, 2024, which included payments of contingent consideration and tax withholdings on stock awards for a total of $3.5 million, which was partially offset by proceeds of $2.5 million from the issuance of common stock upon the exercise of employee stock options.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have losses as we continue the development of, and seek regulatory approvals for, our product candidates, and begin to commercially launch Symbravo while further investing in Auvelity and Sunosi. We are subject to all of the risks pertinent to the development of new product candidates, and we may encounter unforeseen expenses, difficulties, complications, delays, and other unknown factors that may harm our business.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3"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440" w:hanging="378"/>
        <w:spacing w:after="0" w:line="282"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and timing of our commercialization activities, including product manufacturing, marketing, sales, and distribution, for any of our products and product candidates for which we receive marketing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expenses needed to attract and retain skilled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revenue received from commercial sales of our products and product candidates for which we receive marketing approval; and</w:t>
      </w:r>
    </w:p>
    <w:p>
      <w:pPr>
        <w:spacing w:after="0" w:line="225" w:lineRule="exact"/>
        <w:rPr>
          <w:rFonts w:ascii="Times New Roman" w:cs="Times New Roman" w:eastAsia="Times New Roman" w:hAnsi="Times New Roman"/>
          <w:sz w:val="16"/>
          <w:szCs w:val="16"/>
          <w:color w:val="auto"/>
        </w:rPr>
      </w:pPr>
    </w:p>
    <w:p>
      <w:pPr>
        <w:ind w:left="760" w:right="560" w:hanging="378"/>
        <w:spacing w:after="0" w:line="239" w:lineRule="exact"/>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Pfizer</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7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Loan Agreement (see below), Antecip consented to the collateral assignment of one of the license agreements, among other things, under a direct agreement with us and Hercules.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 with Hercules Capital, Inc.</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assigned to them in the Loan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Fifth Amendment to the Loan and Security Agreement</w:t>
      </w:r>
    </w:p>
    <w:p>
      <w:pPr>
        <w:spacing w:after="0" w:line="22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September 30, 2024, we entered into the Fifth Amendment. The Fifth Amendment amended the terms of the Loan Agreement to, among other things: (i) increase the Tranche 3 Commitment from $75.0 to $80.0 million; (ii) extend the availability periods of Tranche 1D to June 15, 2025 and that of Tranche 1E to December 15, 2025, as set forth in greater detail in the Fifth Amendment; (iii) alter the terms of Performance Covenant A, Performance Covenant B, and Performance Covenant C and also add a Performance Covenant D, as set forth in greater detail in the Fifth Amendment; (iv) conditionally waive the requirement that the Company maintain Qualified Cash in an amount greater than or equal to the sum of $30.0 million plus the Qualified Cash A/P Amount at all times during such periods of time that the Company’s Market Capitalization exceeds $1.5 billion; and (v) permit the Malta Subsidiary, to request an Advance from the Lenders up to a certain amount to the extent that the Company may request an Advance in such amount and to increase the amount of Cash that the Malta Subsidiary may hold outside of the United States, as set forth in greater detail in the Fifth Amendment.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Fourth Amendment to the Loan and Security Agreement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8, 2023, we entered into the Waiver and Fourth Amendment to the Loan Agreement, or the Fourth Amendment, with Hercules, in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as administrative agent and collateral agent, and the Lenders. The Fourth Amendment increased the amount of Cash that could be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Malta Subsidiary outside of the United States from $3.0 million to $15.0 million for a 45-day period after the closing of the Fourth Amendment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thereafter. The Fourth Amendment also waived any purported default with respect to the amount of cash held by the Malta Subsidiary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date of the Fourth Amendment. In August 2023, Hercules granted Axsome a waiver to the Fourth Amendment, permitting the Malta Subsidiary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 up to $12.5 million in Cash outside of the United States until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Third Amendment to the Loan and Security Agreement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January 9, 2023, we entered into the Third Amendment.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Third Amendment amended the terms of the Loan Agreement to, among other things:</w:t>
      </w:r>
    </w:p>
    <w:p>
      <w:pPr>
        <w:spacing w:after="0" w:line="225"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to January 1, 2028, unless the Company meets certain revenue targets as described in the Loan Agreement, in which case the Company can extend the maturity date to January 1, 2029;</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principal amount under the Loan Agreement from $300.0 million to $350.0 million;</w:t>
      </w:r>
    </w:p>
    <w:p>
      <w:pPr>
        <w:spacing w:after="0" w:line="22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 the Loan Agreement, change the term loan advance amounts and availability dates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respectively, to one tranche of $25.0 million, changing the Tranche 3 Advance from two sub-tranches of $15.0 million and $5.0 million, respectively, to one tranche of $75.0 million, and removing the Tranche 4 Advance and Tranche 5 Advance entirely;</w:t>
      </w:r>
    </w:p>
    <w:p>
      <w:pPr>
        <w:spacing w:after="0" w:line="1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interest rate applicable to extensions of credit under the Loan Agreement to equal (a) if the prime rate is greater than or equal to</w:t>
      </w:r>
    </w:p>
    <w:p>
      <w:pPr>
        <w:spacing w:after="0" w:line="27" w:lineRule="exact"/>
        <w:rPr>
          <w:rFonts w:ascii="Times New Roman" w:cs="Times New Roman" w:eastAsia="Times New Roman" w:hAnsi="Times New Roman"/>
          <w:sz w:val="18"/>
          <w:szCs w:val="18"/>
          <w:color w:val="auto"/>
        </w:rPr>
      </w:pPr>
    </w:p>
    <w:p>
      <w:pPr>
        <w:ind w:left="102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the greater of either (i) the prime rate plus 2.20%, and (ii) 9.95%, but in no event greater than 10.70%, and (b) if the prime rate is less than 7.00%, 9.70%;</w:t>
      </w:r>
    </w:p>
    <w:p>
      <w:pPr>
        <w:spacing w:after="0" w:line="18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minimum cash requirement of the Company to the sum of $30.0 million plus the Qualified Cash A/P Amount;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20" w:right="2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pay a facility fee equal to 0.75% of the amount of principal actually funded pursuant to the Tranche 1B Advance, Tranche 1C Advance, Tranche 1D Advance, Tranche 1E Advance, Tranche 2 Advance, and Tranche 3 Advance.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allowed Tranche 2, which totaled $25.0 million, to expire undrawn.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As of April 28, 2025, we had 712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$300.9 million and $315.4 million as of March 31, 2025 and December 31, 2024, respectively. The primary objective of our investment activities is to preserve principal and liquidity while maximizing income without significantly increasing risk. We do not enter into investments for trading or speculative purposes. Due to the short term nature of our investment portfolio and debt agreement, which use short term interest rates and the prime rate,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contract with vendors and third-party manufacturers located in Europe and certain invoices are denominated in foreign currencies. Royalty revenues from Pharmanovia are derived from their sales of Sunosi in ex-U.S markets and those sales are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do not believe a 10% change in these currencies on March 31, 2025 would have had a material effect on our results of operations or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 our principal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March 31, 2025, there have been no changes in internal controls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that have materially affected, or are reasonably likely to materially affect, our internal control over financial reporting.</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18"/>
          <w:szCs w:val="18"/>
          <w:color w:val="auto"/>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we refer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then product candidates, AXS-07, now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19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October 13, 2023, plaintiffs’ counsel filed a letter seeking leave to file an amended complaint and to substitute new plaintiffs. On January 22, 2024, the SDNY District Court granted that motion and ordered that the case name be changed to In re Axsome Therapeutics, Inc. Securities Litigation.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 On March 31, 2025, the SDNY District Court entered an order granting in part and denying in part defendants’ motions to dismiss, dismissing plaintiffs’ claims against three of Axsome’s current and former officers and allowing the claims against the Company and two current officers to proceed.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Action</w:t>
      </w:r>
    </w:p>
    <w:p>
      <w:pPr>
        <w:spacing w:after="0" w:line="22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July 21, 2022, Daniel Engel filed a stockholder derivative complaint captioned Engel v. Herriot Tabuteau, et al. in the SDNY District Court against the Company’s current directors, certain of the Company’s current and former officers, and the Company (as nominal defendant). On January 27, 2023, Kyle Guterba filed a stockholder derivative complaint captioned Guterba v. Tabuteau, et al. in the SDNY District Court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 Action.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Auvelity Paragraph IV Litigation</w:t>
      </w:r>
    </w:p>
    <w:p>
      <w:pPr>
        <w:spacing w:after="0" w:line="227"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On March 24, 2023, we commenced a patent infringement action against Teva Pharmaceuticals, Inc., or Teva, relating to Teva’s ANDA for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This action is captioned </w:t>
      </w:r>
      <w:r>
        <w:rPr>
          <w:rFonts w:ascii="Times New Roman" w:cs="Times New Roman" w:eastAsia="Times New Roman" w:hAnsi="Times New Roman"/>
          <w:sz w:val="18"/>
          <w:szCs w:val="18"/>
          <w:i w:val="1"/>
          <w:iCs w:val="1"/>
          <w:color w:val="auto"/>
        </w:rPr>
        <w:t>Axsome Therapeutics, Inc. and Antecip Bioventures II LLC v. Teva Pharmaceuticals, Inc.</w:t>
      </w:r>
      <w:r>
        <w:rPr>
          <w:rFonts w:ascii="Times New Roman" w:cs="Times New Roman" w:eastAsia="Times New Roman" w:hAnsi="Times New Roman"/>
          <w:sz w:val="18"/>
          <w:szCs w:val="18"/>
          <w:color w:val="auto"/>
        </w:rPr>
        <w:t xml:space="preserve"> No. 2:23-CV-01695 in the United States District Court for the District of New Jersey, or the NJ District Court. On December 15, 2023, we commenced a second patent infringement action against Teva relating to Teva’s ANDA. This action is captioned </w:t>
      </w:r>
      <w:r>
        <w:rPr>
          <w:rFonts w:ascii="Times New Roman" w:cs="Times New Roman" w:eastAsia="Times New Roman" w:hAnsi="Times New Roman"/>
          <w:sz w:val="18"/>
          <w:szCs w:val="18"/>
          <w:i w:val="1"/>
          <w:iCs w:val="1"/>
          <w:color w:val="auto"/>
        </w:rPr>
        <w:t>Axsome Therapeutics, Inc., and Antecip Bioventures II LLC v. Teva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Pharmaceuticals, Inc. </w:t>
      </w:r>
      <w:r>
        <w:rPr>
          <w:rFonts w:ascii="Times New Roman" w:cs="Times New Roman" w:eastAsia="Times New Roman" w:hAnsi="Times New Roman"/>
          <w:sz w:val="18"/>
          <w:szCs w:val="18"/>
          <w:color w:val="auto"/>
        </w:rPr>
        <w:t>No. 2:23-cv-23142 in the NJ District Court. On February 26, 2024, the NJ District Court consolidated the first and second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Fact discovery is currently scheduled to close on March 24, 2025 in the consolidated action. On May 28, 2024, we commenced a third patent infringement action against Teva relating to Teva’s ANDA. This action is captioned </w:t>
      </w:r>
      <w:r>
        <w:rPr>
          <w:rFonts w:ascii="Times New Roman" w:cs="Times New Roman" w:eastAsia="Times New Roman" w:hAnsi="Times New Roman"/>
          <w:sz w:val="18"/>
          <w:szCs w:val="18"/>
          <w:i w:val="1"/>
          <w:iCs w:val="1"/>
          <w:color w:val="auto"/>
        </w:rPr>
        <w:t>Axsome Therapeutics, Inc., and Antecip Bioventures II LLC v. Teva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Pharmaceuticals, Inc. </w:t>
      </w:r>
      <w:r>
        <w:rPr>
          <w:rFonts w:ascii="Times New Roman" w:cs="Times New Roman" w:eastAsia="Times New Roman" w:hAnsi="Times New Roman"/>
          <w:sz w:val="18"/>
          <w:szCs w:val="18"/>
          <w:color w:val="auto"/>
        </w:rPr>
        <w:t>No. 2:24-cv-06489 in the NJ District Court. On September 30, 2024, we commenced a fourth patent infringement action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Teva relating to Teva’s ANDA. This action is captioned </w:t>
      </w:r>
      <w:r>
        <w:rPr>
          <w:rFonts w:ascii="Times New Roman" w:cs="Times New Roman" w:eastAsia="Times New Roman" w:hAnsi="Times New Roman"/>
          <w:sz w:val="18"/>
          <w:szCs w:val="18"/>
          <w:i w:val="1"/>
          <w:iCs w:val="1"/>
          <w:color w:val="auto"/>
        </w:rPr>
        <w:t>Axsome Therapeutics, Inc., and Antecip Bioventures II LLC v. Teva Pharmaceuticals, Inc.</w:t>
      </w:r>
      <w:r>
        <w:rPr>
          <w:rFonts w:ascii="Times New Roman" w:cs="Times New Roman" w:eastAsia="Times New Roman" w:hAnsi="Times New Roman"/>
          <w:sz w:val="18"/>
          <w:szCs w:val="18"/>
          <w:color w:val="auto"/>
        </w:rPr>
        <w:t xml:space="preserve"> No. 2-24-cv-09535 in the NJ District Court. On December 5, 2024, we commenced a fifth patent infringement action against Teva relating to Teva’s ANDA. The fifth action is captioned </w:t>
      </w:r>
      <w:r>
        <w:rPr>
          <w:rFonts w:ascii="Times New Roman" w:cs="Times New Roman" w:eastAsia="Times New Roman" w:hAnsi="Times New Roman"/>
          <w:sz w:val="18"/>
          <w:szCs w:val="18"/>
          <w:i w:val="1"/>
          <w:iCs w:val="1"/>
          <w:color w:val="auto"/>
        </w:rPr>
        <w:t>Axsome Therapeutics, Inc., and Antecip Bioventures II LLC v. Teva Pharmaceuticals, Inc.</w:t>
      </w:r>
      <w:r>
        <w:rPr>
          <w:rFonts w:ascii="Times New Roman" w:cs="Times New Roman" w:eastAsia="Times New Roman" w:hAnsi="Times New Roman"/>
          <w:sz w:val="18"/>
          <w:szCs w:val="18"/>
          <w:color w:val="auto"/>
        </w:rPr>
        <w:t xml:space="preserve"> No. 2-24-cv-10938 in the NJ District Court. On January 7, 2025, the NJ District Court consolidated that third, fourth, and fifth actions.</w:t>
      </w:r>
    </w:p>
    <w:p>
      <w:pPr>
        <w:spacing w:after="0" w:line="194"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February 10, 2025, the Company announced that it had entered into a settlement agreement with Teva to resolve all outstanding litigation between the parties relating to Auvelity. Under the terms of the settlement agreement, Axsome will grant Teva a license to sell its generic version of Auvelity beginning on or after March 31, 2039, if pediatric exclusivity is granted for Auvelity, or on or after September 30, 2038, if no pediatric exclusivity is granted, subject to FDA approval and conditions and exceptions customary for agreements of this type. The matters are now concluded.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Sunosi Paragraph IV Litigation</w:t>
      </w:r>
    </w:p>
    <w:p>
      <w:pPr>
        <w:spacing w:after="0" w:line="227"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8"/>
          <w:szCs w:val="18"/>
          <w:color w:val="auto"/>
        </w:rPr>
        <w:t>On September 13, 2023, we commenced a patent infringement action against Hikma and five other drug companies relating to each defendant’s ANDA for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This action is captioned </w:t>
      </w:r>
      <w:r>
        <w:rPr>
          <w:rFonts w:ascii="Times New Roman" w:cs="Times New Roman" w:eastAsia="Times New Roman" w:hAnsi="Times New Roman"/>
          <w:sz w:val="18"/>
          <w:szCs w:val="18"/>
          <w:i w:val="1"/>
          <w:iCs w:val="1"/>
          <w:color w:val="auto"/>
        </w:rPr>
        <w:t>Axsome Malta Ltd. &amp; Axsome Therapeutics, Inc. v. Alkem Laboratories Ltd., et al</w:t>
      </w:r>
      <w:r>
        <w:rPr>
          <w:rFonts w:ascii="Times New Roman" w:cs="Times New Roman" w:eastAsia="Times New Roman" w:hAnsi="Times New Roman"/>
          <w:sz w:val="18"/>
          <w:szCs w:val="18"/>
          <w:color w:val="auto"/>
        </w:rPr>
        <w:t xml:space="preserve">. No. 2:23-CV-20354 in the NJ District Court. We commenced related patent infringement actions against the defendants relating to their ANDAs on December 20, 2023, January 11, 2024, January 18, 2024, February 14, 2024, March 19, 2024 (2 actions filed), April 5, 2024, July 2, 2024, August 8, 2024, August 21, 2024, September 16, 2024, November 20, 2024 (4 actions filed), January 21, 2025, and January 29, 2025. Those actions are captioned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Unichem Laboratories Ltd</w:t>
      </w:r>
      <w:r>
        <w:rPr>
          <w:rFonts w:ascii="Times New Roman" w:cs="Times New Roman" w:eastAsia="Times New Roman" w:hAnsi="Times New Roman"/>
          <w:sz w:val="18"/>
          <w:szCs w:val="18"/>
          <w:color w:val="auto"/>
        </w:rPr>
        <w:t>. No. 2:23-cv-23255;</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xml:space="preserve">. No 2:24-cv-00196; </w:t>
      </w:r>
      <w:r>
        <w:rPr>
          <w:rFonts w:ascii="Times New Roman" w:cs="Times New Roman" w:eastAsia="Times New Roman" w:hAnsi="Times New Roman"/>
          <w:sz w:val="18"/>
          <w:szCs w:val="18"/>
          <w:i w:val="1"/>
          <w:iCs w:val="1"/>
          <w:color w:val="auto"/>
        </w:rPr>
        <w:t>Axsome Malta Ltd. &amp; Axsome Therapeutics, Inc. v. Aurobindo Pharma USA, Inc. et al</w:t>
      </w:r>
      <w:r>
        <w:rPr>
          <w:rFonts w:ascii="Times New Roman" w:cs="Times New Roman" w:eastAsia="Times New Roman" w:hAnsi="Times New Roman"/>
          <w:sz w:val="18"/>
          <w:szCs w:val="18"/>
          <w:color w:val="auto"/>
        </w:rPr>
        <w:t xml:space="preserve">. No. 2:24-cv-00309;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Sandoz, Inc</w:t>
      </w:r>
      <w:r>
        <w:rPr>
          <w:rFonts w:ascii="Times New Roman" w:cs="Times New Roman" w:eastAsia="Times New Roman" w:hAnsi="Times New Roman"/>
          <w:sz w:val="18"/>
          <w:szCs w:val="18"/>
          <w:color w:val="auto"/>
        </w:rPr>
        <w:t>. No. 2:24-cv-00860;</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No 2:24-cv-03999;</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2:24-cv-04002;</w:t>
      </w:r>
      <w:r>
        <w:rPr>
          <w:rFonts w:ascii="Times New Roman" w:cs="Times New Roman" w:eastAsia="Times New Roman" w:hAnsi="Times New Roman"/>
          <w:sz w:val="18"/>
          <w:szCs w:val="18"/>
          <w:i w:val="1"/>
          <w:iCs w:val="1"/>
          <w:color w:val="auto"/>
        </w:rPr>
        <w:t xml:space="preserve"> Axsome Malta Ltd. &amp; Axsome Therapeutics, Inc. v. Alkem Laboratories Ltd., et al</w:t>
      </w:r>
      <w:r>
        <w:rPr>
          <w:rFonts w:ascii="Times New Roman" w:cs="Times New Roman" w:eastAsia="Times New Roman" w:hAnsi="Times New Roman"/>
          <w:sz w:val="18"/>
          <w:szCs w:val="18"/>
          <w:color w:val="auto"/>
        </w:rPr>
        <w:t>. No. 2:24-CV-04608;</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xml:space="preserve">. No. 2-24-cv-07511; </w:t>
      </w:r>
      <w:r>
        <w:rPr>
          <w:rFonts w:ascii="Times New Roman" w:cs="Times New Roman" w:eastAsia="Times New Roman" w:hAnsi="Times New Roman"/>
          <w:sz w:val="18"/>
          <w:szCs w:val="18"/>
          <w:i w:val="1"/>
          <w:iCs w:val="1"/>
          <w:color w:val="auto"/>
        </w:rPr>
        <w:t>Axsome Malta Ltd. &amp; Axsome Therapeutics, Inc. v. Alkem Laboratories Ltd.</w:t>
      </w:r>
      <w:r>
        <w:rPr>
          <w:rFonts w:ascii="Times New Roman" w:cs="Times New Roman" w:eastAsia="Times New Roman" w:hAnsi="Times New Roman"/>
          <w:sz w:val="18"/>
          <w:szCs w:val="18"/>
          <w:color w:val="auto"/>
        </w:rPr>
        <w:t xml:space="preserve">No. 2-24-cv-08365; </w:t>
      </w:r>
      <w:r>
        <w:rPr>
          <w:rFonts w:ascii="Times New Roman" w:cs="Times New Roman" w:eastAsia="Times New Roman" w:hAnsi="Times New Roman"/>
          <w:sz w:val="18"/>
          <w:szCs w:val="18"/>
          <w:i w:val="1"/>
          <w:iCs w:val="1"/>
          <w:color w:val="auto"/>
        </w:rPr>
        <w:t>Axsome Malta Ltd. &amp; Axsome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v. Aurobindo Pharma USA, Inc. et al. </w:t>
      </w:r>
      <w:r>
        <w:rPr>
          <w:rFonts w:ascii="Times New Roman" w:cs="Times New Roman" w:eastAsia="Times New Roman" w:hAnsi="Times New Roman"/>
          <w:sz w:val="18"/>
          <w:szCs w:val="18"/>
          <w:color w:val="auto"/>
        </w:rPr>
        <w:t>No. 2-24-cv-08624;</w:t>
      </w:r>
      <w:r>
        <w:rPr>
          <w:rFonts w:ascii="Times New Roman" w:cs="Times New Roman" w:eastAsia="Times New Roman" w:hAnsi="Times New Roman"/>
          <w:sz w:val="18"/>
          <w:szCs w:val="18"/>
          <w:i w:val="1"/>
          <w:iCs w:val="1"/>
          <w:color w:val="auto"/>
        </w:rPr>
        <w:t xml:space="preserve"> Axsome Malta Ltd. &amp; Axsome Therapeutics, Inc. v. Alkem Laboratories Ltd. et al. </w:t>
      </w:r>
      <w:r>
        <w:rPr>
          <w:rFonts w:ascii="Times New Roman" w:cs="Times New Roman" w:eastAsia="Times New Roman" w:hAnsi="Times New Roman"/>
          <w:sz w:val="18"/>
          <w:szCs w:val="18"/>
          <w:color w:val="auto"/>
        </w:rPr>
        <w:t xml:space="preserve">No. 2-24-cv-09209; </w:t>
      </w:r>
      <w:r>
        <w:rPr>
          <w:rFonts w:ascii="Times New Roman" w:cs="Times New Roman" w:eastAsia="Times New Roman" w:hAnsi="Times New Roman"/>
          <w:sz w:val="18"/>
          <w:szCs w:val="18"/>
          <w:i w:val="1"/>
          <w:iCs w:val="1"/>
          <w:color w:val="auto"/>
        </w:rPr>
        <w:t>Axsome Malta Ltd. &amp; Axsome Therapeutics, Inc. v. Alkem Laboratories Ltd.</w:t>
      </w:r>
      <w:r>
        <w:rPr>
          <w:rFonts w:ascii="Times New Roman" w:cs="Times New Roman" w:eastAsia="Times New Roman" w:hAnsi="Times New Roman"/>
          <w:sz w:val="18"/>
          <w:szCs w:val="18"/>
          <w:color w:val="auto"/>
        </w:rPr>
        <w:t xml:space="preserve"> No. 2-24-cv-10617; </w:t>
      </w:r>
      <w:r>
        <w:rPr>
          <w:rFonts w:ascii="Times New Roman" w:cs="Times New Roman" w:eastAsia="Times New Roman" w:hAnsi="Times New Roman"/>
          <w:sz w:val="18"/>
          <w:szCs w:val="18"/>
          <w:i w:val="1"/>
          <w:iCs w:val="1"/>
          <w:color w:val="auto"/>
        </w:rPr>
        <w:t>Axsome Malta Ltd. &amp; Axsome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Hetero USA, Inc. et al</w:t>
      </w:r>
      <w:r>
        <w:rPr>
          <w:rFonts w:ascii="Times New Roman" w:cs="Times New Roman" w:eastAsia="Times New Roman" w:hAnsi="Times New Roman"/>
          <w:sz w:val="18"/>
          <w:szCs w:val="18"/>
          <w:color w:val="auto"/>
        </w:rPr>
        <w:t>. No 2:24-cv-10618;</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xml:space="preserve">. No 2:24-cv-10619; </w:t>
      </w:r>
      <w:r>
        <w:rPr>
          <w:rFonts w:ascii="Times New Roman" w:cs="Times New Roman" w:eastAsia="Times New Roman" w:hAnsi="Times New Roman"/>
          <w:sz w:val="18"/>
          <w:szCs w:val="18"/>
          <w:i w:val="1"/>
          <w:iCs w:val="1"/>
          <w:color w:val="auto"/>
        </w:rPr>
        <w:t>Axsome Malta Ltd. &amp; Axsome Therapeutics, Inc. v. Hikma Pharmaceuticals USA Inc</w:t>
      </w:r>
      <w:r>
        <w:rPr>
          <w:rFonts w:ascii="Times New Roman" w:cs="Times New Roman" w:eastAsia="Times New Roman" w:hAnsi="Times New Roman"/>
          <w:sz w:val="18"/>
          <w:szCs w:val="18"/>
          <w:color w:val="auto"/>
        </w:rPr>
        <w:t xml:space="preserve">. No 2:24-cv-10620;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Aurobindo Pharma USA, Inc. et al</w:t>
      </w:r>
      <w:r>
        <w:rPr>
          <w:rFonts w:ascii="Times New Roman" w:cs="Times New Roman" w:eastAsia="Times New Roman" w:hAnsi="Times New Roman"/>
          <w:sz w:val="18"/>
          <w:szCs w:val="18"/>
          <w:color w:val="auto"/>
        </w:rPr>
        <w:t>. No 2:25-cv-00643; and</w:t>
      </w:r>
      <w:r>
        <w:rPr>
          <w:rFonts w:ascii="Times New Roman" w:cs="Times New Roman" w:eastAsia="Times New Roman" w:hAnsi="Times New Roman"/>
          <w:sz w:val="18"/>
          <w:szCs w:val="18"/>
          <w:i w:val="1"/>
          <w:iCs w:val="1"/>
          <w:color w:val="auto"/>
        </w:rPr>
        <w:t xml:space="preserve"> Axsome Malta Ltd. et al v. Hetero USA Inc. et al</w:t>
      </w:r>
      <w:r>
        <w:rPr>
          <w:rFonts w:ascii="Times New Roman" w:cs="Times New Roman" w:eastAsia="Times New Roman" w:hAnsi="Times New Roman"/>
          <w:sz w:val="18"/>
          <w:szCs w:val="18"/>
          <w:color w:val="auto"/>
        </w:rPr>
        <w:t>. 2-25-cv-00801,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respectively, all of which are in the NJ District Court. On June 4, 2024, Axsome and the Malta Subsidiary entered into a settlement agreement with Unichem under which agreement Unichem agreed not to launch its generic solriamfetol product until June 30, 2042, or earlier under certain circumstances. On August 21, 2024, Axsome and the Malta Subsidiary reached an agreement to dismiss the actions pending against Sandoz. All other actions are currently pending. On September 25, 2024, Hikma Pharmaceuticals USA, Inc. filed a petition for Inter Partes Review of U.S. Patent No. 11,560,354 before the United States Patent and Trademark Office’s Patent Trial and Appeal Board. That petition is captioned </w:t>
      </w:r>
      <w:r>
        <w:rPr>
          <w:rFonts w:ascii="Times New Roman" w:cs="Times New Roman" w:eastAsia="Times New Roman" w:hAnsi="Times New Roman"/>
          <w:sz w:val="18"/>
          <w:szCs w:val="18"/>
          <w:i w:val="1"/>
          <w:iCs w:val="1"/>
          <w:color w:val="auto"/>
        </w:rPr>
        <w:t>Hikma Pharmaceuticals USA Inc. f/k/a West-Ward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Pharmaceuticals Corp. v. Axsome Malta Ltd</w:t>
      </w:r>
      <w:r>
        <w:rPr>
          <w:rFonts w:ascii="Times New Roman" w:cs="Times New Roman" w:eastAsia="Times New Roman" w:hAnsi="Times New Roman"/>
          <w:sz w:val="18"/>
          <w:szCs w:val="18"/>
          <w:color w:val="auto"/>
        </w:rPr>
        <w:t>. IPR2024-01418. On March 2, 2025, Axsome and the Malta Subsidiary entered into a settlement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Hikma under which agreement Hikma agreed not to launch its generic solriamfetol product until September 1, 2040, if pediatric exclusivity is granted for Sunosi, or on or after March 1, 2040, if no pediatric exclusivity is granted, or earlier under certain circumstances. On March 6, 2025 the Malta Subsidiary and Hikma jointly requested that the PTAB dismiss IPR2024-01418. That request was granted on March 12, 2025.</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and filed with the SEC on February 18, 2025. Investors should carefully consider all of the information set forth in this Quarterly Report on Form 10-Q, including the following risk factors, before deciding to invest in any of the Company’s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58" w:lineRule="exact"/>
        <w:rPr>
          <w:sz w:val="20"/>
          <w:szCs w:val="20"/>
          <w:color w:val="auto"/>
        </w:rPr>
      </w:pPr>
    </w:p>
    <w:p>
      <w:pPr>
        <w:ind w:left="760" w:right="220" w:hanging="378"/>
        <w:spacing w:after="0" w:line="286"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continue to have losses, and may never achieve or maintain profitability.</w:t>
      </w:r>
    </w:p>
    <w:p>
      <w:pPr>
        <w:spacing w:after="0" w:line="154" w:lineRule="exact"/>
        <w:rPr>
          <w:rFonts w:ascii="Times New Roman" w:cs="Times New Roman" w:eastAsia="Times New Roman" w:hAnsi="Times New Roman"/>
          <w:sz w:val="16"/>
          <w:szCs w:val="16"/>
          <w:color w:val="auto"/>
        </w:rPr>
      </w:pPr>
    </w:p>
    <w:p>
      <w:pPr>
        <w:ind w:left="760" w:right="38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0"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4" w:lineRule="exact"/>
        <w:rPr>
          <w:rFonts w:ascii="Times New Roman" w:cs="Times New Roman" w:eastAsia="Times New Roman" w:hAnsi="Times New Roman"/>
          <w:sz w:val="18"/>
          <w:szCs w:val="18"/>
          <w:color w:val="auto"/>
        </w:rPr>
      </w:pPr>
    </w:p>
    <w:p>
      <w:pPr>
        <w:ind w:left="760" w:right="60" w:hanging="378"/>
        <w:spacing w:after="0" w:line="26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6"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6" w:lineRule="exact"/>
        <w:rPr>
          <w:rFonts w:ascii="Times New Roman" w:cs="Times New Roman" w:eastAsia="Times New Roman" w:hAnsi="Times New Roman"/>
          <w:sz w:val="18"/>
          <w:szCs w:val="18"/>
          <w:color w:val="auto"/>
        </w:rPr>
      </w:pPr>
    </w:p>
    <w:p>
      <w:pPr>
        <w:ind w:left="760" w:right="160" w:hanging="378"/>
        <w:spacing w:after="0" w:line="28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4" w:lineRule="exact"/>
        <w:rPr>
          <w:rFonts w:ascii="Times New Roman" w:cs="Times New Roman" w:eastAsia="Times New Roman" w:hAnsi="Times New Roman"/>
          <w:sz w:val="18"/>
          <w:szCs w:val="18"/>
          <w:color w:val="auto"/>
        </w:rPr>
      </w:pPr>
    </w:p>
    <w:p>
      <w:pPr>
        <w:ind w:left="760" w:right="100" w:hanging="378"/>
        <w:spacing w:after="0" w:line="28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we may be unable to generate substantial product revenues.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right="20" w:hanging="378"/>
        <w:spacing w:after="0" w:line="259"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79"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or fail to generate potential revenues.</w:t>
      </w:r>
    </w:p>
    <w:p>
      <w:pPr>
        <w:spacing w:after="0" w:line="170" w:lineRule="exact"/>
        <w:rPr>
          <w:rFonts w:ascii="Times New Roman" w:cs="Times New Roman" w:eastAsia="Times New Roman" w:hAnsi="Times New Roman"/>
          <w:sz w:val="18"/>
          <w:szCs w:val="18"/>
          <w:color w:val="auto"/>
        </w:rPr>
      </w:pPr>
    </w:p>
    <w:p>
      <w:pPr>
        <w:ind w:left="760" w:right="740" w:hanging="378"/>
        <w:spacing w:after="0" w:line="28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4"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70" w:lineRule="exact"/>
        <w:rPr>
          <w:rFonts w:ascii="Times New Roman" w:cs="Times New Roman" w:eastAsia="Times New Roman" w:hAnsi="Times New Roman"/>
          <w:sz w:val="18"/>
          <w:szCs w:val="18"/>
          <w:color w:val="auto"/>
        </w:rPr>
      </w:pPr>
    </w:p>
    <w:p>
      <w:pPr>
        <w:ind w:left="760" w:right="200" w:hanging="378"/>
        <w:spacing w:after="0" w:line="26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0"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70" w:lineRule="exact"/>
        <w:rPr>
          <w:rFonts w:ascii="Times New Roman" w:cs="Times New Roman" w:eastAsia="Times New Roman" w:hAnsi="Times New Roman"/>
          <w:sz w:val="18"/>
          <w:szCs w:val="18"/>
          <w:color w:val="auto"/>
        </w:rPr>
      </w:pPr>
    </w:p>
    <w:p>
      <w:pPr>
        <w:jc w:val="both"/>
        <w:ind w:left="760" w:right="120" w:hanging="378"/>
        <w:spacing w:after="0" w:line="26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0" w:lineRule="exact"/>
        <w:rPr>
          <w:rFonts w:ascii="Times New Roman" w:cs="Times New Roman" w:eastAsia="Times New Roman" w:hAnsi="Times New Roman"/>
          <w:sz w:val="18"/>
          <w:szCs w:val="18"/>
          <w:color w:val="auto"/>
        </w:rPr>
      </w:pPr>
    </w:p>
    <w:p>
      <w:pPr>
        <w:ind w:left="760" w:hanging="378"/>
        <w:spacing w:after="0" w:line="26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0" w:lineRule="exact"/>
        <w:rPr>
          <w:rFonts w:ascii="Times New Roman" w:cs="Times New Roman" w:eastAsia="Times New Roman" w:hAnsi="Times New Roman"/>
          <w:sz w:val="18"/>
          <w:szCs w:val="18"/>
          <w:color w:val="auto"/>
        </w:rPr>
      </w:pPr>
    </w:p>
    <w:p>
      <w:pPr>
        <w:ind w:left="760" w:right="400" w:hanging="378"/>
        <w:spacing w:after="0" w:line="28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continue to have losses, and may never achieve or maintain profitability.</w:t>
      </w:r>
    </w:p>
    <w:p>
      <w:pPr>
        <w:spacing w:after="0" w:line="24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significant operating losses. Our net loss was $59.4 million and $68.4 million for the three months ended March 31, 2025 and 2024, respectively. As of March 31, 2025, we had an accumulated deficit of $1,182.2 million. In 2022, we commenced the commercial sale of Auvelity in the United States and Sunosi in the United States and select global markets. In January 2025, Symbravo was approved by the FDA for the acute treatment of migraine with or without aura in adults. Apart from Auvelity, Sunosi, and Symbravo, we have no other products which have received regulatory approval.</w:t>
      </w:r>
    </w:p>
    <w:p>
      <w:pPr>
        <w:spacing w:after="0" w:line="183"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76"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marketing, and distribution infrastructure;</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potentially submit NDAs for other pipeline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commercial sales of Auvelity and Sunosi;</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launch Symbravo;</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7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5" w:lineRule="exact"/>
        <w:rPr>
          <w:sz w:val="20"/>
          <w:szCs w:val="20"/>
          <w:color w:val="auto"/>
        </w:rPr>
      </w:pPr>
    </w:p>
    <w:p>
      <w:pPr>
        <w:ind w:right="180" w:firstLine="749"/>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9" w:lineRule="exact"/>
        <w:rPr>
          <w:sz w:val="20"/>
          <w:szCs w:val="20"/>
          <w:color w:val="auto"/>
        </w:rPr>
      </w:pPr>
    </w:p>
    <w:p>
      <w:pPr>
        <w:ind w:left="760" w:right="18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 and continue to commercialize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and outsource the commercial scale manufacturing of our products under cGMP;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product candidates; and</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66"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58" w:lineRule="exact"/>
        <w:rPr>
          <w:sz w:val="20"/>
          <w:szCs w:val="20"/>
          <w:color w:val="auto"/>
        </w:rPr>
      </w:pPr>
    </w:p>
    <w:p>
      <w:pPr>
        <w:ind w:left="760" w:right="6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25"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1"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commercial sales of our approved products;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7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the Third Amendment, which amended the terms of the Loan Agreement to, among other things, increase the size of the aggregate principal amount under the 2020 Term Loan from $300.0 million to $350.0 million, reduce the interest rate, and extend the maturity and interest-only period of the Loan Agreement. In May 2023, we entered into the Fourth Amendment, which increased the amount of cash that could be held by the Malta Subsidiary outside of the United States and waived any purported default with respect to the amount of cash held by the Malta Subsidiary prior to the date of the Fourth Amendment. In August 2023, Hercules granted Axsome a waiver to the Fourth Amendment, increasing the amount of cash that could be held by the Malta Subsidiary outside of the United States until December 31, 2023. In September 30, 2024, we entered into the Fifth Amendment, which amended the terms of the Loan Agreement to, among other things: (i) increase the size of the aggregate principal amount under tranche 3 of the 2020 Term Loan from $75.0 to $80.0 million; (ii) extend the availability periods of certain tranches of the 2020 Term Loan; (iii) alter the terms of the performance covenants contained in the Loan Agreement and also add a new performance covenant; (iv) conditionally waive the minimum cash requirement during such periods of time that Axsome’s market capitalization exceeds $1.5 billion; and (v) permit the Malta Subsidiary to request an advance from the Lenders up to a certain amount to the extent that Axsome may request an advance in such amount and to increase the amount of cash that the Malta Subsidiary may hold outside of the United States, as set forth in greater detail in the Fifth Amendment.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covenants under the Loan Agreement also require maintaining a minimum amount of cash in an account or accounts in which the Lenders have a first priority security interest.</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are a commercial-stage company. Prior to our commercialization of Auvelity and Sunosi in 2022, and the recent approval of Symbravo,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continue to encounter unforeseen expenses, difficulties, complications and delays, and this may not be a successful transition.</w:t>
      </w:r>
    </w:p>
    <w:p>
      <w:pPr>
        <w:spacing w:after="0" w:line="17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military conflicts between Russia and Ukraine and between Israel and Hamas, Hezbollah, and the Houthis, and record inflation. Our business, financial condition, and results of operations could be materially adversely affected by any negative impact on the global economy and capital markets resulting from the conflicts in Ukraine and the Middle East, geopolitical tensions, or record inflation.</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3"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then also began ground operations in the Gaza Strip, which remain ongoing. Other terrorist and/or regional organizations have joined the hostilities as well, including Hezbollah in Lebanon, and the Houthis in Yemen, and it is possible that other countries in the Middle East, including Iran, will become further involved in hostilities with Israel, resulting in a further widening of the conflict. In March 2025, the United States launched a campaign of air and naval strikes against Houthi targets in Yemen, which remain ongoing. The intensity and duration of the current wars in the Middle East are difficult to predict as are such wars’ implications for the global economy.</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U.S. continues to experience significant political events that cast uncertainty on global financial and economic markets, especially following the recent presidential election. For example, in April 2025, the U.S. administration imposed increased tariffs on all countries and individualized “reciprocal” higher tariffs on certain countries with which the U.S. has the largest trade deficits. Certain countries responded by announcing retaliatory tariffs on U.S. imports. A few days later, the U.S. administration reduced the tariffs imposed on most countries to 10 percent for a period of 90 days to allow trade negotiations with those countries. It is presently unclear exactly what actions the U.S. administration will implement, and if implemented, how these actions may impact the biopharmaceutical industry in the U.S. Any actions taken by the U.S. administration, including the many recent executive orders and tariff increases, may have a negative impact on the U.S. economy, global markets and on our business, financial condition, and results of operations.</w:t>
      </w:r>
    </w:p>
    <w:p>
      <w:pPr>
        <w:spacing w:after="0" w:line="192"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new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April 2025,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Further, in April 2025, the U.S. administration has signed an executive order to lower prescription drug prices. The details of such proposed regulations and policies are unclear and the final terms and impact remain uncertain, and may pose long-term risks to our business and our future commercialization plans of our drug candidates.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8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180"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Although we submitted NDAs to the FDA for Auvelity (which was approved) and for Symbravo for the acute treatment of migraines (which received a CRL and has now been approved) and for AXS-14 (which is pending),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depend on our 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760" w:right="2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a sales force to commercialize our product candidates;</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by third parties) our product candidates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9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agitation associated with AD and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spacing w:after="0" w:line="162" w:lineRule="exact"/>
        <w:rPr>
          <w:sz w:val="20"/>
          <w:szCs w:val="20"/>
          <w:color w:val="auto"/>
        </w:rPr>
      </w:pPr>
    </w:p>
    <w:p>
      <w:pPr>
        <w:ind w:left="5540" w:right="3980" w:hanging="5158"/>
        <w:spacing w:after="0" w:line="783" w:lineRule="auto"/>
        <w:tabs>
          <w:tab w:leader="none" w:pos="7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business activities for such development;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development costs;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22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For instance, our prior efforts have resulted in our decision not to further develop certain product candidates that, at one time, appeared to be promising. Likewise, we received a CRL from the FDA relating to the Company’s Symbravo product in 2022 (we have since obtained approval for Symbravo).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EC or national competent authorities at the EU member state level.</w:t>
      </w:r>
    </w:p>
    <w:p>
      <w:pPr>
        <w:spacing w:after="0" w:line="176"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some of our product candidates using the 505(b)(2) pathway. These 505(b)(2) product candidates include additional indications for AXS-05. The FDA interprets Section 505(b)(2) of the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3" w:lineRule="exact"/>
        <w:rPr>
          <w:sz w:val="20"/>
          <w:szCs w:val="20"/>
          <w:color w:val="auto"/>
        </w:rPr>
      </w:pPr>
    </w:p>
    <w:p>
      <w:pPr>
        <w:ind w:right="20" w:firstLine="749"/>
        <w:spacing w:after="0" w:line="226" w:lineRule="exact"/>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Auvelity,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submitted NDAs for Auvelity and Symbravo pursuant to the 505(b)(2) process, we have not conducted certain additional clinical trials for these products and, as such, we will have less experience with actual testing of these products.</w:t>
      </w:r>
    </w:p>
    <w:p>
      <w:pPr>
        <w:spacing w:after="0" w:line="1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IRB approval, or otherwise cause delays in the approval or rejection of an application. To date, we have submitted two NDAs to the FDA and have obtained regulatory approval for both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8"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9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2" w:lineRule="exact"/>
        <w:rPr>
          <w:sz w:val="20"/>
          <w:szCs w:val="20"/>
          <w:color w:val="auto"/>
        </w:rPr>
      </w:pPr>
    </w:p>
    <w:p>
      <w:pPr>
        <w:ind w:left="760" w:right="28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Times New Roman" w:cs="Times New Roman" w:eastAsia="Times New Roman" w:hAnsi="Times New Roman"/>
          <w:sz w:val="18"/>
          <w:szCs w:val="18"/>
          <w:color w:val="auto"/>
        </w:rPr>
      </w:pPr>
    </w:p>
    <w:p>
      <w:pPr>
        <w:jc w:val="both"/>
        <w:ind w:left="760" w:right="44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1"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0" w:lineRule="exact"/>
        <w:rPr>
          <w:rFonts w:ascii="Times New Roman" w:cs="Times New Roman" w:eastAsia="Times New Roman" w:hAnsi="Times New Roman"/>
          <w:sz w:val="18"/>
          <w:szCs w:val="18"/>
          <w:color w:val="auto"/>
        </w:rPr>
      </w:pPr>
    </w:p>
    <w:p>
      <w:pPr>
        <w:ind w:left="760" w:right="140" w:hanging="378"/>
        <w:spacing w:after="0" w:line="245" w:lineRule="exact"/>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240" w:hanging="378"/>
        <w:spacing w:after="0" w:line="26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1"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8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75"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80" w:hanging="378"/>
        <w:spacing w:after="0" w:line="25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CMC data necessary for our NDA filing and approval, we will need to conduct stability studies and provide stability data to establish appropriate retest or expiration dating periods;</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demonstrate sufficient long-term stability to support an NDA filing or obtain approval, or the product shelf life may be limited by stability results;</w:t>
      </w:r>
    </w:p>
    <w:p>
      <w:pPr>
        <w:spacing w:after="0" w:line="161"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6"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3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previously-published draft guidance was removed from the FDA website, which may impact the eventual publication date of the final guidance, and as a result, may delay the compliance deadline.</w:t>
      </w:r>
    </w:p>
    <w:p>
      <w:pPr>
        <w:spacing w:after="0" w:line="19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Symbravo, the FDA noted the need for additional CMC data. Symbravo was subsequently approved by the FDA.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9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7" w:lineRule="exact"/>
        <w:rPr>
          <w:sz w:val="20"/>
          <w:szCs w:val="20"/>
          <w:color w:val="auto"/>
        </w:rPr>
      </w:pPr>
    </w:p>
    <w:p>
      <w:pPr>
        <w:ind w:left="760" w:right="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or nonclinical testing may produce inconclusive or negative safety results, which may require us to conduct additional nonclinical testing or to abandon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unfavorable pharmacology or toxicity characteristics or suggest possible drug-drug interaction;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determine that additional safety testing is required.</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Any such events would increase our costs and could delay or prevent our ability to commercialize our product candidates, which could adversely impact our business, financial condition and results of operation.</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3"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98"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Known side effects for Auvelity, Sunosi, and Symbravo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0" w:lineRule="exact"/>
        <w:rPr>
          <w:sz w:val="20"/>
          <w:szCs w:val="20"/>
          <w:color w:val="auto"/>
        </w:rPr>
      </w:pPr>
    </w:p>
    <w:p>
      <w:pPr>
        <w:ind w:right="240" w:firstLine="749"/>
        <w:spacing w:after="0" w:line="220" w:lineRule="exact"/>
        <w:rPr>
          <w:sz w:val="20"/>
          <w:szCs w:val="20"/>
          <w:color w:val="auto"/>
        </w:rPr>
      </w:pPr>
      <w:r>
        <w:rPr>
          <w:rFonts w:ascii="Times New Roman" w:cs="Times New Roman" w:eastAsia="Times New Roman" w:hAnsi="Times New Roman"/>
          <w:sz w:val="18"/>
          <w:szCs w:val="18"/>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3"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patient informed consents;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patients for enrollment and maintain a sufficient level of patient participants in our clinical studies;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single agent product candidates.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products from being marketed abroad.</w:t>
      </w:r>
    </w:p>
    <w:p>
      <w:pPr>
        <w:spacing w:after="0" w:line="188" w:lineRule="exact"/>
        <w:rPr>
          <w:sz w:val="20"/>
          <w:szCs w:val="20"/>
          <w:color w:val="auto"/>
        </w:rPr>
      </w:pPr>
    </w:p>
    <w:p>
      <w:pPr>
        <w:ind w:right="140" w:firstLine="749"/>
        <w:spacing w:after="0" w:line="222" w:lineRule="exact"/>
        <w:rPr>
          <w:sz w:val="20"/>
          <w:szCs w:val="20"/>
          <w:color w:val="auto"/>
        </w:rPr>
      </w:pPr>
      <w:r>
        <w:rPr>
          <w:rFonts w:ascii="Times New Roman" w:cs="Times New Roman" w:eastAsia="Times New Roman" w:hAnsi="Times New Roman"/>
          <w:sz w:val="18"/>
          <w:szCs w:val="18"/>
          <w:color w:val="auto"/>
        </w:rPr>
        <w:t>In order to market and sell our products in the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-103505</wp:posOffset>
            </wp:positionV>
            <wp:extent cx="64135" cy="39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 label uses, and our business may be adversely affected. We further must be able to sufficiently substantiate any claims that we make for our products including claims comparing our products to other companies’ products.</w:t>
      </w:r>
    </w:p>
    <w:p>
      <w:pPr>
        <w:spacing w:after="0" w:line="192" w:lineRule="exact"/>
        <w:rPr>
          <w:sz w:val="20"/>
          <w:szCs w:val="20"/>
          <w:color w:val="auto"/>
        </w:rPr>
      </w:pPr>
    </w:p>
    <w:p>
      <w:pPr>
        <w:ind w:right="60" w:firstLine="749"/>
        <w:spacing w:after="0" w:line="224"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72" w:lineRule="exact"/>
        <w:rPr>
          <w:sz w:val="20"/>
          <w:szCs w:val="20"/>
          <w:color w:val="auto"/>
        </w:rPr>
      </w:pPr>
    </w:p>
    <w:p>
      <w:pPr>
        <w:ind w:right="100"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FCA exposure. The FCA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FCA, a penalty may be imposed for each false claim, for example, a claim for payment for each prescription for the product, and, when aggregated, these penalties often total millions of dollars and incentivize qui tam lawsuits. These FCA lawsuits against pharmaceutical companies have increased significantly in volume and breadth, leading to several substantial civil and criminal settlements,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spacing w:after="0" w:line="19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8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75"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post-approval.</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9" w:lineRule="auto"/>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57"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drug is administered;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becoming less competitive;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8"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is a great degree of uncertainty regarding how recent U.S. Supreme Court decisions, including </w:t>
      </w:r>
      <w:r>
        <w:rPr>
          <w:rFonts w:ascii="Times New Roman" w:cs="Times New Roman" w:eastAsia="Times New Roman" w:hAnsi="Times New Roman"/>
          <w:sz w:val="18"/>
          <w:szCs w:val="18"/>
          <w:i w:val="1"/>
          <w:iCs w:val="1"/>
          <w:color w:val="auto"/>
        </w:rPr>
        <w:t>Loper Bright Enterprises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Raimondo</w:t>
      </w:r>
      <w:r>
        <w:rPr>
          <w:rFonts w:ascii="Times New Roman" w:cs="Times New Roman" w:eastAsia="Times New Roman" w:hAnsi="Times New Roman"/>
          <w:sz w:val="18"/>
          <w:szCs w:val="18"/>
          <w:color w:val="auto"/>
        </w:rPr>
        <w:t>, 603 U.S. 369 (2024) and</w:t>
      </w:r>
      <w:r>
        <w:rPr>
          <w:rFonts w:ascii="Times New Roman" w:cs="Times New Roman" w:eastAsia="Times New Roman" w:hAnsi="Times New Roman"/>
          <w:sz w:val="18"/>
          <w:szCs w:val="18"/>
          <w:i w:val="1"/>
          <w:iCs w:val="1"/>
          <w:color w:val="auto"/>
        </w:rPr>
        <w:t xml:space="preserve"> Corner Post, Inc. v. Board of Governors of the Federal Reserve System</w:t>
      </w:r>
      <w:r>
        <w:rPr>
          <w:rFonts w:ascii="Times New Roman" w:cs="Times New Roman" w:eastAsia="Times New Roman" w:hAnsi="Times New Roman"/>
          <w:sz w:val="18"/>
          <w:szCs w:val="18"/>
          <w:color w:val="auto"/>
        </w:rPr>
        <w:t>, 603 U.S. 799 (2024), will impact the FDA’s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enforcement and decision-making authority.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explicitly overturned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18"/>
          <w:szCs w:val="18"/>
          <w:i w:val="1"/>
          <w:iCs w:val="1"/>
          <w:color w:val="auto"/>
        </w:rPr>
        <w:t>Corner Post</w:t>
      </w:r>
      <w:r>
        <w:rPr>
          <w:rFonts w:ascii="Times New Roman" w:cs="Times New Roman" w:eastAsia="Times New Roman" w:hAnsi="Times New Roman"/>
          <w:sz w:val="18"/>
          <w:szCs w:val="18"/>
          <w:color w:val="auto"/>
        </w:rPr>
        <w:t xml:space="preserve"> may result in challenges to FDA decisions by new litigants long into the future. These decisions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 xml:space="preserve">Loper </w:t>
      </w:r>
      <w:r>
        <w:rPr>
          <w:rFonts w:ascii="Times New Roman" w:cs="Times New Roman" w:eastAsia="Times New Roman" w:hAnsi="Times New Roman"/>
          <w:sz w:val="18"/>
          <w:szCs w:val="18"/>
          <w:color w:val="auto"/>
        </w:rPr>
        <w:t>decision may result in increased regulatory uncertainty, inconsistent judicial interpretations, and could impact various aspects of the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94" w:lineRule="exact"/>
        <w:rPr>
          <w:sz w:val="20"/>
          <w:szCs w:val="20"/>
          <w:color w:val="auto"/>
        </w:rPr>
      </w:pPr>
    </w:p>
    <w:p>
      <w:pPr>
        <w:ind w:right="680" w:firstLine="749"/>
        <w:spacing w:after="0" w:line="239"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76"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4" w:lineRule="exact"/>
        <w:rPr>
          <w:rFonts w:ascii="Times New Roman" w:cs="Times New Roman" w:eastAsia="Times New Roman" w:hAnsi="Times New Roman"/>
          <w:sz w:val="18"/>
          <w:szCs w:val="18"/>
          <w:color w:val="auto"/>
        </w:rPr>
      </w:pPr>
    </w:p>
    <w:p>
      <w:pPr>
        <w:ind w:left="760" w:hanging="378"/>
        <w:spacing w:after="0" w:line="236" w:lineRule="exact"/>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stricter harmonized EU rules on data privacy particularly in relation to personal data, including health data, than is the case in the United States which are being further toughened with the EU General Data Protection Regulation, or the GDPR, which became enforceable beginning May 25, 2018;</w:t>
      </w:r>
    </w:p>
    <w:p>
      <w:pPr>
        <w:spacing w:after="0" w:line="175"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U.S. laws and regulations for foreign operations, including the FCPA or comparable foreign regulations, and the risks and costs of noncompliance;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market risk from fluctuations in currency exchange rates and interest rates.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62"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LLC; Intra-Cellular Therapies, Inc.; Janssen; Jazz; Otsuka Pharmaceutical Co. Ltd.; Pfizer; and Takeda Pharmaceutical Company Limited.</w:t>
      </w:r>
    </w:p>
    <w:p>
      <w:pPr>
        <w:spacing w:after="0" w:line="180"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83"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w:t>
      </w:r>
    </w:p>
    <w:p>
      <w:pPr>
        <w:spacing w:after="0" w:line="188" w:lineRule="exact"/>
        <w:rPr>
          <w:sz w:val="20"/>
          <w:szCs w:val="20"/>
          <w:color w:val="auto"/>
        </w:rPr>
      </w:pPr>
    </w:p>
    <w:p>
      <w:pPr>
        <w:ind w:right="120" w:firstLine="749"/>
        <w:spacing w:after="0" w:line="220" w:lineRule="exact"/>
        <w:rPr>
          <w:sz w:val="20"/>
          <w:szCs w:val="20"/>
          <w:color w:val="auto"/>
        </w:rPr>
      </w:pPr>
      <w:r>
        <w:rPr>
          <w:rFonts w:ascii="Times New Roman" w:cs="Times New Roman" w:eastAsia="Times New Roman" w:hAnsi="Times New Roman"/>
          <w:sz w:val="18"/>
          <w:szCs w:val="18"/>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20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ind w:right="240" w:firstLine="749"/>
        <w:spacing w:after="0" w:line="219"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5"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AXS-12 received Orphan Drug Designation from FDA for the treatment of narcolepsy. We may also seek Orphan Drug Designation for our other products, as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7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83"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appropriately persuade adequate numbers of physicians to prescribe any of our current or future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federal and state drug distribution and supply chain requirements to our business;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or any coverage and reimbursement by government and private health plans or other payers;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760" w:right="9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or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92" w:lineRule="exact"/>
        <w:rPr>
          <w:sz w:val="20"/>
          <w:szCs w:val="20"/>
          <w:color w:val="auto"/>
        </w:rPr>
      </w:pPr>
    </w:p>
    <w:p>
      <w:pPr>
        <w:jc w:val="both"/>
        <w:ind w:right="200" w:firstLine="749"/>
        <w:spacing w:after="0" w:line="289" w:lineRule="auto"/>
        <w:rPr>
          <w:sz w:val="20"/>
          <w:szCs w:val="20"/>
          <w:color w:val="auto"/>
        </w:rPr>
      </w:pPr>
      <w:r>
        <w:rPr>
          <w:rFonts w:ascii="Times New Roman" w:cs="Times New Roman" w:eastAsia="Times New Roman" w:hAnsi="Times New Roman"/>
          <w:sz w:val="17"/>
          <w:szCs w:val="17"/>
          <w:color w:val="auto"/>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spacing w:after="0" w:line="158"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84" w:lineRule="exact"/>
        <w:rPr>
          <w:rFonts w:ascii="Times New Roman" w:cs="Times New Roman" w:eastAsia="Times New Roman" w:hAnsi="Times New Roman"/>
          <w:sz w:val="18"/>
          <w:szCs w:val="18"/>
          <w:color w:val="auto"/>
        </w:rPr>
      </w:pPr>
    </w:p>
    <w:p>
      <w:pPr>
        <w:ind w:left="760" w:right="680" w:hanging="378"/>
        <w:spacing w:after="0" w:line="245" w:lineRule="exact"/>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9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third-party payors to prefer other products, even if not approved for our product’s indication;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as well as competitive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products may require significant resources and may never be successful.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749"/>
        <w:spacing w:after="0" w:line="219" w:lineRule="exact"/>
        <w:rPr>
          <w:sz w:val="20"/>
          <w:szCs w:val="20"/>
          <w:color w:val="auto"/>
        </w:rPr>
      </w:pPr>
      <w:r>
        <w:rPr>
          <w:rFonts w:ascii="Times New Roman" w:cs="Times New Roman" w:eastAsia="Times New Roman" w:hAnsi="Times New Roman"/>
          <w:sz w:val="18"/>
          <w:szCs w:val="18"/>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spacing w:after="0" w:line="188"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42" w:lineRule="exact"/>
        <w:rPr>
          <w:sz w:val="20"/>
          <w:szCs w:val="20"/>
          <w:color w:val="auto"/>
        </w:rPr>
      </w:pPr>
    </w:p>
    <w:p>
      <w:pPr>
        <w:ind w:firstLine="749"/>
        <w:spacing w:after="0" w:line="224"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98"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51"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when we submit an NDA for review, we are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7" w:lineRule="exact"/>
        <w:rPr>
          <w:sz w:val="20"/>
          <w:szCs w:val="20"/>
          <w:color w:val="auto"/>
        </w:rPr>
      </w:pPr>
    </w:p>
    <w:p>
      <w:pPr>
        <w:ind w:right="20" w:firstLine="749"/>
        <w:spacing w:after="0" w:line="222"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749"/>
        <w:spacing w:after="0" w:line="22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98" w:lineRule="exact"/>
        <w:rPr>
          <w:sz w:val="20"/>
          <w:szCs w:val="20"/>
          <w:color w:val="auto"/>
        </w:rPr>
      </w:pPr>
    </w:p>
    <w:p>
      <w:pPr>
        <w:ind w:right="140" w:firstLine="749"/>
        <w:spacing w:after="0" w:line="219"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9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9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9" w:lineRule="exact"/>
        <w:rPr>
          <w:sz w:val="20"/>
          <w:szCs w:val="20"/>
          <w:color w:val="auto"/>
        </w:rPr>
      </w:pPr>
    </w:p>
    <w:p>
      <w:pPr>
        <w:ind w:right="200" w:firstLine="749"/>
        <w:spacing w:after="0" w:line="253" w:lineRule="auto"/>
        <w:rPr>
          <w:sz w:val="20"/>
          <w:szCs w:val="20"/>
          <w:color w:val="auto"/>
        </w:rPr>
      </w:pPr>
      <w:r>
        <w:rPr>
          <w:rFonts w:ascii="Times New Roman" w:cs="Times New Roman" w:eastAsia="Times New Roman" w:hAnsi="Times New Roman"/>
          <w:sz w:val="18"/>
          <w:szCs w:val="18"/>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92"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6"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760" w:right="7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5"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8"/>
          <w:szCs w:val="18"/>
          <w:color w:val="auto"/>
        </w:rPr>
      </w:pPr>
    </w:p>
    <w:p>
      <w:pPr>
        <w:ind w:left="760" w:right="320" w:hanging="378"/>
        <w:spacing w:after="0" w:line="26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79" w:lineRule="exact"/>
        <w:rPr>
          <w:rFonts w:ascii="Times New Roman" w:cs="Times New Roman" w:eastAsia="Times New Roman" w:hAnsi="Times New Roman"/>
          <w:sz w:val="18"/>
          <w:szCs w:val="18"/>
          <w:color w:val="auto"/>
        </w:rPr>
      </w:pPr>
    </w:p>
    <w:p>
      <w:pPr>
        <w:jc w:val="both"/>
        <w:ind w:left="760" w:right="280" w:hanging="378"/>
        <w:spacing w:after="0" w:line="312" w:lineRule="auto"/>
        <w:tabs>
          <w:tab w:leader="none" w:pos="7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3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that we would succeed in stopping the “at risk” launch of a generic version of either of our currently commercialized products during the pendency of litigation following expiry of the 30-month stay, or that we would commence such proceedings. Such a generic launch could materially impact our commercial success.</w:t>
      </w:r>
    </w:p>
    <w:p>
      <w:pPr>
        <w:spacing w:after="0" w:line="19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seek to protect intellectual property relating to our products and portfolio products by prosecuting patents in the United States and elsewhere. The patent prosecution process is expensive and time consuming, and we may not be able to and/or may choose not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or that we may choose not to pursue patent protection for all patentable aspects identified.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maintained,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reliably or accurately predict the breadth of claims that may be allowed or enforced in our patents and patent applications or in third party patents and patent applications. Further, the degree of future protection for our proprietary rights is uncertain, for example,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95" w:lineRule="exact"/>
        <w:rPr>
          <w:sz w:val="20"/>
          <w:szCs w:val="20"/>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conceive of and reduce to practice the inventions covered by each of our pending patent applications and issued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225" w:lineRule="exact"/>
        <w:rPr>
          <w:rFonts w:ascii="Times New Roman" w:cs="Times New Roman" w:eastAsia="Times New Roman" w:hAnsi="Times New Roman"/>
          <w:sz w:val="18"/>
          <w:szCs w:val="18"/>
          <w:color w:val="auto"/>
        </w:rPr>
      </w:pPr>
    </w:p>
    <w:p>
      <w:pPr>
        <w:ind w:left="760" w:right="50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 and we may not have a continuing application (e.g., divisional, continuation, continuation-in-part) pending that covers the relevant subject matter;</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of others may have an adverse effect on our business;</w:t>
      </w:r>
    </w:p>
    <w:p>
      <w:pPr>
        <w:spacing w:after="0" w:line="225"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5"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products and potential product candidates; or</w:t>
      </w:r>
    </w:p>
    <w:p>
      <w:pPr>
        <w:spacing w:after="0" w:line="17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utility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and regulatory review.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6"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and/or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take time to publish and can take many years to issue, and because there is no way to guarantee we are aware of all third party patents and applications,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 third party claims that we infringe their intellectual property rights, we could face a number of issues, including:</w:t>
      </w:r>
    </w:p>
    <w:p>
      <w:pPr>
        <w:spacing w:after="0" w:line="225" w:lineRule="exact"/>
        <w:rPr>
          <w:sz w:val="20"/>
          <w:szCs w:val="20"/>
          <w:color w:val="auto"/>
        </w:rPr>
      </w:pPr>
    </w:p>
    <w:p>
      <w:pPr>
        <w:ind w:left="760" w:right="1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22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and processes so they do not infringe, which may not be possible or could require substantial funds and time.</w:t>
      </w:r>
    </w:p>
    <w:p>
      <w:pPr>
        <w:spacing w:after="0" w:line="225"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Any litigation proceeding or related proceeding at the USPTO could have adverse results, putting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3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products in the United States and to seek and maintain regulatory approvals for the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19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 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proprietary information and may not provide an adequate remedy in the event of unauthorized disclosure of proprietary information. Costly and time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enforcing,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and/or our licensors’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including those described in the “Business— Government Regulation and Product Approval” section of this Annual Report on Form 10-K, such as the federal Anti-Kickback Statute, the federal civil and criminal FCA, the civil monetary penalties statute, the Medicaid Drug Rebate Statute and other price reporting requirements, the Veterans Health Care Act of 1992, the Sunshine Act, HIPAA, the FCPA, the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California enacted legislation – the CCPA, which went into effect in January 2020, as subsequently amended by the CPRA, passed on November 3,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 Since the passage of the CCPA, certain other states have passed similar laws that may also have similar impacts on our data processing practices and incurred costs. Some of these state laws have not taken effect, and we cannot predict if states will subsequently amend those laws, if other states will pass similar laws, or the costs and expenses that we will incur to comply with such laws.</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are also federal and state laws on marketing and solicitation, such as CAN-SPAM. The CAN-SPAM Act, among other things, obligates the sender of commercial emails to provide recipients with the ability to opt out of receiving future commercial emails from the sender. Any failure by us to comply fully with the CAN-SPAM Act may leave us subject to substantial fines and penalties.</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addition, foreign jurisdictions, such as Canada, have enacted laws that regulate our ability to send commercial messages via email. For example, Canada’s Anti-Spam Legislation (“CASL”) prohibits email marketing without the recipient’s consent, with limited exceptions. The penalties for non-compliance with CASL are considerable, including administrative monetary penalties of up to $10 million and a private right of action.</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8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varies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0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8" w:lineRule="exact"/>
        <w:rPr>
          <w:sz w:val="20"/>
          <w:szCs w:val="20"/>
          <w:color w:val="auto"/>
        </w:rPr>
      </w:pPr>
    </w:p>
    <w:p>
      <w:pPr>
        <w:jc w:val="both"/>
        <w:ind w:right="440" w:firstLine="749"/>
        <w:spacing w:after="0" w:line="257"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The IRA’s changes include, by way of example, capping Medicare beneficiary out-of-pocket spending at $2,000 for 2025 and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2"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The distribution of product samples continues to be regulated under the PDMA, and some states also impose regulations on drug sample distribution.</w:t>
      </w:r>
    </w:p>
    <w:p>
      <w:pPr>
        <w:spacing w:after="0" w:line="18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the EU, recently adopted and pending legislation will impact regulatory procedures for medicinal products. Key developments include Regulation (EU) 2021/2282 on health technology assessment (HTA Regulation), which became applicable in the EU on 12 January 2025. Additionally, in April 2023, the EC adopted a proposal to revise the EU pharmaceutical legislation consisting of a new directive and a new regulation that would replace Directive 2001/83/EC and Regulation (EC) 726/2004, among others. In April 2024, the European Parliament introduced amendments to the EC’s proposal. The EU legislative process remains ongoing, with several stages still required before the reform can receive final approval. If approved, the reform would mark the most significant overhaul of EU pharmaceutical law since 2004, with a wide range of impacts including on approval procedures, regulatory data protection, or RDP, and the so-called “Bolar exemption,” among others.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2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data privacy regulations and enforcement, particularly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3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51"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-223520</wp:posOffset>
            </wp:positionV>
            <wp:extent cx="6413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18" w:lineRule="exact"/>
        <w:rPr>
          <w:sz w:val="20"/>
          <w:szCs w:val="20"/>
          <w:color w:val="auto"/>
        </w:rPr>
      </w:pPr>
    </w:p>
    <w:p>
      <w:pPr>
        <w:ind w:right="160" w:firstLine="749"/>
        <w:spacing w:after="0" w:line="226" w:lineRule="exact"/>
        <w:rPr>
          <w:sz w:val="20"/>
          <w:szCs w:val="20"/>
          <w:color w:val="auto"/>
        </w:rPr>
      </w:pPr>
      <w:r>
        <w:rPr>
          <w:rFonts w:ascii="Times New Roman" w:cs="Times New Roman" w:eastAsia="Times New Roman" w:hAnsi="Times New Roman"/>
          <w:sz w:val="18"/>
          <w:szCs w:val="18"/>
          <w:color w:val="auto"/>
        </w:rPr>
        <w:t>As of April 28, 2025, we had 712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2" w:lineRule="exact"/>
        <w:rPr>
          <w:sz w:val="20"/>
          <w:szCs w:val="20"/>
          <w:color w:val="auto"/>
        </w:rPr>
      </w:pPr>
    </w:p>
    <w:p>
      <w:pPr>
        <w:ind w:left="760" w:right="20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hiring and training of personnel for our commercial organization, and maintain appropriate systems, policies and infrastructure to support that organization;</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060" w:firstLine="749"/>
        <w:spacing w:after="0" w:line="282"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83"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8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9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0"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ultimate completion, of our planned and ongoing Phase 3 clinical trials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relating to our industry as a whole and news relating to trends in our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competitive products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security breaches;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companies similar to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trends in our industry;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any of our current and future product candidates, which may delay any such approval;</w:t>
      </w:r>
    </w:p>
    <w:p>
      <w:pPr>
        <w:spacing w:after="0" w:line="120" w:lineRule="exact"/>
        <w:rPr>
          <w:rFonts w:ascii="Times New Roman" w:cs="Times New Roman" w:eastAsia="Times New Roman" w:hAnsi="Times New Roman"/>
          <w:sz w:val="18"/>
          <w:szCs w:val="18"/>
          <w:color w:val="auto"/>
        </w:rPr>
      </w:pPr>
    </w:p>
    <w:p>
      <w:pPr>
        <w:ind w:left="760" w:right="460" w:hanging="378"/>
        <w:spacing w:after="0" w:line="245" w:lineRule="exact"/>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198"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current products, or the products of our competitors;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our products.</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of April 28, 2025, our executive officers, directors, and 5% stockholders and their affiliates beneficially owned an aggregate of approximately 43%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of April 28, 2025, we have outstanding 49,236,365 shares of common stock and 9,517,980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41,197,215 are freely tradable. The remainder of the outstanding shares of common stock are held by our affiliates and may be considered “control securities” for purposes of Rule 144 under the Securities Act.</w:t>
      </w:r>
    </w:p>
    <w:p>
      <w:pPr>
        <w:spacing w:after="0" w:line="143" w:lineRule="exact"/>
        <w:rPr>
          <w:sz w:val="20"/>
          <w:szCs w:val="20"/>
          <w:color w:val="auto"/>
        </w:rPr>
      </w:pPr>
    </w:p>
    <w:p>
      <w:pPr>
        <w:ind w:right="180" w:firstLine="749"/>
        <w:spacing w:after="0" w:line="228" w:lineRule="exact"/>
        <w:rPr>
          <w:sz w:val="20"/>
          <w:szCs w:val="20"/>
          <w:color w:val="auto"/>
        </w:rPr>
      </w:pPr>
      <w:r>
        <w:rPr>
          <w:rFonts w:ascii="Times New Roman" w:cs="Times New Roman" w:eastAsia="Times New Roman" w:hAnsi="Times New Roman"/>
          <w:sz w:val="18"/>
          <w:szCs w:val="18"/>
          <w:color w:val="auto"/>
        </w:rPr>
        <w:t>In addition, we have filed, or will soon file,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an aggregate of 17,546,713 shares of common stock subject to options or other equity awards issued or reserved for issuance under our 2015 Omnibus Incentive Compensation Plan and 1,100,000 shares of common stock reserved for issuance under our 2023 Employee Stock Purchase Plan. Shares registered under registration statements on Form S-8 will be available for sale in the public market subject to vesting arrangements and exercise of options, the lock up agreements described above and the restrictions of Rule 144 in the case of our affiliates.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the proceeds from sales pursuant to the March 2022 Sales Agreement with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2024, we had U.S. federal net operating loss, or NOL, carryforwards of approximately $572.1 million and foreign NOL carryforwards of $4.8 million. U.S. federal net operating loss carry forwards amounting to $59.8 million generated before the 2018 tax year will start expiring beginning 2032, if we have not used them prior to that time, and the U.S. federal net operating losses of approximately $512.3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returns for our stockholders will be limited to any increase in the value of our stock.</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did not adopt or terminate a Rule 10b5-1 trading arrangement (as defined in Item 408(a)(1)(i) of Regulation S-K) for the purchase or sale of securities of the Company, whether or not intended to satisfy the affirmative defense conditions of Rule 10b5-1(c) of the Exchange Act.</w:t>
      </w:r>
    </w:p>
    <w:p>
      <w:pPr>
        <w:spacing w:after="0" w:line="176"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 of Rule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Scheduled Expiration</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w:t>
            </w: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10b5-1 Trading</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Date of Rule 10b5-1</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Securities to Be Sold</w:t>
            </w:r>
          </w:p>
        </w:tc>
      </w:tr>
      <w:tr>
        <w:trPr>
          <w:trHeight w:val="289"/>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24"/>
                <w:szCs w:val="24"/>
                <w:b w:val="1"/>
                <w:bCs w:val="1"/>
                <w:color w:val="auto"/>
                <w:vertAlign w:val="superscript"/>
              </w:rPr>
              <w:t>(1)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240" w:type="dxa"/>
            <w:vAlign w:val="bottom"/>
            <w:tcBorders>
              <w:bottom w:val="single" w:sz="8" w:color="auto"/>
              <w:right w:val="single" w:sz="8" w:color="auto"/>
            </w:tcBorders>
          </w:tcPr>
          <w:p>
            <w:pPr>
              <w:spacing w:after="0"/>
              <w:rPr>
                <w:sz w:val="24"/>
                <w:szCs w:val="24"/>
                <w:color w:val="auto"/>
              </w:rPr>
            </w:pPr>
          </w:p>
        </w:tc>
      </w:tr>
      <w:tr>
        <w:trPr>
          <w:trHeight w:val="293"/>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Jacobson</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24, 2025</w:t>
            </w:r>
            <w:r>
              <w:rPr>
                <w:rFonts w:ascii="Times New Roman" w:cs="Times New Roman" w:eastAsia="Times New Roman" w:hAnsi="Times New Roman"/>
                <w:sz w:val="24"/>
                <w:szCs w:val="24"/>
                <w:color w:val="auto"/>
                <w:vertAlign w:val="superscript"/>
              </w:rPr>
              <w:t>(2)</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November 23, 2025</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65,673</w:t>
            </w:r>
          </w:p>
        </w:tc>
      </w:tr>
      <w:tr>
        <w:trPr>
          <w:trHeight w:val="223"/>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Hunter Murdock</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General Counsel</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March 4, 2025</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December 15, 2025</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36,014</w:t>
            </w: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Coleman</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February 25, 2025</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November 28, 2025</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Roger Jeffs</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February 26, 2025</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November 28, 2025</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110,158</w:t>
            </w:r>
          </w:p>
        </w:tc>
      </w:tr>
    </w:tbl>
    <w:p>
      <w:pPr>
        <w:spacing w:after="0" w:line="45" w:lineRule="exact"/>
        <w:rPr>
          <w:sz w:val="20"/>
          <w:szCs w:val="20"/>
          <w:color w:val="auto"/>
        </w:rPr>
      </w:pPr>
    </w:p>
    <w:p>
      <w:pPr>
        <w:ind w:left="220" w:hanging="212"/>
        <w:spacing w:after="0"/>
        <w:tabs>
          <w:tab w:leader="none" w:pos="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adoption of Rule 10b5-1 trading arrangements is in accordance with both the Company’s insider trading policy and applicable SEC rules and regulations.</w:t>
      </w:r>
    </w:p>
    <w:p>
      <w:pPr>
        <w:spacing w:after="0" w:line="3" w:lineRule="exact"/>
        <w:rPr>
          <w:rFonts w:ascii="Times New Roman" w:cs="Times New Roman" w:eastAsia="Times New Roman" w:hAnsi="Times New Roman"/>
          <w:sz w:val="14"/>
          <w:szCs w:val="14"/>
          <w:color w:val="auto"/>
        </w:rPr>
      </w:pPr>
    </w:p>
    <w:p>
      <w:pPr>
        <w:ind w:right="20" w:firstLine="8"/>
        <w:spacing w:after="0" w:line="239" w:lineRule="auto"/>
        <w:tabs>
          <w:tab w:leader="none" w:pos="20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0" w:type="dxa"/>
            <w:vAlign w:val="bottom"/>
            <w:gridSpan w:val="8"/>
          </w:tcPr>
          <w:p>
            <w:pPr>
              <w:ind w:left="68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3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40" w:type="dxa"/>
            <w:vAlign w:val="bottom"/>
            <w:gridSpan w:val="7"/>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84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100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Amendment to Sublease, dated January 17, 2025, between Advance Magazine Publishers Inc. d/b/a Condé Nast and Axsome Therapeutics,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Inc.</w:t>
            </w:r>
          </w:p>
        </w:tc>
        <w:tc>
          <w:tcPr>
            <w:tcW w:w="20" w:type="dxa"/>
            <w:vAlign w:val="bottom"/>
            <w:tcBorders>
              <w:bottom w:val="single" w:sz="8" w:color="0000EE"/>
            </w:tcBorders>
          </w:tcPr>
          <w:p>
            <w:pPr>
              <w:spacing w:after="0"/>
              <w:rPr>
                <w:sz w:val="17"/>
                <w:szCs w:val="17"/>
                <w:color w:val="auto"/>
              </w:rPr>
            </w:pPr>
          </w:p>
        </w:tc>
        <w:tc>
          <w:tcPr>
            <w:tcW w:w="98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Axsome Therapeutics, Inc. Form of Stock Option Agreement pursuant to the Amended and Restated 2015 Omnibus Incentive</w:t>
            </w:r>
          </w:p>
        </w:tc>
        <w:tc>
          <w:tcPr>
            <w:tcW w:w="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 Plan.</w:t>
            </w:r>
          </w:p>
        </w:tc>
        <w:tc>
          <w:tcPr>
            <w:tcW w:w="20" w:type="dxa"/>
            <w:vAlign w:val="bottom"/>
            <w:tcBorders>
              <w:bottom w:val="single" w:sz="8" w:color="0000EE"/>
            </w:tcBorders>
          </w:tcPr>
          <w:p>
            <w:pPr>
              <w:spacing w:after="0"/>
              <w:rPr>
                <w:sz w:val="17"/>
                <w:szCs w:val="17"/>
                <w:color w:val="auto"/>
              </w:rPr>
            </w:pPr>
          </w:p>
        </w:tc>
        <w:tc>
          <w:tcPr>
            <w:tcW w:w="86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6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Axsome Therapeutics, Inc. Form of Restricted Stock Unit Agreement (Non-Executives) pursuant to the Amended and Restated 2015</w:t>
            </w:r>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Omnibus Incentive Compensation Plan.</w:t>
            </w:r>
          </w:p>
        </w:tc>
        <w:tc>
          <w:tcPr>
            <w:tcW w:w="20" w:type="dxa"/>
            <w:vAlign w:val="bottom"/>
            <w:tcBorders>
              <w:bottom w:val="single" w:sz="8" w:color="0000EE"/>
            </w:tcBorders>
          </w:tcPr>
          <w:p>
            <w:pPr>
              <w:spacing w:after="0"/>
              <w:rPr>
                <w:sz w:val="17"/>
                <w:szCs w:val="17"/>
                <w:color w:val="auto"/>
              </w:rPr>
            </w:pPr>
          </w:p>
        </w:tc>
        <w:tc>
          <w:tcPr>
            <w:tcW w:w="7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Axsome Therapeutics, Inc. Form of Restricted Stock Unit Agreement (Executives and Non-Employee Directors) pursuant to the Amended</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and Restated 2015 Omnibus Incentive Compensation Plan.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13a-14(a)/15d-14(a), as adopted pursuant to Section 302 of the Sarbanes-</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260" w:type="dxa"/>
            <w:vAlign w:val="bottom"/>
            <w:tcBorders>
              <w:top w:val="single" w:sz="8" w:color="0000FF"/>
            </w:tcBorders>
            <w:gridSpan w:val="9"/>
          </w:tcPr>
          <w:p>
            <w:pPr>
              <w:spacing w:after="0"/>
              <w:rPr>
                <w:sz w:val="17"/>
                <w:szCs w:val="17"/>
                <w:color w:val="auto"/>
              </w:rPr>
            </w:pPr>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as adopted pursuant to Section 302 of the Sarbanes-Oxley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 as adopted pursuant to Section 906 of the Sarbanes-Oxley Act of</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8"/>
            <w:shd w:val="clear" w:color="auto" w:fill="0000FF"/>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§1350, as adopted pursuant to Section 906 of the Sarbanes-Oxley Act of</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8"/>
            <w:shd w:val="clear" w:color="auto" w:fill="0000FF"/>
          </w:tcPr>
          <w:p>
            <w:pPr>
              <w:spacing w:after="0" w:line="20" w:lineRule="exact"/>
              <w:rPr>
                <w:sz w:val="1"/>
                <w:szCs w:val="1"/>
                <w:color w:val="auto"/>
              </w:rPr>
            </w:pPr>
          </w:p>
        </w:tc>
        <w:tc>
          <w:tcPr>
            <w:tcW w:w="81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right="40" w:firstLine="8"/>
        <w:spacing w:after="0" w:line="261" w:lineRule="auto"/>
        <w:tabs>
          <w:tab w:leader="none" w:pos="2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and schedules to and certain provisions of this exhibit have been omitted pursuant to Item 601(b)(10)(iv) of Regulation S-K as they contain information that is both not material and of the type that the registrant treats as private or confidential. The registrant agrees to supplementally furnish an unredacted copy of this exhibit, including any exhibit or schedule hereto, to the SEC upon its request; however, the registrant may request confidential treatment of such unredacted copy.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48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2025</w:t>
            </w:r>
          </w:p>
        </w:tc>
        <w:tc>
          <w:tcPr>
            <w:tcW w:w="26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2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2025</w:t>
            </w:r>
          </w:p>
        </w:tc>
        <w:tc>
          <w:tcPr>
            <w:tcW w:w="26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Pizzie</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Nick Pizzie</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91"/>
        </w:trPr>
        <w:tc>
          <w:tcPr>
            <w:tcW w:w="3420" w:type="dxa"/>
            <w:vAlign w:val="bottom"/>
          </w:tcPr>
          <w:p>
            <w:pPr>
              <w:spacing w:after="0"/>
              <w:rPr>
                <w:sz w:val="24"/>
                <w:szCs w:val="24"/>
                <w:color w:val="auto"/>
              </w:rPr>
            </w:pPr>
          </w:p>
        </w:tc>
        <w:tc>
          <w:tcPr>
            <w:tcW w:w="2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114</w:t>
            </w:r>
          </w:p>
        </w:tc>
        <w:tc>
          <w:tcPr>
            <w:tcW w:w="5160" w:type="dxa"/>
            <w:vAlign w:val="bottom"/>
          </w:tcPr>
          <w:p>
            <w:pPr>
              <w:spacing w:after="0"/>
              <w:rPr>
                <w:sz w:val="24"/>
                <w:szCs w:val="24"/>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TO SUBLEASE</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AMENDMENT TO SUBLEASE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made and entered into effective as of January 17, 2025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ADVANCE MAGAZINE PUBLISHERS INC. D/B/A CONDÉ NAST, a New York corporation, having an office at One World Trade Center, New York, New York 10007, Attn: Real Estate Department (“</w:t>
      </w:r>
      <w:r>
        <w:rPr>
          <w:rFonts w:ascii="Times New Roman" w:cs="Times New Roman" w:eastAsia="Times New Roman" w:hAnsi="Times New Roman"/>
          <w:sz w:val="22"/>
          <w:szCs w:val="22"/>
          <w:b w:val="1"/>
          <w:bCs w:val="1"/>
          <w:color w:val="auto"/>
        </w:rPr>
        <w:t>Sublandlord</w:t>
      </w:r>
      <w:r>
        <w:rPr>
          <w:rFonts w:ascii="Times New Roman" w:cs="Times New Roman" w:eastAsia="Times New Roman" w:hAnsi="Times New Roman"/>
          <w:sz w:val="22"/>
          <w:szCs w:val="22"/>
          <w:color w:val="auto"/>
        </w:rPr>
        <w:t>”) and AXSOME THERAPEUTICS, INC., having offices at One World Trade Center, New York, New York 10007, Attn: General Counsel (“</w:t>
      </w:r>
      <w:r>
        <w:rPr>
          <w:rFonts w:ascii="Times New Roman" w:cs="Times New Roman" w:eastAsia="Times New Roman" w:hAnsi="Times New Roman"/>
          <w:sz w:val="22"/>
          <w:szCs w:val="22"/>
          <w:b w:val="1"/>
          <w:bCs w:val="1"/>
          <w:color w:val="auto"/>
        </w:rPr>
        <w:t>Subtenant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1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Sublandlord and Subtenant entered into a certain sublease (hereinafter called the “</w:t>
      </w:r>
      <w:r>
        <w:rPr>
          <w:rFonts w:ascii="Times New Roman" w:cs="Times New Roman" w:eastAsia="Times New Roman" w:hAnsi="Times New Roman"/>
          <w:sz w:val="22"/>
          <w:szCs w:val="22"/>
          <w:b w:val="1"/>
          <w:bCs w:val="1"/>
          <w:color w:val="auto"/>
        </w:rPr>
        <w:t>Original Sublease</w:t>
      </w:r>
      <w:r>
        <w:rPr>
          <w:rFonts w:ascii="Times New Roman" w:cs="Times New Roman" w:eastAsia="Times New Roman" w:hAnsi="Times New Roman"/>
          <w:sz w:val="22"/>
          <w:szCs w:val="22"/>
          <w:color w:val="auto"/>
        </w:rPr>
        <w:t>”),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21, 2023, with respect to the entire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(the “</w:t>
      </w:r>
      <w:r>
        <w:rPr>
          <w:rFonts w:ascii="Times New Roman" w:cs="Times New Roman" w:eastAsia="Times New Roman" w:hAnsi="Times New Roman"/>
          <w:sz w:val="22"/>
          <w:szCs w:val="22"/>
          <w:b w:val="1"/>
          <w:bCs w:val="1"/>
          <w:color w:val="auto"/>
        </w:rPr>
        <w:t>Original Premises</w:t>
      </w:r>
      <w:r>
        <w:rPr>
          <w:rFonts w:ascii="Times New Roman" w:cs="Times New Roman" w:eastAsia="Times New Roman" w:hAnsi="Times New Roman"/>
          <w:sz w:val="22"/>
          <w:szCs w:val="22"/>
          <w:color w:val="auto"/>
        </w:rPr>
        <w:t>”) of the building located at One World Trade Center, New York, New York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which Sublease was amended by that certain Consent to Sublet dated February 1, 2023 among WTC TOWER 1 LLC, as Prime Landlord, Sublandlord and Subtenant (the “</w:t>
      </w:r>
      <w:r>
        <w:rPr>
          <w:rFonts w:ascii="Times New Roman" w:cs="Times New Roman" w:eastAsia="Times New Roman" w:hAnsi="Times New Roman"/>
          <w:sz w:val="22"/>
          <w:szCs w:val="22"/>
          <w:b w:val="1"/>
          <w:bCs w:val="1"/>
          <w:color w:val="auto"/>
        </w:rPr>
        <w:t>Consent</w:t>
      </w:r>
      <w:r>
        <w:rPr>
          <w:rFonts w:ascii="Times New Roman" w:cs="Times New Roman" w:eastAsia="Times New Roman" w:hAnsi="Times New Roman"/>
          <w:sz w:val="22"/>
          <w:szCs w:val="22"/>
          <w:color w:val="auto"/>
        </w:rPr>
        <w:t>”), and (2) that certain Confirmation Agreement dated June 7, 2024 between Sublandlord and Subtenant (the “</w:t>
      </w:r>
      <w:r>
        <w:rPr>
          <w:rFonts w:ascii="Times New Roman" w:cs="Times New Roman" w:eastAsia="Times New Roman" w:hAnsi="Times New Roman"/>
          <w:sz w:val="22"/>
          <w:szCs w:val="22"/>
          <w:b w:val="1"/>
          <w:bCs w:val="1"/>
          <w:color w:val="auto"/>
        </w:rPr>
        <w:t>Confirmation Agreement</w:t>
      </w:r>
      <w:r>
        <w:rPr>
          <w:rFonts w:ascii="Times New Roman" w:cs="Times New Roman" w:eastAsia="Times New Roman" w:hAnsi="Times New Roman"/>
          <w:sz w:val="22"/>
          <w:szCs w:val="22"/>
          <w:color w:val="auto"/>
        </w:rPr>
        <w:t>”; together with the Original Sublease and Consent, the “</w:t>
      </w:r>
      <w:r>
        <w:rPr>
          <w:rFonts w:ascii="Times New Roman" w:cs="Times New Roman" w:eastAsia="Times New Roman" w:hAnsi="Times New Roman"/>
          <w:sz w:val="22"/>
          <w:szCs w:val="22"/>
          <w:b w:val="1"/>
          <w:bCs w:val="1"/>
          <w:color w:val="auto"/>
        </w:rPr>
        <w:t>Sublease</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WHEREAS, Subtenant desires to sublet the entire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(the “</w:t>
      </w:r>
      <w:r>
        <w:rPr>
          <w:rFonts w:ascii="Times New Roman" w:cs="Times New Roman" w:eastAsia="Times New Roman" w:hAnsi="Times New Roman"/>
          <w:sz w:val="22"/>
          <w:szCs w:val="22"/>
          <w:b w:val="1"/>
          <w:bCs w:val="1"/>
          <w:color w:val="auto"/>
        </w:rPr>
        <w:t>Replacement Floor</w:t>
      </w:r>
      <w:r>
        <w:rPr>
          <w:rFonts w:ascii="Times New Roman" w:cs="Times New Roman" w:eastAsia="Times New Roman" w:hAnsi="Times New Roman"/>
          <w:sz w:val="22"/>
          <w:szCs w:val="22"/>
          <w:color w:val="auto"/>
        </w:rPr>
        <w:t>”) and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(the “</w:t>
      </w:r>
      <w:r>
        <w:rPr>
          <w:rFonts w:ascii="Times New Roman" w:cs="Times New Roman" w:eastAsia="Times New Roman" w:hAnsi="Times New Roman"/>
          <w:sz w:val="22"/>
          <w:szCs w:val="22"/>
          <w:b w:val="1"/>
          <w:bCs w:val="1"/>
          <w:color w:val="auto"/>
        </w:rPr>
        <w:t>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Floor”</w:t>
      </w:r>
      <w:r>
        <w:rPr>
          <w:rFonts w:ascii="Times New Roman" w:cs="Times New Roman" w:eastAsia="Times New Roman" w:hAnsi="Times New Roman"/>
          <w:sz w:val="22"/>
          <w:szCs w:val="22"/>
          <w:color w:val="auto"/>
        </w:rPr>
        <w:t>) in the Building, as more particularly shown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annexed hereto and made a part hereof (the Replacement Floor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Incremental Floor are hereinafter referred to as the “</w:t>
      </w:r>
      <w:r>
        <w:rPr>
          <w:rFonts w:ascii="Times New Roman" w:cs="Times New Roman" w:eastAsia="Times New Roman" w:hAnsi="Times New Roman"/>
          <w:sz w:val="22"/>
          <w:szCs w:val="22"/>
          <w:b w:val="1"/>
          <w:bCs w:val="1"/>
          <w:color w:val="auto"/>
        </w:rPr>
        <w:t>New Premises</w:t>
      </w:r>
      <w:r>
        <w:rPr>
          <w:rFonts w:ascii="Times New Roman" w:cs="Times New Roman" w:eastAsia="Times New Roman" w:hAnsi="Times New Roman"/>
          <w:sz w:val="22"/>
          <w:szCs w:val="22"/>
          <w:color w:val="auto"/>
        </w:rPr>
        <w:t>”) and to return the Original Premises to Sublandlord; and</w:t>
      </w:r>
    </w:p>
    <w:p>
      <w:pPr>
        <w:spacing w:after="0" w:line="17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Sublandlord and Subtenant desire, in connection with the foregoing, to otherwise amend and modify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Sublease, as set forth herein below, all on the terms and conditions set forth herein.</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recitals, the covenants in this Amendment,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and for the mutual promises hereinafter set forth, Sublandlord and Subtenant agree to amend the Sublease as of the above Effective Date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 G R E E M E N T</w:t>
      </w:r>
    </w:p>
    <w:p>
      <w:pPr>
        <w:spacing w:after="0" w:line="206" w:lineRule="exact"/>
        <w:rPr>
          <w:sz w:val="20"/>
          <w:szCs w:val="20"/>
          <w:color w:val="auto"/>
        </w:rPr>
      </w:pPr>
    </w:p>
    <w:p>
      <w:pPr>
        <w:jc w:val="both"/>
        <w:ind w:firstLine="757"/>
        <w:spacing w:after="0" w:line="261" w:lineRule="auto"/>
        <w:tabs>
          <w:tab w:leader="none" w:pos="101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w:t>
      </w:r>
      <w:r>
        <w:rPr>
          <w:rFonts w:ascii="Times New Roman" w:cs="Times New Roman" w:eastAsia="Times New Roman" w:hAnsi="Times New Roman"/>
          <w:sz w:val="21"/>
          <w:szCs w:val="21"/>
          <w:color w:val="auto"/>
        </w:rPr>
        <w:t>. The statements set forth above are incorporated herein as if restated. All capitalized terms used herein shall have the same meanings given such terms in the Sublease unless expressly superseded by the terms of this Amendment. In the event of an inconsistency between the Sublease and this Amendment, the provisions of this Amendment shall control.</w:t>
      </w:r>
    </w:p>
    <w:p>
      <w:pPr>
        <w:spacing w:after="0" w:line="157"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New Premises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Sublandlord hereby subleases to Subtenant, and Subtenant hereby hires from Sublandlord, the New Premises for a term to commence (subject to the provisions of </w:t>
      </w:r>
      <w:r>
        <w:rPr>
          <w:rFonts w:ascii="Times New Roman" w:cs="Times New Roman" w:eastAsia="Times New Roman" w:hAnsi="Times New Roman"/>
          <w:sz w:val="22"/>
          <w:szCs w:val="22"/>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5" w:name="page116"/>
    <w:bookmarkEnd w:id="115"/>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16</w:t>
      </w:r>
      <w:r>
        <w:rPr>
          <w:rFonts w:ascii="Times New Roman" w:cs="Times New Roman" w:eastAsia="Times New Roman" w:hAnsi="Times New Roman"/>
          <w:sz w:val="22"/>
          <w:szCs w:val="22"/>
          <w:color w:val="auto"/>
        </w:rPr>
        <w:t xml:space="preserve"> entitled “Landlord’s Consents”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entitled “Delivery of Possession of New Premises” hereof) on the later to occur of (a) the full execution and delivery of this Amendment by both Sublandlord and Subtenant, (b) the date Sublandlord receives Prime Landlord’s written consent to this Amendment and (c) the date on which the New Premises Sublandlord’s Work (as hereinafter defined) is deemed to have been substantially completed and Sublandlord has delivered the New Premises to Subtenant in the Premises Condition, as hereinafter defined (the later of such dates is called the “</w:t>
      </w:r>
      <w:r>
        <w:rPr>
          <w:rFonts w:ascii="Times New Roman" w:cs="Times New Roman" w:eastAsia="Times New Roman" w:hAnsi="Times New Roman"/>
          <w:sz w:val="22"/>
          <w:szCs w:val="22"/>
          <w:b w:val="1"/>
          <w:bCs w:val="1"/>
          <w:color w:val="auto"/>
        </w:rPr>
        <w:t>New Premises Commencement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Sublandlord shall provide Subtenant with five (5) business days’ advance notice of the New Premises Commencement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Sublandlord estimates that the New Premises Commencement Date will occur on or about three (3) weeks from the date Prime Landlord executes the Landlord’s Consent (as defined in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hereof) to this Amendment. Except as otherwise expressly provided in this Amendment, from and after the New Premises Commencement Date, (i) all references in the Original Sublease to the “Premises” shall be deemed to mean the New Premises for all purposes of the Sublease, (ii) all references in the Original Sublease to the “Commencement Date” shall be deemed to mean the New Premises Commencement Date for all purposes of the Sublease; (iii) all references in the Original Sublease to the “Rent Commencement Date” shall be deemed to mean the RP Rent Commencement Date (as hereinafter defined) for all purposes of the Sublease; and (iv) all references in the Original Sublease to the “Effective Date” shall be deemed to mean the Effective Date of this Amendment for all purposes of the Sublease. From and after the New Premises Commencement Date, Subtenant shall sublease the New Premises upon all of the terms and conditions of the Sublease, as modified by this Amendment.</w:t>
      </w:r>
    </w:p>
    <w:p>
      <w:pPr>
        <w:spacing w:after="0" w:line="191" w:lineRule="exact"/>
        <w:rPr>
          <w:sz w:val="20"/>
          <w:szCs w:val="20"/>
          <w:color w:val="auto"/>
        </w:rPr>
      </w:pPr>
    </w:p>
    <w:p>
      <w:pPr>
        <w:jc w:val="both"/>
        <w:ind w:firstLine="1505"/>
        <w:spacing w:after="0" w:line="238" w:lineRule="auto"/>
        <w:tabs>
          <w:tab w:leader="none" w:pos="203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the occurrence of the New Premises Commencement Date, Sublandlord and Subtenant shall confirm the occurrence thereof, as well as the RP Rent Commencement Date, IP Rent Commencement Date (as hereinafter defined) and Expiration Date, by executing an instrument reasonably satisfactory to Sublandlord and Subtenant; provided that failure by Sublandlord or Subtenant to execute such instrument shall not affect the occurrence of the New Premises Commencement Date in accordance with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hereof.</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1(d)</w:t>
      </w:r>
      <w:r>
        <w:rPr>
          <w:rFonts w:ascii="Times New Roman" w:cs="Times New Roman" w:eastAsia="Times New Roman" w:hAnsi="Times New Roman"/>
          <w:sz w:val="22"/>
          <w:szCs w:val="22"/>
          <w:color w:val="auto"/>
        </w:rPr>
        <w:t xml:space="preserve"> of the Original Sublease shall apply to the New Premises, and Subtenant will have the Early Access right with respect to the New Premises during the thirty (30) day period prior to the New Premises Commencement Date.</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Original Premises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Subtenant shall move out of the Original Premises no later than four (4) months after the New Premises Commencement Date, subject to Force Majeure (the “</w:t>
      </w:r>
      <w:r>
        <w:rPr>
          <w:rFonts w:ascii="Times New Roman" w:cs="Times New Roman" w:eastAsia="Times New Roman" w:hAnsi="Times New Roman"/>
          <w:sz w:val="22"/>
          <w:szCs w:val="22"/>
          <w:b w:val="1"/>
          <w:bCs w:val="1"/>
          <w:color w:val="auto"/>
        </w:rPr>
        <w:t>Original Premises Termination Date</w:t>
      </w:r>
      <w:r>
        <w:rPr>
          <w:rFonts w:ascii="Times New Roman" w:cs="Times New Roman" w:eastAsia="Times New Roman" w:hAnsi="Times New Roman"/>
          <w:sz w:val="22"/>
          <w:szCs w:val="22"/>
          <w:color w:val="auto"/>
        </w:rPr>
        <w:t>”). On the Original Premises Termination Date, Subtenant shall surrender to Sublandlord in the condition required herein, and Sublandlord shall accept the surrender of, the Original Premises if same are in the condition required herein, to the intent and purpose that the estate of Subtenant in and to the Original Premises shall be wholly extinguished and that the term of the Sublease with respect to the Original Premises shall expire on the Original Premises Termination Date in the same manner and with the same effect as if such date were the date set forth in the Sublease for the expiration of the term thereof in respect of the Original Premises (provided, that all Rent and other amounts payable under the Sublease with respect to the Original Premises shall be apportioned as of the Original Premises Termination Date,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jc w:val="both"/>
        <w:spacing w:after="0" w:line="232" w:lineRule="auto"/>
        <w:rPr>
          <w:sz w:val="20"/>
          <w:szCs w:val="20"/>
          <w:color w:val="auto"/>
        </w:rPr>
      </w:pPr>
      <w:r>
        <w:rPr>
          <w:rFonts w:ascii="Times New Roman" w:cs="Times New Roman" w:eastAsia="Times New Roman" w:hAnsi="Times New Roman"/>
          <w:sz w:val="22"/>
          <w:szCs w:val="22"/>
          <w:color w:val="auto"/>
        </w:rPr>
        <w:t>Subtenant’s obligation to pay Rent, including CAM Payments and other Additional Rent items with respect to the Original Premises shall survive the Original Premises Termination Date and be due and owing in accordance with the terms and provisions of the Original Sublease). Prior to the later of (i) Original Premises Termination Date and (ii) the date Subtenant delivers vacant possession of the Original Premises in the condition required by the Original Sublease as hereby amended, Subtenant shall sublease the Original Premises upon all of the terms of the Sublease applicable to such Original Premises without giving effect to this Amendment (including, without limitation, the continued payment of all Rent with respect thereto) and such terms shall separately apply to the Original Premises, except that Subtenant shall not be required to pay Fixed Rent with respect to the Original Premises for [*****] after the New Premises Commencement Date (the “</w:t>
      </w:r>
      <w:r>
        <w:rPr>
          <w:rFonts w:ascii="Times New Roman" w:cs="Times New Roman" w:eastAsia="Times New Roman" w:hAnsi="Times New Roman"/>
          <w:sz w:val="22"/>
          <w:szCs w:val="22"/>
          <w:b w:val="1"/>
          <w:bCs w:val="1"/>
          <w:color w:val="auto"/>
        </w:rPr>
        <w:t>Original Premises Free Rent Period</w:t>
      </w:r>
      <w:r>
        <w:rPr>
          <w:rFonts w:ascii="Times New Roman" w:cs="Times New Roman" w:eastAsia="Times New Roman" w:hAnsi="Times New Roman"/>
          <w:sz w:val="22"/>
          <w:szCs w:val="22"/>
          <w:color w:val="auto"/>
        </w:rPr>
        <w:t>”). For the avoidance of doubt, until the Original Premises Termination Date, after the Original Premises Free Rent Period, Subtenant will continue to pay the Rent with respect to the Original Premises until the Original Premises Termination Date; provided, however, notwithstanding anything to the contrary contained herein or in the Original Sublease, at any time prior to [*****] (as such date may be extended by any Prime Landlord Delay [as hereinafter defined]) after the New Premises Commencement Date, Subtenant, at its election, may vacate the Original Premises and deliver possession thereof in the condition required herein, to Sublandlord on either (i) thirty (30) days’ prior written notice by Subtenant to Sublandlord, provided that Sublandlord has provided Subtenant with notice of reasonable evidence substantiating that Sublandlord has a signed sublease with a third party for the Original Premises, which signed sublease has been consented to by Prime Landlord (“</w:t>
      </w:r>
      <w:r>
        <w:rPr>
          <w:rFonts w:ascii="Times New Roman" w:cs="Times New Roman" w:eastAsia="Times New Roman" w:hAnsi="Times New Roman"/>
          <w:sz w:val="22"/>
          <w:szCs w:val="22"/>
          <w:b w:val="1"/>
          <w:bCs w:val="1"/>
          <w:u w:val="single" w:color="auto"/>
          <w:color w:val="auto"/>
        </w:rPr>
        <w:t>Another Sublease</w:t>
      </w:r>
      <w:r>
        <w:rPr>
          <w:rFonts w:ascii="Times New Roman" w:cs="Times New Roman" w:eastAsia="Times New Roman" w:hAnsi="Times New Roman"/>
          <w:sz w:val="22"/>
          <w:szCs w:val="22"/>
          <w:color w:val="auto"/>
        </w:rPr>
        <w:t>”), and such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shall be the Original Premises Termination Date, or (ii) one (1) business day’s prior written notice by Subtenant to Sublandlord, provided that Subtenant has not received such notice of Another Sublease, and such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business day shall be the Original Premises Termination Date.</w:t>
      </w:r>
    </w:p>
    <w:p>
      <w:pPr>
        <w:spacing w:after="0" w:line="187" w:lineRule="exact"/>
        <w:rPr>
          <w:sz w:val="20"/>
          <w:szCs w:val="20"/>
          <w:color w:val="auto"/>
        </w:rPr>
      </w:pPr>
    </w:p>
    <w:p>
      <w:pPr>
        <w:jc w:val="both"/>
        <w:ind w:firstLine="1505"/>
        <w:spacing w:after="0" w:line="235" w:lineRule="auto"/>
        <w:tabs>
          <w:tab w:leader="none" w:pos="20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Subsection (c) below, on or before the Original Premises Termination Date, Subtenant shall surrender and deliver vacant, broom clean possession of the Original Premises to Sublandlord in the condition required by the Original Sublease, as amended hereby. The Original Premises shall be delivered “as is” condition as of the date hereof, subject to reasonable wear and tear, casualty and condemnation, and damage for which Subtenant is not responsible. In furtherance thereof, and notwithstanding anything to the contrary contained in the Original Sublease, Sublandlord acknowledges, as of the Effective Date, that (1) none of the Alterations in the Original Premises constitute a Material Alteration or a Specialty Alteration, and Subtenant shall have no obligation to remove, demolish, repair, close or restore any Alterations in or about the Original Premises prior to the Original Premises Termination Date, other than Subtenant’s signage.</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Subtenant shall remove the furniture and equipment from the Original Premises as more particularly set forth on </w:t>
      </w:r>
      <w:r>
        <w:rPr>
          <w:rFonts w:ascii="Times New Roman" w:cs="Times New Roman" w:eastAsia="Times New Roman" w:hAnsi="Times New Roman"/>
          <w:sz w:val="22"/>
          <w:szCs w:val="22"/>
          <w:b w:val="1"/>
          <w:bCs w:val="1"/>
          <w:u w:val="single" w:color="auto"/>
          <w:color w:val="auto"/>
        </w:rPr>
        <w:t>Exhibit D-2</w:t>
      </w:r>
      <w:r>
        <w:rPr>
          <w:rFonts w:ascii="Times New Roman" w:cs="Times New Roman" w:eastAsia="Times New Roman" w:hAnsi="Times New Roman"/>
          <w:sz w:val="22"/>
          <w:szCs w:val="22"/>
          <w:color w:val="auto"/>
        </w:rPr>
        <w:t xml:space="preserve">, annexed hereto and made a part hereof (including without limitation, any furniture and equipment purchased by Subtenant with the Work Allowance or any other furniture and equipment owned by Subtenant), either moving same to the New Premises or otherwise disposing of same. Subtenant shall leave all other furniture and equipment in the Original Premises that are not listed on </w:t>
      </w:r>
      <w:r>
        <w:rPr>
          <w:rFonts w:ascii="Times New Roman" w:cs="Times New Roman" w:eastAsia="Times New Roman" w:hAnsi="Times New Roman"/>
          <w:sz w:val="22"/>
          <w:szCs w:val="22"/>
          <w:b w:val="1"/>
          <w:bCs w:val="1"/>
          <w:u w:val="single" w:color="auto"/>
          <w:color w:val="auto"/>
        </w:rPr>
        <w:t>Exhibit D-2</w:t>
      </w:r>
      <w:r>
        <w:rPr>
          <w:rFonts w:ascii="Times New Roman" w:cs="Times New Roman" w:eastAsia="Times New Roman" w:hAnsi="Times New Roman"/>
          <w:sz w:val="22"/>
          <w:szCs w:val="22"/>
          <w:color w:val="auto"/>
        </w:rPr>
        <w:t xml:space="preserve">. Notwithstanding anything contained in the Original Sublease to the contrary, Sublandlord shall retain ownership of the FF&amp;E not listed on </w:t>
      </w:r>
      <w:r>
        <w:rPr>
          <w:rFonts w:ascii="Times New Roman" w:cs="Times New Roman" w:eastAsia="Times New Roman" w:hAnsi="Times New Roman"/>
          <w:sz w:val="22"/>
          <w:szCs w:val="22"/>
          <w:b w:val="1"/>
          <w:bCs w:val="1"/>
          <w:u w:val="single" w:color="auto"/>
          <w:color w:val="auto"/>
        </w:rPr>
        <w:t>Exhibit D-2</w:t>
      </w:r>
      <w:r>
        <w:rPr>
          <w:rFonts w:ascii="Times New Roman" w:cs="Times New Roman" w:eastAsia="Times New Roman" w:hAnsi="Times New Roman"/>
          <w:sz w:val="22"/>
          <w:szCs w:val="22"/>
          <w:color w:val="auto"/>
        </w:rPr>
        <w:t>, which shall remain in the Original Premises, If Subtenant does not surrender and deliver possession of the Original Premises to Sublandlord in the condition required herein on the Original Premises Termination Date, Subtenant shall be in default of the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 xml:space="preserve">as amended by this Amendment. Furthermore, Subtenant shall be deemed to be a holdover, shall immediately pay Rent to Sublandlord for the Original Premises Free Rent Period and shall thereafter pay holdover Rent on the Original Premises to Sublandlord in accordance with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the Original Sublease until Subtenant delivers possession of the Original Premises to Sublandlord.</w:t>
      </w:r>
    </w:p>
    <w:p>
      <w:pPr>
        <w:spacing w:after="0" w:line="180" w:lineRule="exact"/>
        <w:rPr>
          <w:sz w:val="20"/>
          <w:szCs w:val="20"/>
          <w:color w:val="auto"/>
        </w:rPr>
      </w:pPr>
    </w:p>
    <w:p>
      <w:pPr>
        <w:jc w:val="both"/>
        <w:ind w:right="100" w:firstLine="1505"/>
        <w:spacing w:after="0" w:line="245" w:lineRule="auto"/>
        <w:tabs>
          <w:tab w:leader="none" w:pos="2036"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Subtenant delivers possession of the Original Premises in the condition required herein, Sublandlord shall accept the surrender of the Original Premises as of the Original Premises Termination Date and in consideration of such surrender by Subtenant and of the acceptance of such surrender by Sublandlord, Subtenant and Sublandlord do hereby mutually release each other, their respective successors and assigns of and from any and all claims, damages, obligations, liabilities, actions and causes of action, of every kind and nature whatsoever arising under or in connection with the Sublease in respect of the Original Premises from and after the Original Premises Termination Date, except that nothing herein contained shall be deemed to constitute a release or discharge of Sublandlord or Subtenant with respect to any obligation or liability (i) accrued or incurred under the Sublease in respect of the Original Premises and outstanding and unsatisfied on the Original Premises Termination Date, and (ii) to a third party (under the insurance and indemnification provisions of the Sublease or otherwise) arising prior to, on or after the Original Premises Termination Date in respect of the Original Premises as a result of an event occurring or condition existing prior to or on the Original Premises Termination Date.</w:t>
      </w:r>
    </w:p>
    <w:p>
      <w:pPr>
        <w:spacing w:after="0" w:line="177" w:lineRule="exact"/>
        <w:rPr>
          <w:rFonts w:ascii="Times New Roman" w:cs="Times New Roman" w:eastAsia="Times New Roman" w:hAnsi="Times New Roman"/>
          <w:sz w:val="21"/>
          <w:szCs w:val="21"/>
          <w:color w:val="auto"/>
        </w:rPr>
      </w:pPr>
    </w:p>
    <w:p>
      <w:pPr>
        <w:jc w:val="both"/>
        <w:ind w:right="100" w:firstLine="757"/>
        <w:spacing w:after="0" w:line="234" w:lineRule="auto"/>
        <w:tabs>
          <w:tab w:leader="none" w:pos="10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Sublease Provisions</w:t>
      </w:r>
      <w:r>
        <w:rPr>
          <w:rFonts w:ascii="Times New Roman" w:cs="Times New Roman" w:eastAsia="Times New Roman" w:hAnsi="Times New Roman"/>
          <w:sz w:val="22"/>
          <w:szCs w:val="22"/>
          <w:color w:val="auto"/>
        </w:rPr>
        <w:t xml:space="preserve">. Sublandlord and Subtenant acknowledge that Subtenant has performed only Decorative Alterations in the Original Premises. All terms and provisions of the Sublease with respect to Subtenant Work in the Original Premises are hereby deemed fulfilled, except with respect to the Work Allowance. All provisions regarding Initial Alterations, construction, and other similar provisions shall apply to Subtenant Work in the New Premises. The following Sections of the Original Sublease are deleted: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of the Original Sublease is replaced with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New Premises) attached to this Amendment.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of the Original Sublease is replaced with </w:t>
      </w:r>
      <w:r>
        <w:rPr>
          <w:rFonts w:ascii="Times New Roman" w:cs="Times New Roman" w:eastAsia="Times New Roman" w:hAnsi="Times New Roman"/>
          <w:sz w:val="22"/>
          <w:szCs w:val="22"/>
          <w:b w:val="1"/>
          <w:bCs w:val="1"/>
          <w:u w:val="single" w:color="auto"/>
          <w:color w:val="auto"/>
        </w:rPr>
        <w:t>Exhibit D (New Premises Sublandlord’s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Work)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to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D-1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Original Sublease is replaced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D-3 (FF&amp;E to be left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29</w:t>
      </w:r>
      <w:r>
        <w:rPr>
          <w:rFonts w:ascii="Times New Roman" w:cs="Times New Roman" w:eastAsia="Times New Roman" w:hAnsi="Times New Roman"/>
          <w:sz w:val="14"/>
          <w:szCs w:val="14"/>
          <w:b w:val="1"/>
          <w:bCs w:val="1"/>
          <w:u w:val="single" w:color="auto"/>
          <w:color w:val="auto"/>
        </w:rPr>
        <w:t>th</w:t>
      </w:r>
      <w:r>
        <w:rPr>
          <w:rFonts w:ascii="Times New Roman" w:cs="Times New Roman" w:eastAsia="Times New Roman" w:hAnsi="Times New Roman"/>
          <w:sz w:val="22"/>
          <w:szCs w:val="22"/>
          <w:b w:val="1"/>
          <w:bCs w:val="1"/>
          <w:color w:val="auto"/>
        </w:rPr>
        <w:t xml:space="preserve"> and 30</w:t>
      </w:r>
      <w:r>
        <w:rPr>
          <w:rFonts w:ascii="Times New Roman" w:cs="Times New Roman" w:eastAsia="Times New Roman" w:hAnsi="Times New Roman"/>
          <w:sz w:val="14"/>
          <w:szCs w:val="14"/>
          <w:b w:val="1"/>
          <w:bCs w:val="1"/>
          <w:u w:val="single" w:color="auto"/>
          <w:color w:val="auto"/>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floors)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to this Amendment. Number 14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Original Sublease is modified by adding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words “except for the fire stairs between the 29</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and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floors, which Subtenant shall have the right to use in accordance with the Original Lease”.</w:t>
      </w:r>
    </w:p>
    <w:p>
      <w:pPr>
        <w:spacing w:after="0" w:line="17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 Commencement Date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-614045</wp:posOffset>
            </wp:positionV>
            <wp:extent cx="4356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5610" cy="8255"/>
                    </a:xfrm>
                    <a:prstGeom prst="rect">
                      <a:avLst/>
                    </a:prstGeom>
                    <a:noFill/>
                  </pic:spPr>
                </pic:pic>
              </a:graphicData>
            </a:graphic>
          </wp:anchor>
        </w:drawing>
      </w:r>
    </w:p>
    <w:p>
      <w:pPr>
        <w:spacing w:after="0" w:line="186" w:lineRule="exact"/>
        <w:rPr>
          <w:sz w:val="20"/>
          <w:szCs w:val="20"/>
          <w:color w:val="auto"/>
        </w:rPr>
      </w:pPr>
    </w:p>
    <w:p>
      <w:pPr>
        <w:ind w:left="1500" w:right="160"/>
        <w:spacing w:after="0" w:line="258" w:lineRule="auto"/>
        <w:rPr>
          <w:sz w:val="20"/>
          <w:szCs w:val="20"/>
          <w:color w:val="auto"/>
        </w:rPr>
      </w:pPr>
      <w:r>
        <w:rPr>
          <w:rFonts w:ascii="Times New Roman" w:cs="Times New Roman" w:eastAsia="Times New Roman" w:hAnsi="Times New Roman"/>
          <w:sz w:val="22"/>
          <w:szCs w:val="22"/>
          <w:color w:val="auto"/>
        </w:rPr>
        <w:t>5.1. The Rent Commencement Date for the Replacement Floor shall be [*****] after the New Premises Commencement Date (the “</w:t>
      </w:r>
      <w:r>
        <w:rPr>
          <w:rFonts w:ascii="Times New Roman" w:cs="Times New Roman" w:eastAsia="Times New Roman" w:hAnsi="Times New Roman"/>
          <w:sz w:val="22"/>
          <w:szCs w:val="22"/>
          <w:b w:val="1"/>
          <w:bCs w:val="1"/>
          <w:color w:val="auto"/>
        </w:rPr>
        <w:t>RP Rent Commencement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22"/>
          <w:szCs w:val="22"/>
          <w:color w:val="auto"/>
        </w:rPr>
        <w:t>5.2. The Rent Commencement Date for the Incremental Floor shall be [*****] after the New Premis Commencement Date (the “</w:t>
      </w:r>
      <w:r>
        <w:rPr>
          <w:rFonts w:ascii="Times New Roman" w:cs="Times New Roman" w:eastAsia="Times New Roman" w:hAnsi="Times New Roman"/>
          <w:sz w:val="22"/>
          <w:szCs w:val="22"/>
          <w:b w:val="1"/>
          <w:bCs w:val="1"/>
          <w:color w:val="auto"/>
        </w:rPr>
        <w:t>IP Rent Commencement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00" w:firstLine="757"/>
        <w:spacing w:after="0" w:line="258" w:lineRule="auto"/>
        <w:tabs>
          <w:tab w:leader="none" w:pos="101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Effective as of the New Premises Commencement Date, the Term of the Sublease is hereby extended so that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shall be (unless sooner terminated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8" w:right="239" w:bottom="1440" w:gutter="0" w:footer="0" w:header="0"/>
        </w:sectPr>
      </w:pPr>
    </w:p>
    <w:bookmarkStart w:id="118" w:name="page119"/>
    <w:bookmarkEnd w:id="11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accordance with applicable Legal Requirements or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of the Original Sublease (as modified hereby) or extended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of the Original Sublease) on the day immediately preceding the 10th anniversary of the IP Rent Commencement Date if the IP Rent Commencement Date is the first day of the month or, if the IP Rent Commencement Date is not the first day of a month, then the Expiration Date will be the last day of the month in which the 10th anniversary of the IP Rent Commencement Date occurs.</w:t>
      </w:r>
    </w:p>
    <w:p>
      <w:pPr>
        <w:spacing w:after="0" w:line="177" w:lineRule="exact"/>
        <w:rPr>
          <w:sz w:val="20"/>
          <w:szCs w:val="20"/>
          <w:color w:val="auto"/>
        </w:rPr>
      </w:pPr>
    </w:p>
    <w:p>
      <w:pPr>
        <w:ind w:firstLine="757"/>
        <w:spacing w:after="0" w:line="258"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Fixed Rent</w:t>
      </w:r>
      <w:r>
        <w:rPr>
          <w:rFonts w:ascii="Times New Roman" w:cs="Times New Roman" w:eastAsia="Times New Roman" w:hAnsi="Times New Roman"/>
          <w:sz w:val="22"/>
          <w:szCs w:val="22"/>
          <w:color w:val="auto"/>
        </w:rPr>
        <w:t>. The Fixed Rent payable by Subtenant to Sublandlord for the New Premises during the Term shall be as set forth in the following schedule:</w:t>
      </w:r>
    </w:p>
    <w:p>
      <w:pPr>
        <w:spacing w:after="0" w:line="378"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Replacement Floor:</w:t>
            </w: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36"/>
        </w:trPr>
        <w:tc>
          <w:tcPr>
            <w:tcW w:w="172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w w:val="96"/>
              </w:rPr>
              <w:t>Period commencing</w:t>
            </w:r>
          </w:p>
        </w:tc>
        <w:tc>
          <w:tcPr>
            <w:tcW w:w="2920" w:type="dxa"/>
            <w:vAlign w:val="bottom"/>
          </w:tcPr>
          <w:p>
            <w:pPr>
              <w:ind w:left="80"/>
              <w:spacing w:after="0" w:line="236" w:lineRule="exact"/>
              <w:rPr>
                <w:sz w:val="20"/>
                <w:szCs w:val="20"/>
                <w:color w:val="auto"/>
              </w:rPr>
            </w:pPr>
            <w:r>
              <w:rPr>
                <w:rFonts w:ascii="Times New Roman" w:cs="Times New Roman" w:eastAsia="Times New Roman" w:hAnsi="Times New Roman"/>
                <w:sz w:val="22"/>
                <w:szCs w:val="22"/>
                <w:color w:val="auto"/>
              </w:rPr>
              <w:t>on RP Rent Commencement</w:t>
            </w:r>
          </w:p>
        </w:tc>
        <w:tc>
          <w:tcPr>
            <w:tcW w:w="2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43"/>
        </w:trPr>
        <w:tc>
          <w:tcPr>
            <w:tcW w:w="46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Date and ending on</w:t>
            </w: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12/6/2028</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$2,505,464.00 Annual</w:t>
            </w:r>
          </w:p>
        </w:tc>
        <w:tc>
          <w:tcPr>
            <w:tcW w:w="27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$208,788.66 Monthly</w:t>
            </w:r>
          </w:p>
        </w:tc>
      </w:tr>
      <w:tr>
        <w:trPr>
          <w:trHeight w:val="447"/>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Period commencing on 12/7/2028 and ending on the</w:t>
            </w:r>
          </w:p>
        </w:tc>
        <w:tc>
          <w:tcPr>
            <w:tcW w:w="2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$2,746,374.00 Annual</w:t>
            </w:r>
          </w:p>
        </w:tc>
        <w:tc>
          <w:tcPr>
            <w:tcW w:w="27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$228,864.50 Monthly</w:t>
            </w:r>
          </w:p>
        </w:tc>
      </w:tr>
      <w:tr>
        <w:trPr>
          <w:trHeight w:val="282"/>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Expiration Date</w:t>
            </w: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3"/>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Incremental Floor:</w:t>
            </w: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6"/>
        </w:trPr>
        <w:tc>
          <w:tcPr>
            <w:tcW w:w="16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w w:val="90"/>
              </w:rPr>
              <w:t>Period commencing</w:t>
            </w:r>
          </w:p>
        </w:tc>
        <w:tc>
          <w:tcPr>
            <w:tcW w:w="3020" w:type="dxa"/>
            <w:vAlign w:val="bottom"/>
            <w:gridSpan w:val="2"/>
          </w:tcPr>
          <w:p>
            <w:pPr>
              <w:ind w:left="180"/>
              <w:spacing w:after="0" w:line="236" w:lineRule="exact"/>
              <w:rPr>
                <w:sz w:val="20"/>
                <w:szCs w:val="20"/>
                <w:color w:val="auto"/>
              </w:rPr>
            </w:pPr>
            <w:r>
              <w:rPr>
                <w:rFonts w:ascii="Times New Roman" w:cs="Times New Roman" w:eastAsia="Times New Roman" w:hAnsi="Times New Roman"/>
                <w:sz w:val="22"/>
                <w:szCs w:val="22"/>
                <w:color w:val="auto"/>
              </w:rPr>
              <w:t>on IP Rent Commencement</w:t>
            </w:r>
          </w:p>
        </w:tc>
        <w:tc>
          <w:tcPr>
            <w:tcW w:w="2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43"/>
        </w:trPr>
        <w:tc>
          <w:tcPr>
            <w:tcW w:w="46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Date and ending on the day immediately preceding</w:t>
            </w:r>
          </w:p>
        </w:tc>
        <w:tc>
          <w:tcPr>
            <w:tcW w:w="2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$2,285,272.50 Annual</w:t>
            </w:r>
          </w:p>
        </w:tc>
        <w:tc>
          <w:tcPr>
            <w:tcW w:w="27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w w:val="97"/>
              </w:rPr>
              <w:t>$190,439.37 per month</w:t>
            </w:r>
          </w:p>
        </w:tc>
      </w:tr>
      <w:tr>
        <w:trPr>
          <w:trHeight w:val="243"/>
        </w:trPr>
        <w:tc>
          <w:tcPr>
            <w:tcW w:w="46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the fifth (5th) anniversary of the IP Rent</w:t>
            </w: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82"/>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Commencement Date</w:t>
            </w: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47"/>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Period commencing on the fifth (5th) anniversary of</w:t>
            </w:r>
          </w:p>
        </w:tc>
        <w:tc>
          <w:tcPr>
            <w:tcW w:w="2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$2,525,827.50 Annual</w:t>
            </w:r>
          </w:p>
        </w:tc>
        <w:tc>
          <w:tcPr>
            <w:tcW w:w="27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$210,485.62 per month</w:t>
            </w:r>
          </w:p>
        </w:tc>
      </w:tr>
      <w:tr>
        <w:trPr>
          <w:trHeight w:val="243"/>
        </w:trPr>
        <w:tc>
          <w:tcPr>
            <w:tcW w:w="46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the IP Rent Commencement Date and ending on the</w:t>
            </w: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82"/>
        </w:trPr>
        <w:tc>
          <w:tcPr>
            <w:tcW w:w="4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Expiration Date</w:t>
            </w: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2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Sublandlord and Subtenant acknowledge that pursuant to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 xml:space="preserve"> of the Original Sublease, Fixed Rent is reduced by $69,333.33 (“</w:t>
      </w:r>
      <w:r>
        <w:rPr>
          <w:rFonts w:ascii="Times New Roman" w:cs="Times New Roman" w:eastAsia="Times New Roman" w:hAnsi="Times New Roman"/>
          <w:sz w:val="22"/>
          <w:szCs w:val="22"/>
          <w:b w:val="1"/>
          <w:bCs w:val="1"/>
          <w:color w:val="auto"/>
        </w:rPr>
        <w:t>Monthly Rent Reduction</w:t>
      </w:r>
      <w:r>
        <w:rPr>
          <w:rFonts w:ascii="Times New Roman" w:cs="Times New Roman" w:eastAsia="Times New Roman" w:hAnsi="Times New Roman"/>
          <w:sz w:val="22"/>
          <w:szCs w:val="22"/>
          <w:color w:val="auto"/>
        </w:rPr>
        <w:t>”) per month through February 6, 2025 (the “</w:t>
      </w:r>
      <w:r>
        <w:rPr>
          <w:rFonts w:ascii="Times New Roman" w:cs="Times New Roman" w:eastAsia="Times New Roman" w:hAnsi="Times New Roman"/>
          <w:sz w:val="22"/>
          <w:szCs w:val="22"/>
          <w:b w:val="1"/>
          <w:bCs w:val="1"/>
          <w:color w:val="auto"/>
        </w:rPr>
        <w:t>Rent Reduction End Date</w:t>
      </w:r>
      <w:r>
        <w:rPr>
          <w:rFonts w:ascii="Times New Roman" w:cs="Times New Roman" w:eastAsia="Times New Roman" w:hAnsi="Times New Roman"/>
          <w:sz w:val="22"/>
          <w:szCs w:val="22"/>
          <w:color w:val="auto"/>
        </w:rPr>
        <w:t xml:space="preserve">”). Provided Subtenant is not then in material monetary or material non-monetary default beyond any applicable notice and cure periods under the Sublease, as amended (and if such a default exists, then as soon as such default is cured), and otherwise complies with the requirements set forth in such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 xml:space="preserve"> for obtaining the above reduction, Fixed Rent for the Replacement Floor shall be reduced each month by the amount of the Monthly Rent Reduction until the Rent Reduction End Date. The last full sentence of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 xml:space="preserve"> of the Original Sublease is deleted and replaced with the following sentence: “If Subtenant does not exercise the Termination Option (as hereinafter defined), then, provided that (i) Subtenant is not then in material monetary or material non-monetary default beyond any applicable notice and cure periods under this Sublease (and if such a default exists, then as soon as such default is cured), and (ii) this Sublease is in full force and effect, and (iii) Subtenant is Axsome Therapeutics, Inc., or its successors or assigns then Subtenant shall be entitled to an abatement of the then Fixed Rent with respect to the Replacement Floor for a two month period commencing on the first full month after the 6th anniversary of the RP Rent Commencement Date.” Sublandlord and Subtenant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ind w:right="100"/>
        <w:spacing w:after="0" w:line="258" w:lineRule="auto"/>
        <w:rPr>
          <w:sz w:val="20"/>
          <w:szCs w:val="20"/>
          <w:color w:val="auto"/>
        </w:rPr>
      </w:pPr>
      <w:r>
        <w:rPr>
          <w:rFonts w:ascii="Times New Roman" w:cs="Times New Roman" w:eastAsia="Times New Roman" w:hAnsi="Times New Roman"/>
          <w:sz w:val="22"/>
          <w:szCs w:val="22"/>
          <w:color w:val="auto"/>
        </w:rPr>
        <w:t>acknowledge that the term “material monetary default” as used in this Amendment shall mean a default by Subtenant in an amount equal to or greater than one (1) monthly installment of Fixed Rent for the Incremental Floor.</w:t>
      </w:r>
    </w:p>
    <w:p>
      <w:pPr>
        <w:spacing w:after="0" w:line="158" w:lineRule="exact"/>
        <w:rPr>
          <w:sz w:val="20"/>
          <w:szCs w:val="20"/>
          <w:color w:val="auto"/>
        </w:rPr>
      </w:pPr>
    </w:p>
    <w:p>
      <w:pPr>
        <w:jc w:val="both"/>
        <w:ind w:right="100" w:firstLine="757"/>
        <w:spacing w:after="0" w:line="233" w:lineRule="auto"/>
        <w:tabs>
          <w:tab w:leader="none" w:pos="10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xml:space="preserve">. Effective as of the New Premises Commencement Date, except as specifically set forth herein, Subtenant shall pay Additional Rent as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the Original Sublease. The PILOT Base Year for the Replacement Floor shall be as set forth in the Sublease. The PILOT Base Year for the Incremental Floor shall be the average of 2024/2025 and 2025/2026 fiscal years, provided that no Additional Rent under Original Sublease </w:t>
      </w:r>
      <w:r>
        <w:rPr>
          <w:rFonts w:ascii="Times New Roman" w:cs="Times New Roman" w:eastAsia="Times New Roman" w:hAnsi="Times New Roman"/>
          <w:sz w:val="22"/>
          <w:szCs w:val="22"/>
          <w:u w:val="single" w:color="auto"/>
          <w:color w:val="auto"/>
        </w:rPr>
        <w:t>Section 3(a)(1)</w:t>
      </w:r>
      <w:r>
        <w:rPr>
          <w:rFonts w:ascii="Times New Roman" w:cs="Times New Roman" w:eastAsia="Times New Roman" w:hAnsi="Times New Roman"/>
          <w:sz w:val="22"/>
          <w:szCs w:val="22"/>
          <w:color w:val="auto"/>
        </w:rPr>
        <w:t xml:space="preserve">, as amended hereby, shall be due and payable by Subtenant with respect to the Incremental Floor until (and for the period prior to) the later of January 1, 2026 or the IP Rent Commencement Date. The Sublease Operating Expense Base Year for the Replacement Floor shall be as set forth in the Sublease. The Sublease Operating Expense Base Year for the Incremental Floor shall be the 2025 calendar year, provided that no Additional Rent under Original Sublease </w:t>
      </w:r>
      <w:r>
        <w:rPr>
          <w:rFonts w:ascii="Times New Roman" w:cs="Times New Roman" w:eastAsia="Times New Roman" w:hAnsi="Times New Roman"/>
          <w:sz w:val="22"/>
          <w:szCs w:val="22"/>
          <w:u w:val="single" w:color="auto"/>
          <w:color w:val="auto"/>
        </w:rPr>
        <w:t>Section 3(a)(2)</w:t>
      </w:r>
      <w:r>
        <w:rPr>
          <w:rFonts w:ascii="Times New Roman" w:cs="Times New Roman" w:eastAsia="Times New Roman" w:hAnsi="Times New Roman"/>
          <w:sz w:val="22"/>
          <w:szCs w:val="22"/>
          <w:color w:val="auto"/>
        </w:rPr>
        <w:t xml:space="preserve">, as modified hereby, shall be due and payable by Subtenant for the Incremental Floor until (and for the period prior to) the later of January 1, 2026 or the IP Rent Commencement Date. The Sublease CAM Base Year for the Replacement Floor shall be as set forth in the Sublease. The Sublease CAM Base Year for the Incremental Floor shall be the 2025 calendar year, provided that no Additional Rent under Original Sublease </w:t>
      </w:r>
      <w:r>
        <w:rPr>
          <w:rFonts w:ascii="Times New Roman" w:cs="Times New Roman" w:eastAsia="Times New Roman" w:hAnsi="Times New Roman"/>
          <w:sz w:val="22"/>
          <w:szCs w:val="22"/>
          <w:u w:val="single" w:color="auto"/>
          <w:color w:val="auto"/>
        </w:rPr>
        <w:t>Section 3(a)(3)</w:t>
      </w:r>
      <w:r>
        <w:rPr>
          <w:rFonts w:ascii="Times New Roman" w:cs="Times New Roman" w:eastAsia="Times New Roman" w:hAnsi="Times New Roman"/>
          <w:sz w:val="22"/>
          <w:szCs w:val="22"/>
          <w:color w:val="auto"/>
        </w:rPr>
        <w:t>, as modified hereby, shall be due and payable by Subtenant for the Incremental Floor until (and for the period prior to) the later of January 1, 2026 or the IP Rent Commencement Date.</w:t>
      </w:r>
    </w:p>
    <w:p>
      <w:pPr>
        <w:spacing w:after="0" w:line="182" w:lineRule="exact"/>
        <w:rPr>
          <w:rFonts w:ascii="Times New Roman" w:cs="Times New Roman" w:eastAsia="Times New Roman" w:hAnsi="Times New Roman"/>
          <w:sz w:val="22"/>
          <w:szCs w:val="22"/>
          <w:color w:val="auto"/>
        </w:rPr>
      </w:pPr>
    </w:p>
    <w:p>
      <w:pPr>
        <w:jc w:val="both"/>
        <w:ind w:right="100" w:firstLine="1505"/>
        <w:spacing w:after="0" w:line="239" w:lineRule="auto"/>
        <w:tabs>
          <w:tab w:leader="none" w:pos="203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Original Sublease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is hereby modified to provide that as of the New Premises Commencement Date, Subtenant’s Share with respect to the (i) Replacement Floor is 4.03% (based on the rentable square feet in the Replacement Floor being deemed to be 48,182) and (ii) Incremental Floor is 4.0241% (based on the rentable square feet in the Incremental Floor being deemed to be 48,111).</w:t>
      </w:r>
    </w:p>
    <w:p>
      <w:pPr>
        <w:spacing w:after="0" w:line="180" w:lineRule="exact"/>
        <w:rPr>
          <w:rFonts w:ascii="Times New Roman" w:cs="Times New Roman" w:eastAsia="Times New Roman" w:hAnsi="Times New Roman"/>
          <w:sz w:val="22"/>
          <w:szCs w:val="22"/>
          <w:color w:val="auto"/>
        </w:rPr>
      </w:pPr>
    </w:p>
    <w:p>
      <w:pPr>
        <w:jc w:val="both"/>
        <w:ind w:right="100" w:firstLine="1505"/>
        <w:spacing w:after="0" w:line="239" w:lineRule="auto"/>
        <w:tabs>
          <w:tab w:leader="none" w:pos="203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Original Sublease </w:t>
      </w:r>
      <w:r>
        <w:rPr>
          <w:rFonts w:ascii="Times New Roman" w:cs="Times New Roman" w:eastAsia="Times New Roman" w:hAnsi="Times New Roman"/>
          <w:sz w:val="22"/>
          <w:szCs w:val="22"/>
          <w:u w:val="single" w:color="auto"/>
          <w:color w:val="auto"/>
        </w:rPr>
        <w:t>Section 3(a)(4)</w:t>
      </w:r>
      <w:r>
        <w:rPr>
          <w:rFonts w:ascii="Times New Roman" w:cs="Times New Roman" w:eastAsia="Times New Roman" w:hAnsi="Times New Roman"/>
          <w:sz w:val="22"/>
          <w:szCs w:val="22"/>
          <w:color w:val="auto"/>
        </w:rPr>
        <w:t xml:space="preserve"> is hereby modified to provide that prior to the New Premises Commencement Date, a submeter has or will be installed by Sublandlord (at no additional cost to Subtenant) to separately submeter each floor of the New Premises, which submeters shall exclusively measure the consumption of electricity on each floor of the New Premises.</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9. </w:t>
      </w:r>
      <w:r>
        <w:rPr>
          <w:rFonts w:ascii="Times New Roman" w:cs="Times New Roman" w:eastAsia="Times New Roman" w:hAnsi="Times New Roman"/>
          <w:sz w:val="22"/>
          <w:szCs w:val="22"/>
          <w:u w:val="single" w:color="auto"/>
          <w:color w:val="auto"/>
        </w:rPr>
        <w:t>Subtenant Work and Allowance for the New Premises</w:t>
      </w:r>
      <w:r>
        <w:rPr>
          <w:rFonts w:ascii="Times New Roman" w:cs="Times New Roman" w:eastAsia="Times New Roman" w:hAnsi="Times New Roman"/>
          <w:sz w:val="22"/>
          <w:szCs w:val="22"/>
          <w:color w:val="auto"/>
        </w:rPr>
        <w:t xml:space="preserve">. (a) Sublandlord and Subtenant acknowledge that the Wo Allowance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of the Original Sublease is with respect to the Original Premises and has been paid or a credit is being provided as set forth below. In addition, Sublandlord shall reimburse Subtenant the cost of Subtenant Work in the New Premises at [*****] per rentable square foot for the Incremental Floor in an amount equal to [*****] (the “</w:t>
      </w:r>
      <w:r>
        <w:rPr>
          <w:rFonts w:ascii="Times New Roman" w:cs="Times New Roman" w:eastAsia="Times New Roman" w:hAnsi="Times New Roman"/>
          <w:sz w:val="22"/>
          <w:szCs w:val="22"/>
          <w:b w:val="1"/>
          <w:bCs w:val="1"/>
          <w:color w:val="auto"/>
        </w:rPr>
        <w:t>IP Work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Allowance</w:t>
      </w:r>
      <w:r>
        <w:rPr>
          <w:rFonts w:ascii="Times New Roman" w:cs="Times New Roman" w:eastAsia="Times New Roman" w:hAnsi="Times New Roman"/>
          <w:sz w:val="22"/>
          <w:szCs w:val="22"/>
          <w:color w:val="auto"/>
        </w:rPr>
        <w:t>”) in accordance with the terms and conditions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Original Sublease, as modified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Furthermore, Subtenant shall have the right to request from Sublandlord the balance of its unused amount of the Work Allowance (originally with respect to the Original Premises) as set forth in such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the Original Sublease in the amount of [*****] as of the date hereof in connection with Subtenant Work in the New Premises (the “</w:t>
      </w:r>
      <w:r>
        <w:rPr>
          <w:rFonts w:ascii="Times New Roman" w:cs="Times New Roman" w:eastAsia="Times New Roman" w:hAnsi="Times New Roman"/>
          <w:sz w:val="22"/>
          <w:szCs w:val="22"/>
          <w:b w:val="1"/>
          <w:bCs w:val="1"/>
          <w:color w:val="auto"/>
        </w:rPr>
        <w:t>Original Premises Work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Allowance Balance</w:t>
      </w:r>
      <w:r>
        <w:rPr>
          <w:rFonts w:ascii="Times New Roman" w:cs="Times New Roman" w:eastAsia="Times New Roman" w:hAnsi="Times New Roman"/>
          <w:sz w:val="22"/>
          <w:szCs w:val="22"/>
          <w:color w:val="auto"/>
        </w:rPr>
        <w:t>”; together with the IP Work Allowance, the “</w:t>
      </w:r>
      <w:r>
        <w:rPr>
          <w:rFonts w:ascii="Times New Roman" w:cs="Times New Roman" w:eastAsia="Times New Roman" w:hAnsi="Times New Roman"/>
          <w:sz w:val="22"/>
          <w:szCs w:val="22"/>
          <w:b w:val="1"/>
          <w:bCs w:val="1"/>
          <w:color w:val="auto"/>
        </w:rPr>
        <w:t>Work Allowance</w:t>
      </w:r>
      <w:r>
        <w:rPr>
          <w:rFonts w:ascii="Times New Roman" w:cs="Times New Roman" w:eastAsia="Times New Roman" w:hAnsi="Times New Roman"/>
          <w:sz w:val="22"/>
          <w:szCs w:val="22"/>
          <w:color w:val="auto"/>
        </w:rPr>
        <w:t>”). The Work Allowance shall be accessible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accordance the terms and conditions of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the Original Sublease, as modified hereby, and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avoidance of doubt, the Work Allowance can be applied by Subtenant to either and/or both floors of the New Premises.</w:t>
      </w:r>
    </w:p>
    <w:p>
      <w:pPr>
        <w:spacing w:after="0" w:line="206" w:lineRule="exact"/>
        <w:rPr>
          <w:sz w:val="20"/>
          <w:szCs w:val="20"/>
          <w:color w:val="auto"/>
        </w:rPr>
      </w:pPr>
    </w:p>
    <w:p>
      <w:pPr>
        <w:ind w:left="2040" w:hanging="535"/>
        <w:spacing w:after="0"/>
        <w:tabs>
          <w:tab w:leader="none" w:pos="20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the Original Sublease is modified as follows:</w:t>
      </w:r>
    </w:p>
    <w:p>
      <w:pPr>
        <w:spacing w:after="0" w:line="206" w:lineRule="exact"/>
        <w:rPr>
          <w:sz w:val="20"/>
          <w:szCs w:val="20"/>
          <w:color w:val="auto"/>
        </w:rPr>
      </w:pPr>
    </w:p>
    <w:p>
      <w:pPr>
        <w:ind w:left="2040" w:hanging="535"/>
        <w:spacing w:after="0"/>
        <w:tabs>
          <w:tab w:leader="none" w:pos="20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is replaced with [*****]”;</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clause (b)(4)</w:t>
      </w:r>
      <w:r>
        <w:rPr>
          <w:rFonts w:ascii="Times New Roman" w:cs="Times New Roman" w:eastAsia="Times New Roman" w:hAnsi="Times New Roman"/>
          <w:sz w:val="21"/>
          <w:szCs w:val="21"/>
          <w:color w:val="auto"/>
        </w:rPr>
        <w:t xml:space="preserve"> shall be deleted and replaced with the following: “All requests for disbursement under clause</w:t>
      </w:r>
    </w:p>
    <w:p>
      <w:pPr>
        <w:spacing w:after="0" w:line="25" w:lineRule="exact"/>
        <w:rPr>
          <w:rFonts w:ascii="Times New Roman" w:cs="Times New Roman" w:eastAsia="Times New Roman" w:hAnsi="Times New Roman"/>
          <w:sz w:val="21"/>
          <w:szCs w:val="21"/>
          <w:color w:val="auto"/>
        </w:rPr>
      </w:pPr>
    </w:p>
    <w:p>
      <w:pPr>
        <w:ind w:left="760" w:hanging="3"/>
        <w:spacing w:after="0" w:line="237" w:lineRule="auto"/>
        <w:tabs>
          <w:tab w:leader="none" w:pos="111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must be submitted by Subtenant to Sublandlord no later than the second (2nd) anniversary of the New Premises Commencement Date.”;</w:t>
      </w:r>
    </w:p>
    <w:p>
      <w:pPr>
        <w:spacing w:after="0" w:line="174"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shall be deleted and replaced with the following: ““</w:t>
      </w:r>
      <w:r>
        <w:rPr>
          <w:rFonts w:ascii="Times New Roman" w:cs="Times New Roman" w:eastAsia="Times New Roman" w:hAnsi="Times New Roman"/>
          <w:sz w:val="22"/>
          <w:szCs w:val="22"/>
          <w:b w:val="1"/>
          <w:bCs w:val="1"/>
          <w:color w:val="auto"/>
        </w:rPr>
        <w:t>Subtenant Work</w:t>
      </w:r>
      <w:r>
        <w:rPr>
          <w:rFonts w:ascii="Times New Roman" w:cs="Times New Roman" w:eastAsia="Times New Roman" w:hAnsi="Times New Roman"/>
          <w:sz w:val="22"/>
          <w:szCs w:val="22"/>
          <w:color w:val="auto"/>
        </w:rPr>
        <w:t>” means the installation of alterations, fixtures, improvements and appurtenances attached to or built into the New Premises by Subtenant, or otherwise located by Subtenant in the New Premises, for Subtenant’s use and/or occupancy or otherwise and the “soft costs” of construction incurred by Subtenant to perform such work (including, without limitation, filing and permit fees and expenses, architecture, engineering and other consulting fees and expenses and moving expenses, and expenses in connection with signage, graphics, furniture, audio visual, data and telecommunications wiring, and other office equipment); provided, that in no event shall more than [*****] of the Work Allowance be made available to Subtenant in respect of such soft costs.”;</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204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shall be deleted and replaced with the following: “</w:t>
      </w:r>
      <w:r>
        <w:rPr>
          <w:rFonts w:ascii="Times New Roman" w:cs="Times New Roman" w:eastAsia="Times New Roman" w:hAnsi="Times New Roman"/>
          <w:sz w:val="22"/>
          <w:szCs w:val="22"/>
          <w:i w:val="1"/>
          <w:iCs w:val="1"/>
          <w:color w:val="auto"/>
        </w:rPr>
        <w:t>Unused Amount</w:t>
      </w:r>
      <w:r>
        <w:rPr>
          <w:rFonts w:ascii="Times New Roman" w:cs="Times New Roman" w:eastAsia="Times New Roman" w:hAnsi="Times New Roman"/>
          <w:sz w:val="22"/>
          <w:szCs w:val="22"/>
          <w:color w:val="auto"/>
        </w:rPr>
        <w:t>. If (x) Subtenant has not requested and/or received all of the Work Allowance by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anniversary of the New Premises Commencement Date (the amount of the Work Allowance not received by Subtenant, the “</w:t>
      </w:r>
      <w:r>
        <w:rPr>
          <w:rFonts w:ascii="Times New Roman" w:cs="Times New Roman" w:eastAsia="Times New Roman" w:hAnsi="Times New Roman"/>
          <w:sz w:val="22"/>
          <w:szCs w:val="22"/>
          <w:b w:val="1"/>
          <w:bCs w:val="1"/>
          <w:color w:val="auto"/>
        </w:rPr>
        <w:t>Unused Amount</w:t>
      </w:r>
      <w:r>
        <w:rPr>
          <w:rFonts w:ascii="Times New Roman" w:cs="Times New Roman" w:eastAsia="Times New Roman" w:hAnsi="Times New Roman"/>
          <w:sz w:val="22"/>
          <w:szCs w:val="22"/>
          <w:color w:val="auto"/>
        </w:rPr>
        <w:t>”), or (y) prior to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anniversary of the New Premises Commencement Date, Subtenant elects by notice to Sublandlord to convert the Unused Amount to a Fixed Rent credit, the Unused Amount, provided that Subtenant is not then in material monetary default or material non-monetary default beyond any applicable notice and cure period under this Sublease (and if such a default exists, then as soon as such default is cured), will be provided by Sublandlord to Subtenant as a rent credit in an amount equal to the Unused Amount, to be applied as a rent credit against the monthly Fixed Rent due beginning on the RP Rent Commencement Date and continuing on a monthly basis until the Unused Amount is zero; provided, however, if the Subtenant has been in material monetary or material non-monetary default of this Sublease after the expiration of any notice and cure period more than one (1) time in any year of the Term and more than a total of two (2) times during the period when the rent credit for the Unused Amount is being provided, then any rent credit for the Unused Amount shall be null and void.”; and</w:t>
      </w:r>
    </w:p>
    <w:p>
      <w:pPr>
        <w:spacing w:after="0" w:line="18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last sentence of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shall be deleted and replaced with: “Notwithstanding anything to the contrary contained herein, Subtenant shall have no obligation to remove any Alterations or other improvements existing in the New Premises on the New Premises Commencement Date.”.</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new </w:t>
      </w:r>
      <w:r>
        <w:rPr>
          <w:rFonts w:ascii="Times New Roman" w:cs="Times New Roman" w:eastAsia="Times New Roman" w:hAnsi="Times New Roman"/>
          <w:sz w:val="22"/>
          <w:szCs w:val="22"/>
          <w:u w:val="single" w:color="auto"/>
          <w:color w:val="auto"/>
        </w:rPr>
        <w:t>Section 21(j)</w:t>
      </w:r>
      <w:r>
        <w:rPr>
          <w:rFonts w:ascii="Times New Roman" w:cs="Times New Roman" w:eastAsia="Times New Roman" w:hAnsi="Times New Roman"/>
          <w:sz w:val="22"/>
          <w:szCs w:val="22"/>
          <w:color w:val="auto"/>
        </w:rPr>
        <w:t xml:space="preserve"> shall be added as follows: “Subject to compliance with the terms and provisions of the Sublease and this Amendment, Subtenant may 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1" w:name="page122"/>
    <w:bookmarkEnd w:id="121"/>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Subtenant Work described in </w:t>
      </w:r>
      <w:r>
        <w:rPr>
          <w:rFonts w:ascii="Times New Roman" w:cs="Times New Roman" w:eastAsia="Times New Roman" w:hAnsi="Times New Roman"/>
          <w:sz w:val="21"/>
          <w:szCs w:val="21"/>
          <w:b w:val="1"/>
          <w:bCs w:val="1"/>
          <w:u w:val="single" w:color="auto"/>
          <w:color w:val="auto"/>
        </w:rPr>
        <w:t>Exhibit E</w:t>
      </w:r>
      <w:r>
        <w:rPr>
          <w:rFonts w:ascii="Times New Roman" w:cs="Times New Roman" w:eastAsia="Times New Roman" w:hAnsi="Times New Roman"/>
          <w:sz w:val="21"/>
          <w:szCs w:val="21"/>
          <w:color w:val="auto"/>
        </w:rPr>
        <w:t xml:space="preserve"> annexed hereto (sometimes called the “</w:t>
      </w:r>
      <w:r>
        <w:rPr>
          <w:rFonts w:ascii="Times New Roman" w:cs="Times New Roman" w:eastAsia="Times New Roman" w:hAnsi="Times New Roman"/>
          <w:sz w:val="21"/>
          <w:szCs w:val="21"/>
          <w:b w:val="1"/>
          <w:bCs w:val="1"/>
          <w:color w:val="auto"/>
        </w:rPr>
        <w:t>New Premises Subtenant Work</w:t>
      </w:r>
      <w:r>
        <w:rPr>
          <w:rFonts w:ascii="Times New Roman" w:cs="Times New Roman" w:eastAsia="Times New Roman" w:hAnsi="Times New Roman"/>
          <w:sz w:val="21"/>
          <w:szCs w:val="21"/>
          <w:color w:val="auto"/>
        </w:rPr>
        <w:t xml:space="preserve">”). Sublandlord consents to the concept of the New Premises Subtenant Work described in </w:t>
      </w:r>
      <w:r>
        <w:rPr>
          <w:rFonts w:ascii="Times New Roman" w:cs="Times New Roman" w:eastAsia="Times New Roman" w:hAnsi="Times New Roman"/>
          <w:sz w:val="21"/>
          <w:szCs w:val="21"/>
          <w:b w:val="1"/>
          <w:bCs w:val="1"/>
          <w:u w:val="single" w:color="auto"/>
          <w:color w:val="auto"/>
        </w:rPr>
        <w:t>Exhibit E</w:t>
      </w:r>
      <w:r>
        <w:rPr>
          <w:rFonts w:ascii="Times New Roman" w:cs="Times New Roman" w:eastAsia="Times New Roman" w:hAnsi="Times New Roman"/>
          <w:sz w:val="21"/>
          <w:szCs w:val="21"/>
          <w:color w:val="auto"/>
        </w:rPr>
        <w:t xml:space="preserve">, has approved Subtenant’s “test fit” as shown on </w:t>
      </w:r>
      <w:r>
        <w:rPr>
          <w:rFonts w:ascii="Times New Roman" w:cs="Times New Roman" w:eastAsia="Times New Roman" w:hAnsi="Times New Roman"/>
          <w:sz w:val="21"/>
          <w:szCs w:val="21"/>
          <w:b w:val="1"/>
          <w:bCs w:val="1"/>
          <w:u w:val="single" w:color="auto"/>
          <w:color w:val="auto"/>
        </w:rPr>
        <w:t>Exhibit E</w:t>
      </w:r>
      <w:r>
        <w:rPr>
          <w:rFonts w:ascii="Times New Roman" w:cs="Times New Roman" w:eastAsia="Times New Roman" w:hAnsi="Times New Roman"/>
          <w:sz w:val="21"/>
          <w:szCs w:val="21"/>
          <w:color w:val="auto"/>
        </w:rPr>
        <w:t xml:space="preserve">, and agrees that Sublandlord shall not require Subtenant to remove, demolish, repair, close or restore any New Premises Subtenant Work prior to the expiration of the Term, other than Subtenant’s signage. Sublandlord’s consent to the actual work to be done is subject to its review of plans and specifications of the work to be performed in accordance with the terms and provisions of the Lease and this Sublease. As part of Landlord’s Consent, Sublandlord shall, in accordance with the terms and provisions of the Lease, at no cost to Sublandlord, use commercially reasonable efforts to seek Prime Landlord’s consent to New Premises Subtenant Work, if required under the Lease. As part of seeking Prime Landlord’s consent to the New Premises Subtenant Work, Sublandlord shall also ask Prime Landlord for an acknowledgement either that (i) that none of the New Premises Subtenant Work constitutes a Material Alteration or a Specialty Alteration or (ii) some of the New Premises Subtenant Work constitutes a Material Alteration or Specialty Alteration, and in such event, either that (a) Prime Landlord consents to the performance thereof and whether Subtenant shall be required to remove same in accordance with the terms and provisions of the Lease or (b) Prime Landlord does not consent to those portions of the New Premises Subtenant Work that are either Material Alterations or Specialty Alterations. If either Prime Landlord does not consent to Material Alterations or Specialty Alterations or requires the removal of Specialty Alterations, and Subtenant elects to revise its plans for the performance of New Premises Subtenant Work, provided Subtenant is diligent in its performance of the New Premises Subtenant Work and uses commercially reasonable efforts to perform same, if Subtenant is delayed in completing the New Premises Subtenant Work due to (x) Prime Landlord’s delay in delivering its consent to the New Premises Subtenant Work, (y) Prime Landlord’s determination that the New Premises Subtenant Work includes Material Alterations and/or Specialty Alterations, and/or (y) Prime Landlord’s non-consent to the plans for the New Premises Subtenant Work, so that Subtenant does not complete the New Premises Subtenant Work and vacate the Original Premises within four (4) months of the New Premises Commencement Date, subject to Force Majeure (the Original Premises Termination Date), then, notwithstanding anything to the contrary contained herein, Subtenant shall not be required to pay holdover rent as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above for the amount of time that Prime Landlord’s actions delayed Subtenant in completing the New Premises Subtenant Work (such amount of time, the “</w:t>
      </w:r>
      <w:r>
        <w:rPr>
          <w:rFonts w:ascii="Times New Roman" w:cs="Times New Roman" w:eastAsia="Times New Roman" w:hAnsi="Times New Roman"/>
          <w:sz w:val="21"/>
          <w:szCs w:val="21"/>
          <w:b w:val="1"/>
          <w:bCs w:val="1"/>
          <w:color w:val="auto"/>
        </w:rPr>
        <w:t>Prime Landlord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Delay</w:t>
      </w:r>
      <w:r>
        <w:rPr>
          <w:rFonts w:ascii="Times New Roman" w:cs="Times New Roman" w:eastAsia="Times New Roman" w:hAnsi="Times New Roman"/>
          <w:sz w:val="21"/>
          <w:szCs w:val="21"/>
          <w:color w:val="auto"/>
        </w:rPr>
        <w:t>”) and the Original Premises Termination Date shall be extended by such period of Prime Landlord Delay;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provided however that maximum amount of time for the delay in Subtenant paying holdover rent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shall be an additional thirty (30) days so that if Subtenant has not vacated the Original Premises and delivered possession of the Original Premises to Sublandlord due to Prime Landlord Delay within five (5) months of the New Premises Commencement Date, for whatever reason whatsoever, Subtenant shall pay such holdover rent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If there is an extra fee for Prime Landlord to review the plans and/or include the foregoing acknowledgement in its consent, such cost shall be at Subtenant’s cost. In the event Subtenant is delayed in commencing or completing the New Premises Subtenant Work due to a Prime Landlord Delay, Subtenant shall comply with all provisions of the Lease, the Sublease and to the extent required by law, obtain the approval of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1179830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4" w:right="339" w:bottom="1440" w:gutter="0" w:footer="0" w:header="0"/>
        </w:sectPr>
      </w:pPr>
    </w:p>
    <w:bookmarkStart w:id="122" w:name="page123"/>
    <w:bookmarkEnd w:id="122"/>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 xml:space="preserve">Authorities (including QAD) upon installation. Anything contained in this Sublease to the contrary notwithstanding, all such New Premises Subtenant Work shall be performed in full compliance with the applicable provisions of the Lease, including the submission of plans, drawings, and specifications for such work, including Subtenant Work, and Alterations. In the event that there is a dispute arising out of this </w:t>
      </w:r>
      <w:r>
        <w:rPr>
          <w:rFonts w:ascii="Times New Roman" w:cs="Times New Roman" w:eastAsia="Times New Roman" w:hAnsi="Times New Roman"/>
          <w:sz w:val="22"/>
          <w:szCs w:val="22"/>
          <w:u w:val="single" w:color="auto"/>
          <w:color w:val="auto"/>
        </w:rPr>
        <w:t>Section 21(j),</w:t>
      </w:r>
      <w:r>
        <w:rPr>
          <w:rFonts w:ascii="Times New Roman" w:cs="Times New Roman" w:eastAsia="Times New Roman" w:hAnsi="Times New Roman"/>
          <w:sz w:val="22"/>
          <w:szCs w:val="22"/>
          <w:color w:val="auto"/>
        </w:rPr>
        <w:t xml:space="preserve"> either party may submit such dispute to arbitration pursuant to </w:t>
      </w:r>
      <w:r>
        <w:rPr>
          <w:rFonts w:ascii="Times New Roman" w:cs="Times New Roman" w:eastAsia="Times New Roman" w:hAnsi="Times New Roman"/>
          <w:sz w:val="22"/>
          <w:szCs w:val="22"/>
          <w:u w:val="single" w:color="auto"/>
          <w:color w:val="auto"/>
        </w:rPr>
        <w:t>Article 25</w:t>
      </w:r>
      <w:r>
        <w:rPr>
          <w:rFonts w:ascii="Times New Roman" w:cs="Times New Roman" w:eastAsia="Times New Roman" w:hAnsi="Times New Roman"/>
          <w:sz w:val="22"/>
          <w:szCs w:val="22"/>
          <w:color w:val="auto"/>
        </w:rPr>
        <w:t xml:space="preserve"> of the Original Lease. Notwithstanding anything contained in this Amendment to the contrary, Subtenant shall remove Subtenant’s signage.”</w:t>
      </w:r>
    </w:p>
    <w:p>
      <w:pPr>
        <w:spacing w:after="0" w:line="18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Furniture, Fixtures and Equipment.</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Original Sublease shall apply to the FF&amp;E in the New Premises, except that </w:t>
      </w:r>
      <w:r>
        <w:rPr>
          <w:rFonts w:ascii="Times New Roman" w:cs="Times New Roman" w:eastAsia="Times New Roman" w:hAnsi="Times New Roman"/>
          <w:sz w:val="22"/>
          <w:szCs w:val="22"/>
          <w:b w:val="1"/>
          <w:bCs w:val="1"/>
          <w:u w:val="single" w:color="auto"/>
          <w:color w:val="auto"/>
        </w:rPr>
        <w:t>Exhibit D-1</w:t>
      </w:r>
      <w:r>
        <w:rPr>
          <w:rFonts w:ascii="Times New Roman" w:cs="Times New Roman" w:eastAsia="Times New Roman" w:hAnsi="Times New Roman"/>
          <w:sz w:val="22"/>
          <w:szCs w:val="22"/>
          <w:color w:val="auto"/>
        </w:rPr>
        <w:t xml:space="preserve"> of the Original Sublease is replaced with </w:t>
      </w:r>
      <w:r>
        <w:rPr>
          <w:rFonts w:ascii="Times New Roman" w:cs="Times New Roman" w:eastAsia="Times New Roman" w:hAnsi="Times New Roman"/>
          <w:sz w:val="22"/>
          <w:szCs w:val="22"/>
          <w:b w:val="1"/>
          <w:bCs w:val="1"/>
          <w:u w:val="single" w:color="auto"/>
          <w:color w:val="auto"/>
        </w:rPr>
        <w:t>Exhibit D-3</w:t>
      </w:r>
      <w:r>
        <w:rPr>
          <w:rFonts w:ascii="Times New Roman" w:cs="Times New Roman" w:eastAsia="Times New Roman" w:hAnsi="Times New Roman"/>
          <w:sz w:val="22"/>
          <w:szCs w:val="22"/>
          <w:color w:val="auto"/>
        </w:rPr>
        <w:t xml:space="preserve"> annexed hereto.</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Termination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26(a) of the Original Sublease is modified by (i) changing the number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in the first sentence to the number “6</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(ii) changing the number "12” in the second sentence to the number “15”, and (iii) deleting subsection (ii) in the first sentence. The parties agree that the Termination Option shall be applicable only to the 29</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and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floors, and not applicable with respect to any ROFO Space and/or ROFR Space that Subtenant is subleasing pursuant to its options in this Amendment.</w:t>
      </w:r>
    </w:p>
    <w:p>
      <w:pPr>
        <w:spacing w:after="0" w:line="17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26(b) of the Sublease is deleted and replaced with the following: "</w:t>
      </w:r>
      <w:r>
        <w:rPr>
          <w:rFonts w:ascii="Times New Roman" w:cs="Times New Roman" w:eastAsia="Times New Roman" w:hAnsi="Times New Roman"/>
          <w:sz w:val="21"/>
          <w:szCs w:val="21"/>
          <w:b w:val="1"/>
          <w:bCs w:val="1"/>
          <w:color w:val="auto"/>
        </w:rPr>
        <w:t>Original Premises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Transaction Costs</w:t>
      </w:r>
      <w:r>
        <w:rPr>
          <w:rFonts w:ascii="Times New Roman" w:cs="Times New Roman" w:eastAsia="Times New Roman" w:hAnsi="Times New Roman"/>
          <w:sz w:val="21"/>
          <w:szCs w:val="21"/>
          <w:color w:val="auto"/>
        </w:rPr>
        <w:t>" means [*****]. “</w:t>
      </w:r>
      <w:r>
        <w:rPr>
          <w:rFonts w:ascii="Times New Roman" w:cs="Times New Roman" w:eastAsia="Times New Roman" w:hAnsi="Times New Roman"/>
          <w:sz w:val="21"/>
          <w:szCs w:val="21"/>
          <w:b w:val="1"/>
          <w:bCs w:val="1"/>
          <w:color w:val="auto"/>
        </w:rPr>
        <w:t>New Premises Transaction Costs</w:t>
      </w:r>
      <w:r>
        <w:rPr>
          <w:rFonts w:ascii="Times New Roman" w:cs="Times New Roman" w:eastAsia="Times New Roman" w:hAnsi="Times New Roman"/>
          <w:sz w:val="21"/>
          <w:szCs w:val="21"/>
          <w:color w:val="auto"/>
        </w:rPr>
        <w:t>” means the sum of (A) the unamortized value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Date of: (i) all brokerage commissions incurred by Sublandlord in connection with the leasing of the New Premises by Subtenant during the Term; (ii) the cost of any tenant improvements constructed by Sublandlord in connection with the New Premises (including, without limitation, Sublandlord's Work), (iii) the Work Allowance for the New Premises, and (iv) the aggregate value of any abatement of Fixed Rent granted to Subtenant in connection with the New Premises (including, without limitation, pursuant to Section 2(d) hereof, but not pursuant to Section 17(b) hereof), determined by amortizing such costs in constant monthly payments of principal and interest, at a rate of [*****] per annum, over the period commencing on the Rent Commencement Date and ending on the Expiration Date and (B) four (4) months of the then Rent payable with respect to the New Premises (Fixed Rent and Additional Rent). Together the “Original Premises Transaction Costs” and the “New Premises Transaction Costs” shall be referred to as the “</w:t>
      </w:r>
      <w:r>
        <w:rPr>
          <w:rFonts w:ascii="Times New Roman" w:cs="Times New Roman" w:eastAsia="Times New Roman" w:hAnsi="Times New Roman"/>
          <w:sz w:val="21"/>
          <w:szCs w:val="21"/>
          <w:b w:val="1"/>
          <w:bCs w:val="1"/>
          <w:color w:val="auto"/>
        </w:rPr>
        <w:t>Transaction Costs</w:t>
      </w:r>
      <w:r>
        <w:rPr>
          <w:rFonts w:ascii="Times New Roman" w:cs="Times New Roman" w:eastAsia="Times New Roman" w:hAnsi="Times New Roman"/>
          <w:sz w:val="21"/>
          <w:szCs w:val="21"/>
          <w:color w:val="auto"/>
        </w:rPr>
        <w:t xml:space="preserve">”. Subtenant shall have the right to send written notice to Sublandlord six (6) months prior to the date Subtenant has the right to exercise the Termination Option requesting the amount of the Transaction Costs. Sublandlord shall respond within sixty (60) days of receipt of such notice. Based on the dates and assumptions set forth therein, an example of the Transaction Costs is included herein as </w:t>
      </w:r>
      <w:r>
        <w:rPr>
          <w:rFonts w:ascii="Times New Roman" w:cs="Times New Roman" w:eastAsia="Times New Roman" w:hAnsi="Times New Roman"/>
          <w:sz w:val="21"/>
          <w:szCs w:val="21"/>
          <w:b w:val="1"/>
          <w:bCs w:val="1"/>
          <w:u w:val="single" w:color="auto"/>
          <w:color w:val="auto"/>
        </w:rPr>
        <w:t>Exhibit F</w:t>
      </w:r>
      <w:r>
        <w:rPr>
          <w:rFonts w:ascii="Times New Roman" w:cs="Times New Roman" w:eastAsia="Times New Roman" w:hAnsi="Times New Roman"/>
          <w:sz w:val="21"/>
          <w:szCs w:val="21"/>
          <w:color w:val="auto"/>
        </w:rPr>
        <w:t xml:space="preserve"> annexed hereto.</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Right of First Offer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spacing w:after="0" w:line="181"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Available</w:t>
      </w:r>
      <w:r>
        <w:rPr>
          <w:rFonts w:ascii="Times New Roman" w:cs="Times New Roman" w:eastAsia="Times New Roman" w:hAnsi="Times New Roman"/>
          <w:sz w:val="21"/>
          <w:szCs w:val="21"/>
          <w:color w:val="auto"/>
        </w:rPr>
        <w:t>” means, Offer Space (as hereinafter defined) that is vacant and free of any present or future possessory right now or hereafter existing in favor of any third party; provided, that any Offer Space shall not be deemed Available unless and until such space is first subleased to another subtenant and then again becomes Available or, if Sublandlord elects not to sublease such space, then when Sublandlord next offers such space for sublease. Anything to the contrary contained herein notwithstanding, Subtenant’s right of first offer pursuant to this Paragraph is subject to and subordinate to (1) the rights of existing occupants of the Offer Space, including, without limitation future expansion rights granted,</w:t>
      </w:r>
    </w:p>
    <w:p>
      <w:pPr>
        <w:spacing w:after="0" w:line="1" w:lineRule="exact"/>
        <w:rPr>
          <w:sz w:val="20"/>
          <w:szCs w:val="20"/>
          <w:color w:val="auto"/>
        </w:rPr>
      </w:pPr>
    </w:p>
    <w:p>
      <w:pPr>
        <w:jc w:val="both"/>
        <w:ind w:left="3" w:hanging="3"/>
        <w:spacing w:after="0" w:line="232" w:lineRule="auto"/>
        <w:tabs>
          <w:tab w:leader="none" w:pos="32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right of offer, right of first refusal, expansion right or similar right or option with respect to the Offer Space in favor of any third party existing as of the date of this Amendment which are set forth on </w:t>
      </w:r>
      <w:r>
        <w:rPr>
          <w:rFonts w:ascii="Times New Roman" w:cs="Times New Roman" w:eastAsia="Times New Roman" w:hAnsi="Times New Roman"/>
          <w:sz w:val="22"/>
          <w:szCs w:val="22"/>
          <w:b w:val="1"/>
          <w:bCs w:val="1"/>
          <w:u w:val="single" w:color="auto"/>
          <w:color w:val="auto"/>
        </w:rPr>
        <w:t>Exhibit G</w:t>
      </w:r>
      <w:r>
        <w:rPr>
          <w:rFonts w:ascii="Times New Roman" w:cs="Times New Roman" w:eastAsia="Times New Roman" w:hAnsi="Times New Roman"/>
          <w:sz w:val="22"/>
          <w:szCs w:val="22"/>
          <w:color w:val="auto"/>
        </w:rPr>
        <w:t xml:space="preserve"> annexed hereto, (3) intentionally omitted, (4) Sublandlord’s right to renew or extend the term of any sublease of Offer Space to another existing subtenant, whether or not pursuant to an option or right set forth in such other subtenant’s sublease, (5) Sublandlord’s, including its related entities, right in its sole discretion to occupy or use any such Offer Space and (6) the Lease. Sublandlord agrees that it will not, after the Effective Date, give any person rights of first offer, rights of first refusal, expansion rights or similar rights or options superior to Subtenant’s rights in the Offer Space or Available Space or Additional Space, but any subtenant now or in the future occupying Offer Space or Available Space will have the right to renew or extend the term of its sublease.</w:t>
      </w:r>
    </w:p>
    <w:p>
      <w:pPr>
        <w:spacing w:after="0" w:line="174" w:lineRule="exact"/>
        <w:rPr>
          <w:sz w:val="20"/>
          <w:szCs w:val="20"/>
          <w:color w:val="auto"/>
        </w:rPr>
      </w:pPr>
    </w:p>
    <w:p>
      <w:pPr>
        <w:jc w:val="both"/>
        <w:ind w:left="3"/>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 Period</w:t>
      </w:r>
      <w:r>
        <w:rPr>
          <w:rFonts w:ascii="Times New Roman" w:cs="Times New Roman" w:eastAsia="Times New Roman" w:hAnsi="Times New Roman"/>
          <w:sz w:val="22"/>
          <w:szCs w:val="22"/>
          <w:color w:val="auto"/>
        </w:rPr>
        <w:t xml:space="preserve">” means the period commencing on the New Premises Commencement Date to and including the date that is 4 years prior to the Expiration Date, as may have been extended by Subtenant’s Renewal Option (or, if there are not at least four (4) years remaining to the initial Sublease term, Subtenant may simultaneously exercise the Renewal Option set forth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of the Original Sublease).</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 Space</w:t>
      </w:r>
      <w:r>
        <w:rPr>
          <w:rFonts w:ascii="Times New Roman" w:cs="Times New Roman" w:eastAsia="Times New Roman" w:hAnsi="Times New Roman"/>
          <w:sz w:val="22"/>
          <w:szCs w:val="22"/>
          <w:color w:val="auto"/>
        </w:rPr>
        <w:t>” means space on the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and/or 32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of the Building.</w:t>
      </w:r>
    </w:p>
    <w:p>
      <w:pPr>
        <w:spacing w:after="0" w:line="137" w:lineRule="exact"/>
        <w:rPr>
          <w:sz w:val="20"/>
          <w:szCs w:val="20"/>
          <w:color w:val="auto"/>
        </w:rPr>
      </w:pPr>
    </w:p>
    <w:p>
      <w:pPr>
        <w:jc w:val="both"/>
        <w:ind w:left="3"/>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for purposes of this Paragraph, means the rent that a willing subtenant would pay and a willing sublandlord of comparable first-class office space in this Building would accept for the applicable Offer Space during the applicable Term, adjusted to take into account all of the then relevant factors. Sublandlord shall include with the Offer Notice Sublandlord’s estimate of the Fair Market Value of the applicable Offer Space for the applicable Term. If Subtenant disagrees with Sublandlord’s estimate of the Fair Market Value as set forth in Sublandlord’s Offer, Subtenant shall, within twenty (20) days after its receipt of Sublandlord’s Offer Notice, notify Sublandlord setting forth Subtenant’s estimate of the Fair Market Value of the applicable Offer Space and the parties will attempt to reach agreement on the Fair Market Value of such Offer Space for the applicable Term. If Subtenant fails to notify Sublandlord that Subtenant disagrees with Sublandlord’s estimate and setting forth Subtenant’s Fair Market Value estimate within such twenty (20) day period, then Subtenant will be deemed to have accepted Sublandlord’s estimate of the Fair Market Value for the applicable Offer Space during the applicable Term. If Subtenant has timely given its dispute notice and the parties are unable to reach agreement thereon within twenty (20) days after the delivery of such notice by Subtenant, then either party may submit the determination of the Fair Market Value of such Offer Space to arbitration (as set forth below) by giving notice to the other party naming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1012825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24" w:name="page125"/>
    <w:bookmarkEnd w:id="124"/>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the initiating party’s representative within ten (10) days after the expiration of such twenty (20) day period. Within ten</w:t>
      </w:r>
    </w:p>
    <w:p>
      <w:pPr>
        <w:spacing w:after="0" w:line="14" w:lineRule="exact"/>
        <w:rPr>
          <w:sz w:val="20"/>
          <w:szCs w:val="20"/>
          <w:color w:val="auto"/>
        </w:rPr>
      </w:pPr>
    </w:p>
    <w:p>
      <w:pPr>
        <w:jc w:val="both"/>
        <w:ind w:left="3" w:hanging="3"/>
        <w:spacing w:after="0" w:line="242" w:lineRule="auto"/>
        <w:tabs>
          <w:tab w:leader="none" w:pos="42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receiving a notice of initiation of arbitration, the responding party shall appoint its own representative by notifying the initiating party of the responding party’s representative. If the second representative shall not have been so appointed within such ten (10) day period, the initiating party shall deliver written notice of such failure to the responding party and the responding party shall have a period of ten (10) days after receipt of such notice to appoint its representative and deliver written notice thereof to the initiating party. If the responding party fails to notify the initiating party of its designated representative within the foregoing additional ten (10) day period, then the second representative shall be chosen in the same manner as described below with respect to the selection of the arbitrator. Upon the selection (or appointment, as the case may be) of the second representative, the two representatives thus appointed shall, within fifteen (15) days after the responding party’s notice of appointment of the second representative, appoint an arbitrator. If the two initial representatives are unable timely to agree on the arbitrator, then either may, on behalf of both, request such appointment by the New York City office of JAMS, or its successor, or, on its failure, refusal or inability to act, by a court of competent jurisdiction. The Fair Market Value of the applicable Offer Space for the applicable Term shall be determined by the method commonly known as “baseball arbitration,” whereby Sublandlord’s selected representative and Subtenant’s selected representative (or such representative appointed on behalf of Subtenant, as applicable) shall each set forth its respective determination of the Fair Market Value of such Offer Space, and the arbitrator must select one or the other determination (it being understood and agreed that the arbitrator shall be expressly prohibited from selecting a compromise figure). Sublandlord’s selected representative and Subtenant’s selected representative shall deliver their determinations of the Fair Market Value of the applicable Offer Space to the arbitrator within ten (10) days of the appointment of the arbitrator, and the arbitrator shall render his or her decision within ten (10) Business Days after receipt of both determinations of the Fair Market Value of such Offer Space. The arbitrator’s decision shall be binding and conclusive on both Sublandlord and Subtenant. All representatives and the arbitrator shall be commercial real estate brokers who have had at least ten (10) years’ experience in first-class office space subleasing transactions in the general vicinity of the Offer Space. Representatives selected by Sublandlord or Subtenant may have been engaged by them on this Sublease or other transactions. Representatives selected by a third party on behalf of Sublandlord or Subtenant (because Sublandlord or Subtenant did not timely make a selection) and the arbitrator shall be independent of either party. Each party shall pay the fees of its own representative, and the fees of the arbitrator shall be shared equally by the parties. In the event the aforesaid arbitration process has been initiated and as of the Offer Space Inclusion Date the Fixed Rent for the applicable Offer Space for such applicable Term has not been determined, then Subtenant shall continue to pay Fixed Rent for such Offer Space at the same rate of Fixed Rent per rentable square foot then applicable to the initial Premises, and when the determination of the Fair Market Value for such Offer Space has been finally made, an appropriate retroactive adjustment shall be made as of the Offer Space Inclusion Date if necessary. If such determination shall result in an underpayment by Subtenant of any Fixed Rent, Subtenant shall pay any such amounts of underpayment to Sublandlord within thirty (30) days following such determination. If such determination shall result in an overpayment by Subtenant of any Fixed Rent, the overpayment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1162050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25" w:name="page126"/>
    <w:bookmarkEnd w:id="125"/>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credited against the next installments of Fixed Rent for the Premises as increased by the applicable Offer Space.</w:t>
      </w:r>
    </w:p>
    <w:p>
      <w:pPr>
        <w:spacing w:after="0" w:line="206" w:lineRule="exact"/>
        <w:rPr>
          <w:sz w:val="20"/>
          <w:szCs w:val="20"/>
          <w:color w:val="auto"/>
        </w:rPr>
      </w:pPr>
    </w:p>
    <w:p>
      <w:pPr>
        <w:jc w:val="both"/>
        <w:ind w:firstLine="1505"/>
        <w:spacing w:after="0" w:line="233"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 of Offer Space</w:t>
      </w:r>
      <w:r>
        <w:rPr>
          <w:rFonts w:ascii="Times New Roman" w:cs="Times New Roman" w:eastAsia="Times New Roman" w:hAnsi="Times New Roman"/>
          <w:sz w:val="22"/>
          <w:szCs w:val="22"/>
          <w:color w:val="auto"/>
        </w:rPr>
        <w:t>. Provided (1) this Sublease shall not have been terminated, (2) Subtenant shall not then be in default in its material monetary or material non-monetary obligations under this Sublease, beyond any applicable notice or cure periods under this Sublease(or if such a default exists, then as soon as such default is cured) and (3) Named Subtenant shall occupy at least seventy-five (75%) percent of the New Premises (excluding any desk-sharing space), if at any time and from time to time during the Offer Period any Offer Space either becomes, or Sublandlord reasonably anticipates that within the next 3 to 18 months (but not later than the last day of the Offer Period) the Offer Space will become, Available, Sublandlord shall give to Subtenant notice (an “</w:t>
      </w:r>
      <w:r>
        <w:rPr>
          <w:rFonts w:ascii="Times New Roman" w:cs="Times New Roman" w:eastAsia="Times New Roman" w:hAnsi="Times New Roman"/>
          <w:sz w:val="22"/>
          <w:szCs w:val="22"/>
          <w:b w:val="1"/>
          <w:bCs w:val="1"/>
          <w:color w:val="auto"/>
        </w:rPr>
        <w:t>Offer Notice</w:t>
      </w:r>
      <w:r>
        <w:rPr>
          <w:rFonts w:ascii="Times New Roman" w:cs="Times New Roman" w:eastAsia="Times New Roman" w:hAnsi="Times New Roman"/>
          <w:sz w:val="22"/>
          <w:szCs w:val="22"/>
          <w:color w:val="auto"/>
        </w:rPr>
        <w:t>”) thereof, specifying (A) the applicable portion of the Offer Space and the fixed annual rental (“</w:t>
      </w:r>
      <w:r>
        <w:rPr>
          <w:rFonts w:ascii="Times New Roman" w:cs="Times New Roman" w:eastAsia="Times New Roman" w:hAnsi="Times New Roman"/>
          <w:sz w:val="22"/>
          <w:szCs w:val="22"/>
          <w:b w:val="1"/>
          <w:bCs w:val="1"/>
          <w:color w:val="auto"/>
        </w:rPr>
        <w:t>Offer Rental</w:t>
      </w:r>
      <w:r>
        <w:rPr>
          <w:rFonts w:ascii="Times New Roman" w:cs="Times New Roman" w:eastAsia="Times New Roman" w:hAnsi="Times New Roman"/>
          <w:sz w:val="22"/>
          <w:szCs w:val="22"/>
          <w:color w:val="auto"/>
        </w:rPr>
        <w:t>”) which Sublandlord is then considering for the sublease of such Offer Space, which shall be one hundred percent (100%) of the then Fair Market Value, (B) the date or estimated date (the “</w:t>
      </w:r>
      <w:r>
        <w:rPr>
          <w:rFonts w:ascii="Times New Roman" w:cs="Times New Roman" w:eastAsia="Times New Roman" w:hAnsi="Times New Roman"/>
          <w:sz w:val="22"/>
          <w:szCs w:val="22"/>
          <w:b w:val="1"/>
          <w:bCs w:val="1"/>
          <w:color w:val="auto"/>
        </w:rPr>
        <w:t>Target Date</w:t>
      </w:r>
      <w:r>
        <w:rPr>
          <w:rFonts w:ascii="Times New Roman" w:cs="Times New Roman" w:eastAsia="Times New Roman" w:hAnsi="Times New Roman"/>
          <w:sz w:val="22"/>
          <w:szCs w:val="22"/>
          <w:color w:val="auto"/>
        </w:rPr>
        <w:t xml:space="preserve">”) that such Offer Space has or shall become Available and (C) such other matters as Sublandlord may reasonably deem appropriate for such Offer Notice, including without limitation,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(together with a floor plan depicting such space if the same is available), a description of free rent, subtenant concessions, build-outs, escalation rent and other material terms Sublandlord proposes.</w:t>
      </w:r>
    </w:p>
    <w:p>
      <w:pPr>
        <w:spacing w:after="0" w:line="182"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Offer Space Option</w:t>
      </w:r>
      <w:r>
        <w:rPr>
          <w:rFonts w:ascii="Times New Roman" w:cs="Times New Roman" w:eastAsia="Times New Roman" w:hAnsi="Times New Roman"/>
          <w:sz w:val="22"/>
          <w:szCs w:val="22"/>
          <w:color w:val="auto"/>
        </w:rPr>
        <w:t>. Provided that (1) on the date that Subtenant exercises the Offer Space Option and on the Office Space Inclusion Date, this Sublease shall not have been terminated, and (2) Subtenant shall not then be in default in its material monetary or material non-monetary obligations under this Sublease, beyond any applicable notice or cure periods under this Sublease (or if such a default exists, then as soon as such default is cured),and (3) the Named Subtenant shall occupy at least seventy-five (75%) percent of the Premises (excluding any desk-sharing space) , Subtenant shall have the option (the “</w:t>
      </w:r>
      <w:r>
        <w:rPr>
          <w:rFonts w:ascii="Times New Roman" w:cs="Times New Roman" w:eastAsia="Times New Roman" w:hAnsi="Times New Roman"/>
          <w:sz w:val="22"/>
          <w:szCs w:val="22"/>
          <w:b w:val="1"/>
          <w:bCs w:val="1"/>
          <w:color w:val="auto"/>
        </w:rPr>
        <w:t>Offer Space Option</w:t>
      </w:r>
      <w:r>
        <w:rPr>
          <w:rFonts w:ascii="Times New Roman" w:cs="Times New Roman" w:eastAsia="Times New Roman" w:hAnsi="Times New Roman"/>
          <w:sz w:val="22"/>
          <w:szCs w:val="22"/>
          <w:color w:val="auto"/>
        </w:rPr>
        <w:t>”), exercisable by notice (an “</w:t>
      </w:r>
      <w:r>
        <w:rPr>
          <w:rFonts w:ascii="Times New Roman" w:cs="Times New Roman" w:eastAsia="Times New Roman" w:hAnsi="Times New Roman"/>
          <w:sz w:val="22"/>
          <w:szCs w:val="22"/>
          <w:b w:val="1"/>
          <w:bCs w:val="1"/>
          <w:color w:val="auto"/>
        </w:rPr>
        <w:t>Acceptance Notice</w:t>
      </w:r>
      <w:r>
        <w:rPr>
          <w:rFonts w:ascii="Times New Roman" w:cs="Times New Roman" w:eastAsia="Times New Roman" w:hAnsi="Times New Roman"/>
          <w:sz w:val="22"/>
          <w:szCs w:val="22"/>
          <w:color w:val="auto"/>
        </w:rPr>
        <w:t>”) given to Sublandlord on or before the date that is thirty (30) days after the giving of the Offer Notice (time being of the essence) to include the applicable Offer Space in the Premises. Sublandlord shall use all commercially reasonable efforts to remove all subtenants and occupants from the applicable Offer Space and to deliver vacant possession of any applicable Offer Space to Subtenant on the Target Date therefor (and, failing which, shall continue to use reasonable efforts to deliver vacant possession of such Offer Space to Subtenant as soon as possible thereafter), including enforcement of any holdover provisions in any existing subleases for such Offer Space, and diligently prosecuting summary eviction proceedings against all such subtenants and occupants therein if any subtenant or occupant in such Offer Space has not vacated such Offer Space within forty-five (45) days after Sublandlord has delivered notice to Subtenant of the date such Offer Space will become Available.</w:t>
      </w:r>
    </w:p>
    <w:p>
      <w:pPr>
        <w:spacing w:after="0" w:line="179"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 Space becomes part of the Premises upon Delivery</w:t>
      </w:r>
      <w:r>
        <w:rPr>
          <w:rFonts w:ascii="Times New Roman" w:cs="Times New Roman" w:eastAsia="Times New Roman" w:hAnsi="Times New Roman"/>
          <w:sz w:val="22"/>
          <w:szCs w:val="22"/>
          <w:color w:val="auto"/>
        </w:rPr>
        <w:t>. If Subtenant timely delivers the Acceptance Notice, then, on the date on which Sublandlord delivers vacant possession of the applicable Offer Space to Subtenant, free of all rights of possession by a third party (the “</w:t>
      </w:r>
      <w:r>
        <w:rPr>
          <w:rFonts w:ascii="Times New Roman" w:cs="Times New Roman" w:eastAsia="Times New Roman" w:hAnsi="Times New Roman"/>
          <w:sz w:val="22"/>
          <w:szCs w:val="22"/>
          <w:b w:val="1"/>
          <w:bCs w:val="1"/>
          <w:color w:val="auto"/>
        </w:rPr>
        <w:t>Offer Space Inclusion Date</w:t>
      </w:r>
      <w:r>
        <w:rPr>
          <w:rFonts w:ascii="Times New Roman" w:cs="Times New Roman" w:eastAsia="Times New Roman" w:hAnsi="Times New Roman"/>
          <w:sz w:val="22"/>
          <w:szCs w:val="22"/>
          <w:color w:val="auto"/>
        </w:rPr>
        <w:t>”), such Offer Space shall become part of the Premises, upon all of the terms and conditions set forth in this Sublease (including, without limitation, the Renewal Option) except (1) Fixed Rent shall be increased by the Offer Rental, (2) Subtenant’s Share shall be determined with respect to such Offer Space in accordance with the calculation for Subtenant’s Share set forth in the Sublease, as amended, provided that the numerator shall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jc w:val="both"/>
        <w:spacing w:after="0" w:line="235" w:lineRule="auto"/>
        <w:rPr>
          <w:sz w:val="20"/>
          <w:szCs w:val="20"/>
          <w:color w:val="auto"/>
        </w:rPr>
      </w:pPr>
      <w:r>
        <w:rPr>
          <w:rFonts w:ascii="Times New Roman" w:cs="Times New Roman" w:eastAsia="Times New Roman" w:hAnsi="Times New Roman"/>
          <w:sz w:val="22"/>
          <w:szCs w:val="22"/>
          <w:color w:val="auto"/>
        </w:rPr>
        <w:t>number of rentable square feet of such Offer Space to be included in the Premises, and (3) the term of such Offer Space shall be coterminous with the term of the remainder of the Premises, and (4) Subtenant shall be entitled to additional condenser water with respect to such Offer Space in an amount not to exceed the proportionate amount based on twenty-three (23) tons of condenser water per full floor of the Building. Electricity charges for such Offer Space shall be measured by a submeter for such Offer Space only. If there is not submeter already installed, the cost of installing same shall be a factor in determining the Offer Rent and shall be paid for by the appropriate party. Condenser water shall be furnished to Subtenant, at Subtenant’s cost and expense at the rates set forth herein, in accordance with the terms and conditions of this Sublease.</w:t>
      </w:r>
    </w:p>
    <w:p>
      <w:pPr>
        <w:spacing w:after="0" w:line="183" w:lineRule="exact"/>
        <w:rPr>
          <w:sz w:val="20"/>
          <w:szCs w:val="20"/>
          <w:color w:val="auto"/>
        </w:rPr>
      </w:pPr>
    </w:p>
    <w:p>
      <w:pPr>
        <w:jc w:val="both"/>
        <w:ind w:firstLine="1505"/>
        <w:spacing w:after="0" w:line="232" w:lineRule="auto"/>
        <w:tabs>
          <w:tab w:leader="none" w:pos="20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Sublandlord Inability to Deliver Possession of Offer Space</w:t>
      </w:r>
      <w:r>
        <w:rPr>
          <w:rFonts w:ascii="Times New Roman" w:cs="Times New Roman" w:eastAsia="Times New Roman" w:hAnsi="Times New Roman"/>
          <w:sz w:val="22"/>
          <w:szCs w:val="22"/>
          <w:color w:val="auto"/>
        </w:rPr>
        <w:t>. If notwithstanding Sublandlord’s exercise of such reasonable efforts, Sublandlord is unable to deliver possession of the applicable Offer Space to Subtenant on or before the Target Date as set forth in the Offer Notice, the Offer Space Inclusion Date shall be the date on which Sublandlord is able to so deliver possession and Sublandlord shall have no liability to Subtenant therefor (except as otherwise set forth herein) and this Sublease shall not in any way be impaired, and the Fixed Rent and Additional Rent payable with respect to such portion of the Offer Space shall be abated and the applicable commencement date shall be postponed until Sublandlord shall deliver to Subtenant vacant possession of such Offer Space. If the Offer Space Inclusion Date does not occur within thirty (30) days after the Target Date (as such date shall be extended for Force Majeure, the “</w:t>
      </w:r>
      <w:r>
        <w:rPr>
          <w:rFonts w:ascii="Times New Roman" w:cs="Times New Roman" w:eastAsia="Times New Roman" w:hAnsi="Times New Roman"/>
          <w:sz w:val="22"/>
          <w:szCs w:val="22"/>
          <w:b w:val="1"/>
          <w:bCs w:val="1"/>
          <w:color w:val="auto"/>
        </w:rPr>
        <w:t>Outside ROFO Date</w:t>
      </w:r>
      <w:r>
        <w:rPr>
          <w:rFonts w:ascii="Times New Roman" w:cs="Times New Roman" w:eastAsia="Times New Roman" w:hAnsi="Times New Roman"/>
          <w:sz w:val="22"/>
          <w:szCs w:val="22"/>
          <w:color w:val="auto"/>
        </w:rPr>
        <w:t xml:space="preserve">”), then Subtenant shall be entitled to an abatement of Fixed Rent, which abatement shall be equal to one (1) day of Fixed Rent with respect to applicable Offer Space for each day of delay (but in no event to exceed sixty (60) days) after the Outside ROFO Date until the Offer Space Inclusion Date shall occur. If the Offer Space Inclusion Date does not occur within ninety (90) days after the Target Date, then Subtenant may elect in its discretion, upon thirty (30) days’ notice to Sublandlord, to rescind and terminate its Acceptance Notice with respect to the applicable Offer Space that is the subject of the Offer Notice, and, unless such Offer Space is delivered to Subtenant within such thirty (30) day period, such Offer Space shall not become part of the Premises (and Subtenant shall not be entitled to the abatement set forth in the immediately preceding sentence, but Sublandlord shall pay Subtenant’s reasonable out-of-pocket expenses in connection with such Offer Space). This </w:t>
      </w:r>
      <w:r>
        <w:rPr>
          <w:rFonts w:ascii="Times New Roman" w:cs="Times New Roman" w:eastAsia="Times New Roman" w:hAnsi="Times New Roman"/>
          <w:sz w:val="22"/>
          <w:szCs w:val="22"/>
          <w:u w:val="single" w:color="auto"/>
          <w:color w:val="auto"/>
        </w:rPr>
        <w:t>Section (e)</w:t>
      </w:r>
      <w:r>
        <w:rPr>
          <w:rFonts w:ascii="Times New Roman" w:cs="Times New Roman" w:eastAsia="Times New Roman" w:hAnsi="Times New Roman"/>
          <w:sz w:val="22"/>
          <w:szCs w:val="22"/>
          <w:color w:val="auto"/>
        </w:rPr>
        <w:t xml:space="preserve"> constitutes “an express provision to the contrary” within the meaning of Section 223(a) of the New York Real Property Law and any other law of like import now or hereafter in effect.</w:t>
      </w:r>
    </w:p>
    <w:p>
      <w:pPr>
        <w:spacing w:after="0" w:line="18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Subtenant’s failure to Timely Give an Acceptance Notice.</w:t>
      </w:r>
      <w:r>
        <w:rPr>
          <w:rFonts w:ascii="Times New Roman" w:cs="Times New Roman" w:eastAsia="Times New Roman" w:hAnsi="Times New Roman"/>
          <w:sz w:val="22"/>
          <w:szCs w:val="22"/>
          <w:color w:val="auto"/>
        </w:rPr>
        <w:t xml:space="preserve"> If Subtenant fails timely to give an Acceptance Notice, then (1) Sublandlord may enter into one or more subleases or occupancy agreements of the applicable Offer Space with third parties on such terms and conditions as Sublandlord shall determine, the Offer Space Option with respect to such Offer Space described in the Offer Notice shall be null and void and of no further force and effect and Sublandlord shall have no further obligation to offer solely the specified Offer Space subject to the Offer Notice to Subtenant, and (2) Subtenant shall, upon written demand by Sublandlord, execute an instrument confirming Subtenant’s waiver of, and extinguishing, the Offer Space Option with respect to the Offer Space described in the Offer Notice, but the failure by Subtenant to execute any such instrument shall not affect the provisions of clause (1) above. However, the Offer Space Option shall continue to apply to any other Offer Space that has not been the subject of an Offer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jc w:val="both"/>
        <w:ind w:firstLine="1505"/>
        <w:spacing w:after="0" w:line="235"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Instrument Documenting Offer Space</w:t>
      </w:r>
      <w:r>
        <w:rPr>
          <w:rFonts w:ascii="Times New Roman" w:cs="Times New Roman" w:eastAsia="Times New Roman" w:hAnsi="Times New Roman"/>
          <w:sz w:val="22"/>
          <w:szCs w:val="22"/>
          <w:color w:val="auto"/>
        </w:rPr>
        <w:t xml:space="preserve">. Promptly after the occurrence of the Offer Space Inclusion Date, Sublandlord and Subtenant shall confirm the occurrence thereof and the inclusion of the applicable Offer Space in the Premises by executing an instrument reasonably satisfactory to Sublandlord and Subtenant (including without limitation, (i) a description of the Offer Space in question and the addition of the same to the Premises; (ii) the applicable commencement date; (iii) the increased Subtenant’s Share in respect of the Offer Space in question; and (iv) the increase in Fixed Rent resulting from such inclusion); provided, that failure by Sublandlord or Subtenant to execute such instrument shall not affect the inclusion of such Offer Space in the Premises in accordance with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Nullification of Offer Space Option</w:t>
      </w:r>
      <w:r>
        <w:rPr>
          <w:rFonts w:ascii="Times New Roman" w:cs="Times New Roman" w:eastAsia="Times New Roman" w:hAnsi="Times New Roman"/>
          <w:sz w:val="22"/>
          <w:szCs w:val="22"/>
          <w:color w:val="auto"/>
        </w:rPr>
        <w:t>. Anything in this Sublease to the contrary notwithstanding, the provisions of this Paragraph granting to Subtenant the Offer Space Option shall be null and void and of no force or effect if (1) the Named Subtenant is no longer the Subtenant under this Sublease or (2) the Named Subtenant is not then in occupancy of at least 75% of the Premises (excluding any desk-sharing space).</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Freight Elevator and Loading Dock Access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30(f)</w:t>
      </w:r>
      <w:r>
        <w:rPr>
          <w:rFonts w:ascii="Times New Roman" w:cs="Times New Roman" w:eastAsia="Times New Roman" w:hAnsi="Times New Roman"/>
          <w:sz w:val="22"/>
          <w:szCs w:val="22"/>
          <w:color w:val="auto"/>
        </w:rPr>
        <w:t xml:space="preserve"> of the Original Sublease is deleted and replaced with the following “Notwithstanding anything herein contained to the contrary, in connection with Subtenant’s move into the New Premises and the delivery of furniture and equipment prior thereto, Sublandlord shall provide 35 hours of free overtime freight elevator service and use of the loading dock, including Sublandlord paying for security screening in connection with the freight elevator usage. Except for the above mentioned 35 hours of free overtime freight elevators, loading dock and security screening, Subtenant shall pay for its use of freight elevators, loading dock and security screening as set forth in the Lease.”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of the Original Sublease is hereby modified to provide as follows:</w:t>
      </w:r>
    </w:p>
    <w:p>
      <w:pPr>
        <w:spacing w:after="0" w:line="206" w:lineRule="exact"/>
        <w:rPr>
          <w:sz w:val="20"/>
          <w:szCs w:val="20"/>
          <w:color w:val="auto"/>
        </w:rPr>
      </w:pPr>
    </w:p>
    <w:p>
      <w:pPr>
        <w:jc w:val="both"/>
        <w:ind w:firstLine="1505"/>
        <w:spacing w:after="0" w:line="236"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Amount shall be increased by [*****] so that within one (1) month of the Effective Date of this Amendment, Subtenant shall deliver a Letter of Credit (at Subtenant’s election, by either an amendment to the Letter of Credit or replacement Letter of Credit) in the amount of [*****]. If Subtenant is unable to supply such an amendment to the Letter of Credit or such replacement Letter of Credit within one (1) month of the Effective Date, Subtenant shall post a cash deposit in the increased amount of [*****], which cash security shall be returned to Sublandlord when Subtenant delivers such amendment to the Letter of Credit or replacement Letter of Credit in the amount of [*****];</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Subtenant delivers a replacement Letter of Credit, Sublandlord shall return the original Letter of Credit to Subtenant within two (2) Business Days after Sublandlord’s receipt of the replacement Letter of Credit.</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first sentence of Original Sublease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 xml:space="preserve"> is hereby deleted and replaced with the following: “If Subtenant has not been in material monetary or material non-monetary default of this Sublease after the expiration of any notice and cure period more than one (1) time in any year of the Term and more than a total of two (2) times during the first five (5) years of the Term and Subtenant has not exercised its Termination Option, then upon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anniversary of the RP Commencement Date, the LC Amount shall be allowed to be reduced to [*****]; and</w:t>
      </w:r>
    </w:p>
    <w:p>
      <w:pPr>
        <w:spacing w:after="0" w:line="206" w:lineRule="exact"/>
        <w:rPr>
          <w:sz w:val="20"/>
          <w:szCs w:val="20"/>
          <w:color w:val="auto"/>
        </w:rPr>
      </w:pPr>
    </w:p>
    <w:p>
      <w:pPr>
        <w:jc w:val="both"/>
        <w:ind w:firstLine="1505"/>
        <w:spacing w:after="0" w:line="239"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last sentence of Original Sublease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 xml:space="preserve"> is hereby deleted and replaced with the following: “If any time thereafter, during the Term and after the reduction of the LC Amount, Subtenant is in material monetary or material non-monetary default of this Sublease after the expiration of any notice and cure period, then Sublandlord may demand that Subtenant increase the LC Amount to full amount of [*****]”.</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New Premises Condition</w:t>
      </w:r>
      <w:r>
        <w:rPr>
          <w:rFonts w:ascii="Times New Roman" w:cs="Times New Roman" w:eastAsia="Times New Roman" w:hAnsi="Times New Roman"/>
          <w:sz w:val="22"/>
          <w:szCs w:val="22"/>
          <w:color w:val="auto"/>
        </w:rPr>
        <w:t>. Subtenant shall accept the New Premises “as is,” on the New Premises Commencement Date without any warranty or recourse to Sublandlord, subject to the following:</w:t>
      </w:r>
    </w:p>
    <w:p>
      <w:pPr>
        <w:spacing w:after="0" w:line="158" w:lineRule="exact"/>
        <w:rPr>
          <w:sz w:val="20"/>
          <w:szCs w:val="20"/>
          <w:color w:val="auto"/>
        </w:rPr>
      </w:pPr>
    </w:p>
    <w:p>
      <w:pPr>
        <w:jc w:val="both"/>
        <w:ind w:firstLine="1505"/>
        <w:spacing w:after="0" w:line="238"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Possession</w:t>
      </w:r>
      <w:r>
        <w:rPr>
          <w:rFonts w:ascii="Times New Roman" w:cs="Times New Roman" w:eastAsia="Times New Roman" w:hAnsi="Times New Roman"/>
          <w:sz w:val="22"/>
          <w:szCs w:val="22"/>
          <w:color w:val="auto"/>
        </w:rPr>
        <w:t xml:space="preserve">. Sublandlord, at its cost, shall deliver the New Premises to Subtenant broom clean, vacant and, to Sublandlord’s actual knowledge, in compliance with Legal Requirements, and with all of Sublandlord’s personal property and all other personal property other than the FF&amp;E (as hereinafter defined) removed, and the New Premises Sublandlord’s Work (as defined on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substantially completed (all of the items in this </w:t>
      </w:r>
      <w:r>
        <w:rPr>
          <w:rFonts w:ascii="Times New Roman" w:cs="Times New Roman" w:eastAsia="Times New Roman" w:hAnsi="Times New Roman"/>
          <w:sz w:val="22"/>
          <w:szCs w:val="22"/>
          <w:u w:val="single" w:color="auto"/>
          <w:color w:val="auto"/>
        </w:rPr>
        <w:t>Section 15(a)</w:t>
      </w:r>
      <w:r>
        <w:rPr>
          <w:rFonts w:ascii="Times New Roman" w:cs="Times New Roman" w:eastAsia="Times New Roman" w:hAnsi="Times New Roman"/>
          <w:sz w:val="22"/>
          <w:szCs w:val="22"/>
          <w:color w:val="auto"/>
        </w:rPr>
        <w:t xml:space="preserve"> are collectively called the “</w:t>
      </w:r>
      <w:r>
        <w:rPr>
          <w:rFonts w:ascii="Times New Roman" w:cs="Times New Roman" w:eastAsia="Times New Roman" w:hAnsi="Times New Roman"/>
          <w:sz w:val="22"/>
          <w:szCs w:val="22"/>
          <w:b w:val="1"/>
          <w:bCs w:val="1"/>
          <w:color w:val="auto"/>
        </w:rPr>
        <w:t>Premises Condition</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Sublandlord Obligation to Perform Alterations</w:t>
      </w:r>
      <w:r>
        <w:rPr>
          <w:rFonts w:ascii="Times New Roman" w:cs="Times New Roman" w:eastAsia="Times New Roman" w:hAnsi="Times New Roman"/>
          <w:sz w:val="22"/>
          <w:szCs w:val="22"/>
          <w:color w:val="auto"/>
        </w:rPr>
        <w:t xml:space="preserve">. Other than as specifically set forth on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annexed hereto and made a part hereof, and the Premises Condition, Sublandlord shall have no obligation to perform any alterations, work or repairs on behalf of Subtenant or contribute any sums toward same (other than the Work Allowance as herein defined).</w:t>
      </w:r>
    </w:p>
    <w:p>
      <w:pPr>
        <w:spacing w:after="0" w:line="175"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Reps or Warranties as to Physical Condition</w:t>
      </w:r>
      <w:r>
        <w:rPr>
          <w:rFonts w:ascii="Times New Roman" w:cs="Times New Roman" w:eastAsia="Times New Roman" w:hAnsi="Times New Roman"/>
          <w:sz w:val="22"/>
          <w:szCs w:val="22"/>
          <w:color w:val="auto"/>
        </w:rPr>
        <w:t>. Except as otherwise expressly provided herein, Subtenant acknowledges that, no representations or warranties at to the condition of the New Premises, the use to which the New Premises may be put, or with respect to the condition or usefulness of any fixtures, equipment or furnishings therein contained, have been made to Subtenant.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Landlord’s Consents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6" w:lineRule="auto"/>
        <w:tabs>
          <w:tab w:leader="none" w:pos="203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is subject to, and shall become effective upon, the written consent of Prime Landlord in accordance with all applicable terms of the Lease (“</w:t>
      </w:r>
      <w:r>
        <w:rPr>
          <w:rFonts w:ascii="Times New Roman" w:cs="Times New Roman" w:eastAsia="Times New Roman" w:hAnsi="Times New Roman"/>
          <w:sz w:val="21"/>
          <w:szCs w:val="21"/>
          <w:b w:val="1"/>
          <w:bCs w:val="1"/>
          <w:color w:val="auto"/>
        </w:rPr>
        <w:t>Landlord’s Consent</w:t>
      </w:r>
      <w:r>
        <w:rPr>
          <w:rFonts w:ascii="Times New Roman" w:cs="Times New Roman" w:eastAsia="Times New Roman" w:hAnsi="Times New Roman"/>
          <w:sz w:val="21"/>
          <w:szCs w:val="21"/>
          <w:color w:val="auto"/>
        </w:rPr>
        <w:t xml:space="preserve">”), including without limitation, the items described in </w:t>
      </w:r>
      <w:r>
        <w:rPr>
          <w:rFonts w:ascii="Times New Roman" w:cs="Times New Roman" w:eastAsia="Times New Roman" w:hAnsi="Times New Roman"/>
          <w:sz w:val="21"/>
          <w:szCs w:val="21"/>
          <w:u w:val="single" w:color="auto"/>
          <w:color w:val="auto"/>
        </w:rPr>
        <w:t>Section 9(b)(vi)</w:t>
      </w:r>
      <w:r>
        <w:rPr>
          <w:rFonts w:ascii="Times New Roman" w:cs="Times New Roman" w:eastAsia="Times New Roman" w:hAnsi="Times New Roman"/>
          <w:sz w:val="21"/>
          <w:szCs w:val="21"/>
          <w:color w:val="auto"/>
        </w:rPr>
        <w:t xml:space="preserve"> hereof. Subtenant shall furnish to Sublandlord such information as may be reasonably necessary to obtain Landlord’s Consent, and to enter into such agreements among Prime Landlord, Sublandlord and Subtenant as Prime Landlord may reasonably require pursuant to the Lease in connection with Landlord’s Consent, including, without limitation, an agreement to attorn to Prime Landlord in the event of a termination of this Amendment pursuant to the then executory provisions of the Sublease. Any delay in Prime Landlord’s furnishing the Landlord’s Consent shall not postpone or extend the Expiration Date. If Landlord’s Consent is denied, Sublandlord shall immediately notify Subtenant of same, and either party shall have the right to give a termination notice with respect to this Amendment as described in </w:t>
      </w:r>
      <w:r>
        <w:rPr>
          <w:rFonts w:ascii="Times New Roman" w:cs="Times New Roman" w:eastAsia="Times New Roman" w:hAnsi="Times New Roman"/>
          <w:sz w:val="21"/>
          <w:szCs w:val="21"/>
          <w:u w:val="single" w:color="auto"/>
          <w:color w:val="auto"/>
        </w:rPr>
        <w:t>Section 16(b)</w:t>
      </w:r>
      <w:r>
        <w:rPr>
          <w:rFonts w:ascii="Times New Roman" w:cs="Times New Roman" w:eastAsia="Times New Roman" w:hAnsi="Times New Roman"/>
          <w:sz w:val="21"/>
          <w:szCs w:val="21"/>
          <w:color w:val="auto"/>
        </w:rPr>
        <w:t xml:space="preserve"> hereof, in which case the Sublease shall remain in full force and effect. Sublandlord shall request Landlord’s Consent with reasonable promptness,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9" w:name="page130"/>
    <w:bookmarkEnd w:id="129"/>
    <w:p>
      <w:pPr>
        <w:spacing w:after="0" w:line="258" w:lineRule="auto"/>
        <w:rPr>
          <w:sz w:val="20"/>
          <w:szCs w:val="20"/>
          <w:color w:val="auto"/>
        </w:rPr>
      </w:pPr>
      <w:r>
        <w:rPr>
          <w:rFonts w:ascii="Times New Roman" w:cs="Times New Roman" w:eastAsia="Times New Roman" w:hAnsi="Times New Roman"/>
          <w:sz w:val="22"/>
          <w:szCs w:val="22"/>
          <w:color w:val="auto"/>
        </w:rPr>
        <w:t>Sublandlord shall use commercially reasonable efforts to obtain same. Upon receiving Landlord’s Consent from Prime Landlord, Sublandlord shall promptly deliver a copy thereof to Subtenant.</w:t>
      </w:r>
    </w:p>
    <w:p>
      <w:pPr>
        <w:spacing w:after="0" w:line="158" w:lineRule="exact"/>
        <w:rPr>
          <w:sz w:val="20"/>
          <w:szCs w:val="20"/>
          <w:color w:val="auto"/>
        </w:rPr>
      </w:pPr>
    </w:p>
    <w:p>
      <w:pPr>
        <w:jc w:val="both"/>
        <w:ind w:firstLine="1505"/>
        <w:spacing w:after="0" w:line="233" w:lineRule="auto"/>
        <w:tabs>
          <w:tab w:leader="none" w:pos="20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Landlord’s Consent has not been obtained on or before thirty (30) days from the date hereof or Landlord’s Consent is denied within such thirty (30) day period, subject to Force Majeure, then (at any time thereafter until the Landlord’s Consent has been obtained) either party shall have the right to give a termination notice to the other party with respect to this Amendment. If (and only if) the Landlord’s Consent still has not yet been obtained on or before the date that is ten (10) days after the receiving party’s receipt of such termination notice, then, if Subtenant has delivered the increased Letter of Credit or cash security deposit, to Sublandlord, Sublandlord shall promptly return to Subtenant the increased amount of the Letter of Credit or cash security deposit and upon such return this Amendment shall terminate. Upon the making of such return and the occurrence of such termination (and provided Sublandlord used commercially reasonable efforts to obtain such Landlord’s Consent in accordance herewith), neither party hereto shall have any further obligation to the other under this Amendment, except to the extent that the provisions of this Amendment expressly survive the termination of this Amendment, but the Sublease shall survive. If the Landlord’s Consent shall be obtained after the giving of any termination notice under this </w:t>
      </w:r>
      <w:r>
        <w:rPr>
          <w:rFonts w:ascii="Times New Roman" w:cs="Times New Roman" w:eastAsia="Times New Roman" w:hAnsi="Times New Roman"/>
          <w:sz w:val="22"/>
          <w:szCs w:val="22"/>
          <w:u w:val="single" w:color="auto"/>
          <w:color w:val="auto"/>
        </w:rPr>
        <w:t>Section 16(b)</w:t>
      </w:r>
      <w:r>
        <w:rPr>
          <w:rFonts w:ascii="Times New Roman" w:cs="Times New Roman" w:eastAsia="Times New Roman" w:hAnsi="Times New Roman"/>
          <w:sz w:val="22"/>
          <w:szCs w:val="22"/>
          <w:color w:val="auto"/>
        </w:rPr>
        <w:t xml:space="preserve"> but prior to the termination of this Amendment under this </w:t>
      </w:r>
      <w:r>
        <w:rPr>
          <w:rFonts w:ascii="Times New Roman" w:cs="Times New Roman" w:eastAsia="Times New Roman" w:hAnsi="Times New Roman"/>
          <w:sz w:val="22"/>
          <w:szCs w:val="22"/>
          <w:u w:val="single" w:color="auto"/>
          <w:color w:val="auto"/>
        </w:rPr>
        <w:t>Section 16(b)</w:t>
      </w:r>
      <w:r>
        <w:rPr>
          <w:rFonts w:ascii="Times New Roman" w:cs="Times New Roman" w:eastAsia="Times New Roman" w:hAnsi="Times New Roman"/>
          <w:sz w:val="22"/>
          <w:szCs w:val="22"/>
          <w:color w:val="auto"/>
        </w:rPr>
        <w:t>, then such termination notice shall automatically be deemed withdrawn (and of no effect whatsoever).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Delivery of Possession of New Premises</w:t>
      </w:r>
    </w:p>
    <w:p>
      <w:pPr>
        <w:spacing w:after="0" w:line="206" w:lineRule="exact"/>
        <w:rPr>
          <w:sz w:val="20"/>
          <w:szCs w:val="20"/>
          <w:color w:val="auto"/>
        </w:rPr>
      </w:pPr>
    </w:p>
    <w:p>
      <w:pPr>
        <w:jc w:val="both"/>
        <w:ind w:firstLine="1505"/>
        <w:spacing w:after="0" w:line="248" w:lineRule="auto"/>
        <w:tabs>
          <w:tab w:leader="none" w:pos="203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Sublandlord Failure to Deliver New Premises Due to Casualty</w:t>
      </w:r>
      <w:r>
        <w:rPr>
          <w:rFonts w:ascii="Times New Roman" w:cs="Times New Roman" w:eastAsia="Times New Roman" w:hAnsi="Times New Roman"/>
          <w:sz w:val="21"/>
          <w:szCs w:val="21"/>
          <w:color w:val="auto"/>
        </w:rPr>
        <w:t xml:space="preserve">. Notwithstanding anything herein contained to the contrary or any contrary provision of the Lease incorporated herein by reference (except as provided in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16(b)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17(b)</w:t>
      </w:r>
      <w:r>
        <w:rPr>
          <w:rFonts w:ascii="Times New Roman" w:cs="Times New Roman" w:eastAsia="Times New Roman" w:hAnsi="Times New Roman"/>
          <w:sz w:val="21"/>
          <w:szCs w:val="21"/>
          <w:color w:val="auto"/>
        </w:rPr>
        <w:t xml:space="preserve"> hereof), if Sublandlord is unable to deliver to Subtenant possession of the New Premises, or any part thereof, because of a fire or casualty therein or for any other reason whatsoever; (1) Sublandlord shall not be subject to any liability for failure to deliver possession, (2) the validity of this Amendment shall not be impaired, (3) the same shall not be construed to extend the Term and (4) the Term with respect to the New Premises shall commence on, and the New Premises Commencement Date shall be, the date on which Sublandlord delivers possession of the New Premises to Subtenant in the Premises Condition.</w:t>
      </w:r>
    </w:p>
    <w:p>
      <w:pPr>
        <w:spacing w:after="0" w:line="170" w:lineRule="exact"/>
        <w:rPr>
          <w:rFonts w:ascii="Times New Roman" w:cs="Times New Roman" w:eastAsia="Times New Roman" w:hAnsi="Times New Roman"/>
          <w:sz w:val="21"/>
          <w:szCs w:val="21"/>
          <w:color w:val="auto"/>
        </w:rPr>
      </w:pPr>
    </w:p>
    <w:p>
      <w:pPr>
        <w:jc w:val="both"/>
        <w:ind w:firstLine="1505"/>
        <w:spacing w:after="0" w:line="234" w:lineRule="auto"/>
        <w:tabs>
          <w:tab w:leader="none" w:pos="203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if any time after the Landlord’s Consent has been obtained, (a) the New Premises Commencement Date has not occurred by thirty (30) days from the date Landlord’s Consent has been obtained, subject to Force Majeure (the “</w:t>
      </w:r>
      <w:r>
        <w:rPr>
          <w:rFonts w:ascii="Times New Roman" w:cs="Times New Roman" w:eastAsia="Times New Roman" w:hAnsi="Times New Roman"/>
          <w:sz w:val="22"/>
          <w:szCs w:val="22"/>
          <w:b w:val="1"/>
          <w:bCs w:val="1"/>
          <w:color w:val="auto"/>
        </w:rPr>
        <w:t>Outside Date</w:t>
      </w:r>
      <w:r>
        <w:rPr>
          <w:rFonts w:ascii="Times New Roman" w:cs="Times New Roman" w:eastAsia="Times New Roman" w:hAnsi="Times New Roman"/>
          <w:sz w:val="22"/>
          <w:szCs w:val="22"/>
          <w:color w:val="auto"/>
        </w:rPr>
        <w:t>”), then the RP Rent Commencement Date and IP Rent Commencement Date shall be delayed by one (1) day for each day occurring during the period commencing on the Outside Date and ending on the day immediately preceding the New Premises Commencement Date. If Sublandlord has not caused the New Premises Commencement Date to occur on or before sixty (60) days after the Outside Date, subject to Force Majeure, then Subtenant shall have the right at any time thereafter (but prior to the New Premises Commencement Date) to terminate this Amendment by giving written notice of termination to Sublandlord, and upon such termination, (1) this Amendment shall be of no further force or effect, (2) the Sublease shall survive, and (3) if Subtenant has delivered the increased Letter of Credit or cash security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ind w:right="20"/>
        <w:spacing w:after="0" w:line="258" w:lineRule="auto"/>
        <w:rPr>
          <w:sz w:val="20"/>
          <w:szCs w:val="20"/>
          <w:color w:val="auto"/>
        </w:rPr>
      </w:pPr>
      <w:r>
        <w:rPr>
          <w:rFonts w:ascii="Times New Roman" w:cs="Times New Roman" w:eastAsia="Times New Roman" w:hAnsi="Times New Roman"/>
          <w:sz w:val="22"/>
          <w:szCs w:val="22"/>
          <w:color w:val="auto"/>
        </w:rPr>
        <w:t>to Sublandlord, Sublandlord shall promptly return to Subtenant the increased amount of the Letter of Credit or cash security deposit.</w:t>
      </w:r>
    </w:p>
    <w:p>
      <w:pPr>
        <w:spacing w:after="0" w:line="158" w:lineRule="exact"/>
        <w:rPr>
          <w:sz w:val="20"/>
          <w:szCs w:val="20"/>
          <w:color w:val="auto"/>
        </w:rPr>
      </w:pPr>
    </w:p>
    <w:p>
      <w:pPr>
        <w:ind w:right="20" w:firstLine="1505"/>
        <w:spacing w:after="0" w:line="282" w:lineRule="auto"/>
        <w:tabs>
          <w:tab w:leader="none" w:pos="203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xml:space="preserve"> are intended to constitute “an express provision to the contrary” within the meaning of Section 223 of the New York Real Property Law and any other law of like import now or hereafter in effect.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Renewal Option</w:t>
      </w:r>
      <w:r>
        <w:rPr>
          <w:rFonts w:ascii="Times New Roman" w:cs="Times New Roman" w:eastAsia="Times New Roman" w:hAnsi="Times New Roman"/>
          <w:sz w:val="22"/>
          <w:szCs w:val="22"/>
          <w:color w:val="auto"/>
        </w:rPr>
        <w:t>. For the avoidance of doubt, the parties agree that the Renewal Option shall continue to apply.</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Sublandlord and Subtenant’s Representations</w:t>
      </w:r>
      <w:r>
        <w:rPr>
          <w:rFonts w:ascii="Times New Roman" w:cs="Times New Roman" w:eastAsia="Times New Roman" w:hAnsi="Times New Roman"/>
          <w:sz w:val="22"/>
          <w:szCs w:val="22"/>
          <w:color w:val="auto"/>
        </w:rPr>
        <w:t xml:space="preserve">. Sublandlord represents, to the best of Sublandlord’s knowledge and belief, to Subtenant that Sublandlord’s representations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the Original Sublease are true, complete and correct as of the date of execution and delivery of this Amendment, including with respect to the New Premises. Subtenant represents, to the best of Subtenant’s knowledge and belief, to Sublandlord that Subtenant’s representations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the Original Sublease are true, complete and correct as of the date of execution and delivery of this Amendment.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HVAC Supplemental Units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30(b)</w:t>
      </w:r>
      <w:r>
        <w:rPr>
          <w:rFonts w:ascii="Times New Roman" w:cs="Times New Roman" w:eastAsia="Times New Roman" w:hAnsi="Times New Roman"/>
          <w:sz w:val="22"/>
          <w:szCs w:val="22"/>
          <w:color w:val="auto"/>
        </w:rPr>
        <w:t xml:space="preserve"> of the Original Sublease is deleted and replaced with the following: “The New Premises are exclusively serviced by the existing HVAC supplemental units (“</w:t>
      </w:r>
      <w:r>
        <w:rPr>
          <w:rFonts w:ascii="Times New Roman" w:cs="Times New Roman" w:eastAsia="Times New Roman" w:hAnsi="Times New Roman"/>
          <w:sz w:val="22"/>
          <w:szCs w:val="22"/>
          <w:b w:val="1"/>
          <w:bCs w:val="1"/>
          <w:color w:val="auto"/>
        </w:rPr>
        <w:t>Subtenant’s Supplemental HVAC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System</w:t>
      </w:r>
      <w:r>
        <w:rPr>
          <w:rFonts w:ascii="Times New Roman" w:cs="Times New Roman" w:eastAsia="Times New Roman" w:hAnsi="Times New Roman"/>
          <w:sz w:val="22"/>
          <w:szCs w:val="22"/>
          <w:color w:val="auto"/>
        </w:rPr>
        <w:t>”) and such Subtenant’s Supplemental HVAC System shall be delivered by Sublandlord in their “as-is” condition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Premises Commencement Date.”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Physical Security</w:t>
      </w:r>
      <w:r>
        <w:rPr>
          <w:rFonts w:ascii="Times New Roman" w:cs="Times New Roman" w:eastAsia="Times New Roman" w:hAnsi="Times New Roman"/>
          <w:sz w:val="22"/>
          <w:szCs w:val="22"/>
          <w:color w:val="auto"/>
        </w:rPr>
        <w:t>. Sublandlord advises Subtenant that the current access cards it has for the 22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floor may be used for the 29</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and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floors. Sublandlord will provide additional access cards, as requested by Subtenant, at Subtenant’s sole cost and expense.</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Building Telecommunications</w:t>
      </w:r>
      <w:r>
        <w:rPr>
          <w:rFonts w:ascii="Times New Roman" w:cs="Times New Roman" w:eastAsia="Times New Roman" w:hAnsi="Times New Roman"/>
          <w:sz w:val="22"/>
          <w:szCs w:val="22"/>
          <w:color w:val="auto"/>
        </w:rPr>
        <w:t xml:space="preserve">. The first sentence of </w:t>
      </w:r>
      <w:r>
        <w:rPr>
          <w:rFonts w:ascii="Times New Roman" w:cs="Times New Roman" w:eastAsia="Times New Roman" w:hAnsi="Times New Roman"/>
          <w:sz w:val="22"/>
          <w:szCs w:val="22"/>
          <w:u w:val="single" w:color="auto"/>
          <w:color w:val="auto"/>
        </w:rPr>
        <w:t>Section 30(e)</w:t>
      </w:r>
      <w:r>
        <w:rPr>
          <w:rFonts w:ascii="Times New Roman" w:cs="Times New Roman" w:eastAsia="Times New Roman" w:hAnsi="Times New Roman"/>
          <w:sz w:val="22"/>
          <w:szCs w:val="22"/>
          <w:color w:val="auto"/>
        </w:rPr>
        <w:t xml:space="preserve"> of the Original Sublease is hereby deleted and replaced with the following: “Subtenant may use, at Subtenant’s sole cost and expense, telecommunications and cable service providers who are then currently providers to the Building by tapping into the telecommunications closets on the 29</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and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floors of the Building.”</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Fire Stairs</w:t>
      </w:r>
      <w:r>
        <w:rPr>
          <w:rFonts w:ascii="Times New Roman" w:cs="Times New Roman" w:eastAsia="Times New Roman" w:hAnsi="Times New Roman"/>
          <w:sz w:val="22"/>
          <w:szCs w:val="22"/>
          <w:color w:val="auto"/>
        </w:rPr>
        <w:t>. Sublandlord grants Subtenant its right to use the fire stairs between the 29</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and the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floors as permitted in the Lease</w:t>
      </w:r>
      <w:r>
        <w:rPr>
          <w:rFonts w:ascii="Times New Roman" w:cs="Times New Roman" w:eastAsia="Times New Roman" w:hAnsi="Times New Roman"/>
          <w:sz w:val="22"/>
          <w:szCs w:val="22"/>
          <w:i w:val="1"/>
          <w:iCs w:val="1"/>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Sub-subletting</w:t>
      </w:r>
      <w:r>
        <w:rPr>
          <w:rFonts w:ascii="Times New Roman" w:cs="Times New Roman" w:eastAsia="Times New Roman" w:hAnsi="Times New Roman"/>
          <w:sz w:val="22"/>
          <w:szCs w:val="22"/>
          <w:color w:val="auto"/>
        </w:rPr>
        <w:t xml:space="preserve">: Original Sublease </w:t>
      </w:r>
      <w:r>
        <w:rPr>
          <w:rFonts w:ascii="Times New Roman" w:cs="Times New Roman" w:eastAsia="Times New Roman" w:hAnsi="Times New Roman"/>
          <w:sz w:val="22"/>
          <w:szCs w:val="22"/>
          <w:u w:val="single" w:color="auto"/>
          <w:color w:val="auto"/>
        </w:rPr>
        <w:t>Section 9(c)(ix)</w:t>
      </w:r>
      <w:r>
        <w:rPr>
          <w:rFonts w:ascii="Times New Roman" w:cs="Times New Roman" w:eastAsia="Times New Roman" w:hAnsi="Times New Roman"/>
          <w:sz w:val="22"/>
          <w:szCs w:val="22"/>
          <w:color w:val="auto"/>
        </w:rPr>
        <w:t xml:space="preserve"> shall be deleted and replaced with the following: “There shall not be more than four (4) rental units per floor of the New Premises.”</w:t>
      </w:r>
    </w:p>
    <w:p>
      <w:pPr>
        <w:spacing w:after="0" w:line="15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25.</w:t>
      </w:r>
      <w:r>
        <w:rPr>
          <w:rFonts w:ascii="Times New Roman" w:cs="Times New Roman" w:eastAsia="Times New Roman" w:hAnsi="Times New Roman"/>
          <w:sz w:val="21"/>
          <w:szCs w:val="21"/>
          <w:u w:val="single" w:color="auto"/>
          <w:color w:val="auto"/>
        </w:rPr>
        <w:t>Condenser Water and Sprinklers</w:t>
      </w:r>
      <w:r>
        <w:rPr>
          <w:rFonts w:ascii="Times New Roman" w:cs="Times New Roman" w:eastAsia="Times New Roman" w:hAnsi="Times New Roman"/>
          <w:sz w:val="21"/>
          <w:szCs w:val="21"/>
          <w:color w:val="auto"/>
        </w:rPr>
        <w:t xml:space="preserve">. The first sentence of Original Sublease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shall be deleted and replaced with the following: “From and after the date that Subtenant first occupies the New Premises for the conduct of Subtenant’s business, 23 tons of condenser water per floor shall be furnished to Subtenant twenty four (24) hours a day, seven (7) days a week for the Subtenant’s Supplemental HVAC System (as herein defined), which shall be payable by Subtenant at the actual rate then paid by Sublandlord as tenant under the Lease, which as of the date of this Amendment is $885.00 per ton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ind w:left="760"/>
        <w:spacing w:after="0"/>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Right of First Refusal</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1505"/>
        <w:spacing w:after="0" w:line="235"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 Refusal Notice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Until February 28, 2025, if Sublandlord receives an offer pursuant to a letter of intent to sublease that it is willing to accept (the "</w:t>
      </w:r>
      <w:r>
        <w:rPr>
          <w:rFonts w:ascii="Times New Roman" w:cs="Times New Roman" w:eastAsia="Times New Roman" w:hAnsi="Times New Roman"/>
          <w:sz w:val="22"/>
          <w:szCs w:val="22"/>
          <w:b w:val="1"/>
          <w:bCs w:val="1"/>
          <w:color w:val="auto"/>
        </w:rPr>
        <w:t>Proposed Sublease</w:t>
      </w:r>
      <w:r>
        <w:rPr>
          <w:rFonts w:ascii="Times New Roman" w:cs="Times New Roman" w:eastAsia="Times New Roman" w:hAnsi="Times New Roman"/>
          <w:sz w:val="22"/>
          <w:szCs w:val="22"/>
          <w:color w:val="auto"/>
        </w:rPr>
        <w:t>") for any of the currently vacant premises on the 28</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and/or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floors of the Building (the "</w:t>
      </w:r>
      <w:r>
        <w:rPr>
          <w:rFonts w:ascii="Times New Roman" w:cs="Times New Roman" w:eastAsia="Times New Roman" w:hAnsi="Times New Roman"/>
          <w:sz w:val="22"/>
          <w:szCs w:val="22"/>
          <w:b w:val="1"/>
          <w:bCs w:val="1"/>
          <w:color w:val="auto"/>
        </w:rPr>
        <w:t>Additional Space</w:t>
      </w:r>
      <w:r>
        <w:rPr>
          <w:rFonts w:ascii="Times New Roman" w:cs="Times New Roman" w:eastAsia="Times New Roman" w:hAnsi="Times New Roman"/>
          <w:sz w:val="22"/>
          <w:szCs w:val="22"/>
          <w:color w:val="auto"/>
        </w:rPr>
        <w:t>"), Subtenant shall have a right of first refusal to sublease that part of the Additional Space made the subject of the Proposed Sublease (the "</w:t>
      </w:r>
      <w:r>
        <w:rPr>
          <w:rFonts w:ascii="Times New Roman" w:cs="Times New Roman" w:eastAsia="Times New Roman" w:hAnsi="Times New Roman"/>
          <w:sz w:val="22"/>
          <w:szCs w:val="22"/>
          <w:b w:val="1"/>
          <w:bCs w:val="1"/>
          <w:color w:val="auto"/>
        </w:rPr>
        <w:t>ROFR Space</w:t>
      </w:r>
      <w:r>
        <w:rPr>
          <w:rFonts w:ascii="Times New Roman" w:cs="Times New Roman" w:eastAsia="Times New Roman" w:hAnsi="Times New Roman"/>
          <w:sz w:val="22"/>
          <w:szCs w:val="22"/>
          <w:color w:val="auto"/>
        </w:rPr>
        <w:t xml:space="preserve">") in accordance with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and Sublandlord may not enter into the Proposed Sublease unless Sublandlord first delivers to Subtenant a notice (the "</w:t>
      </w:r>
      <w:r>
        <w:rPr>
          <w:rFonts w:ascii="Times New Roman" w:cs="Times New Roman" w:eastAsia="Times New Roman" w:hAnsi="Times New Roman"/>
          <w:sz w:val="22"/>
          <w:szCs w:val="22"/>
          <w:b w:val="1"/>
          <w:bCs w:val="1"/>
          <w:color w:val="auto"/>
        </w:rPr>
        <w:t>First Refusal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to Sublease Notice</w:t>
      </w:r>
      <w:r>
        <w:rPr>
          <w:rFonts w:ascii="Times New Roman" w:cs="Times New Roman" w:eastAsia="Times New Roman" w:hAnsi="Times New Roman"/>
          <w:sz w:val="22"/>
          <w:szCs w:val="22"/>
          <w:color w:val="auto"/>
        </w:rPr>
        <w:t>") setting forth: (a) intentionally omitted, (b) the rental amount and each of the material terms of the Proposed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Sublease as set forth on the letter of intent; (c) a description of the ROFR Space and (d) any other terms set forth in the letter of intent that Sublandlord is willing to sublease the Additional Space upon (the “</w:t>
      </w:r>
      <w:r>
        <w:rPr>
          <w:rFonts w:ascii="Times New Roman" w:cs="Times New Roman" w:eastAsia="Times New Roman" w:hAnsi="Times New Roman"/>
          <w:sz w:val="22"/>
          <w:szCs w:val="22"/>
          <w:b w:val="1"/>
          <w:bCs w:val="1"/>
          <w:color w:val="auto"/>
        </w:rPr>
        <w:t>Sublease Terms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Response Period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For the ten (10) business day period beginning on Subtenant's receipt of the First Refusal to Sublease Notice (the "</w:t>
      </w:r>
      <w:r>
        <w:rPr>
          <w:rFonts w:ascii="Times New Roman" w:cs="Times New Roman" w:eastAsia="Times New Roman" w:hAnsi="Times New Roman"/>
          <w:sz w:val="22"/>
          <w:szCs w:val="22"/>
          <w:b w:val="1"/>
          <w:bCs w:val="1"/>
          <w:color w:val="auto"/>
        </w:rPr>
        <w:t>Additional Space ROFR Response Period</w:t>
      </w:r>
      <w:r>
        <w:rPr>
          <w:rFonts w:ascii="Times New Roman" w:cs="Times New Roman" w:eastAsia="Times New Roman" w:hAnsi="Times New Roman"/>
          <w:sz w:val="22"/>
          <w:szCs w:val="22"/>
          <w:color w:val="auto"/>
        </w:rPr>
        <w:t>"), Subtenant has the exclusive right to sublease the ROFR Space on the Sublease Terms, by notifying Sublandlord of its election to exercise its right of first refusal (the "</w:t>
      </w:r>
      <w:r>
        <w:rPr>
          <w:rFonts w:ascii="Times New Roman" w:cs="Times New Roman" w:eastAsia="Times New Roman" w:hAnsi="Times New Roman"/>
          <w:sz w:val="22"/>
          <w:szCs w:val="22"/>
          <w:b w:val="1"/>
          <w:bCs w:val="1"/>
          <w:color w:val="auto"/>
        </w:rPr>
        <w:t>ROFR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Exercise Notice</w:t>
      </w:r>
      <w:r>
        <w:rPr>
          <w:rFonts w:ascii="Times New Roman" w:cs="Times New Roman" w:eastAsia="Times New Roman" w:hAnsi="Times New Roman"/>
          <w:sz w:val="22"/>
          <w:szCs w:val="22"/>
          <w:color w:val="auto"/>
        </w:rPr>
        <w:t>") on or before the last day of the Additional Space ROFR Response Period. Sublandlord is then bound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sublease to Subtenant the ROFR Space on the Sublease Terms. Within ten (10) days after Subtenant's delivery of the ROFR Exercise Notice, Sublandlord and Subtenant shall execute an amendment to the existing Sublease, on the Sublease Terms for the ROFR Space. Notwithstanding the foregoing, the term for Subtenant's sublease of the ROFR Space will be coterminous with the Sublease Term.</w:t>
      </w:r>
    </w:p>
    <w:p>
      <w:pPr>
        <w:spacing w:after="0" w:line="178"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ROFR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Subtenant either: (a) delivers written notice of rejection of the First Refusal to Sublease Notice to Sublandlord; or (b) fails to deliver the ROFR Exercise Notice, within the Additional Space ROFR Response Period, Subtenant's right of first refusal hereunder will conclusively be deemed to be waived with respect to the Proposed Sublease and Sublandlord is free to sign the Proposed Sublease.</w:t>
      </w:r>
    </w:p>
    <w:p>
      <w:pPr>
        <w:spacing w:after="0" w:line="175"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in this Sublease to the contrary notwithstanding, the provisions of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granting to Subtenant the Right of First Refusal shall be null and void and of no force or effect if the Named Subtenant is no longer the Subtenant under this Sublease.</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Sublandlord has advised Subtenant that there is a Sublease for the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floor whose term expires after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February 28, 2025.</w:t>
      </w:r>
    </w:p>
    <w:p>
      <w:pPr>
        <w:spacing w:after="0" w:line="18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Sublandlord advised Subtenant on January 14, 2025 that Sublandlord is currently negotiating a Proposed Sublease for the 27</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28</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(which 28th floor is part of the ROFR Space) and 32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floors (and possibly the 22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floor) of the Building, and Subtenant hereby notifies Sublandlord of its election to not exercise its right of first refusal with respect to the Proposed Sublease.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Sublandlord and Subtenant each hereby represents and warrants to the other that it has had no dealings with any real estate broker or agent in connection with the negotiation of this Amendment and that it knows of no real estate broker or agent who is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jc w:val="both"/>
        <w:spacing w:after="0" w:line="237" w:lineRule="auto"/>
        <w:rPr>
          <w:sz w:val="20"/>
          <w:szCs w:val="20"/>
          <w:color w:val="auto"/>
        </w:rPr>
      </w:pPr>
      <w:r>
        <w:rPr>
          <w:rFonts w:ascii="Times New Roman" w:cs="Times New Roman" w:eastAsia="Times New Roman" w:hAnsi="Times New Roman"/>
          <w:sz w:val="22"/>
          <w:szCs w:val="22"/>
          <w:color w:val="auto"/>
        </w:rPr>
        <w:t>to a commission in connection with this Amendment other than CBRE and Savills (collectively, the “</w:t>
      </w:r>
      <w:r>
        <w:rPr>
          <w:rFonts w:ascii="Times New Roman" w:cs="Times New Roman" w:eastAsia="Times New Roman" w:hAnsi="Times New Roman"/>
          <w:sz w:val="22"/>
          <w:szCs w:val="22"/>
          <w:b w:val="1"/>
          <w:bCs w:val="1"/>
          <w:color w:val="auto"/>
        </w:rPr>
        <w:t>Broker</w:t>
      </w:r>
      <w:r>
        <w:rPr>
          <w:rFonts w:ascii="Times New Roman" w:cs="Times New Roman" w:eastAsia="Times New Roman" w:hAnsi="Times New Roman"/>
          <w:sz w:val="22"/>
          <w:szCs w:val="22"/>
          <w:color w:val="auto"/>
        </w:rPr>
        <w:t>”). Sublandlord shall pay the Broker pursuant to a separate agreement.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in connection with this Amendment on account of the indemnifying party’s dealings with any real estate broker or agent. The provisions of this Section shall survive the termination of this Amendment.</w:t>
      </w:r>
    </w:p>
    <w:p>
      <w:pPr>
        <w:spacing w:after="0" w:line="1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No Further Modification</w:t>
      </w:r>
      <w:r>
        <w:rPr>
          <w:rFonts w:ascii="Times New Roman" w:cs="Times New Roman" w:eastAsia="Times New Roman" w:hAnsi="Times New Roman"/>
          <w:sz w:val="22"/>
          <w:szCs w:val="22"/>
          <w:color w:val="auto"/>
        </w:rPr>
        <w:t>. Except as set forth in this Amendment, all of the terms and provisions of the Sublease shall remain unmodified and in full force and effect.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Conflicts.</w:t>
      </w:r>
      <w:r>
        <w:rPr>
          <w:rFonts w:ascii="Times New Roman" w:cs="Times New Roman" w:eastAsia="Times New Roman" w:hAnsi="Times New Roman"/>
          <w:sz w:val="22"/>
          <w:szCs w:val="22"/>
          <w:color w:val="auto"/>
        </w:rPr>
        <w:t xml:space="preserve"> Any conflicts between this Amendment and the Sublease shall be controlled by this Amendment. In all other respects, the Sublease continues in full force and effect.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30.</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Subject to obtaining Landlord’s Consent, each signatory of this Amendment represents hereby that he or she has the authority to execute and deliver the same on behalf of the party hereto for which such signatory is acting.</w:t>
      </w:r>
    </w:p>
    <w:p>
      <w:pPr>
        <w:spacing w:after="0" w:line="15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31.</w:t>
      </w:r>
      <w:r>
        <w:rPr>
          <w:rFonts w:ascii="Times New Roman" w:cs="Times New Roman" w:eastAsia="Times New Roman" w:hAnsi="Times New Roman"/>
          <w:sz w:val="21"/>
          <w:szCs w:val="21"/>
          <w:u w:val="single" w:color="auto"/>
          <w:color w:val="auto"/>
        </w:rPr>
        <w:t>Counterparts/Originals</w:t>
      </w:r>
      <w:r>
        <w:rPr>
          <w:rFonts w:ascii="Times New Roman" w:cs="Times New Roman" w:eastAsia="Times New Roman" w:hAnsi="Times New Roman"/>
          <w:sz w:val="21"/>
          <w:szCs w:val="21"/>
          <w:color w:val="auto"/>
        </w:rPr>
        <w:t>. This Amendment may be executed and delivered (including by facsimile, “pdf” or other electronic transmission) in two or more counterparts, each of which shall be deemed an original, but all of which together shall constitute one and the same instrument. Sublandlord and Subtenant hereby acknowledge and agree that electronic signatures, including execution using Adobe Sign, DocuSign, or other signature generating software or signatures transmitted by electronic mail in so-called “pdf” format, shall be legal and binding without the need to deliver an original of this Amendment. Sublandlord and Subtenant (i) intend to be bound by the signatures (whether original or electronic) on any document sent by electronic mail,</w:t>
      </w:r>
    </w:p>
    <w:p>
      <w:pPr>
        <w:spacing w:after="0" w:line="3" w:lineRule="exact"/>
        <w:rPr>
          <w:sz w:val="20"/>
          <w:szCs w:val="20"/>
          <w:color w:val="auto"/>
        </w:rPr>
      </w:pPr>
    </w:p>
    <w:p>
      <w:pPr>
        <w:jc w:val="both"/>
        <w:ind w:firstLine="8"/>
        <w:spacing w:after="0" w:line="233" w:lineRule="auto"/>
        <w:tabs>
          <w:tab w:leader="none" w:pos="32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aware that the other party will rely on such signatures, (iii) hereby waive any defenses to the enforcement of the terms of this Amendment based on the foregoing forms of electronic signatures, and (iv) the parties further consent and agree that (1) to the extent a party signs this Amendment using electronic signature technology, by clicking “SIGN” or an equivalent, such party is signing this Amendment electronically, and (2) the electronic signatures appearing on this Amendment shall be treated, for purposes of validity, enforceability and admissibility, the same as handwritten signatures.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CONTAINED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3" w:name="page134"/>
    <w:bookmarkEnd w:id="133"/>
    <w:p>
      <w:pPr>
        <w:ind w:left="420"/>
        <w:spacing w:after="0"/>
        <w:rPr>
          <w:sz w:val="20"/>
          <w:szCs w:val="20"/>
          <w:color w:val="auto"/>
        </w:rPr>
      </w:pPr>
      <w:r>
        <w:rPr>
          <w:rFonts w:ascii="Times New Roman" w:cs="Times New Roman" w:eastAsia="Times New Roman" w:hAnsi="Times New Roman"/>
          <w:sz w:val="21"/>
          <w:szCs w:val="21"/>
          <w:color w:val="auto"/>
        </w:rPr>
        <w:t>IN WITNESS WHEREOF, this Amendment has been executed as of the day and year first above written.</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“SUBLANDLORD”</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ADVANCE MAGAZINE PUBLISHERS INC., D/B/A CONDÉ NAST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Oren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307721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Oren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30772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30772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“SUBTENANT”</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30772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307721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307721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1303020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1408"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OMNIBUS INCENTIVE COMPENSATION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SUMMARY OF GRANT</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Axsome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pursuant to its 2015 Omnibus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individual listed below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 nonqualified stock option to purchase shares of common stock of the Company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that may become vested and exercisable as set forth below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The Option is subject in all respects to the terms and conditions set forth herein, in the Nonqualified Stock Option Grant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Nonqualified Stock Option 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Plan, each of which is incorporated herein by reference and made part hereof. Unless otherwise defined herein, capitalized terms used in this Nonqualified Stock Option Summary of Grant (the “</w:t>
      </w:r>
      <w:r>
        <w:rPr>
          <w:rFonts w:ascii="Times New Roman" w:cs="Times New Roman" w:eastAsia="Times New Roman" w:hAnsi="Times New Roman"/>
          <w:sz w:val="18"/>
          <w:szCs w:val="18"/>
          <w:u w:val="single" w:color="auto"/>
          <w:color w:val="auto"/>
        </w:rPr>
        <w:t>Summary of Grant</w:t>
      </w:r>
      <w:r>
        <w:rPr>
          <w:rFonts w:ascii="Times New Roman" w:cs="Times New Roman" w:eastAsia="Times New Roman" w:hAnsi="Times New Roman"/>
          <w:sz w:val="18"/>
          <w:szCs w:val="18"/>
          <w:color w:val="auto"/>
        </w:rPr>
        <w:t>”) and the Nonqualified Stock Option Grant Agreement will have the meanings set forth in the Plan.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Participant:</w:t>
            </w: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[NAME]</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Number of Shares Granted:</w:t>
            </w: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[NUMBER] of shares of Company Stock</w:t>
            </w:r>
          </w:p>
        </w:tc>
      </w:tr>
      <w:tr>
        <w:trPr>
          <w:trHeight w:val="412"/>
        </w:trPr>
        <w:tc>
          <w:tcPr>
            <w:tcW w:w="20" w:type="dxa"/>
            <w:vAlign w:val="bottom"/>
          </w:tcPr>
          <w:p>
            <w:pPr>
              <w:spacing w:after="0"/>
              <w:rPr>
                <w:sz w:val="24"/>
                <w:szCs w:val="24"/>
                <w:color w:val="auto"/>
              </w:rPr>
            </w:pPr>
          </w:p>
        </w:tc>
        <w:tc>
          <w:tcPr>
            <w:tcW w:w="23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960" w:type="dxa"/>
            <w:vAlign w:val="bottom"/>
          </w:tcPr>
          <w:p>
            <w:pPr>
              <w:spacing w:after="0"/>
              <w:rPr>
                <w:sz w:val="24"/>
                <w:szCs w:val="24"/>
                <w:color w:val="auto"/>
              </w:rPr>
            </w:pP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[Fair Market Value on Date of Grant]</w:t>
            </w:r>
          </w:p>
        </w:tc>
      </w:tr>
      <w:tr>
        <w:trPr>
          <w:trHeight w:val="20"/>
        </w:trPr>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Exercisability of the Option:</w:t>
            </w: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Except as set forth herein, the Option will vest and become exercisable on the following dates</w:t>
            </w:r>
          </w:p>
        </w:tc>
      </w:tr>
      <w:tr>
        <w:trPr>
          <w:trHeight w:val="196"/>
        </w:trPr>
        <w:tc>
          <w:tcPr>
            <w:tcW w:w="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900" w:type="dxa"/>
            <w:vAlign w:val="bottom"/>
            <w:gridSpan w:val="3"/>
          </w:tcPr>
          <w:p>
            <w:pPr>
              <w:ind w:left="920"/>
              <w:spacing w:after="0" w:line="196" w:lineRule="exact"/>
              <w:rPr>
                <w:sz w:val="20"/>
                <w:szCs w:val="20"/>
                <w:color w:val="auto"/>
              </w:rPr>
            </w:pPr>
            <w:r>
              <w:rPr>
                <w:rFonts w:ascii="Times New Roman" w:cs="Times New Roman" w:eastAsia="Times New Roman" w:hAnsi="Times New Roman"/>
                <w:sz w:val="18"/>
                <w:szCs w:val="18"/>
                <w:color w:val="auto"/>
              </w:rPr>
              <w:t>(each, a “Vesting Date”), provided that the Participant continues to be employed by, or provide</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service to, the Employer from the Date of Grant through the applicable Vesting Date:</w:t>
            </w: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0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[Insert Vesting Schedule]</w:t>
            </w: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The Option will be fully vested and exercisable on [Insert Date] if the Participant is employed</w:t>
            </w: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by, or providing services to, the Employer on such date.</w:t>
            </w:r>
          </w:p>
        </w:tc>
      </w:tr>
      <w:tr>
        <w:trPr>
          <w:trHeight w:val="64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0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 Page Follows]</w:t>
            </w:r>
          </w:p>
        </w:tc>
      </w:tr>
      <w:tr>
        <w:trPr>
          <w:trHeight w:val="1411"/>
        </w:trPr>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5" w:name="page136"/>
    <w:bookmarkEnd w:id="135"/>
    <w:p>
      <w:pPr>
        <w:ind w:left="760"/>
        <w:spacing w:after="0"/>
        <w:rPr>
          <w:sz w:val="20"/>
          <w:szCs w:val="20"/>
          <w:color w:val="auto"/>
        </w:rPr>
      </w:pPr>
      <w:r>
        <w:rPr>
          <w:rFonts w:ascii="Times New Roman" w:cs="Times New Roman" w:eastAsia="Times New Roman" w:hAnsi="Times New Roman"/>
          <w:sz w:val="17"/>
          <w:szCs w:val="17"/>
          <w:color w:val="auto"/>
        </w:rPr>
        <w:t>IN WITNESS WHEREOF, the Company has caused its duly authorized officers to execute and attest this Agreement, effective as of the Date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Herriot Tabuteau, M.D.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I hereby acknowledge delivery of the Plan and the Plan prospectus together with this Summary of Grant and the Nonqualified Stock Option Grant Agreement. Additional copies of the Plan and the Plan prospectus are available by contacting Nick Pizzie, Chief Financial Officer at npizzie@axsome.com.</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Participant</w:t>
      </w:r>
    </w:p>
    <w:p>
      <w:pPr>
        <w:spacing w:after="0" w:line="20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136" w:name="page137"/>
    <w:bookmarkEnd w:id="136"/>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NONQUALIFIED STOCK OPTION GRANT AGREEMENT</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(Pursuant to the 2015 Omnibus Incentive Compensation Plan)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Nonqualified Stock Option Grant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delivered by Axsome Therapeutics, Inc.,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pursuant to the Summary of Grant delivered with this Agreement to the individual named in the Summary of Grant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The Summary of Grant, which specifies the Participant, the date as of which the grant is made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vesting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specific details of the grant is incorporated herein by reference.</w:t>
      </w:r>
    </w:p>
    <w:p>
      <w:pPr>
        <w:spacing w:after="0" w:line="203" w:lineRule="exact"/>
        <w:rPr>
          <w:sz w:val="20"/>
          <w:szCs w:val="20"/>
          <w:color w:val="auto"/>
        </w:rPr>
      </w:pPr>
    </w:p>
    <w:p>
      <w:pPr>
        <w:ind w:right="60" w:firstLine="757"/>
        <w:spacing w:after="0" w:line="256" w:lineRule="auto"/>
        <w:tabs>
          <w:tab w:leader="none" w:pos="10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Grant</w:t>
      </w:r>
      <w:r>
        <w:rPr>
          <w:rFonts w:ascii="Times New Roman" w:cs="Times New Roman" w:eastAsia="Times New Roman" w:hAnsi="Times New Roman"/>
          <w:sz w:val="18"/>
          <w:szCs w:val="18"/>
          <w:color w:val="auto"/>
        </w:rPr>
        <w:t>. Upon the terms and conditions set forth in this Agreement and in the Company’s 2015 Omnibus Incentive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Company hereby grants to the Participant a nonqualified stock option to purchase the number of shares of common stock of the Company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set forth in the Summary of Grant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The Participant hereby acknowledges the receipt of a copy of the official prospectus for the Plan. Copies of the Plan and the official Plan prospectus are available by contacting Nick Pizzie, Chief Financial Officer at npizzie@axsome.com. This Agreement is made pursuant to the Plan and is subject in its entirety to all applicable provisions of the Plan. Capitalized terms used herein and not otherwise defined will have the meanings set forth in the Plan. The Participant agrees to be bound by all of the terms and conditions of the Plan.</w:t>
      </w:r>
    </w:p>
    <w:p>
      <w:pPr>
        <w:spacing w:after="0" w:line="18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Exercisability of the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60" w:firstLine="745"/>
        <w:spacing w:after="0" w:line="282" w:lineRule="auto"/>
        <w:tabs>
          <w:tab w:leader="none" w:pos="204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will become vested and exercisable as set forth in the Summary of Grant, provided that the Participant continues to be employed by, or provide service to, the Employer through the Vesting Date (as defined in the Summary of Grant).</w:t>
      </w:r>
    </w:p>
    <w:p>
      <w:pPr>
        <w:spacing w:after="0" w:line="161" w:lineRule="exact"/>
        <w:rPr>
          <w:rFonts w:ascii="Times New Roman" w:cs="Times New Roman" w:eastAsia="Times New Roman" w:hAnsi="Times New Roman"/>
          <w:sz w:val="18"/>
          <w:szCs w:val="18"/>
          <w:color w:val="auto"/>
        </w:rPr>
      </w:pPr>
    </w:p>
    <w:p>
      <w:pPr>
        <w:ind w:left="760" w:right="40" w:firstLine="745"/>
        <w:spacing w:after="0" w:line="266" w:lineRule="auto"/>
        <w:tabs>
          <w:tab w:leader="none" w:pos="204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exercisability of the Option is cumulative, but shall not exceed 100% of the shares of Company Stock subject to the Option. If the schedule set forth in the Summary of Grant would produce fractional shares of Company Stock, the number of shares of Company Stock for which the Option becomes exercisable shall be rounded down to the nearest whole share of Company Stock.</w:t>
      </w:r>
    </w:p>
    <w:p>
      <w:pPr>
        <w:spacing w:after="0" w:line="17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of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120" w:firstLine="1505"/>
        <w:spacing w:after="0" w:line="258" w:lineRule="auto"/>
        <w:tabs>
          <w:tab w:leader="none" w:pos="203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will have a term of ten years from the Date of Grant and will terminate at the expiration of that period, unless it is terminated at an earlier date pursuant to the provisions of this Agreement or the Plan. Notwithstanding the foregoing, in the event that on the last business day of the term of the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spacing w:after="0" w:line="18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will automatically terminate upon the happening of the first of the following events:</w:t>
      </w:r>
    </w:p>
    <w:p>
      <w:pPr>
        <w:spacing w:after="0" w:line="225" w:lineRule="exact"/>
        <w:rPr>
          <w:sz w:val="20"/>
          <w:szCs w:val="20"/>
          <w:color w:val="auto"/>
        </w:rPr>
      </w:pPr>
    </w:p>
    <w:p>
      <w:pPr>
        <w:ind w:right="140" w:firstLine="1505"/>
        <w:spacing w:after="0" w:line="282" w:lineRule="auto"/>
        <w:tabs>
          <w:tab w:leader="none" w:pos="2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[NUMBER]-[PERIOD] period after the Participant ceases to be employed by, or provide service to, the Employer, if the termination is for any reason other than Disability, death or Cause.</w:t>
      </w:r>
    </w:p>
    <w:p>
      <w:pPr>
        <w:spacing w:after="0" w:line="161" w:lineRule="exact"/>
        <w:rPr>
          <w:rFonts w:ascii="Times New Roman" w:cs="Times New Roman" w:eastAsia="Times New Roman" w:hAnsi="Times New Roman"/>
          <w:sz w:val="18"/>
          <w:szCs w:val="18"/>
          <w:color w:val="auto"/>
        </w:rPr>
      </w:pPr>
    </w:p>
    <w:p>
      <w:pPr>
        <w:ind w:right="260" w:firstLine="1505"/>
        <w:spacing w:after="0" w:line="282" w:lineRule="auto"/>
        <w:tabs>
          <w:tab w:leader="none" w:pos="2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one-year period after the Participant ceases to be employed by, or provide service to, the Employer on account of the Participant’s Disability.</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one-year period after the Participant ceases to be employed by, or provide service to, the Employer, if the Participant dies while employed by, or providing service to, the Employer or</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within 90 days after the Participant ceases to be so employed or provide such services on account of a termination described in subsection (i) above.</w:t>
      </w:r>
    </w:p>
    <w:p>
      <w:pPr>
        <w:spacing w:after="0" w:line="225" w:lineRule="exact"/>
        <w:rPr>
          <w:sz w:val="20"/>
          <w:szCs w:val="20"/>
          <w:color w:val="auto"/>
        </w:rPr>
      </w:pPr>
    </w:p>
    <w:p>
      <w:pPr>
        <w:ind w:right="320" w:firstLine="1505"/>
        <w:spacing w:after="0" w:line="266" w:lineRule="auto"/>
        <w:tabs>
          <w:tab w:leader="none" w:pos="20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Participant ceases to be employed by, or provide service to, the Employer for Cause. In addition, notwithstanding the prior provisions of this Section 3, if the Participant engages in conduct that constitutes Cause after the Participant’s employment or service terminates, the Option will immediately terminate.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no event may the Option be exercised after the date that is immediately before the tenth anniversary of the Date of Grant; provided, however, that if the term of the Option is extended pursuant to Section 3(a) above, in no event may the Option be exercised after the date that is immediately before the expiration of the extended term of the Option. Any portion of the Option that is not exercisable at the time the Participant ceases to be employed by, or provide service to, the Employer will immediately terminate.</w:t>
      </w:r>
    </w:p>
    <w:p>
      <w:pPr>
        <w:spacing w:after="0" w:line="176" w:lineRule="exact"/>
        <w:rPr>
          <w:sz w:val="20"/>
          <w:szCs w:val="20"/>
          <w:color w:val="auto"/>
        </w:rPr>
      </w:pPr>
    </w:p>
    <w:p>
      <w:pPr>
        <w:ind w:left="1020" w:hanging="26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Procedures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505"/>
        <w:spacing w:after="0" w:line="254" w:lineRule="auto"/>
        <w:tabs>
          <w:tab w:leader="none" w:pos="203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2 and 3 above, the Participant may exercise part or all of the exercisable Option by giving the Company written notice of intent to exercise in the manner provided in this Agreement, specifying the number of shares of Company Stock as to which the Option is to be exercised. At such time as the Committee shall determine, the Participant shall pay the Exercise Price (i) in cash, (ii) unless the Committee determines otherwise, by delivering shares of Company Stock owned by the Participant, which shall be valued at their Fair Market Value on the date of exercise, or by attestation (on a form prescribed by the Committee) to ownership of shares of Company Stock having a Fair Market Value on the date of exercise at least equal to the Exercise Price, (iii) by payment through a broker in accordance with procedures permitted by Regulation T of the Federal Reserve Board, (iv) by withholding shares of Company Stock subject to the exercisable Option, which have a Fair Market Value on the date of exercise equal to the Exercise Price, or (v) by such other method as the Committee may approve, to the extent permitted by applicable law. The Committee may impose from time to time such limitations as it deems appropriate on the use of shares of Company Stock to exercise the Option.</w:t>
      </w:r>
    </w:p>
    <w:p>
      <w:pPr>
        <w:spacing w:after="0" w:line="188" w:lineRule="exact"/>
        <w:rPr>
          <w:rFonts w:ascii="Times New Roman" w:cs="Times New Roman" w:eastAsia="Times New Roman" w:hAnsi="Times New Roman"/>
          <w:sz w:val="18"/>
          <w:szCs w:val="18"/>
          <w:color w:val="auto"/>
        </w:rPr>
      </w:pPr>
    </w:p>
    <w:p>
      <w:pPr>
        <w:ind w:right="40" w:firstLine="1505"/>
        <w:spacing w:after="0" w:line="256" w:lineRule="auto"/>
        <w:tabs>
          <w:tab w:leader="none" w:pos="203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deliver shares of Company Stock upon exercise of the Option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 The Company may require that the Participant (or other person exercising the Option after the Participant’s death) represent that the Participant is purchasing shares of Company Stock for the Participant’s own account and not with a view to or for sale in connection with any distribution of the shares of Company Stock, or such other representation as the Committee deems appropriate.</w:t>
      </w:r>
    </w:p>
    <w:p>
      <w:pPr>
        <w:spacing w:after="0" w:line="187" w:lineRule="exact"/>
        <w:rPr>
          <w:rFonts w:ascii="Times New Roman" w:cs="Times New Roman" w:eastAsia="Times New Roman" w:hAnsi="Times New Roman"/>
          <w:sz w:val="18"/>
          <w:szCs w:val="18"/>
          <w:color w:val="auto"/>
        </w:rPr>
      </w:pPr>
    </w:p>
    <w:p>
      <w:pPr>
        <w:ind w:right="140" w:firstLine="1505"/>
        <w:spacing w:after="0" w:line="256" w:lineRule="auto"/>
        <w:tabs>
          <w:tab w:leader="none" w:pos="203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Company under this Agreement shall be subject to the rights of the Company as set forth in the Plan to withhold amounts required to be withheld for any taxes, if applicable. Subject to Committee approval, the Participant may elect to satisfy any tax withholding obligation of the Employer with respect to the Option by having shares of Company Stock withheld up to an amount that does not exceed the applicable withholding tax rate for federal (including FICA), state and local tax liabilities. Unless the Committee determines otherwise, the fair market value (measured at the time of the transaction) of the shares withheld for taxes shall not exceed the Participant’s minimum applicable tax withholding amount.</w:t>
      </w:r>
    </w:p>
    <w:p>
      <w:pPr>
        <w:spacing w:after="0" w:line="18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the Option (or portion thereof), the Option (or portion thereof) will terminate and cease to be outstanding.</w:t>
      </w:r>
    </w:p>
    <w:p>
      <w:pPr>
        <w:spacing w:after="0" w:line="221" w:lineRule="exact"/>
        <w:rPr>
          <w:rFonts w:ascii="Times New Roman" w:cs="Times New Roman" w:eastAsia="Times New Roman" w:hAnsi="Times New Roman"/>
          <w:sz w:val="18"/>
          <w:szCs w:val="18"/>
          <w:color w:val="auto"/>
        </w:rPr>
      </w:pPr>
    </w:p>
    <w:p>
      <w:pPr>
        <w:jc w:val="both"/>
        <w:ind w:right="180" w:firstLine="757"/>
        <w:spacing w:after="0" w:line="268" w:lineRule="auto"/>
        <w:tabs>
          <w:tab w:leader="none" w:pos="10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Shareholder Rights</w:t>
      </w:r>
      <w:r>
        <w:rPr>
          <w:rFonts w:ascii="Times New Roman" w:cs="Times New Roman" w:eastAsia="Times New Roman" w:hAnsi="Times New Roman"/>
          <w:sz w:val="18"/>
          <w:szCs w:val="18"/>
          <w:color w:val="auto"/>
        </w:rPr>
        <w:t>. Neither the Participant, nor any person entitled to exercise the Participant’s rights in the event of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death, shall have any of the rights and privileges of a stockholder with respect to the shares of Company Stock subject to the Option, until certificates for shares of Company Stock have been issued upon the exercise of the Option.</w:t>
      </w:r>
    </w:p>
    <w:p>
      <w:pPr>
        <w:spacing w:after="0" w:line="170" w:lineRule="exact"/>
        <w:rPr>
          <w:rFonts w:ascii="Times New Roman" w:cs="Times New Roman" w:eastAsia="Times New Roman" w:hAnsi="Times New Roman"/>
          <w:sz w:val="18"/>
          <w:szCs w:val="18"/>
          <w:color w:val="auto"/>
        </w:rPr>
      </w:pPr>
    </w:p>
    <w:p>
      <w:pPr>
        <w:ind w:right="140" w:firstLine="757"/>
        <w:spacing w:after="0" w:line="286" w:lineRule="auto"/>
        <w:tabs>
          <w:tab w:leader="none" w:pos="10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The provisions of the Plan applicable to a Change of Control will apply to the Option, and, in the event of a 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the Committee may take such actions as it deems appropriate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8" w:name="page139"/>
    <w:bookmarkEnd w:id="138"/>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Plan; provided that, if the Option continues in effect after a Change of Control and the Participant’s employment or service is terminated by the Employer without Cause upon or within 12 months following the Change in Control, any unvested portion of the Option shall become fully vested upon such cessation of employment or service.</w:t>
      </w:r>
    </w:p>
    <w:p>
      <w:pPr>
        <w:spacing w:after="0" w:line="172" w:lineRule="exact"/>
        <w:rPr>
          <w:sz w:val="20"/>
          <w:szCs w:val="20"/>
          <w:color w:val="auto"/>
        </w:rPr>
      </w:pPr>
    </w:p>
    <w:p>
      <w:pPr>
        <w:ind w:right="60" w:firstLine="757"/>
        <w:spacing w:after="0" w:line="262" w:lineRule="auto"/>
        <w:tabs>
          <w:tab w:leader="none" w:pos="10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on Exercise</w:t>
      </w:r>
      <w:r>
        <w:rPr>
          <w:rFonts w:ascii="Times New Roman" w:cs="Times New Roman" w:eastAsia="Times New Roman" w:hAnsi="Times New Roman"/>
          <w:sz w:val="18"/>
          <w:szCs w:val="18"/>
          <w:color w:val="auto"/>
        </w:rPr>
        <w:t>. Except as the Committee may otherwise permit pursuant to the Plan, only the Participant may exercise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Participant’s lifetime and, after the Participant’s death, the Option will be exercisable (subject to the limitations specified in the Plan) solely by the legal representatives of the Participant, or by the person who acquires the right to exercise the Option by will or by the laws of descent and distribution, to the extent that the Option is exercisable pursuant to this Agreement.</w:t>
      </w:r>
    </w:p>
    <w:p>
      <w:pPr>
        <w:spacing w:after="0" w:line="176" w:lineRule="exact"/>
        <w:rPr>
          <w:rFonts w:ascii="Times New Roman" w:cs="Times New Roman" w:eastAsia="Times New Roman" w:hAnsi="Times New Roman"/>
          <w:sz w:val="18"/>
          <w:szCs w:val="18"/>
          <w:color w:val="auto"/>
        </w:rPr>
      </w:pPr>
    </w:p>
    <w:p>
      <w:pPr>
        <w:ind w:right="260" w:firstLine="757"/>
        <w:spacing w:after="0" w:line="317" w:lineRule="auto"/>
        <w:tabs>
          <w:tab w:leader="none" w:pos="101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This Agreement contains the entire agreement of the parties with respect to the Option granted hereby and may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changed orally but only by an instrument in writing signed by the party against whom enforcement of any change, modification or extension is sought.</w:t>
      </w:r>
    </w:p>
    <w:p>
      <w:pPr>
        <w:spacing w:after="0" w:line="131" w:lineRule="exact"/>
        <w:rPr>
          <w:rFonts w:ascii="Times New Roman" w:cs="Times New Roman" w:eastAsia="Times New Roman" w:hAnsi="Times New Roman"/>
          <w:sz w:val="17"/>
          <w:szCs w:val="17"/>
          <w:color w:val="auto"/>
        </w:rPr>
      </w:pPr>
    </w:p>
    <w:p>
      <w:pPr>
        <w:ind w:right="140" w:firstLine="757"/>
        <w:spacing w:after="0" w:line="257" w:lineRule="auto"/>
        <w:tabs>
          <w:tab w:leader="none" w:pos="10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Subject to Plan Provisions</w:t>
      </w:r>
      <w:r>
        <w:rPr>
          <w:rFonts w:ascii="Times New Roman" w:cs="Times New Roman" w:eastAsia="Times New Roman" w:hAnsi="Times New Roman"/>
          <w:sz w:val="18"/>
          <w:szCs w:val="18"/>
          <w:color w:val="auto"/>
        </w:rPr>
        <w:t>. This grant is made pursuant to the Plan, the terms of which are incorporated herein by reference,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respects will be interpreted in accordance with the Plan. This grant is subject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(c) changes in capitalization of the Company and (d) other requirements of applicable law. The Committee will have the authority to interpret and construe this grant pursuant to the terms of the Plan, and its decisions will be conclusive as to any questions arising hereunder.</w:t>
      </w:r>
    </w:p>
    <w:p>
      <w:pPr>
        <w:spacing w:after="0" w:line="182" w:lineRule="exact"/>
        <w:rPr>
          <w:rFonts w:ascii="Times New Roman" w:cs="Times New Roman" w:eastAsia="Times New Roman" w:hAnsi="Times New Roman"/>
          <w:sz w:val="18"/>
          <w:szCs w:val="18"/>
          <w:color w:val="auto"/>
        </w:rPr>
      </w:pPr>
    </w:p>
    <w:p>
      <w:pPr>
        <w:ind w:right="80" w:firstLine="757"/>
        <w:spacing w:after="0" w:line="256" w:lineRule="auto"/>
        <w:tabs>
          <w:tab w:leader="none" w:pos="10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 and Transfers</w:t>
      </w:r>
      <w:r>
        <w:rPr>
          <w:rFonts w:ascii="Times New Roman" w:cs="Times New Roman" w:eastAsia="Times New Roman" w:hAnsi="Times New Roman"/>
          <w:sz w:val="18"/>
          <w:szCs w:val="18"/>
          <w:color w:val="auto"/>
        </w:rPr>
        <w:t>. Except as the Committee may otherwise permit pursuant to the Plan, the rights and interests of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Option or any right hereunder, except as provided for in this Agreement, or in the event of the levy or any attachment, execution or similar process upon the rights or interests hereby conferred, the Company may terminate the Option by notice to the Participant, and the Option and all rights hereunder will thereupon become null and void. The rights and protections of the Company hereunder will extend to any successors or assigns of the Company and to the Company’s parents, subsidiaries, and affiliates. This Agreement may be assigned by the Company without the Participant’s consent.</w:t>
      </w:r>
    </w:p>
    <w:p>
      <w:pPr>
        <w:spacing w:after="0" w:line="182" w:lineRule="exact"/>
        <w:rPr>
          <w:rFonts w:ascii="Times New Roman" w:cs="Times New Roman" w:eastAsia="Times New Roman" w:hAnsi="Times New Roman"/>
          <w:sz w:val="18"/>
          <w:szCs w:val="18"/>
          <w:color w:val="auto"/>
        </w:rPr>
      </w:pPr>
    </w:p>
    <w:p>
      <w:pPr>
        <w:ind w:right="40" w:firstLine="757"/>
        <w:spacing w:after="0" w:line="268" w:lineRule="auto"/>
        <w:tabs>
          <w:tab w:leader="none" w:pos="10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or Other Rights</w:t>
      </w:r>
      <w:r>
        <w:rPr>
          <w:rFonts w:ascii="Times New Roman" w:cs="Times New Roman" w:eastAsia="Times New Roman" w:hAnsi="Times New Roman"/>
          <w:sz w:val="18"/>
          <w:szCs w:val="18"/>
          <w:color w:val="auto"/>
        </w:rPr>
        <w:t>. This Agreement will not confer upon the Participant any right to be retained in the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will not interfere in any way with the right of the Company to terminate the Participant’s employment at any time. The right of the Company to terminate at will the Participant’s employment at any time for any reason is specifically reserved.</w:t>
      </w:r>
    </w:p>
    <w:p>
      <w:pPr>
        <w:spacing w:after="0" w:line="170" w:lineRule="exact"/>
        <w:rPr>
          <w:rFonts w:ascii="Times New Roman" w:cs="Times New Roman" w:eastAsia="Times New Roman" w:hAnsi="Times New Roman"/>
          <w:sz w:val="18"/>
          <w:szCs w:val="18"/>
          <w:color w:val="auto"/>
        </w:rPr>
      </w:pPr>
    </w:p>
    <w:p>
      <w:pPr>
        <w:ind w:right="40" w:firstLine="757"/>
        <w:spacing w:after="0" w:line="259" w:lineRule="auto"/>
        <w:tabs>
          <w:tab w:leader="none" w:pos="10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Any notice to the Company provided for in this instrument will be addressed to the Company in care of Nick Pizzie,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at the Company’s corporate headquarters, and any notice to the Participant will be addressed to such Participant at the current address shown on the payroll records of the Company, or to such other address as the Participant may designate to the Company in writing. Any notice will be delivered by hand, sent by telecopy or enclosed in a properly sealed envelope addressed as stated above, registered and deposited, postage prepaid, in a post office regularly maintained by the United States Postal Service.</w:t>
      </w:r>
    </w:p>
    <w:p>
      <w:pPr>
        <w:spacing w:after="0" w:line="179" w:lineRule="exact"/>
        <w:rPr>
          <w:rFonts w:ascii="Times New Roman" w:cs="Times New Roman" w:eastAsia="Times New Roman" w:hAnsi="Times New Roman"/>
          <w:sz w:val="18"/>
          <w:szCs w:val="18"/>
          <w:color w:val="auto"/>
        </w:rPr>
      </w:pPr>
    </w:p>
    <w:p>
      <w:pPr>
        <w:ind w:right="60" w:firstLine="757"/>
        <w:spacing w:after="0" w:line="256" w:lineRule="auto"/>
        <w:tabs>
          <w:tab w:leader="none" w:pos="10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Recoupment Policy</w:t>
      </w:r>
      <w:r>
        <w:rPr>
          <w:rFonts w:ascii="Times New Roman" w:cs="Times New Roman" w:eastAsia="Times New Roman" w:hAnsi="Times New Roman"/>
          <w:sz w:val="18"/>
          <w:szCs w:val="18"/>
          <w:color w:val="auto"/>
        </w:rPr>
        <w:t>. The Participant agrees that, subject to the requirements of applicable law, if the Participant breaches any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agreement between the Participant and the Employer or otherwise engages in activities that constitute Cause either while employed by, or providing service to, the Employer or within two years thereafter, the Option shall terminate, and the Company may rescind any exercise of the Option and delivery of shares upon such exercise, as applicable on such terms as the Committee shall determine, including the right to require that in the event of any such rescission, (a) the Participant shall return to the Company the shares received upon the exercise of the Option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spacing w:after="0" w:line="258" w:lineRule="auto"/>
        <w:rPr>
          <w:sz w:val="20"/>
          <w:szCs w:val="20"/>
          <w:color w:val="auto"/>
        </w:rPr>
      </w:pPr>
      <w:r>
        <w:rPr>
          <w:rFonts w:ascii="Times New Roman" w:cs="Times New Roman" w:eastAsia="Times New Roman" w:hAnsi="Times New Roman"/>
          <w:sz w:val="18"/>
          <w:szCs w:val="18"/>
          <w:color w:val="auto"/>
        </w:rPr>
        <w:t>market value (as determined by the Committee) of the shares on the date of the breach of any restrictive covenant agreement or activity constituting Cause), net of the price originally paid by the Participant for the shares. The Participant agrees that payment by the Participant shall be made in such manner and on such terms and conditions as may be required by the Committee and the Employer shall be entitled to set off against the amount of any such payment any amounts otherwise owed to the Participant by the Employer. In addition, the Participant agrees that the Option shall be subject to any applicable clawback or recoupment policies, share trading policies and other policies that may be implemented by the Board from time to time.</w:t>
      </w:r>
    </w:p>
    <w:p>
      <w:pPr>
        <w:spacing w:after="0" w:line="179" w:lineRule="exact"/>
        <w:rPr>
          <w:sz w:val="20"/>
          <w:szCs w:val="20"/>
          <w:color w:val="auto"/>
        </w:rPr>
      </w:pPr>
    </w:p>
    <w:p>
      <w:pPr>
        <w:ind w:right="320" w:firstLine="757"/>
        <w:spacing w:after="0" w:line="286" w:lineRule="auto"/>
        <w:tabs>
          <w:tab w:leader="none" w:pos="10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The validity, construction, interpretation and effect of this Agreement will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laws of the State of Delaware, without giving effect to the conflicts of laws provisions thereof.</w:t>
      </w:r>
    </w:p>
    <w:p>
      <w:pPr>
        <w:spacing w:after="0" w:line="154" w:lineRule="exact"/>
        <w:rPr>
          <w:rFonts w:ascii="Times New Roman" w:cs="Times New Roman" w:eastAsia="Times New Roman" w:hAnsi="Times New Roman"/>
          <w:sz w:val="18"/>
          <w:szCs w:val="18"/>
          <w:color w:val="auto"/>
        </w:rPr>
      </w:pPr>
    </w:p>
    <w:p>
      <w:pPr>
        <w:ind w:right="260" w:firstLine="757"/>
        <w:spacing w:after="0" w:line="286" w:lineRule="auto"/>
        <w:tabs>
          <w:tab w:leader="none" w:pos="10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Application of Section 409A of the Code</w:t>
      </w:r>
      <w:r>
        <w:rPr>
          <w:rFonts w:ascii="Times New Roman" w:cs="Times New Roman" w:eastAsia="Times New Roman" w:hAnsi="Times New Roman"/>
          <w:sz w:val="18"/>
          <w:szCs w:val="18"/>
          <w:color w:val="auto"/>
        </w:rPr>
        <w:t>. This Agreement is intended to be exempt from section 409A of the Code and to the extent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subject to section 409A of the Code, it will in all respects be administered in accordance with section 409A of the Code.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Unit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jc w:val="center"/>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r>
        <w:rPr>
          <w:rFonts w:ascii="Arial" w:cs="Arial" w:eastAsia="Arial" w:hAnsi="Arial"/>
          <w:sz w:val="18"/>
          <w:szCs w:val="18"/>
          <w:color w:val="auto"/>
        </w:rPr>
        <w:t>: ______________________________________</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Notice evidences the award of restricted Stock Units (each, an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of Axsome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have been granted to you pursuant to the Axsome Therapeutics, Inc. 2015 Omnibus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 your agreement to the terms of the attached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This Notice constitutes part of and is subject to the terms and provisions of the Agreement and the Plan, which are incorporated by reference herein. Each RSU is equivalent in value to one share of the Company Stock and represents the Company’s commitment to issue one share of Company Stock at a future date, subject to the terms of the Agreement and the Plan. The RSUs are credited to a separate account maintained for you on the books and records of the Company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All amounts credited to the Account will continue for all purposes to be part of the general assets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RSUs</w:t>
      </w:r>
      <w:r>
        <w:rPr>
          <w:rFonts w:ascii="Arial" w:cs="Arial" w:eastAsia="Arial" w:hAnsi="Arial"/>
          <w:sz w:val="18"/>
          <w:szCs w:val="18"/>
          <w:color w:val="auto"/>
        </w:rPr>
        <w:t>:</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All of the RSUs are nonvested and forfeitable as of the Grant Date. So long as your employment or service is continuous from the Grant Date through the applicable date upon which vesting is scheduled to occur:</w:t>
      </w:r>
    </w:p>
    <w:p>
      <w:pPr>
        <w:spacing w:after="0" w:line="154" w:lineRule="exact"/>
        <w:rPr>
          <w:sz w:val="20"/>
          <w:szCs w:val="20"/>
          <w:color w:val="auto"/>
        </w:rPr>
      </w:pPr>
    </w:p>
    <w:p>
      <w:pPr>
        <w:jc w:val="both"/>
        <w:ind w:left="760" w:right="740"/>
        <w:spacing w:after="0" w:line="247" w:lineRule="auto"/>
        <w:rPr>
          <w:sz w:val="20"/>
          <w:szCs w:val="20"/>
          <w:color w:val="auto"/>
        </w:rPr>
      </w:pPr>
      <w:r>
        <w:rPr>
          <w:rFonts w:ascii="Arial" w:cs="Arial" w:eastAsia="Arial" w:hAnsi="Arial"/>
          <w:sz w:val="18"/>
          <w:szCs w:val="18"/>
          <w:color w:val="auto"/>
        </w:rPr>
        <w:t>twenty-five percent (25%) of the RSUs will be exercisable on the first anniversary of the Grant Date (the “</w:t>
      </w:r>
      <w:r>
        <w:rPr>
          <w:rFonts w:ascii="Arial" w:cs="Arial" w:eastAsia="Arial" w:hAnsi="Arial"/>
          <w:sz w:val="18"/>
          <w:szCs w:val="18"/>
          <w:u w:val="single" w:color="auto"/>
          <w:color w:val="auto"/>
        </w:rPr>
        <w:t>Initial 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as to an additional twenty-five percent (25%) of the original number of RSUs at the end of each successive full twelve (12) month period following the Initial Vesting Date such that 100% of the RSUs will be vested and nonforfeitable on the fourth anniversary of the Grant Date.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if your employment or service with the Company is terminated coincident with or within one year following a Change of Control by the Company or its successor without Cause, the RSUs that are unvested as of the date of termination will immediately become 100% exercisable.</w:t>
      </w:r>
    </w:p>
    <w:p>
      <w:pPr>
        <w:spacing w:after="0" w:line="182" w:lineRule="exact"/>
        <w:rPr>
          <w:sz w:val="20"/>
          <w:szCs w:val="20"/>
          <w:color w:val="auto"/>
        </w:rPr>
      </w:pPr>
    </w:p>
    <w:p>
      <w:pPr>
        <w:ind w:left="120"/>
        <w:spacing w:after="0"/>
        <w:tabs>
          <w:tab w:leader="none" w:pos="9220" w:val="left"/>
        </w:tabs>
        <w:rPr>
          <w:sz w:val="20"/>
          <w:szCs w:val="20"/>
          <w:color w:val="auto"/>
        </w:rPr>
      </w:pPr>
      <w:r>
        <w:rPr>
          <w:rFonts w:ascii="Arial" w:cs="Arial" w:eastAsia="Arial" w:hAnsi="Arial"/>
          <w:sz w:val="18"/>
          <w:szCs w:val="18"/>
          <w:color w:val="auto"/>
        </w:rPr>
        <w:t>Axsome 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167" w:lineRule="exact"/>
        <w:rPr>
          <w:sz w:val="20"/>
          <w:szCs w:val="20"/>
          <w:color w:val="auto"/>
        </w:rPr>
      </w:pPr>
    </w:p>
    <w:p>
      <w:pPr>
        <w:ind w:left="120"/>
        <w:spacing w:after="0"/>
        <w:tabs>
          <w:tab w:leader="none" w:pos="9220" w:val="left"/>
        </w:tabs>
        <w:rPr>
          <w:sz w:val="20"/>
          <w:szCs w:val="20"/>
          <w:color w:val="auto"/>
        </w:rPr>
      </w:pPr>
      <w:r>
        <w:rPr>
          <w:rFonts w:ascii="Arial" w:cs="Arial" w:eastAsia="Arial" w:hAnsi="Arial"/>
          <w:sz w:val="18"/>
          <w:szCs w:val="18"/>
          <w:color w:val="auto"/>
        </w:rPr>
        <w:t>Axsome 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1" w:name="page142"/>
    <w:bookmarkEnd w:id="141"/>
    <w:p>
      <w:pPr>
        <w:jc w:val="center"/>
        <w:ind w:right="-11"/>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Stock Unit Agreement</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under the</w:t>
      </w:r>
    </w:p>
    <w:p>
      <w:pPr>
        <w:jc w:val="center"/>
        <w:ind w:right="-11"/>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194" w:lineRule="exact"/>
        <w:rPr>
          <w:sz w:val="20"/>
          <w:szCs w:val="20"/>
          <w:color w:val="auto"/>
        </w:rPr>
      </w:pPr>
    </w:p>
    <w:p>
      <w:pPr>
        <w:ind w:left="-8" w:right="80" w:firstLine="757"/>
        <w:spacing w:after="0" w:line="271" w:lineRule="auto"/>
        <w:tabs>
          <w:tab w:leader="none" w:pos="101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terms used herein are defined in the Glossary at the end of this Agreement.</w:t>
      </w:r>
    </w:p>
    <w:p>
      <w:pPr>
        <w:spacing w:after="0" w:line="153" w:lineRule="exact"/>
        <w:rPr>
          <w:rFonts w:ascii="Arial" w:cs="Arial" w:eastAsia="Arial" w:hAnsi="Arial"/>
          <w:sz w:val="18"/>
          <w:szCs w:val="18"/>
          <w:color w:val="auto"/>
        </w:rPr>
      </w:pPr>
    </w:p>
    <w:p>
      <w:pPr>
        <w:ind w:left="-8" w:right="240" w:firstLine="757"/>
        <w:spacing w:after="0" w:line="247" w:lineRule="auto"/>
        <w:tabs>
          <w:tab w:leader="none" w:pos="101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RSUs are nonvested and forfeitable as of the Grant Date. So long as your service or employment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or employment ceases.</w:t>
      </w:r>
    </w:p>
    <w:p>
      <w:pPr>
        <w:spacing w:after="0" w:line="173" w:lineRule="exact"/>
        <w:rPr>
          <w:rFonts w:ascii="Arial" w:cs="Arial" w:eastAsia="Arial" w:hAnsi="Arial"/>
          <w:sz w:val="18"/>
          <w:szCs w:val="18"/>
          <w:color w:val="auto"/>
        </w:rPr>
      </w:pPr>
    </w:p>
    <w:p>
      <w:pPr>
        <w:ind w:left="-8" w:right="320" w:firstLine="757"/>
        <w:spacing w:after="0" w:line="247" w:lineRule="auto"/>
        <w:tabs>
          <w:tab w:leader="none" w:pos="101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Unless otherwise provided in the Notice, if your service or employment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Company Stock.</w:t>
      </w:r>
    </w:p>
    <w:p>
      <w:pPr>
        <w:spacing w:after="0" w:line="173" w:lineRule="exact"/>
        <w:rPr>
          <w:rFonts w:ascii="Arial" w:cs="Arial" w:eastAsia="Arial" w:hAnsi="Arial"/>
          <w:sz w:val="18"/>
          <w:szCs w:val="18"/>
          <w:color w:val="auto"/>
        </w:rPr>
      </w:pPr>
    </w:p>
    <w:p>
      <w:pPr>
        <w:ind w:left="-8" w:right="20" w:firstLine="757"/>
        <w:spacing w:after="0" w:line="244" w:lineRule="auto"/>
        <w:tabs>
          <w:tab w:leader="none" w:pos="101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76" w:lineRule="exact"/>
        <w:rPr>
          <w:rFonts w:ascii="Arial" w:cs="Arial" w:eastAsia="Arial" w:hAnsi="Arial"/>
          <w:sz w:val="18"/>
          <w:szCs w:val="18"/>
          <w:color w:val="auto"/>
        </w:rPr>
      </w:pPr>
    </w:p>
    <w:p>
      <w:pPr>
        <w:ind w:left="1012" w:hanging="263"/>
        <w:spacing w:after="0"/>
        <w:tabs>
          <w:tab w:leader="none" w:pos="101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w:t>
      </w:r>
    </w:p>
    <w:p>
      <w:pPr>
        <w:spacing w:after="0" w:line="212" w:lineRule="exact"/>
        <w:rPr>
          <w:sz w:val="20"/>
          <w:szCs w:val="20"/>
          <w:color w:val="auto"/>
        </w:rPr>
      </w:pPr>
    </w:p>
    <w:p>
      <w:pPr>
        <w:ind w:left="-8" w:firstLine="757"/>
        <w:spacing w:after="0"/>
        <w:tabs>
          <w:tab w:leader="none" w:pos="101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Manner of Settlement</w:t>
      </w:r>
      <w:r>
        <w:rPr>
          <w:rFonts w:ascii="Arial" w:cs="Arial" w:eastAsia="Arial" w:hAnsi="Arial"/>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6 below, the number of whole shares of Company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84" w:lineRule="exact"/>
        <w:rPr>
          <w:rFonts w:ascii="Arial" w:cs="Arial" w:eastAsia="Arial" w:hAnsi="Arial"/>
          <w:sz w:val="18"/>
          <w:szCs w:val="18"/>
          <w:color w:val="auto"/>
        </w:rPr>
      </w:pPr>
    </w:p>
    <w:p>
      <w:pPr>
        <w:ind w:left="-8" w:right="60" w:firstLine="757"/>
        <w:spacing w:after="0" w:line="254" w:lineRule="auto"/>
        <w:tabs>
          <w:tab w:leader="none" w:pos="1010"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Timing of Settlement</w:t>
      </w:r>
      <w:r>
        <w:rPr>
          <w:rFonts w:ascii="Arial" w:cs="Arial" w:eastAsia="Arial" w:hAnsi="Arial"/>
          <w:sz w:val="17"/>
          <w:szCs w:val="17"/>
          <w:color w:val="auto"/>
        </w:rPr>
        <w:t>. Your RSUs will be settled by the Company, via the issuance of Company Stock as described herein, on the date that the RSUs become vested and nonforfeitable.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Treasury Regulation 1.409A-1(b)</w:t>
      </w:r>
    </w:p>
    <w:p>
      <w:pPr>
        <w:ind w:left="272" w:hanging="272"/>
        <w:spacing w:after="0"/>
        <w:tabs>
          <w:tab w:leader="none" w:pos="27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and shall be construed and administered in such a manner.</w:t>
      </w:r>
    </w:p>
    <w:p>
      <w:pPr>
        <w:spacing w:after="0" w:line="194" w:lineRule="exact"/>
        <w:rPr>
          <w:sz w:val="20"/>
          <w:szCs w:val="20"/>
          <w:color w:val="auto"/>
        </w:rPr>
      </w:pPr>
    </w:p>
    <w:p>
      <w:pPr>
        <w:ind w:left="-8" w:firstLine="757"/>
        <w:spacing w:after="0" w:line="242" w:lineRule="auto"/>
        <w:tabs>
          <w:tab w:leader="none" w:pos="101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On or before the time you receive a distribution of the shares subject to your RSUs, or at any time thereafter as requested by the Company, you hereby authorize any required withholding from the Company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may, in its sole discretion, satisfy all or any portion of the Withholding Taxes obligation relating to your RSUs by any of the following means or by a combination of such means: (i)</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42" w:name="page143"/>
    <w:bookmarkEnd w:id="142"/>
    <w:p>
      <w:pPr>
        <w:ind w:right="40"/>
        <w:spacing w:after="0" w:line="237" w:lineRule="auto"/>
        <w:rPr>
          <w:sz w:val="20"/>
          <w:szCs w:val="20"/>
          <w:color w:val="auto"/>
        </w:rPr>
      </w:pPr>
      <w:r>
        <w:rPr>
          <w:rFonts w:ascii="Arial" w:cs="Arial" w:eastAsia="Arial" w:hAnsi="Arial"/>
          <w:sz w:val="18"/>
          <w:szCs w:val="18"/>
          <w:color w:val="auto"/>
        </w:rPr>
        <w:t>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Dealer</w:t>
      </w:r>
      <w:r>
        <w:rPr>
          <w:rFonts w:ascii="Arial" w:cs="Arial" w:eastAsia="Arial" w:hAnsi="Arial"/>
          <w:sz w:val="18"/>
          <w:szCs w:val="18"/>
          <w:color w:val="auto"/>
        </w:rPr>
        <w:t>”) whereby you irrevocably elect to sell a portion of the shares to be delivered under the Agreement to satisfy the Withholding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whereby the FINRA Dealer irrevocably commits to forward the proceeds necessary to satisfy the Withholding Taxes directly to the Company; or (iv) withholding shares of Company Stock from the shares of Company Stock issued or otherwise issuable to you in connection with the RSUs with a fair market value (measured as of the end of trading on the trading date immediately prior to the date on which shares of Company Stock are issued to you pursuant to Section 5) equal to the amount of such Withholding Taxes; provided, however, that the number of such shares of Company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are satisfied, the Company shall have no obligation to deliver to you any Company Stock. In the event the Company’s obligation to withhold arises prior to the delivery to you of Company Stock or it is determined after the delivery of Company Stock to you that the amount of the Company’s withholding obligation was greater than the amount withheld by the Company, you agree to indemnify and hold the Company harmless from any failure by the Company to withhold the proper amount.</w:t>
      </w:r>
    </w:p>
    <w:p>
      <w:pPr>
        <w:spacing w:after="0" w:line="189" w:lineRule="exact"/>
        <w:rPr>
          <w:sz w:val="20"/>
          <w:szCs w:val="20"/>
          <w:color w:val="auto"/>
        </w:rPr>
      </w:pPr>
    </w:p>
    <w:p>
      <w:pPr>
        <w:ind w:left="1020" w:hanging="263"/>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212" w:lineRule="exact"/>
        <w:rPr>
          <w:sz w:val="20"/>
          <w:szCs w:val="20"/>
          <w:color w:val="auto"/>
        </w:rPr>
      </w:pPr>
    </w:p>
    <w:p>
      <w:pPr>
        <w:ind w:right="60" w:firstLine="757"/>
        <w:spacing w:after="0" w:line="244" w:lineRule="auto"/>
        <w:tabs>
          <w:tab w:leader="none" w:pos="101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or other event described in Section 4(d) of the Plan affecting, the Company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76" w:lineRule="exact"/>
        <w:rPr>
          <w:rFonts w:ascii="Arial" w:cs="Arial" w:eastAsia="Arial" w:hAnsi="Arial"/>
          <w:sz w:val="18"/>
          <w:szCs w:val="18"/>
          <w:color w:val="auto"/>
        </w:rPr>
      </w:pPr>
    </w:p>
    <w:p>
      <w:pPr>
        <w:ind w:firstLine="757"/>
        <w:spacing w:after="0"/>
        <w:tabs>
          <w:tab w:leader="none" w:pos="101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Company Stock shall be converted into other securities, the RSUs shall pertain to and apply to the securities to which a holder of the number of shares of Company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Company Stock subject to the RSUs would have been entitled, in the same manner and to the same extent as the RSUs.</w:t>
      </w:r>
    </w:p>
    <w:p>
      <w:pPr>
        <w:spacing w:after="0" w:line="144" w:lineRule="exact"/>
        <w:rPr>
          <w:sz w:val="20"/>
          <w:szCs w:val="20"/>
          <w:color w:val="auto"/>
        </w:rPr>
      </w:pPr>
    </w:p>
    <w:p>
      <w:pPr>
        <w:ind w:right="100" w:firstLine="757"/>
        <w:spacing w:after="0" w:line="215" w:lineRule="exact"/>
        <w:tabs>
          <w:tab w:leader="none" w:pos="101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Guarantee of Employment or Service Relationship</w:t>
      </w:r>
      <w:r>
        <w:rPr>
          <w:rFonts w:ascii="Arial" w:cs="Arial" w:eastAsia="Arial" w:hAnsi="Arial"/>
          <w:sz w:val="18"/>
          <w:szCs w:val="18"/>
          <w:color w:val="auto"/>
        </w:rPr>
        <w:t>. Nothing in the Plan or this Agreement shall alter your at</w:t>
      </w:r>
      <w:r>
        <w:rPr>
          <w:rFonts w:ascii="MS PGothic" w:cs="MS PGothic" w:eastAsia="MS PGothic" w:hAnsi="MS PGothic"/>
          <w:sz w:val="18"/>
          <w:szCs w:val="18"/>
          <w:color w:val="auto"/>
        </w:rPr>
        <w:t>‑</w:t>
      </w:r>
      <w:r>
        <w:rPr>
          <w:rFonts w:ascii="Arial" w:cs="Arial" w:eastAsia="Arial" w:hAnsi="Arial"/>
          <w:sz w:val="18"/>
          <w:szCs w:val="18"/>
          <w:color w:val="auto"/>
        </w:rPr>
        <w: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82" w:lineRule="exact"/>
        <w:rPr>
          <w:rFonts w:ascii="Arial" w:cs="Arial" w:eastAsia="Arial" w:hAnsi="Arial"/>
          <w:sz w:val="18"/>
          <w:szCs w:val="18"/>
          <w:color w:val="auto"/>
        </w:rPr>
      </w:pPr>
    </w:p>
    <w:p>
      <w:pPr>
        <w:ind w:right="220" w:firstLine="757"/>
        <w:spacing w:after="0" w:line="271" w:lineRule="auto"/>
        <w:tabs>
          <w:tab w:leader="none" w:pos="101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any shares of Company Stock that may be issued in settlement of the RSUs until such shares of Company Stock have been issued to you.</w:t>
      </w:r>
    </w:p>
    <w:p>
      <w:pPr>
        <w:spacing w:after="0" w:line="153" w:lineRule="exact"/>
        <w:rPr>
          <w:rFonts w:ascii="Arial" w:cs="Arial" w:eastAsia="Arial" w:hAnsi="Arial"/>
          <w:sz w:val="18"/>
          <w:szCs w:val="18"/>
          <w:color w:val="auto"/>
        </w:rPr>
      </w:pPr>
    </w:p>
    <w:p>
      <w:pPr>
        <w:ind w:right="240" w:firstLine="757"/>
        <w:spacing w:after="0" w:line="247" w:lineRule="auto"/>
        <w:tabs>
          <w:tab w:leader="none" w:pos="101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3" w:name="page144"/>
    <w:bookmarkEnd w:id="143"/>
    <w:p>
      <w:pPr>
        <w:ind w:right="400"/>
        <w:spacing w:after="0" w:line="271" w:lineRule="auto"/>
        <w:rPr>
          <w:sz w:val="20"/>
          <w:szCs w:val="20"/>
          <w:color w:val="auto"/>
        </w:rPr>
      </w:pPr>
      <w:r>
        <w:rPr>
          <w:rFonts w:ascii="Arial" w:cs="Arial" w:eastAsia="Arial" w:hAnsi="Arial"/>
          <w:sz w:val="18"/>
          <w:szCs w:val="18"/>
          <w:color w:val="auto"/>
        </w:rPr>
        <w:t>the dissolution or liquidation of the Company, or any sale or transfer of all or any part of the Company's assets or business, or any other corporate act or proceeding, whether of a similar character or otherwise.</w:t>
      </w:r>
    </w:p>
    <w:p>
      <w:pPr>
        <w:spacing w:after="0" w:line="154" w:lineRule="exact"/>
        <w:rPr>
          <w:sz w:val="20"/>
          <w:szCs w:val="20"/>
          <w:color w:val="auto"/>
        </w:rPr>
      </w:pPr>
    </w:p>
    <w:p>
      <w:pPr>
        <w:ind w:right="20" w:firstLine="757"/>
        <w:spacing w:after="0" w:line="239" w:lineRule="auto"/>
        <w:tabs>
          <w:tab w:leader="none" w:pos="101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 The issuance of shares of Company Stock upon settlement of the RSUs shall be subject to and in compliance with all applicable requirements of federal, state, or foreign law with respect to such securities. No shares of Company Stock may be issued hereunder if the issuance of such shares would constitute a violation of any applicable federal, state, or foreign securities laws or other law or regulations or the requirements of any stock exchange or market system upon which the Company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9" w:lineRule="exact"/>
        <w:rPr>
          <w:rFonts w:ascii="Arial" w:cs="Arial" w:eastAsia="Arial" w:hAnsi="Arial"/>
          <w:sz w:val="18"/>
          <w:szCs w:val="18"/>
          <w:color w:val="auto"/>
        </w:rPr>
      </w:pPr>
    </w:p>
    <w:p>
      <w:pPr>
        <w:ind w:firstLine="757"/>
        <w:spacing w:after="0" w:line="239" w:lineRule="auto"/>
        <w:tabs>
          <w:tab w:leader="none" w:pos="101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rFonts w:ascii="Arial" w:cs="Arial" w:eastAsia="Arial" w:hAnsi="Arial"/>
          <w:sz w:val="18"/>
          <w:szCs w:val="18"/>
          <w:color w:val="auto"/>
        </w:rPr>
      </w:pPr>
    </w:p>
    <w:p>
      <w:pPr>
        <w:ind w:right="140" w:firstLine="757"/>
        <w:spacing w:after="0" w:line="247" w:lineRule="auto"/>
        <w:tabs>
          <w:tab w:leader="none" w:pos="101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relevant Notice and the Plan, contains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73" w:lineRule="exact"/>
        <w:rPr>
          <w:rFonts w:ascii="Arial" w:cs="Arial" w:eastAsia="Arial" w:hAnsi="Arial"/>
          <w:sz w:val="18"/>
          <w:szCs w:val="18"/>
          <w:color w:val="auto"/>
        </w:rPr>
      </w:pPr>
    </w:p>
    <w:p>
      <w:pPr>
        <w:jc w:val="both"/>
        <w:ind w:right="80" w:firstLine="757"/>
        <w:spacing w:after="0" w:line="253" w:lineRule="auto"/>
        <w:tabs>
          <w:tab w:leader="none" w:pos="101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any manner that would have a materially adverse effect on the RSUs as determined in the discretion of the Administrator, except as provided in the Plan or in a written document signed by each of the parties hereto.</w:t>
      </w:r>
    </w:p>
    <w:p>
      <w:pPr>
        <w:spacing w:after="0" w:line="168" w:lineRule="exact"/>
        <w:rPr>
          <w:rFonts w:ascii="Arial" w:cs="Arial" w:eastAsia="Arial" w:hAnsi="Arial"/>
          <w:sz w:val="18"/>
          <w:szCs w:val="18"/>
          <w:color w:val="auto"/>
        </w:rPr>
      </w:pPr>
    </w:p>
    <w:p>
      <w:pPr>
        <w:ind w:firstLine="757"/>
        <w:spacing w:after="0" w:line="238" w:lineRule="auto"/>
        <w:tabs>
          <w:tab w:leader="none" w:pos="10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Recoupment Policy. You agree that, subject to the requirements of applicable law, if you breach any restrictive covenant agreement between you and the Company or you otherwise engage in activities that constitute Cause either while employed by, or providing service to, the Company or within two years thereafter, the RSU shall terminate, and the Company may rescind any delivery of shares upon vesting or settlement, as applicable on such terms as the Committee shall determine, including the right to require that in the event of any such rescission, (a) you shall return to the Company the shares received upon settlement of the 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(as determined by the Administrator) of the shares on the date of the breach of any restrictive covenant agreement or activity constituting Cause). You agree that payment shall be made in such manner and on such terms and conditions as may be required by the Committee and you shall be entitled to set off against the amount of any such payment any amounts otherwise owed to you by the Company. In addition, you agree that the RSU shall be subject to any applicable clawback or recoupment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policies, share trading policies and other policies that may be implemented by the Board from time to time.</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RSUs granted hereunder are intended to either fit within the “short-term deferral” exemption from Section 409A of the Code as set forth in Treasury Regulation Section 1.409A-1(b)(4) or comply with Section 409A.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180" w:lineRule="exact"/>
        <w:rPr>
          <w:sz w:val="20"/>
          <w:szCs w:val="20"/>
          <w:color w:val="auto"/>
        </w:rPr>
      </w:pPr>
    </w:p>
    <w:p>
      <w:pPr>
        <w:ind w:right="20" w:firstLine="757"/>
        <w:spacing w:after="0" w:line="247" w:lineRule="auto"/>
        <w:tabs>
          <w:tab w:leader="none" w:pos="101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Obligation to Minimize Taxes</w:t>
      </w:r>
      <w:r>
        <w:rPr>
          <w:rFonts w:ascii="Arial" w:cs="Arial" w:eastAsia="Arial" w:hAnsi="Arial"/>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73" w:lineRule="exact"/>
        <w:rPr>
          <w:rFonts w:ascii="Arial" w:cs="Arial" w:eastAsia="Arial" w:hAnsi="Arial"/>
          <w:sz w:val="18"/>
          <w:szCs w:val="18"/>
          <w:color w:val="auto"/>
        </w:rPr>
      </w:pPr>
    </w:p>
    <w:p>
      <w:pPr>
        <w:jc w:val="both"/>
        <w:ind w:right="260" w:firstLine="757"/>
        <w:spacing w:after="0" w:line="247" w:lineRule="auto"/>
        <w:tabs>
          <w:tab w:leader="none" w:pos="101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73" w:lineRule="exact"/>
        <w:rPr>
          <w:rFonts w:ascii="Arial" w:cs="Arial" w:eastAsia="Arial" w:hAnsi="Arial"/>
          <w:sz w:val="18"/>
          <w:szCs w:val="18"/>
          <w:color w:val="auto"/>
        </w:rPr>
      </w:pPr>
    </w:p>
    <w:p>
      <w:pPr>
        <w:ind w:right="120" w:firstLine="757"/>
        <w:spacing w:after="0" w:line="253" w:lineRule="auto"/>
        <w:tabs>
          <w:tab w:leader="none" w:pos="101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issue shares of Company Stock in the future in accordance with its terms. You have the status of a general unsecured creditor of the Company as a result of receiving the grant of RSUs.</w:t>
      </w:r>
    </w:p>
    <w:p>
      <w:pPr>
        <w:spacing w:after="0" w:line="168" w:lineRule="exact"/>
        <w:rPr>
          <w:rFonts w:ascii="Arial" w:cs="Arial" w:eastAsia="Arial" w:hAnsi="Arial"/>
          <w:sz w:val="18"/>
          <w:szCs w:val="18"/>
          <w:color w:val="auto"/>
        </w:rPr>
      </w:pPr>
    </w:p>
    <w:p>
      <w:pPr>
        <w:ind w:left="1020" w:hanging="263"/>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The value of the RSUs subject to this Agreement shall not be included as</w:t>
      </w:r>
    </w:p>
    <w:p>
      <w:pPr>
        <w:spacing w:after="0" w:line="13" w:lineRule="exact"/>
        <w:rPr>
          <w:rFonts w:ascii="Arial" w:cs="Arial" w:eastAsia="Arial" w:hAnsi="Arial"/>
          <w:sz w:val="18"/>
          <w:szCs w:val="18"/>
          <w:color w:val="auto"/>
        </w:rPr>
      </w:pPr>
    </w:p>
    <w:p>
      <w:pPr>
        <w:jc w:val="both"/>
        <w:ind w:right="120"/>
        <w:spacing w:after="0" w:line="242" w:lineRule="auto"/>
        <w:rPr>
          <w:rFonts w:ascii="Arial" w:cs="Arial" w:eastAsia="Arial" w:hAnsi="Arial"/>
          <w:sz w:val="18"/>
          <w:szCs w:val="18"/>
          <w:color w:val="auto"/>
        </w:rPr>
      </w:pPr>
      <w:r>
        <w:rPr>
          <w:rFonts w:ascii="Arial" w:cs="Arial" w:eastAsia="Arial" w:hAnsi="Arial"/>
          <w:sz w:val="18"/>
          <w:szCs w:val="18"/>
          <w:color w:val="auto"/>
        </w:rPr>
        <w:t>compensation, earnings, salaries, or other similar terms used when calculating your benefits under any employee benefit plan sponsored by the Company, except as such plan otherwise expressly provides. The Company expressly reserves its rights to amend, modify, or terminate any of the Company’s employee benefit plans.</w:t>
      </w:r>
    </w:p>
    <w:p>
      <w:pPr>
        <w:spacing w:after="0" w:line="179" w:lineRule="exact"/>
        <w:rPr>
          <w:rFonts w:ascii="Arial" w:cs="Arial" w:eastAsia="Arial" w:hAnsi="Arial"/>
          <w:sz w:val="18"/>
          <w:szCs w:val="18"/>
          <w:color w:val="auto"/>
        </w:rPr>
      </w:pPr>
    </w:p>
    <w:p>
      <w:pPr>
        <w:ind w:right="20" w:firstLine="757"/>
        <w:spacing w:after="0"/>
        <w:tabs>
          <w:tab w:leader="none" w:pos="101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80" w:lineRule="exact"/>
        <w:rPr>
          <w:rFonts w:ascii="Arial" w:cs="Arial" w:eastAsia="Arial" w:hAnsi="Arial"/>
          <w:sz w:val="18"/>
          <w:szCs w:val="18"/>
          <w:color w:val="auto"/>
        </w:rPr>
      </w:pPr>
    </w:p>
    <w:p>
      <w:pPr>
        <w:jc w:val="both"/>
        <w:ind w:right="120" w:firstLine="757"/>
        <w:spacing w:after="0" w:line="247" w:lineRule="auto"/>
        <w:tabs>
          <w:tab w:leader="none" w:pos="101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5" w:name="page146"/>
    <w:bookmarkEnd w:id="145"/>
    <w:p>
      <w:pPr>
        <w:ind w:right="80"/>
        <w:spacing w:after="0" w:line="247" w:lineRule="auto"/>
        <w:rPr>
          <w:sz w:val="20"/>
          <w:szCs w:val="20"/>
          <w:color w:val="auto"/>
        </w:rPr>
      </w:pPr>
      <w:r>
        <w:rPr>
          <w:rFonts w:ascii="Arial" w:cs="Arial" w:eastAsia="Arial" w:hAnsi="Arial"/>
          <w:sz w:val="18"/>
          <w:szCs w:val="18"/>
          <w:color w:val="auto"/>
        </w:rPr>
        <w:t>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74" w:lineRule="exact"/>
        <w:rPr>
          <w:sz w:val="20"/>
          <w:szCs w:val="20"/>
          <w:color w:val="auto"/>
        </w:rPr>
      </w:pPr>
    </w:p>
    <w:p>
      <w:pPr>
        <w:ind w:right="160" w:firstLine="757"/>
        <w:spacing w:after="0" w:line="271" w:lineRule="auto"/>
        <w:tabs>
          <w:tab w:leader="none" w:pos="101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53" w:lineRule="exact"/>
        <w:rPr>
          <w:rFonts w:ascii="Arial" w:cs="Arial" w:eastAsia="Arial" w:hAnsi="Arial"/>
          <w:sz w:val="18"/>
          <w:szCs w:val="18"/>
          <w:color w:val="auto"/>
        </w:rPr>
      </w:pPr>
    </w:p>
    <w:p>
      <w:pPr>
        <w:ind w:right="40" w:firstLine="757"/>
        <w:spacing w:after="0" w:line="242" w:lineRule="auto"/>
        <w:tabs>
          <w:tab w:leader="none" w:pos="101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78" w:lineRule="exact"/>
        <w:rPr>
          <w:rFonts w:ascii="Arial" w:cs="Arial" w:eastAsia="Arial" w:hAnsi="Arial"/>
          <w:sz w:val="18"/>
          <w:szCs w:val="18"/>
          <w:color w:val="auto"/>
        </w:rPr>
      </w:pPr>
    </w:p>
    <w:p>
      <w:pPr>
        <w:ind w:firstLine="757"/>
        <w:spacing w:after="0" w:line="238" w:lineRule="auto"/>
        <w:tabs>
          <w:tab w:leader="none" w:pos="101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85" w:lineRule="exact"/>
        <w:rPr>
          <w:rFonts w:ascii="Arial" w:cs="Arial" w:eastAsia="Arial" w:hAnsi="Arial"/>
          <w:sz w:val="18"/>
          <w:szCs w:val="18"/>
          <w:color w:val="auto"/>
        </w:rPr>
      </w:pPr>
    </w:p>
    <w:p>
      <w:pPr>
        <w:ind w:firstLine="757"/>
        <w:spacing w:after="0" w:line="237" w:lineRule="auto"/>
        <w:tabs>
          <w:tab w:leader="none" w:pos="101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spacing w:after="0" w:line="271" w:lineRule="auto"/>
        <w:rPr>
          <w:sz w:val="20"/>
          <w:szCs w:val="20"/>
          <w:color w:val="auto"/>
        </w:rPr>
      </w:pPr>
      <w:r>
        <w:rPr>
          <w:rFonts w:ascii="Arial" w:cs="Arial" w:eastAsia="Arial" w:hAnsi="Arial"/>
          <w:sz w:val="18"/>
          <w:szCs w:val="18"/>
          <w:color w:val="auto"/>
        </w:rPr>
        <w:t>writing the Company’s Secretary. You understand, however, that refusing or withdrawing your consent may affect your ability to accept a restricted stock unit award.</w:t>
      </w:r>
    </w:p>
    <w:p>
      <w:pPr>
        <w:spacing w:after="0" w:line="1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17" w:right="7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color w:val="auto"/>
        </w:rPr>
        <w:t>GLOSSARY</w:t>
      </w:r>
    </w:p>
    <w:p>
      <w:pPr>
        <w:spacing w:after="0" w:line="320" w:lineRule="exact"/>
        <w:rPr>
          <w:sz w:val="20"/>
          <w:szCs w:val="20"/>
          <w:color w:val="auto"/>
        </w:rPr>
      </w:pPr>
    </w:p>
    <w:p>
      <w:pPr>
        <w:ind w:left="1900" w:hanging="395"/>
        <w:spacing w:after="0"/>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Committee as defined in the Plan.</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document, as amended from time to time, together with the Plan which is incorporated</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herein by reference.</w:t>
      </w:r>
    </w:p>
    <w:p>
      <w:pPr>
        <w:spacing w:after="0" w:line="190" w:lineRule="exact"/>
        <w:rPr>
          <w:rFonts w:ascii="Arial" w:cs="Arial" w:eastAsia="Arial" w:hAnsi="Arial"/>
          <w:sz w:val="18"/>
          <w:szCs w:val="18"/>
          <w:color w:val="auto"/>
        </w:rPr>
      </w:pPr>
    </w:p>
    <w:p>
      <w:pPr>
        <w:ind w:left="1900" w:hanging="395"/>
        <w:spacing w:after="0"/>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 xml:space="preserve"> </w:t>
      </w:r>
      <w:r>
        <w:rPr>
          <w:rFonts w:ascii="Arial" w:cs="Arial" w:eastAsia="Arial" w:hAnsi="Arial"/>
          <w:sz w:val="19"/>
          <w:szCs w:val="19"/>
          <w:color w:val="auto"/>
        </w:rPr>
        <w:t>has the meaning set forth in the Plan.</w:t>
      </w:r>
    </w:p>
    <w:p>
      <w:pPr>
        <w:spacing w:after="0" w:line="216" w:lineRule="exact"/>
        <w:rPr>
          <w:rFonts w:ascii="Arial" w:cs="Arial" w:eastAsia="Arial" w:hAnsi="Arial"/>
          <w:sz w:val="18"/>
          <w:szCs w:val="18"/>
          <w:color w:val="auto"/>
        </w:rPr>
      </w:pPr>
    </w:p>
    <w:p>
      <w:pPr>
        <w:ind w:left="1900" w:hanging="395"/>
        <w:spacing w:after="0"/>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meaning set forth in the Plan.</w:t>
      </w:r>
    </w:p>
    <w:p>
      <w:pPr>
        <w:spacing w:after="0" w:line="211" w:lineRule="exact"/>
        <w:rPr>
          <w:rFonts w:ascii="Arial" w:cs="Arial" w:eastAsia="Arial" w:hAnsi="Arial"/>
          <w:sz w:val="18"/>
          <w:szCs w:val="18"/>
          <w:color w:val="auto"/>
        </w:rPr>
      </w:pPr>
    </w:p>
    <w:p>
      <w:pPr>
        <w:ind w:firstLine="1505"/>
        <w:spacing w:after="0" w:line="271" w:lineRule="auto"/>
        <w:tabs>
          <w:tab w:leader="none" w:pos="18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Treasury regulations and other guidance promulgated thereunder.</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w:t>
      </w:r>
      <w:r>
        <w:rPr>
          <w:rFonts w:ascii="Arial" w:cs="Arial" w:eastAsia="Arial" w:hAnsi="Arial"/>
          <w:sz w:val="18"/>
          <w:szCs w:val="18"/>
          <w:color w:val="auto"/>
        </w:rPr>
        <w:t>” shall mean common stock of the Company.</w:t>
      </w:r>
    </w:p>
    <w:p>
      <w:pPr>
        <w:spacing w:after="0" w:line="211" w:lineRule="exact"/>
        <w:rPr>
          <w:rFonts w:ascii="Arial" w:cs="Arial" w:eastAsia="Arial" w:hAnsi="Arial"/>
          <w:sz w:val="18"/>
          <w:szCs w:val="18"/>
          <w:color w:val="auto"/>
        </w:rPr>
      </w:pPr>
    </w:p>
    <w:p>
      <w:pPr>
        <w:jc w:val="both"/>
        <w:ind w:firstLine="1505"/>
        <w:spacing w:after="0" w:line="253" w:lineRule="auto"/>
        <w:tabs>
          <w:tab w:leader="none" w:pos="18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Axsome Therapeutics, Inc., and shall include all its successors except where the context otherwise requires. For purposes of determining whether a Change of Control has occurred, Company shall mean only Axsome Therapeutics, Inc.</w:t>
      </w:r>
    </w:p>
    <w:p>
      <w:pPr>
        <w:spacing w:after="0" w:line="168" w:lineRule="exact"/>
        <w:rPr>
          <w:rFonts w:ascii="Arial" w:cs="Arial" w:eastAsia="Arial" w:hAnsi="Arial"/>
          <w:sz w:val="18"/>
          <w:szCs w:val="18"/>
          <w:color w:val="auto"/>
        </w:rPr>
      </w:pPr>
    </w:p>
    <w:p>
      <w:pPr>
        <w:ind w:left="1900" w:hanging="395"/>
        <w:spacing w:after="0"/>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effective date of a grant of RSUs made to you as set forth in the relevant Notice.</w:t>
      </w:r>
    </w:p>
    <w:p>
      <w:pPr>
        <w:spacing w:after="0" w:line="211" w:lineRule="exact"/>
        <w:rPr>
          <w:rFonts w:ascii="Arial" w:cs="Arial" w:eastAsia="Arial" w:hAnsi="Arial"/>
          <w:sz w:val="18"/>
          <w:szCs w:val="18"/>
          <w:color w:val="auto"/>
        </w:rPr>
      </w:pPr>
    </w:p>
    <w:p>
      <w:pPr>
        <w:ind w:firstLine="1505"/>
        <w:spacing w:after="0" w:line="271" w:lineRule="auto"/>
        <w:tabs>
          <w:tab w:leader="none" w:pos="18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statement, letter or other written notification provided to you by the Company setting forth the terms of a grant of RSUs made to you.</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Axsome Therapeutics, Inc. 2015 Omnibus Incentive Compensation Plan, as in effect from time to</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w:t>
      </w:r>
    </w:p>
    <w:p>
      <w:pPr>
        <w:spacing w:after="0" w:line="193" w:lineRule="exact"/>
        <w:rPr>
          <w:rFonts w:ascii="Arial" w:cs="Arial" w:eastAsia="Arial" w:hAnsi="Arial"/>
          <w:sz w:val="18"/>
          <w:szCs w:val="18"/>
          <w:color w:val="auto"/>
        </w:rPr>
      </w:pPr>
    </w:p>
    <w:p>
      <w:pPr>
        <w:ind w:firstLine="1505"/>
        <w:spacing w:after="0" w:line="271" w:lineRule="auto"/>
        <w:tabs>
          <w:tab w:leader="none" w:pos="18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the Company’s commitment to issue one share of Company Stock at a future date, subject to the terms of the Agreement and the Plan.</w:t>
      </w:r>
    </w:p>
    <w:p>
      <w:pPr>
        <w:spacing w:after="0" w:line="153" w:lineRule="exact"/>
        <w:rPr>
          <w:rFonts w:ascii="Arial" w:cs="Arial" w:eastAsia="Arial" w:hAnsi="Arial"/>
          <w:sz w:val="18"/>
          <w:szCs w:val="18"/>
          <w:color w:val="auto"/>
        </w:rPr>
      </w:pPr>
    </w:p>
    <w:p>
      <w:pPr>
        <w:jc w:val="both"/>
        <w:ind w:firstLine="1505"/>
        <w:spacing w:after="0" w:line="247" w:lineRule="auto"/>
        <w:tabs>
          <w:tab w:leader="none" w:pos="18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Unit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jc w:val="center"/>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r>
        <w:rPr>
          <w:rFonts w:ascii="Arial" w:cs="Arial" w:eastAsia="Arial" w:hAnsi="Arial"/>
          <w:sz w:val="18"/>
          <w:szCs w:val="18"/>
          <w:color w:val="auto"/>
        </w:rPr>
        <w:t>: __________________________________</w:t>
      </w:r>
    </w:p>
    <w:p>
      <w:pPr>
        <w:spacing w:after="0" w:line="200" w:lineRule="exact"/>
        <w:rPr>
          <w:sz w:val="20"/>
          <w:szCs w:val="20"/>
          <w:color w:val="auto"/>
        </w:rPr>
      </w:pPr>
    </w:p>
    <w:p>
      <w:pPr>
        <w:spacing w:after="0" w:line="2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Notice evidences the award of restricted Stock Units (each, an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of Axsome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have been granted to you pursuant to the Axsome Therapeutics, Inc. 2015 Omnibus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 your agreement to the terms of the attached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This Notice constitutes part of and is subject to the terms and provisions of the Agreement and the Plan, which are incorporated by reference herein. Each RSU is equivalent in value to one share of the Company Stock and represents the Company’s commitment to issue one share of Company Stock at a future date, subject to the terms of the Agreement and the Plan. The RSUs are credited to a separate account maintained for you on the books and records of the Company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All amounts credited to the Account will continue for all purposes to be part of the general assets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 RSUs: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Vesting Schedule: All of the RSUs are nonvested and forfeitable as of the Grant Date. So long as your employment or service is continuous from the Grant Date through the applicable date upon which vesting is scheduled to occur:</w:t>
      </w:r>
    </w:p>
    <w:p>
      <w:pPr>
        <w:spacing w:after="0" w:line="154"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twenty-five percent (25%) of the RSUs will be vested on the first anniversary of the Grant Date (the “</w:t>
      </w:r>
      <w:r>
        <w:rPr>
          <w:rFonts w:ascii="Arial" w:cs="Arial" w:eastAsia="Arial" w:hAnsi="Arial"/>
          <w:sz w:val="18"/>
          <w:szCs w:val="18"/>
          <w:u w:val="single" w:color="auto"/>
          <w:color w:val="auto"/>
        </w:rPr>
        <w:t>Initial Vesting Date</w:t>
      </w:r>
      <w:r>
        <w:rPr>
          <w:rFonts w:ascii="Arial" w:cs="Arial" w:eastAsia="Arial" w:hAnsi="Arial"/>
          <w:sz w:val="18"/>
          <w:szCs w:val="18"/>
          <w:color w:val="auto"/>
        </w:rPr>
        <w:t>”) and as to an additional twenty-five percent (25%) of the original number of RSUs on each anniversary of each such date following the Initial Vesting Date such that 100% of the RSUs will be vested and nonforfeitable on the fourth anniversary of the Grant Date.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if your employment or service with the Company is terminated coincident with or within one year following a Change of Control by the Company or its successor without Cause, the RSUs that are unvested as of the date of termination will immediately become 100% vested.</w:t>
      </w:r>
    </w:p>
    <w:p>
      <w:pPr>
        <w:spacing w:after="0" w:line="182" w:lineRule="exact"/>
        <w:rPr>
          <w:sz w:val="20"/>
          <w:szCs w:val="20"/>
          <w:color w:val="auto"/>
        </w:rPr>
      </w:pPr>
    </w:p>
    <w:p>
      <w:pPr>
        <w:ind w:left="120"/>
        <w:spacing w:after="0"/>
        <w:tabs>
          <w:tab w:leader="none" w:pos="9200" w:val="left"/>
        </w:tabs>
        <w:rPr>
          <w:sz w:val="20"/>
          <w:szCs w:val="20"/>
          <w:color w:val="auto"/>
        </w:rPr>
      </w:pPr>
      <w:r>
        <w:rPr>
          <w:rFonts w:ascii="Arial" w:cs="Arial" w:eastAsia="Arial" w:hAnsi="Arial"/>
          <w:sz w:val="18"/>
          <w:szCs w:val="18"/>
          <w:color w:val="auto"/>
        </w:rPr>
        <w:t>Axsome 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167" w:lineRule="exact"/>
        <w:rPr>
          <w:sz w:val="20"/>
          <w:szCs w:val="20"/>
          <w:color w:val="auto"/>
        </w:rPr>
      </w:pPr>
    </w:p>
    <w:p>
      <w:pPr>
        <w:ind w:left="120"/>
        <w:spacing w:after="0"/>
        <w:tabs>
          <w:tab w:leader="none" w:pos="8880" w:val="left"/>
        </w:tabs>
        <w:rPr>
          <w:sz w:val="20"/>
          <w:szCs w:val="20"/>
          <w:color w:val="auto"/>
        </w:rPr>
      </w:pPr>
      <w:r>
        <w:rPr>
          <w:rFonts w:ascii="Arial" w:cs="Arial" w:eastAsia="Arial" w:hAnsi="Arial"/>
          <w:sz w:val="18"/>
          <w:szCs w:val="18"/>
          <w:color w:val="auto"/>
        </w:rPr>
        <w:t>Signature of Grantee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Unit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jc w:val="center"/>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194" w:lineRule="exact"/>
        <w:rPr>
          <w:sz w:val="20"/>
          <w:szCs w:val="20"/>
          <w:color w:val="auto"/>
        </w:rPr>
      </w:pPr>
    </w:p>
    <w:p>
      <w:pPr>
        <w:ind w:left="-20" w:firstLine="757"/>
        <w:spacing w:after="0" w:line="271" w:lineRule="auto"/>
        <w:tabs>
          <w:tab w:leader="none" w:pos="99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terms used herein are defined in the Glossary at the end of this Agreement.</w:t>
      </w:r>
    </w:p>
    <w:p>
      <w:pPr>
        <w:spacing w:after="0" w:line="153" w:lineRule="exact"/>
        <w:rPr>
          <w:rFonts w:ascii="Arial" w:cs="Arial" w:eastAsia="Arial" w:hAnsi="Arial"/>
          <w:sz w:val="18"/>
          <w:szCs w:val="18"/>
          <w:color w:val="auto"/>
        </w:rPr>
      </w:pPr>
    </w:p>
    <w:p>
      <w:pPr>
        <w:jc w:val="both"/>
        <w:ind w:left="-20" w:firstLine="757"/>
        <w:spacing w:after="0" w:line="247" w:lineRule="auto"/>
        <w:tabs>
          <w:tab w:leader="none" w:pos="99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RSUs are nonvested and forfeitable as of the Grant Date. So long as your service or employment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or employment ceases.</w:t>
      </w:r>
    </w:p>
    <w:p>
      <w:pPr>
        <w:spacing w:after="0" w:line="173" w:lineRule="exact"/>
        <w:rPr>
          <w:rFonts w:ascii="Arial" w:cs="Arial" w:eastAsia="Arial" w:hAnsi="Arial"/>
          <w:sz w:val="18"/>
          <w:szCs w:val="18"/>
          <w:color w:val="auto"/>
        </w:rPr>
      </w:pPr>
    </w:p>
    <w:p>
      <w:pPr>
        <w:jc w:val="both"/>
        <w:ind w:left="-20" w:firstLine="757"/>
        <w:spacing w:after="0" w:line="247" w:lineRule="auto"/>
        <w:tabs>
          <w:tab w:leader="none" w:pos="99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Unless otherwise provided in the Notice, if your service or employment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Company Stock.</w:t>
      </w:r>
    </w:p>
    <w:p>
      <w:pPr>
        <w:spacing w:after="0" w:line="173" w:lineRule="exact"/>
        <w:rPr>
          <w:rFonts w:ascii="Arial" w:cs="Arial" w:eastAsia="Arial" w:hAnsi="Arial"/>
          <w:sz w:val="18"/>
          <w:szCs w:val="18"/>
          <w:color w:val="auto"/>
        </w:rPr>
      </w:pPr>
    </w:p>
    <w:p>
      <w:pPr>
        <w:jc w:val="both"/>
        <w:ind w:left="-20" w:firstLine="757"/>
        <w:spacing w:after="0" w:line="244" w:lineRule="auto"/>
        <w:tabs>
          <w:tab w:leader="none" w:pos="99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vested during your lifetime only by you or your guardian or legal representative. Notwithstanding the foregoing, the RSUs may be transferred upon your death by last will and testament or under the laws of descent and distribution.</w:t>
      </w:r>
    </w:p>
    <w:p>
      <w:pPr>
        <w:spacing w:after="0" w:line="176" w:lineRule="exact"/>
        <w:rPr>
          <w:rFonts w:ascii="Arial" w:cs="Arial" w:eastAsia="Arial" w:hAnsi="Arial"/>
          <w:sz w:val="18"/>
          <w:szCs w:val="18"/>
          <w:color w:val="auto"/>
        </w:rPr>
      </w:pPr>
    </w:p>
    <w:p>
      <w:pPr>
        <w:ind w:left="1000" w:hanging="263"/>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w:t>
      </w:r>
    </w:p>
    <w:p>
      <w:pPr>
        <w:spacing w:after="0" w:line="212" w:lineRule="exact"/>
        <w:rPr>
          <w:sz w:val="20"/>
          <w:szCs w:val="20"/>
          <w:color w:val="auto"/>
        </w:rPr>
      </w:pPr>
    </w:p>
    <w:p>
      <w:pPr>
        <w:ind w:left="-20" w:right="60" w:firstLine="757"/>
        <w:spacing w:after="0"/>
        <w:tabs>
          <w:tab w:leader="none" w:pos="99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Manner of Settlement</w:t>
      </w:r>
      <w:r>
        <w:rPr>
          <w:rFonts w:ascii="Arial" w:cs="Arial" w:eastAsia="Arial" w:hAnsi="Arial"/>
          <w:sz w:val="18"/>
          <w:szCs w:val="18"/>
          <w:color w:val="auto"/>
        </w:rPr>
        <w:t>. You are not required to make any monetary payment (other than applicable tax withholding, if required) as a condition to settlement of the RSUs. The Company will issue to you, in settlement of your vested RSUs and subject to the provisions of Section 6 below, the number of whole shares of Company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84" w:lineRule="exact"/>
        <w:rPr>
          <w:rFonts w:ascii="Arial" w:cs="Arial" w:eastAsia="Arial" w:hAnsi="Arial"/>
          <w:sz w:val="18"/>
          <w:szCs w:val="18"/>
          <w:color w:val="auto"/>
        </w:rPr>
      </w:pPr>
    </w:p>
    <w:p>
      <w:pPr>
        <w:ind w:left="-20" w:right="40" w:firstLine="757"/>
        <w:spacing w:after="0"/>
        <w:tabs>
          <w:tab w:leader="none" w:pos="99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Timing of Settlement</w:t>
      </w:r>
      <w:r>
        <w:rPr>
          <w:rFonts w:ascii="Arial" w:cs="Arial" w:eastAsia="Arial" w:hAnsi="Arial"/>
          <w:sz w:val="18"/>
          <w:szCs w:val="18"/>
          <w:color w:val="auto"/>
        </w:rPr>
        <w:t>. Your vested RSUs will be settled by the Company, via the issuance of Company Stock as described herein, on the earliest of one of the following events: (1) Change of Control; (2) your “separation from service” as defined in Section 409A and applicable regulations and guidance thereunder (“Section 409A”), including your termination due to death or Disability; or (3) the seventh (7th) anniversary of the Grant Date.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Section 409A and shall be construed and administered in such a manner.</w:t>
      </w:r>
    </w:p>
    <w:p>
      <w:pPr>
        <w:spacing w:after="0" w:line="185" w:lineRule="exact"/>
        <w:rPr>
          <w:sz w:val="20"/>
          <w:szCs w:val="20"/>
          <w:color w:val="auto"/>
        </w:rPr>
      </w:pPr>
    </w:p>
    <w:p>
      <w:pPr>
        <w:jc w:val="both"/>
        <w:ind w:left="-20" w:firstLine="757"/>
        <w:spacing w:after="0" w:line="253" w:lineRule="auto"/>
        <w:tabs>
          <w:tab w:leader="none" w:pos="99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On or before the time you receive a distribution of the shares subject to your RSUs, or at any time before or thereafter as requested by the Company, you hereby authorize any required withholding from the Company Stock issuable to you and/or otherwise agree to make adequate provision in cash for any sums required to satisfy the federal, state, local and foreign tax withholding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472440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150" w:name="page151"/>
    <w:bookmarkEnd w:id="150"/>
    <w:p>
      <w:pPr>
        <w:jc w:val="both"/>
        <w:spacing w:after="0" w:line="237" w:lineRule="auto"/>
        <w:rPr>
          <w:sz w:val="20"/>
          <w:szCs w:val="20"/>
          <w:color w:val="auto"/>
        </w:rPr>
      </w:pPr>
      <w:r>
        <w:rPr>
          <w:rFonts w:ascii="Arial" w:cs="Arial" w:eastAsia="Arial" w:hAnsi="Arial"/>
          <w:sz w:val="18"/>
          <w:szCs w:val="18"/>
          <w:color w:val="auto"/>
        </w:rPr>
        <w:t>obligations of the Company or any Affiliate which arise in connection with your RSUs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Company Stock from the shares of Company Stock issued or otherwise issuable to you in connection with the RSUs with a fair market value (measured as of the end of trading on the trading date immediately prior to the date on which shares of Company Stock are issued to you pursuant to Section 5) equal to the amount of such Withholding Taxes; provided, however, that the number of such shares of Company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are satisfied, the Company shall have no obligation to deliver to you any Company Stock. In the event the Company’s obligation to withhold arises prior to the delivery to you of Company Stock or it is determined after the delivery of Company Stock to you that the amount of the Company’s withholding obligation was greater than the amount withheld by the Company, you agree to indemnify and hold the Company harmless from any failure by the Company to withhold the proper amount.</w:t>
      </w:r>
    </w:p>
    <w:p>
      <w:pPr>
        <w:spacing w:after="0" w:line="186" w:lineRule="exact"/>
        <w:rPr>
          <w:sz w:val="20"/>
          <w:szCs w:val="20"/>
          <w:color w:val="auto"/>
        </w:rPr>
      </w:pPr>
    </w:p>
    <w:p>
      <w:pPr>
        <w:ind w:left="1020" w:hanging="263"/>
        <w:spacing w:after="0"/>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212" w:lineRule="exact"/>
        <w:rPr>
          <w:sz w:val="20"/>
          <w:szCs w:val="20"/>
          <w:color w:val="auto"/>
        </w:rPr>
      </w:pPr>
    </w:p>
    <w:p>
      <w:pPr>
        <w:ind w:right="60" w:firstLine="757"/>
        <w:spacing w:after="0" w:line="244" w:lineRule="auto"/>
        <w:tabs>
          <w:tab w:leader="none" w:pos="101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or other event described in Section 4(d) of the Plan affecting, the Company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76" w:lineRule="exact"/>
        <w:rPr>
          <w:rFonts w:ascii="Arial" w:cs="Arial" w:eastAsia="Arial" w:hAnsi="Arial"/>
          <w:sz w:val="18"/>
          <w:szCs w:val="18"/>
          <w:color w:val="auto"/>
        </w:rPr>
      </w:pPr>
    </w:p>
    <w:p>
      <w:pPr>
        <w:ind w:firstLine="757"/>
        <w:spacing w:after="0"/>
        <w:tabs>
          <w:tab w:leader="none" w:pos="101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Company Stock shall be converted into other securities, the RSUs shall pertain to and apply to the securities to which a holder of the number of shares of Company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Company Stock subject to the RSUs would have been entitled, in the same manner and to the same extent as the RSUs.</w:t>
      </w:r>
    </w:p>
    <w:p>
      <w:pPr>
        <w:spacing w:after="0" w:line="144" w:lineRule="exact"/>
        <w:rPr>
          <w:sz w:val="20"/>
          <w:szCs w:val="20"/>
          <w:color w:val="auto"/>
        </w:rPr>
      </w:pPr>
    </w:p>
    <w:p>
      <w:pPr>
        <w:jc w:val="both"/>
        <w:ind w:firstLine="757"/>
        <w:spacing w:after="0" w:line="215" w:lineRule="exact"/>
        <w:tabs>
          <w:tab w:leader="none" w:pos="101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Guarantee of Employment or Service Relationship</w:t>
      </w:r>
      <w:r>
        <w:rPr>
          <w:rFonts w:ascii="Arial" w:cs="Arial" w:eastAsia="Arial" w:hAnsi="Arial"/>
          <w:sz w:val="18"/>
          <w:szCs w:val="18"/>
          <w:color w:val="auto"/>
        </w:rPr>
        <w:t>. Nothing in the Plan or this Agreement shall alter your at</w:t>
      </w:r>
      <w:r>
        <w:rPr>
          <w:rFonts w:ascii="MS PGothic" w:cs="MS PGothic" w:eastAsia="MS PGothic" w:hAnsi="MS PGothic"/>
          <w:sz w:val="18"/>
          <w:szCs w:val="18"/>
          <w:color w:val="auto"/>
        </w:rPr>
        <w:t>‑</w:t>
      </w:r>
      <w:r>
        <w:rPr>
          <w:rFonts w:ascii="Arial" w:cs="Arial" w:eastAsia="Arial" w:hAnsi="Arial"/>
          <w:sz w:val="18"/>
          <w:szCs w:val="18"/>
          <w:color w:val="auto"/>
        </w:rPr>
        <w: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82" w:lineRule="exact"/>
        <w:rPr>
          <w:rFonts w:ascii="Arial" w:cs="Arial" w:eastAsia="Arial" w:hAnsi="Arial"/>
          <w:sz w:val="18"/>
          <w:szCs w:val="18"/>
          <w:color w:val="auto"/>
        </w:rPr>
      </w:pPr>
    </w:p>
    <w:p>
      <w:pPr>
        <w:ind w:firstLine="757"/>
        <w:spacing w:after="0" w:line="271" w:lineRule="auto"/>
        <w:tabs>
          <w:tab w:leader="none" w:pos="101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any shares of Company Stock that may be issued in settlement of the RSUs until such shares of Company Stock have been issued to you.</w:t>
      </w:r>
    </w:p>
    <w:p>
      <w:pPr>
        <w:spacing w:after="0" w:line="153" w:lineRule="exact"/>
        <w:rPr>
          <w:rFonts w:ascii="Arial" w:cs="Arial" w:eastAsia="Arial" w:hAnsi="Arial"/>
          <w:sz w:val="18"/>
          <w:szCs w:val="18"/>
          <w:color w:val="auto"/>
        </w:rPr>
      </w:pPr>
    </w:p>
    <w:p>
      <w:pPr>
        <w:ind w:firstLine="757"/>
        <w:spacing w:after="0" w:line="271" w:lineRule="auto"/>
        <w:tabs>
          <w:tab w:leader="none" w:pos="101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RSUs shall not affect in any way the right or power of the Company or its stockholders to make or authorize any or all adjustments, recapitalizations,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1" w:name="page152"/>
    <w:bookmarkEnd w:id="151"/>
    <w:p>
      <w:pPr>
        <w:jc w:val="both"/>
        <w:spacing w:after="0" w:line="247" w:lineRule="auto"/>
        <w:rPr>
          <w:sz w:val="20"/>
          <w:szCs w:val="20"/>
          <w:color w:val="auto"/>
        </w:rPr>
      </w:pPr>
      <w:r>
        <w:rPr>
          <w:rFonts w:ascii="Arial" w:cs="Arial" w:eastAsia="Arial" w:hAnsi="Arial"/>
          <w:sz w:val="18"/>
          <w:szCs w:val="18"/>
          <w:color w:val="auto"/>
        </w:rPr>
        <w:t>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4" w:lineRule="exact"/>
        <w:rPr>
          <w:sz w:val="20"/>
          <w:szCs w:val="20"/>
          <w:color w:val="auto"/>
        </w:rPr>
      </w:pPr>
    </w:p>
    <w:p>
      <w:pPr>
        <w:jc w:val="both"/>
        <w:ind w:firstLine="757"/>
        <w:spacing w:after="0" w:line="239" w:lineRule="auto"/>
        <w:tabs>
          <w:tab w:leader="none" w:pos="101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 The issuance of shares of Company Stock upon settlement of the RSUs shall be subject to and in compliance with all applicable requirements of federal, state, or foreign law with respect to such securities. No shares of Company Stock may be issued hereunder if the issuance of such shares would constitute a violation of any applicable federal, state, or foreign securities laws or other law or regulations or the requirements of any stock exchange or market system upon which the Company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9" w:lineRule="exact"/>
        <w:rPr>
          <w:rFonts w:ascii="Arial" w:cs="Arial" w:eastAsia="Arial" w:hAnsi="Arial"/>
          <w:sz w:val="18"/>
          <w:szCs w:val="18"/>
          <w:color w:val="auto"/>
        </w:rPr>
      </w:pPr>
    </w:p>
    <w:p>
      <w:pPr>
        <w:jc w:val="both"/>
        <w:ind w:firstLine="757"/>
        <w:spacing w:after="0" w:line="239" w:lineRule="auto"/>
        <w:tabs>
          <w:tab w:leader="none" w:pos="101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relevant Notice and the Plan, contains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73"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68" w:lineRule="exact"/>
        <w:rPr>
          <w:rFonts w:ascii="Arial" w:cs="Arial" w:eastAsia="Arial" w:hAnsi="Arial"/>
          <w:sz w:val="18"/>
          <w:szCs w:val="18"/>
          <w:color w:val="auto"/>
        </w:rPr>
      </w:pPr>
    </w:p>
    <w:p>
      <w:pPr>
        <w:jc w:val="both"/>
        <w:ind w:firstLine="757"/>
        <w:spacing w:after="0" w:line="239" w:lineRule="auto"/>
        <w:tabs>
          <w:tab w:leader="none" w:pos="101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Recoupment Policy</w:t>
      </w:r>
      <w:r>
        <w:rPr>
          <w:rFonts w:ascii="Arial" w:cs="Arial" w:eastAsia="Arial" w:hAnsi="Arial"/>
          <w:sz w:val="18"/>
          <w:szCs w:val="18"/>
          <w:color w:val="auto"/>
        </w:rPr>
        <w:t>. You agree that, subject to the requirements of applicable law, if you breach any restrictive covenant agreement between you and the Company or you otherwise engage in activities that constitute Cause either while employed by, or providing service to, the Company or within two years thereafter, the RSU shall terminate, and the Company may rescind any delivery of shares upon vesting or settlement, as applicable on such terms as the Committee shall determine, including the right to require that in the event of any such rescission, (a) you shall return to the Company the shares received upon settlement of the 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(as determined by the Administrator) of the shares on the date of the breach of any restrictive covenant agreement or activity constituting Cause). You agree that payment shall be made in such manner and 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2" w:name="page153"/>
    <w:bookmarkEnd w:id="152"/>
    <w:p>
      <w:pPr>
        <w:jc w:val="both"/>
        <w:spacing w:after="0" w:line="253" w:lineRule="auto"/>
        <w:rPr>
          <w:sz w:val="20"/>
          <w:szCs w:val="20"/>
          <w:color w:val="auto"/>
        </w:rPr>
      </w:pPr>
      <w:r>
        <w:rPr>
          <w:rFonts w:ascii="Arial" w:cs="Arial" w:eastAsia="Arial" w:hAnsi="Arial"/>
          <w:sz w:val="18"/>
          <w:szCs w:val="18"/>
          <w:color w:val="auto"/>
        </w:rPr>
        <w:t>such terms and conditions as may be required by the Committee and you shall be entitled to set off against the amount of any such payment any amounts otherwise owed to you by the Company. In addition, you agree that the RSU shall be subject to any applicable clawback or recoupment policies, share trading policies and other policies that may be implemented by the Board from time to time.</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RSUs granted hereunder are intended to either fit within the “short-term deferral” exemption from Section 409A of the Code as set forth in Treasury Regulation Section 1.409A-1(b)(4) or comply with Section 409A.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and is settled is intended to constitute a “separate payment” for purposes of Section 409A of the Code and Treasury Regulation Section 1.409A-2(b)(2).</w:t>
      </w:r>
    </w:p>
    <w:p>
      <w:pPr>
        <w:spacing w:after="0" w:line="180" w:lineRule="exact"/>
        <w:rPr>
          <w:sz w:val="20"/>
          <w:szCs w:val="20"/>
          <w:color w:val="auto"/>
        </w:rPr>
      </w:pPr>
    </w:p>
    <w:p>
      <w:pPr>
        <w:jc w:val="both"/>
        <w:ind w:firstLine="757"/>
        <w:spacing w:after="0" w:line="247" w:lineRule="auto"/>
        <w:tabs>
          <w:tab w:leader="none" w:pos="101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Obligation to Minimize Taxes</w:t>
      </w:r>
      <w:r>
        <w:rPr>
          <w:rFonts w:ascii="Arial" w:cs="Arial" w:eastAsia="Arial" w:hAnsi="Arial"/>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73"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73"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issue shares of Company Stock in the future in accordance with its terms. You have the status of a general unsecured creditor of the Company as a result of receiving the grant of RSUs.</w:t>
      </w:r>
    </w:p>
    <w:p>
      <w:pPr>
        <w:spacing w:after="0" w:line="168"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The value of the RSUs subject to this Agreement shall not be included as compensation, earnings, salaries, or other similar terms used when calculating your benefits under any employee benefit plan sponsored by the Company, except as such plan otherwise expressly provides. The Company expressly reserves its rights to amend, modify, or terminate any of the Company’s employee benefit plans.</w:t>
      </w:r>
    </w:p>
    <w:p>
      <w:pPr>
        <w:spacing w:after="0" w:line="173" w:lineRule="exact"/>
        <w:rPr>
          <w:rFonts w:ascii="Arial" w:cs="Arial" w:eastAsia="Arial" w:hAnsi="Arial"/>
          <w:sz w:val="18"/>
          <w:szCs w:val="18"/>
          <w:color w:val="auto"/>
        </w:rPr>
      </w:pPr>
    </w:p>
    <w:p>
      <w:pPr>
        <w:jc w:val="both"/>
        <w:ind w:firstLine="757"/>
        <w:spacing w:after="0"/>
        <w:tabs>
          <w:tab w:leader="none" w:pos="101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80"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3" w:name="page154"/>
    <w:bookmarkEnd w:id="153"/>
    <w:p>
      <w:pPr>
        <w:jc w:val="both"/>
        <w:spacing w:after="0" w:line="242" w:lineRule="auto"/>
        <w:rPr>
          <w:sz w:val="20"/>
          <w:szCs w:val="20"/>
          <w:color w:val="auto"/>
        </w:rPr>
      </w:pPr>
      <w:r>
        <w:rPr>
          <w:rFonts w:ascii="Arial" w:cs="Arial" w:eastAsia="Arial" w:hAnsi="Arial"/>
          <w:sz w:val="18"/>
          <w:szCs w:val="18"/>
          <w:color w:val="auto"/>
        </w:rPr>
        <w:t>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79" w:lineRule="exact"/>
        <w:rPr>
          <w:sz w:val="20"/>
          <w:szCs w:val="20"/>
          <w:color w:val="auto"/>
        </w:rPr>
      </w:pPr>
    </w:p>
    <w:p>
      <w:pPr>
        <w:ind w:firstLine="757"/>
        <w:spacing w:after="0" w:line="271" w:lineRule="auto"/>
        <w:tabs>
          <w:tab w:leader="none" w:pos="101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53"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78" w:lineRule="exact"/>
        <w:rPr>
          <w:rFonts w:ascii="Arial" w:cs="Arial" w:eastAsia="Arial" w:hAnsi="Arial"/>
          <w:sz w:val="18"/>
          <w:szCs w:val="18"/>
          <w:color w:val="auto"/>
        </w:rPr>
      </w:pPr>
    </w:p>
    <w:p>
      <w:pPr>
        <w:jc w:val="both"/>
        <w:ind w:firstLine="757"/>
        <w:spacing w:after="0" w:line="238" w:lineRule="auto"/>
        <w:tabs>
          <w:tab w:leader="none" w:pos="101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85" w:lineRule="exact"/>
        <w:rPr>
          <w:rFonts w:ascii="Arial" w:cs="Arial" w:eastAsia="Arial" w:hAnsi="Arial"/>
          <w:sz w:val="18"/>
          <w:szCs w:val="18"/>
          <w:color w:val="auto"/>
        </w:rPr>
      </w:pPr>
    </w:p>
    <w:p>
      <w:pPr>
        <w:jc w:val="both"/>
        <w:ind w:firstLine="757"/>
        <w:spacing w:after="0" w:line="237" w:lineRule="auto"/>
        <w:tabs>
          <w:tab w:leader="none" w:pos="101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understand, however, that refusing or withdrawing your consent may affect your ability to accept a restricted stock unit award.</w:t>
      </w:r>
    </w:p>
    <w:p>
      <w:pPr>
        <w:sectPr>
          <w:pgSz w:w="11900" w:h="16838" w:orient="portrait"/>
          <w:cols w:equalWidth="0" w:num="1">
            <w:col w:w="10139"/>
          </w:cols>
          <w:pgMar w:left="320" w:top="1417" w:right="1440" w:bottom="1440" w:gutter="0" w:footer="0" w:header="0"/>
        </w:sectPr>
      </w:pPr>
    </w:p>
    <w:p>
      <w:pPr>
        <w:spacing w:after="0" w:line="212"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Glossary begins on next page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type w:val="continuous"/>
        </w:sectPr>
      </w:pPr>
    </w:p>
    <w:bookmarkStart w:id="155" w:name="page156"/>
    <w:bookmarkEnd w:id="155"/>
    <w:p>
      <w:pPr>
        <w:jc w:val="center"/>
        <w:ind w:right="-19"/>
        <w:spacing w:after="0"/>
        <w:rPr>
          <w:sz w:val="20"/>
          <w:szCs w:val="20"/>
          <w:color w:val="auto"/>
        </w:rPr>
      </w:pPr>
      <w:r>
        <w:rPr>
          <w:rFonts w:ascii="Arial" w:cs="Arial" w:eastAsia="Arial" w:hAnsi="Arial"/>
          <w:sz w:val="18"/>
          <w:szCs w:val="18"/>
          <w:color w:val="auto"/>
        </w:rPr>
        <w:t>GLOSSARY</w:t>
      </w:r>
    </w:p>
    <w:p>
      <w:pPr>
        <w:spacing w:after="0" w:line="320" w:lineRule="exact"/>
        <w:rPr>
          <w:sz w:val="20"/>
          <w:szCs w:val="20"/>
          <w:color w:val="auto"/>
        </w:rPr>
      </w:pPr>
    </w:p>
    <w:p>
      <w:pPr>
        <w:ind w:left="1900" w:hanging="395"/>
        <w:spacing w:after="0"/>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Committee as defined in the Plan.</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document, as amended from time to time, together with the Plan which is incorporated</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herein by reference.</w:t>
      </w:r>
    </w:p>
    <w:p>
      <w:pPr>
        <w:spacing w:after="0" w:line="207" w:lineRule="exact"/>
        <w:rPr>
          <w:rFonts w:ascii="Arial" w:cs="Arial" w:eastAsia="Arial" w:hAnsi="Arial"/>
          <w:sz w:val="18"/>
          <w:szCs w:val="18"/>
          <w:color w:val="auto"/>
        </w:rPr>
      </w:pPr>
    </w:p>
    <w:p>
      <w:pPr>
        <w:ind w:left="1900" w:hanging="395"/>
        <w:spacing w:after="0"/>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set forth in the Plan.</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meaning set forth in the Plan.</w:t>
      </w:r>
    </w:p>
    <w:p>
      <w:pPr>
        <w:spacing w:after="0" w:line="211" w:lineRule="exact"/>
        <w:rPr>
          <w:rFonts w:ascii="Arial" w:cs="Arial" w:eastAsia="Arial" w:hAnsi="Arial"/>
          <w:sz w:val="18"/>
          <w:szCs w:val="18"/>
          <w:color w:val="auto"/>
        </w:rPr>
      </w:pPr>
    </w:p>
    <w:p>
      <w:pPr>
        <w:ind w:firstLine="1505"/>
        <w:spacing w:after="0" w:line="271" w:lineRule="auto"/>
        <w:tabs>
          <w:tab w:leader="none" w:pos="18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Treasury regulations and other guidance promulgated thereunder.</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w:t>
      </w:r>
      <w:r>
        <w:rPr>
          <w:rFonts w:ascii="Arial" w:cs="Arial" w:eastAsia="Arial" w:hAnsi="Arial"/>
          <w:sz w:val="18"/>
          <w:szCs w:val="18"/>
          <w:color w:val="auto"/>
        </w:rPr>
        <w:t>” shall mean common stock of the Company.</w:t>
      </w:r>
    </w:p>
    <w:p>
      <w:pPr>
        <w:spacing w:after="0" w:line="211" w:lineRule="exact"/>
        <w:rPr>
          <w:rFonts w:ascii="Arial" w:cs="Arial" w:eastAsia="Arial" w:hAnsi="Arial"/>
          <w:sz w:val="18"/>
          <w:szCs w:val="18"/>
          <w:color w:val="auto"/>
        </w:rPr>
      </w:pPr>
    </w:p>
    <w:p>
      <w:pPr>
        <w:jc w:val="both"/>
        <w:ind w:firstLine="1505"/>
        <w:spacing w:after="0" w:line="253" w:lineRule="auto"/>
        <w:tabs>
          <w:tab w:leader="none" w:pos="18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Axsome Therapeutics, Inc., and shall include all its successors except where the context otherwise requires. For purposes of determining whether a Change of Control has occurred, Company shall mean only Axsome Therapeutics, Inc.</w:t>
      </w:r>
    </w:p>
    <w:p>
      <w:pPr>
        <w:spacing w:after="0" w:line="168" w:lineRule="exact"/>
        <w:rPr>
          <w:rFonts w:ascii="Arial" w:cs="Arial" w:eastAsia="Arial" w:hAnsi="Arial"/>
          <w:sz w:val="18"/>
          <w:szCs w:val="18"/>
          <w:color w:val="auto"/>
        </w:rPr>
      </w:pPr>
    </w:p>
    <w:p>
      <w:pPr>
        <w:ind w:left="1900" w:hanging="395"/>
        <w:spacing w:after="0"/>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have the meaning in the Plan subject to the requirements of Treasury Regulation Section 1.409A-</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3(i)(4).</w:t>
      </w:r>
    </w:p>
    <w:p>
      <w:pPr>
        <w:spacing w:after="0" w:line="193" w:lineRule="exact"/>
        <w:rPr>
          <w:rFonts w:ascii="Arial" w:cs="Arial" w:eastAsia="Arial" w:hAnsi="Arial"/>
          <w:sz w:val="18"/>
          <w:szCs w:val="18"/>
          <w:color w:val="auto"/>
        </w:rPr>
      </w:pPr>
    </w:p>
    <w:p>
      <w:pPr>
        <w:ind w:left="1900" w:hanging="395"/>
        <w:spacing w:after="0"/>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effective date of a grant of RSUs made to you as set forth in the relevant Notice.</w:t>
      </w:r>
    </w:p>
    <w:p>
      <w:pPr>
        <w:spacing w:after="0" w:line="211" w:lineRule="exact"/>
        <w:rPr>
          <w:rFonts w:ascii="Arial" w:cs="Arial" w:eastAsia="Arial" w:hAnsi="Arial"/>
          <w:sz w:val="18"/>
          <w:szCs w:val="18"/>
          <w:color w:val="auto"/>
        </w:rPr>
      </w:pPr>
    </w:p>
    <w:p>
      <w:pPr>
        <w:ind w:firstLine="1505"/>
        <w:spacing w:after="0" w:line="271" w:lineRule="auto"/>
        <w:tabs>
          <w:tab w:leader="none" w:pos="18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statement, letter or other written notification provided to you by the Company setting forth the terms of a grant of RSUs made to you.</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Axsome Therapeutics, Inc. 2015 Omnibus Incentive Compensation Plan, as in effect from time to</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w:t>
      </w:r>
    </w:p>
    <w:p>
      <w:pPr>
        <w:spacing w:after="0" w:line="193" w:lineRule="exact"/>
        <w:rPr>
          <w:rFonts w:ascii="Arial" w:cs="Arial" w:eastAsia="Arial" w:hAnsi="Arial"/>
          <w:sz w:val="18"/>
          <w:szCs w:val="18"/>
          <w:color w:val="auto"/>
        </w:rPr>
      </w:pPr>
    </w:p>
    <w:p>
      <w:pPr>
        <w:ind w:firstLine="1505"/>
        <w:spacing w:after="0" w:line="271" w:lineRule="auto"/>
        <w:tabs>
          <w:tab w:leader="none" w:pos="18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the Company’s commitment to issue one share of Company Stock at a future date, subject to the terms of the Agreement and the Plan.</w:t>
      </w:r>
    </w:p>
    <w:p>
      <w:pPr>
        <w:spacing w:after="0" w:line="153" w:lineRule="exact"/>
        <w:rPr>
          <w:rFonts w:ascii="Arial" w:cs="Arial" w:eastAsia="Arial" w:hAnsi="Arial"/>
          <w:sz w:val="18"/>
          <w:szCs w:val="18"/>
          <w:color w:val="auto"/>
        </w:rPr>
      </w:pPr>
    </w:p>
    <w:p>
      <w:pPr>
        <w:jc w:val="both"/>
        <w:ind w:firstLine="1505"/>
        <w:spacing w:after="0" w:line="247" w:lineRule="auto"/>
        <w:tabs>
          <w:tab w:leader="none" w:pos="18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Agreement</w:t>
      </w:r>
      <w:r>
        <w:rPr>
          <w:rFonts w:ascii="Arial" w:cs="Arial" w:eastAsia="Arial" w:hAnsi="Arial"/>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May 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376"/>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May 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376"/>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14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March 31, 2025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May 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20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March 31, 2025 as filed with the Securities and Exchange Commission (the “Report”), I, Nick Pizzie, Chief Financial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May 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60" w:name="page161"/>
    <w:bookmarkEnd w:id="1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lvl w:ilvl="1">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decimal"/>
      <w:start w:val="14"/>
    </w:lvl>
  </w:abstractNum>
  <w:abstractNum w:abstractNumId="7">
    <w:nsid w:val="39386575"/>
    <w:multiLevelType w:val="hybridMultilevel"/>
    <w:lvl w:ilvl="0">
      <w:lvlJc w:val="left"/>
      <w:lvlText w:val="(%1)"/>
      <w:numFmt w:val="lowerLetter"/>
      <w:start w:val="1"/>
    </w:lvl>
  </w:abstractNum>
  <w:abstractNum w:abstractNumId="8">
    <w:nsid w:val="1CF10FD8"/>
    <w:multiLevelType w:val="hybridMultilevel"/>
    <w:lvl w:ilvl="0">
      <w:lvlJc w:val="left"/>
      <w:lvlText w:val="%1."/>
      <w:numFmt w:val="decimal"/>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1."/>
      <w:numFmt w:val="decimal"/>
      <w:start w:val="1"/>
    </w:lvl>
    <w:lvl w:ilvl="1">
      <w:lvlJc w:val="left"/>
      <w:lvlText w:val="(%2)"/>
      <w:numFmt w:val="lowerLetter"/>
      <w:start w:val="1"/>
    </w:lvl>
  </w:abstractNum>
  <w:abstractNum w:abstractNumId="49">
    <w:nsid w:val="42963E5A"/>
    <w:multiLevelType w:val="hybridMultilevel"/>
    <w:lvl w:ilvl="0">
      <w:lvlJc w:val="left"/>
      <w:lvlText w:val="%1"/>
      <w:numFmt w:val="decimal"/>
      <w:start w:val="1"/>
    </w:lvl>
    <w:lvl w:ilvl="1">
      <w:lvlJc w:val="left"/>
      <w:lvlText w:val="(%2)"/>
      <w:numFmt w:val="lowerLetter"/>
      <w:start w:val="2"/>
    </w:lvl>
  </w:abstractNum>
  <w:abstractNum w:abstractNumId="50">
    <w:nsid w:val="A0382C5"/>
    <w:multiLevelType w:val="hybridMultilevel"/>
    <w:lvl w:ilvl="0">
      <w:lvlJc w:val="left"/>
      <w:lvlText w:val="%1."/>
      <w:numFmt w:val="decimal"/>
      <w:start w:val="3"/>
    </w:lvl>
    <w:lvl w:ilvl="1">
      <w:lvlJc w:val="left"/>
      <w:lvlText w:val="(%2)"/>
      <w:numFmt w:val="lowerLetter"/>
      <w:start w:val="1"/>
    </w:lvl>
  </w:abstractNum>
  <w:abstractNum w:abstractNumId="51">
    <w:nsid w:val="8F2B15E"/>
    <w:multiLevelType w:val="hybridMultilevel"/>
    <w:lvl w:ilvl="0">
      <w:lvlJc w:val="left"/>
      <w:lvlText w:val="(%1)"/>
      <w:numFmt w:val="lowerLetter"/>
      <w:start w:val="2"/>
    </w:lvl>
  </w:abstractNum>
  <w:abstractNum w:abstractNumId="52">
    <w:nsid w:val="1A32234B"/>
    <w:multiLevelType w:val="hybridMultilevel"/>
    <w:lvl w:ilvl="0">
      <w:lvlJc w:val="left"/>
      <w:lvlText w:val="%1"/>
      <w:numFmt w:val="decimal"/>
      <w:start w:val="1"/>
    </w:lvl>
    <w:lvl w:ilvl="1">
      <w:lvlJc w:val="left"/>
      <w:lvlText w:val="(%2)"/>
      <w:numFmt w:val="lowerLetter"/>
      <w:start w:val="4"/>
    </w:lvl>
  </w:abstractNum>
  <w:abstractNum w:abstractNumId="53">
    <w:nsid w:val="3B0FD379"/>
    <w:multiLevelType w:val="hybridMultilevel"/>
    <w:lvl w:ilvl="0">
      <w:lvlJc w:val="left"/>
      <w:lvlText w:val="%1."/>
      <w:numFmt w:val="decimal"/>
      <w:start w:val="4"/>
    </w:lvl>
    <w:lvl w:ilvl="1">
      <w:lvlJc w:val="left"/>
      <w:lvlText w:val="%2"/>
      <w:numFmt w:val="lowerLetter"/>
      <w:start w:val="1"/>
    </w:lvl>
  </w:abstractNum>
  <w:abstractNum w:abstractNumId="54">
    <w:nsid w:val="68EB2F63"/>
    <w:multiLevelType w:val="hybridMultilevel"/>
    <w:lvl w:ilvl="0">
      <w:lvlJc w:val="left"/>
      <w:lvlText w:val="%1."/>
      <w:numFmt w:val="decimal"/>
      <w:start w:val="6"/>
    </w:lvl>
  </w:abstractNum>
  <w:abstractNum w:abstractNumId="55">
    <w:nsid w:val="4962813B"/>
    <w:multiLevelType w:val="hybridMultilevel"/>
    <w:lvl w:ilvl="0">
      <w:lvlJc w:val="left"/>
      <w:lvlText w:val="%1."/>
      <w:numFmt w:val="decimal"/>
      <w:start w:val="7"/>
    </w:lvl>
  </w:abstractNum>
  <w:abstractNum w:abstractNumId="56">
    <w:nsid w:val="60B6DF70"/>
    <w:multiLevelType w:val="hybridMultilevel"/>
    <w:lvl w:ilvl="0">
      <w:lvlJc w:val="left"/>
      <w:lvlText w:val="%1."/>
      <w:numFmt w:val="decimal"/>
      <w:start w:val="8"/>
    </w:lvl>
    <w:lvl w:ilvl="1">
      <w:lvlJc w:val="left"/>
      <w:lvlText w:val="(%2)"/>
      <w:numFmt w:val="lowerLetter"/>
      <w:start w:val="1"/>
    </w:lvl>
  </w:abstractNum>
  <w:abstractNum w:abstractNumId="57">
    <w:nsid w:val="6A5EE64"/>
    <w:multiLevelType w:val="hybridMultilevel"/>
    <w:lvl w:ilvl="0">
      <w:lvlJc w:val="left"/>
      <w:lvlText w:val="(%1)"/>
      <w:numFmt w:val="lowerLetter"/>
      <w:start w:val="1"/>
    </w:lvl>
  </w:abstractNum>
  <w:abstractNum w:abstractNumId="58">
    <w:nsid w:val="14330624"/>
    <w:multiLevelType w:val="hybridMultilevel"/>
    <w:lvl w:ilvl="0">
      <w:lvlJc w:val="left"/>
      <w:lvlText w:val="%1"/>
      <w:numFmt w:val="decimal"/>
      <w:start w:val="1"/>
    </w:lvl>
    <w:lvl w:ilvl="1">
      <w:lvlJc w:val="left"/>
      <w:lvlText w:val="(%2)"/>
      <w:numFmt w:val="lowerRoman"/>
      <w:start w:val="1"/>
    </w:lvl>
  </w:abstractNum>
  <w:abstractNum w:abstractNumId="59">
    <w:nsid w:val="7FFFCA11"/>
    <w:multiLevelType w:val="hybridMultilevel"/>
    <w:lvl w:ilvl="0">
      <w:lvlJc w:val="left"/>
      <w:lvlText w:val="(%1)"/>
      <w:numFmt w:val="decimal"/>
      <w:start w:val="2"/>
    </w:lvl>
    <w:lvl w:ilvl="1">
      <w:lvlJc w:val="left"/>
      <w:lvlText w:val="(%2)"/>
      <w:numFmt w:val="lowerRoman"/>
      <w:start w:val="3"/>
    </w:lvl>
  </w:abstractNum>
  <w:abstractNum w:abstractNumId="60">
    <w:nsid w:val="1A27709E"/>
    <w:multiLevelType w:val="hybridMultilevel"/>
    <w:lvl w:ilvl="0">
      <w:lvlJc w:val="left"/>
      <w:lvlText w:val="(%1)"/>
      <w:numFmt w:val="lowerLetter"/>
      <w:start w:val="1"/>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decimal"/>
      <w:start w:val="2"/>
    </w:lvl>
  </w:abstractNum>
  <w:abstractNum w:abstractNumId="63">
    <w:nsid w:val="7FB7E0AA"/>
    <w:multiLevelType w:val="hybridMultilevel"/>
    <w:lvl w:ilvl="0">
      <w:lvlJc w:val="left"/>
      <w:lvlText w:val="(%1)"/>
      <w:numFmt w:val="decimal"/>
      <w:start w:val="10"/>
    </w:lvl>
  </w:abstractNum>
  <w:abstractNum w:abstractNumId="64">
    <w:nsid w:val="6EB5BD4"/>
    <w:multiLevelType w:val="hybridMultilevel"/>
    <w:lvl w:ilvl="0">
      <w:lvlJc w:val="left"/>
      <w:lvlText w:val="(%1)"/>
      <w:numFmt w:val="lowerLetter"/>
      <w:start w:val="2"/>
    </w:lvl>
  </w:abstractNum>
  <w:abstractNum w:abstractNumId="65">
    <w:nsid w:val="6F6DD9AC"/>
    <w:multiLevelType w:val="hybridMultilevel"/>
    <w:lvl w:ilvl="0">
      <w:lvlJc w:val="left"/>
      <w:lvlText w:val="(%1)"/>
      <w:numFmt w:val="lowerLetter"/>
      <w:start w:val="5"/>
    </w:lvl>
  </w:abstractNum>
  <w:abstractNum w:abstractNumId="66">
    <w:nsid w:val="94211F2"/>
    <w:multiLevelType w:val="hybridMultilevel"/>
    <w:lvl w:ilvl="0">
      <w:lvlJc w:val="left"/>
      <w:lvlText w:val="(%1)"/>
      <w:numFmt w:val="lowerLetter"/>
      <w:start w:val="7"/>
    </w:lvl>
  </w:abstractNum>
  <w:abstractNum w:abstractNumId="67">
    <w:nsid w:val="885E1B"/>
    <w:multiLevelType w:val="hybridMultilevel"/>
    <w:lvl w:ilvl="0">
      <w:lvlJc w:val="left"/>
      <w:lvlText w:val="(%1)"/>
      <w:numFmt w:val="lowerLetter"/>
      <w:start w:val="1"/>
    </w:lvl>
  </w:abstractNum>
  <w:abstractNum w:abstractNumId="68">
    <w:nsid w:val="76272110"/>
    <w:multiLevelType w:val="hybridMultilevel"/>
    <w:lvl w:ilvl="0">
      <w:lvlJc w:val="left"/>
      <w:lvlText w:val="(%1)"/>
      <w:numFmt w:val="lowerLetter"/>
      <w:start w:val="4"/>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1)"/>
      <w:numFmt w:val="lowerLetter"/>
      <w:start w:val="1"/>
    </w:lvl>
  </w:abstractNum>
  <w:abstractNum w:abstractNumId="71">
    <w:nsid w:val="14E17E33"/>
    <w:multiLevelType w:val="hybridMultilevel"/>
    <w:lvl w:ilvl="0">
      <w:lvlJc w:val="left"/>
      <w:lvlText w:val="(%1)"/>
      <w:numFmt w:val="lowerLetter"/>
      <w:start w:val="2"/>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3"/>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Roman"/>
      <w:start w:val="2"/>
    </w:lvl>
  </w:abstractNum>
  <w:abstractNum w:abstractNumId="76">
    <w:nsid w:val="46B7D447"/>
    <w:multiLevelType w:val="hybridMultilevel"/>
    <w:lvl w:ilvl="0">
      <w:lvlJc w:val="left"/>
      <w:lvlText w:val="%1."/>
      <w:numFmt w:val="decimal"/>
      <w:start w:val="1"/>
    </w:lvl>
    <w:lvl w:ilvl="1">
      <w:lvlJc w:val="left"/>
      <w:lvlText w:val="(%2)"/>
      <w:numFmt w:val="lowerLetter"/>
      <w:start w:val="1"/>
    </w:lvl>
  </w:abstractNum>
  <w:abstractNum w:abstractNumId="77">
    <w:nsid w:val="4A2AC315"/>
    <w:multiLevelType w:val="hybridMultilevel"/>
    <w:lvl w:ilvl="0">
      <w:lvlJc w:val="left"/>
      <w:lvlText w:val="(%1)"/>
      <w:numFmt w:val="lowerRoman"/>
      <w:start w:val="1"/>
    </w:lvl>
  </w:abstractNum>
  <w:abstractNum w:abstractNumId="78">
    <w:nsid w:val="39EE015C"/>
    <w:multiLevelType w:val="hybridMultilevel"/>
    <w:lvl w:ilvl="0">
      <w:lvlJc w:val="left"/>
      <w:lvlText w:val="(%1)"/>
      <w:numFmt w:val="lowerRoman"/>
      <w:start w:val="4"/>
    </w:lvl>
  </w:abstractNum>
  <w:abstractNum w:abstractNumId="79">
    <w:nsid w:val="57FC4FBB"/>
    <w:multiLevelType w:val="hybridMultilevel"/>
    <w:lvl w:ilvl="0">
      <w:lvlJc w:val="left"/>
      <w:lvlText w:val="%1."/>
      <w:numFmt w:val="decimal"/>
      <w:start w:val="4"/>
    </w:lvl>
    <w:lvl w:ilvl="1">
      <w:lvlJc w:val="left"/>
      <w:lvlText w:val="(%2)"/>
      <w:numFmt w:val="lowerLetter"/>
      <w:start w:val="1"/>
    </w:lvl>
  </w:abstractNum>
  <w:abstractNum w:abstractNumId="80">
    <w:nsid w:val="CC1016F"/>
    <w:multiLevelType w:val="hybridMultilevel"/>
    <w:lvl w:ilvl="0">
      <w:lvlJc w:val="left"/>
      <w:lvlText w:val="%1."/>
      <w:numFmt w:val="decimal"/>
      <w:start w:val="7"/>
    </w:lvl>
  </w:abstractNum>
  <w:abstractNum w:abstractNumId="81">
    <w:nsid w:val="43F18422"/>
    <w:multiLevelType w:val="hybridMultilevel"/>
    <w:lvl w:ilvl="0">
      <w:lvlJc w:val="left"/>
      <w:lvlText w:val="%1."/>
      <w:numFmt w:val="decimal"/>
      <w:start w:val="14"/>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1"/>
    </w:lvl>
    <w:lvl w:ilvl="1">
      <w:lvlJc w:val="left"/>
      <w:lvlText w:val="(%2)"/>
      <w:numFmt w:val="lowerLetter"/>
      <w:start w:val="1"/>
    </w:lvl>
  </w:abstractNum>
  <w:abstractNum w:abstractNumId="84">
    <w:nsid w:val="7F01579B"/>
    <w:multiLevelType w:val="hybridMultilevel"/>
    <w:lvl w:ilvl="0">
      <w:lvlJc w:val="left"/>
      <w:lvlText w:val="(%1)"/>
      <w:numFmt w:val="decimal"/>
      <w:start w:val="4"/>
    </w:lvl>
    <w:lvl w:ilvl="1">
      <w:lvlJc w:val="left"/>
      <w:lvlText w:val="%2"/>
      <w:numFmt w:val="lowerLetter"/>
      <w:start w:val="1"/>
    </w:lvl>
  </w:abstractNum>
  <w:abstractNum w:abstractNumId="85">
    <w:nsid w:val="49DA307D"/>
    <w:multiLevelType w:val="hybridMultilevel"/>
    <w:lvl w:ilvl="0">
      <w:lvlJc w:val="left"/>
      <w:lvlText w:val="%1."/>
      <w:numFmt w:val="decimal"/>
      <w:start w:val="6"/>
    </w:lvl>
  </w:abstractNum>
  <w:abstractNum w:abstractNumId="86">
    <w:nsid w:val="7055A5F5"/>
    <w:multiLevelType w:val="hybridMultilevel"/>
    <w:lvl w:ilvl="0">
      <w:lvlJc w:val="left"/>
      <w:lvlText w:val="%1."/>
      <w:numFmt w:val="decimal"/>
      <w:start w:val="7"/>
    </w:lvl>
  </w:abstractNum>
  <w:abstractNum w:abstractNumId="87">
    <w:nsid w:val="5FB8370B"/>
    <w:multiLevelType w:val="hybridMultilevel"/>
    <w:lvl w:ilvl="0">
      <w:lvlJc w:val="left"/>
      <w:lvlText w:val="(%1)"/>
      <w:numFmt w:val="lowerLetter"/>
      <w:start w:val="1"/>
    </w:lvl>
  </w:abstractNum>
  <w:abstractNum w:abstractNumId="88">
    <w:nsid w:val="50801EE1"/>
    <w:multiLevelType w:val="hybridMultilevel"/>
    <w:lvl w:ilvl="0">
      <w:lvlJc w:val="left"/>
      <w:lvlText w:val="%1."/>
      <w:numFmt w:val="decimal"/>
      <w:start w:val="8"/>
    </w:lvl>
  </w:abstractNum>
  <w:abstractNum w:abstractNumId="89">
    <w:nsid w:val="488AC1A"/>
    <w:multiLevelType w:val="hybridMultilevel"/>
    <w:lvl w:ilvl="0">
      <w:lvlJc w:val="left"/>
      <w:lvlText w:val="%1."/>
      <w:numFmt w:val="decimal"/>
      <w:start w:val="11"/>
    </w:lvl>
  </w:abstractNum>
  <w:abstractNum w:abstractNumId="90">
    <w:nsid w:val="5FB8011C"/>
    <w:multiLevelType w:val="hybridMultilevel"/>
    <w:lvl w:ilvl="0">
      <w:lvlJc w:val="left"/>
      <w:lvlText w:val="%1."/>
      <w:numFmt w:val="decimal"/>
      <w:start w:val="16"/>
    </w:lvl>
  </w:abstractNum>
  <w:abstractNum w:abstractNumId="91">
    <w:nsid w:val="6AA78F7F"/>
    <w:multiLevelType w:val="hybridMultilevel"/>
    <w:lvl w:ilvl="0">
      <w:lvlJc w:val="left"/>
      <w:lvlText w:val="%1."/>
      <w:numFmt w:val="decimal"/>
      <w:start w:val="22"/>
    </w:lvl>
  </w:abstractNum>
  <w:abstractNum w:abstractNumId="92">
    <w:nsid w:val="7672BD23"/>
    <w:multiLevelType w:val="hybridMultilevel"/>
    <w:lvl w:ilvl="0">
      <w:lvlJc w:val="left"/>
      <w:lvlText w:val="(%1)"/>
      <w:numFmt w:val="lowerLetter"/>
      <w:start w:val="1"/>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lowerLetter"/>
      <w:start w:val="1"/>
    </w:lvl>
  </w:abstractNum>
  <w:abstractNum w:abstractNumId="95">
    <w:nsid w:val="7D5E18F8"/>
    <w:multiLevelType w:val="hybridMultilevel"/>
    <w:lvl w:ilvl="0">
      <w:lvlJc w:val="left"/>
      <w:lvlText w:val="%1."/>
      <w:numFmt w:val="decimal"/>
      <w:start w:val="6"/>
    </w:lvl>
  </w:abstractNum>
  <w:abstractNum w:abstractNumId="96">
    <w:nsid w:val="5F3534A4"/>
    <w:multiLevelType w:val="hybridMultilevel"/>
    <w:lvl w:ilvl="0">
      <w:lvlJc w:val="left"/>
      <w:lvlText w:val="%1."/>
      <w:numFmt w:val="decimal"/>
      <w:start w:val="7"/>
    </w:lvl>
  </w:abstractNum>
  <w:abstractNum w:abstractNumId="97">
    <w:nsid w:val="73A1821B"/>
    <w:multiLevelType w:val="hybridMultilevel"/>
    <w:lvl w:ilvl="0">
      <w:lvlJc w:val="left"/>
      <w:lvlText w:val="(%1)"/>
      <w:numFmt w:val="lowerLetter"/>
      <w:start w:val="1"/>
    </w:lvl>
  </w:abstractNum>
  <w:abstractNum w:abstractNumId="98">
    <w:nsid w:val="7DE67713"/>
    <w:multiLevelType w:val="hybridMultilevel"/>
    <w:lvl w:ilvl="0">
      <w:lvlJc w:val="left"/>
      <w:lvlText w:val="%1."/>
      <w:numFmt w:val="decimal"/>
      <w:start w:val="8"/>
    </w:lvl>
  </w:abstractNum>
  <w:abstractNum w:abstractNumId="99">
    <w:nsid w:val="555C55B5"/>
    <w:multiLevelType w:val="hybridMultilevel"/>
    <w:lvl w:ilvl="0">
      <w:lvlJc w:val="left"/>
      <w:lvlText w:val="%1."/>
      <w:numFmt w:val="decimal"/>
      <w:start w:val="11"/>
    </w:lvl>
  </w:abstractNum>
  <w:abstractNum w:abstractNumId="100">
    <w:nsid w:val="3FA62ACA"/>
    <w:multiLevelType w:val="hybridMultilevel"/>
    <w:lvl w:ilvl="0">
      <w:lvlJc w:val="left"/>
      <w:lvlText w:val="%1."/>
      <w:numFmt w:val="decimal"/>
      <w:start w:val="16"/>
    </w:lvl>
  </w:abstractNum>
  <w:abstractNum w:abstractNumId="101">
    <w:nsid w:val="14FCE74E"/>
    <w:multiLevelType w:val="hybridMultilevel"/>
    <w:lvl w:ilvl="0">
      <w:lvlJc w:val="left"/>
      <w:lvlText w:val="%1."/>
      <w:numFmt w:val="decimal"/>
      <w:start w:val="22"/>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2025-05-05T15:53:13Z</dcterms:created>
  <dcterms:modified xsi:type="dcterms:W3CDTF">2025-05-05T15:53:13Z</dcterms:modified>
</cp:coreProperties>
</file>