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3"/>
          <w:szCs w:val="23"/>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SECURITIES AND EXCHANGE COMMISSION</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70485</wp:posOffset>
            </wp:positionV>
            <wp:extent cx="23831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126"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FORM 10-Q</w:t>
      </w:r>
    </w:p>
    <w:p>
      <w:pPr>
        <w:spacing w:after="0" w:line="78" w:lineRule="exact"/>
        <w:rPr>
          <w:sz w:val="24"/>
          <w:szCs w:val="24"/>
          <w:color w:val="auto"/>
        </w:rPr>
      </w:pPr>
    </w:p>
    <w:p>
      <w:pPr>
        <w:ind w:left="1620" w:hanging="187"/>
        <w:spacing w:after="0"/>
        <w:tabs>
          <w:tab w:leader="none" w:pos="1620" w:val="left"/>
        </w:tabs>
        <w:numPr>
          <w:ilvl w:val="1"/>
          <w:numId w:val="1"/>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QUARTERLY REPORT PURSUANT TO SECTION 13 OR 15(d) OF THE SECURITIES EXCHANGE ACT OF 1934</w:t>
      </w:r>
    </w:p>
    <w:p>
      <w:pPr>
        <w:spacing w:after="0" w:line="72" w:lineRule="exact"/>
        <w:rPr>
          <w:rFonts w:ascii="MS PGothic" w:cs="MS PGothic" w:eastAsia="MS PGothic" w:hAnsi="MS PGothic"/>
          <w:sz w:val="16"/>
          <w:szCs w:val="16"/>
          <w:color w:val="auto"/>
          <w:highlight w:val="black"/>
        </w:rPr>
      </w:pPr>
    </w:p>
    <w:p>
      <w:pPr>
        <w:ind w:left="4180"/>
        <w:spacing w:after="0"/>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For the quarterly period ended June 30, 2023</w:t>
      </w:r>
    </w:p>
    <w:p>
      <w:pPr>
        <w:spacing w:after="0" w:line="72" w:lineRule="exact"/>
        <w:rPr>
          <w:rFonts w:ascii="MS PGothic" w:cs="MS PGothic" w:eastAsia="MS PGothic" w:hAnsi="MS PGothic"/>
          <w:sz w:val="16"/>
          <w:szCs w:val="16"/>
          <w:color w:val="auto"/>
          <w:highlight w:val="black"/>
        </w:rPr>
      </w:pPr>
    </w:p>
    <w:p>
      <w:pPr>
        <w:ind w:left="5500"/>
        <w:spacing w:after="0"/>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OR</w:t>
      </w:r>
    </w:p>
    <w:p>
      <w:pPr>
        <w:spacing w:after="0" w:line="72" w:lineRule="exact"/>
        <w:rPr>
          <w:rFonts w:ascii="MS PGothic" w:cs="MS PGothic" w:eastAsia="MS PGothic" w:hAnsi="MS PGothic"/>
          <w:sz w:val="16"/>
          <w:szCs w:val="16"/>
          <w:color w:val="auto"/>
          <w:highlight w:val="black"/>
        </w:rPr>
      </w:pPr>
    </w:p>
    <w:p>
      <w:pPr>
        <w:jc w:val="center"/>
        <w:ind w:left="3800" w:right="1420" w:hanging="2376"/>
        <w:spacing w:after="0" w:line="334" w:lineRule="auto"/>
        <w:tabs>
          <w:tab w:leader="none" w:pos="1611"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 For the transition period from ________ to ________</w:t>
      </w:r>
    </w:p>
    <w:p>
      <w:pPr>
        <w:ind w:left="4360"/>
        <w:spacing w:after="0"/>
        <w:rPr>
          <w:rFonts w:ascii="MS PGothic" w:cs="MS PGothic" w:eastAsia="MS PGothic" w:hAnsi="MS PGothic"/>
          <w:sz w:val="16"/>
          <w:szCs w:val="16"/>
          <w:color w:val="auto"/>
        </w:rPr>
      </w:pPr>
      <w:r>
        <w:rPr>
          <w:rFonts w:ascii="Arial" w:cs="Arial" w:eastAsia="Arial" w:hAnsi="Arial"/>
          <w:sz w:val="16"/>
          <w:szCs w:val="16"/>
          <w:b w:val="1"/>
          <w:bCs w:val="1"/>
          <w:color w:val="auto"/>
        </w:rPr>
        <w:t>Commission File Number 001-37635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71755</wp:posOffset>
            </wp:positionV>
            <wp:extent cx="23831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129"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AXSOME THERAPEUTICS, INC.</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88" w:lineRule="exact"/>
        <w:rPr>
          <w:sz w:val="24"/>
          <w:szCs w:val="24"/>
          <w:color w:val="auto"/>
        </w:rPr>
      </w:pPr>
    </w:p>
    <w:tbl>
      <w:tblPr>
        <w:tblLayout w:type="fixed"/>
        <w:tblInd w:w="1100" w:type="dxa"/>
        <w:tblCellMar>
          <w:top w:w="0" w:type="dxa"/>
          <w:left w:w="0" w:type="dxa"/>
          <w:bottom w:w="0" w:type="dxa"/>
          <w:right w:w="0" w:type="dxa"/>
        </w:tblCellMar>
      </w:tblPr>
      <w:tr>
        <w:trPr>
          <w:trHeight w:val="210"/>
        </w:trPr>
        <w:tc>
          <w:tcPr>
            <w:tcW w:w="4860" w:type="dxa"/>
            <w:vAlign w:val="bottom"/>
          </w:tcPr>
          <w:p>
            <w:pPr>
              <w:jc w:val="center"/>
              <w:ind w:right="1362"/>
              <w:spacing w:after="0"/>
              <w:rPr>
                <w:sz w:val="20"/>
                <w:szCs w:val="20"/>
                <w:color w:val="auto"/>
              </w:rPr>
            </w:pPr>
            <w:r>
              <w:rPr>
                <w:rFonts w:ascii="Arial" w:cs="Arial" w:eastAsia="Arial" w:hAnsi="Arial"/>
                <w:sz w:val="16"/>
                <w:szCs w:val="16"/>
                <w:b w:val="1"/>
                <w:bCs w:val="1"/>
                <w:color w:val="auto"/>
                <w:w w:val="93"/>
              </w:rPr>
              <w:t>Delaware</w:t>
            </w:r>
          </w:p>
        </w:tc>
        <w:tc>
          <w:tcPr>
            <w:tcW w:w="3520" w:type="dxa"/>
            <w:vAlign w:val="bottom"/>
          </w:tcPr>
          <w:p>
            <w:pPr>
              <w:jc w:val="right"/>
              <w:ind w:right="584"/>
              <w:spacing w:after="0"/>
              <w:rPr>
                <w:sz w:val="20"/>
                <w:szCs w:val="20"/>
                <w:color w:val="auto"/>
              </w:rPr>
            </w:pPr>
            <w:r>
              <w:rPr>
                <w:rFonts w:ascii="Arial" w:cs="Arial" w:eastAsia="Arial" w:hAnsi="Arial"/>
                <w:sz w:val="16"/>
                <w:szCs w:val="16"/>
                <w:b w:val="1"/>
                <w:bCs w:val="1"/>
                <w:color w:val="auto"/>
              </w:rPr>
              <w:t>45-4241907</w:t>
            </w:r>
          </w:p>
        </w:tc>
      </w:tr>
      <w:tr>
        <w:trPr>
          <w:trHeight w:val="196"/>
        </w:trPr>
        <w:tc>
          <w:tcPr>
            <w:tcW w:w="4860" w:type="dxa"/>
            <w:vAlign w:val="bottom"/>
          </w:tcPr>
          <w:p>
            <w:pPr>
              <w:jc w:val="center"/>
              <w:ind w:right="1342"/>
              <w:spacing w:after="0"/>
              <w:rPr>
                <w:sz w:val="20"/>
                <w:szCs w:val="20"/>
                <w:color w:val="auto"/>
              </w:rPr>
            </w:pPr>
            <w:r>
              <w:rPr>
                <w:rFonts w:ascii="Arial" w:cs="Arial" w:eastAsia="Arial" w:hAnsi="Arial"/>
                <w:sz w:val="14"/>
                <w:szCs w:val="14"/>
                <w:color w:val="auto"/>
                <w:w w:val="95"/>
              </w:rPr>
              <w:t>(State or other jurisdiction of incorporation or organization)</w:t>
            </w:r>
          </w:p>
        </w:tc>
        <w:tc>
          <w:tcPr>
            <w:tcW w:w="3520" w:type="dxa"/>
            <w:vAlign w:val="bottom"/>
          </w:tcPr>
          <w:p>
            <w:pPr>
              <w:jc w:val="center"/>
              <w:ind w:left="1344"/>
              <w:spacing w:after="0"/>
              <w:rPr>
                <w:sz w:val="20"/>
                <w:szCs w:val="20"/>
                <w:color w:val="auto"/>
              </w:rPr>
            </w:pPr>
            <w:r>
              <w:rPr>
                <w:rFonts w:ascii="Arial" w:cs="Arial" w:eastAsia="Arial" w:hAnsi="Arial"/>
                <w:sz w:val="14"/>
                <w:szCs w:val="14"/>
                <w:color w:val="auto"/>
                <w:w w:val="97"/>
              </w:rPr>
              <w:t>(I.R.S. Employer Identification No.)</w:t>
            </w:r>
          </w:p>
        </w:tc>
      </w:tr>
      <w:tr>
        <w:trPr>
          <w:trHeight w:val="295"/>
        </w:trPr>
        <w:tc>
          <w:tcPr>
            <w:tcW w:w="4860" w:type="dxa"/>
            <w:vAlign w:val="bottom"/>
          </w:tcPr>
          <w:p>
            <w:pPr>
              <w:jc w:val="center"/>
              <w:ind w:right="1362"/>
              <w:spacing w:after="0"/>
              <w:rPr>
                <w:sz w:val="20"/>
                <w:szCs w:val="20"/>
                <w:color w:val="auto"/>
              </w:rPr>
            </w:pPr>
            <w:r>
              <w:rPr>
                <w:rFonts w:ascii="Arial" w:cs="Arial" w:eastAsia="Arial" w:hAnsi="Arial"/>
                <w:sz w:val="16"/>
                <w:szCs w:val="16"/>
                <w:b w:val="1"/>
                <w:bCs w:val="1"/>
                <w:color w:val="auto"/>
                <w:w w:val="94"/>
              </w:rPr>
              <w:t>One World Trade Center</w:t>
            </w:r>
          </w:p>
        </w:tc>
        <w:tc>
          <w:tcPr>
            <w:tcW w:w="3520" w:type="dxa"/>
            <w:vAlign w:val="bottom"/>
          </w:tcPr>
          <w:p>
            <w:pPr>
              <w:spacing w:after="0"/>
              <w:rPr>
                <w:sz w:val="24"/>
                <w:szCs w:val="24"/>
                <w:color w:val="auto"/>
              </w:rPr>
            </w:pPr>
          </w:p>
        </w:tc>
      </w:tr>
      <w:tr>
        <w:trPr>
          <w:trHeight w:val="203"/>
        </w:trPr>
        <w:tc>
          <w:tcPr>
            <w:tcW w:w="4860" w:type="dxa"/>
            <w:vAlign w:val="bottom"/>
          </w:tcPr>
          <w:p>
            <w:pPr>
              <w:jc w:val="center"/>
              <w:ind w:right="1342"/>
              <w:spacing w:after="0"/>
              <w:rPr>
                <w:sz w:val="20"/>
                <w:szCs w:val="20"/>
                <w:color w:val="auto"/>
              </w:rPr>
            </w:pPr>
            <w:r>
              <w:rPr>
                <w:rFonts w:ascii="Arial" w:cs="Arial" w:eastAsia="Arial" w:hAnsi="Arial"/>
                <w:sz w:val="16"/>
                <w:szCs w:val="16"/>
                <w:b w:val="1"/>
                <w:bCs w:val="1"/>
                <w:color w:val="auto"/>
                <w:w w:val="92"/>
              </w:rPr>
              <w:t>22nd Floor</w:t>
            </w:r>
          </w:p>
        </w:tc>
        <w:tc>
          <w:tcPr>
            <w:tcW w:w="3520" w:type="dxa"/>
            <w:vAlign w:val="bottom"/>
          </w:tcPr>
          <w:p>
            <w:pPr>
              <w:spacing w:after="0"/>
              <w:rPr>
                <w:sz w:val="17"/>
                <w:szCs w:val="17"/>
                <w:color w:val="auto"/>
              </w:rPr>
            </w:pPr>
          </w:p>
        </w:tc>
      </w:tr>
      <w:tr>
        <w:trPr>
          <w:trHeight w:val="210"/>
        </w:trPr>
        <w:tc>
          <w:tcPr>
            <w:tcW w:w="4860" w:type="dxa"/>
            <w:vAlign w:val="bottom"/>
          </w:tcPr>
          <w:p>
            <w:pPr>
              <w:jc w:val="center"/>
              <w:ind w:right="1342"/>
              <w:spacing w:after="0"/>
              <w:rPr>
                <w:sz w:val="20"/>
                <w:szCs w:val="20"/>
                <w:color w:val="auto"/>
              </w:rPr>
            </w:pPr>
            <w:r>
              <w:rPr>
                <w:rFonts w:ascii="Arial" w:cs="Arial" w:eastAsia="Arial" w:hAnsi="Arial"/>
                <w:sz w:val="16"/>
                <w:szCs w:val="16"/>
                <w:b w:val="1"/>
                <w:bCs w:val="1"/>
                <w:color w:val="auto"/>
                <w:w w:val="93"/>
              </w:rPr>
              <w:t>New York, New York</w:t>
            </w:r>
          </w:p>
        </w:tc>
        <w:tc>
          <w:tcPr>
            <w:tcW w:w="3520" w:type="dxa"/>
            <w:vAlign w:val="bottom"/>
          </w:tcPr>
          <w:p>
            <w:pPr>
              <w:jc w:val="right"/>
              <w:ind w:right="764"/>
              <w:spacing w:after="0"/>
              <w:rPr>
                <w:sz w:val="20"/>
                <w:szCs w:val="20"/>
                <w:color w:val="auto"/>
              </w:rPr>
            </w:pPr>
            <w:r>
              <w:rPr>
                <w:rFonts w:ascii="Arial" w:cs="Arial" w:eastAsia="Arial" w:hAnsi="Arial"/>
                <w:sz w:val="16"/>
                <w:szCs w:val="16"/>
                <w:b w:val="1"/>
                <w:bCs w:val="1"/>
                <w:color w:val="auto"/>
              </w:rPr>
              <w:t>10007</w:t>
            </w:r>
          </w:p>
        </w:tc>
      </w:tr>
      <w:tr>
        <w:trPr>
          <w:trHeight w:val="196"/>
        </w:trPr>
        <w:tc>
          <w:tcPr>
            <w:tcW w:w="4860" w:type="dxa"/>
            <w:vAlign w:val="bottom"/>
          </w:tcPr>
          <w:p>
            <w:pPr>
              <w:jc w:val="center"/>
              <w:ind w:right="1342"/>
              <w:spacing w:after="0"/>
              <w:rPr>
                <w:sz w:val="20"/>
                <w:szCs w:val="20"/>
                <w:color w:val="auto"/>
              </w:rPr>
            </w:pPr>
            <w:r>
              <w:rPr>
                <w:rFonts w:ascii="Arial" w:cs="Arial" w:eastAsia="Arial" w:hAnsi="Arial"/>
                <w:sz w:val="14"/>
                <w:szCs w:val="14"/>
                <w:color w:val="auto"/>
                <w:w w:val="95"/>
              </w:rPr>
              <w:t>(Address of principal executive offices)</w:t>
            </w:r>
          </w:p>
        </w:tc>
        <w:tc>
          <w:tcPr>
            <w:tcW w:w="3520" w:type="dxa"/>
            <w:vAlign w:val="bottom"/>
          </w:tcPr>
          <w:p>
            <w:pPr>
              <w:jc w:val="center"/>
              <w:ind w:left="1344"/>
              <w:spacing w:after="0"/>
              <w:rPr>
                <w:sz w:val="20"/>
                <w:szCs w:val="20"/>
                <w:color w:val="auto"/>
              </w:rPr>
            </w:pPr>
            <w:r>
              <w:rPr>
                <w:rFonts w:ascii="Arial" w:cs="Arial" w:eastAsia="Arial" w:hAnsi="Arial"/>
                <w:sz w:val="14"/>
                <w:szCs w:val="14"/>
                <w:color w:val="auto"/>
                <w:w w:val="93"/>
              </w:rPr>
              <w:t>(Zip Code)</w:t>
            </w:r>
          </w:p>
        </w:tc>
      </w:tr>
    </w:tbl>
    <w:p>
      <w:pPr>
        <w:spacing w:after="0" w:line="5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Registrant’s telephone number, including area code: (212) 332-3241</w:t>
      </w:r>
    </w:p>
    <w:p>
      <w:pPr>
        <w:spacing w:after="0" w:line="68" w:lineRule="exact"/>
        <w:rPr>
          <w:sz w:val="24"/>
          <w:szCs w:val="24"/>
          <w:color w:val="auto"/>
        </w:rPr>
      </w:pPr>
    </w:p>
    <w:p>
      <w:pPr>
        <w:ind w:right="180"/>
        <w:spacing w:after="0" w:line="184"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highlight w:val="black"/>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0" w:lineRule="exact"/>
        <w:rPr>
          <w:sz w:val="24"/>
          <w:szCs w:val="24"/>
          <w:color w:val="auto"/>
        </w:rPr>
      </w:pPr>
    </w:p>
    <w:p>
      <w:pPr>
        <w:ind w:right="220"/>
        <w:spacing w:after="0" w:line="184"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0" w:lineRule="exact"/>
        <w:rPr>
          <w:sz w:val="24"/>
          <w:szCs w:val="24"/>
          <w:color w:val="auto"/>
        </w:rPr>
      </w:pPr>
    </w:p>
    <w:p>
      <w:pPr>
        <w:ind w:right="640"/>
        <w:spacing w:after="0" w:line="2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44" w:lineRule="exact"/>
        <w:rPr>
          <w:sz w:val="24"/>
          <w:szCs w:val="24"/>
          <w:color w:val="auto"/>
        </w:rPr>
      </w:pPr>
    </w:p>
    <w:tbl>
      <w:tblPr>
        <w:tblLayout w:type="fixed"/>
        <w:tblInd w:w="20" w:type="dxa"/>
        <w:tblCellMar>
          <w:top w:w="0" w:type="dxa"/>
          <w:left w:w="0" w:type="dxa"/>
          <w:bottom w:w="0" w:type="dxa"/>
          <w:right w:w="0" w:type="dxa"/>
        </w:tblCellMar>
      </w:tblPr>
      <w:tr>
        <w:trPr>
          <w:trHeight w:val="203"/>
        </w:trPr>
        <w:tc>
          <w:tcPr>
            <w:tcW w:w="206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2220" w:type="dxa"/>
            <w:vAlign w:val="bottom"/>
          </w:tcPr>
          <w:p>
            <w:pPr>
              <w:ind w:left="740"/>
              <w:spacing w:after="0" w:line="141" w:lineRule="exact"/>
              <w:rPr>
                <w:sz w:val="20"/>
                <w:szCs w:val="20"/>
                <w:color w:val="auto"/>
              </w:rPr>
            </w:pPr>
            <w:r>
              <w:rPr>
                <w:rFonts w:ascii="MS PGothic" w:cs="MS PGothic" w:eastAsia="MS PGothic" w:hAnsi="MS PGothic"/>
                <w:sz w:val="14"/>
                <w:szCs w:val="14"/>
                <w:color w:val="auto"/>
              </w:rPr>
              <w:t>☒</w:t>
            </w:r>
          </w:p>
        </w:tc>
        <w:tc>
          <w:tcPr>
            <w:tcW w:w="3520" w:type="dxa"/>
            <w:vAlign w:val="bottom"/>
          </w:tcPr>
          <w:p>
            <w:pPr>
              <w:ind w:left="1340"/>
              <w:spacing w:after="0"/>
              <w:rPr>
                <w:sz w:val="20"/>
                <w:szCs w:val="20"/>
                <w:color w:val="auto"/>
              </w:rPr>
            </w:pPr>
            <w:r>
              <w:rPr>
                <w:rFonts w:ascii="Arial" w:cs="Arial" w:eastAsia="Arial" w:hAnsi="Arial"/>
                <w:sz w:val="14"/>
                <w:szCs w:val="14"/>
                <w:color w:val="auto"/>
              </w:rPr>
              <w:t>Accelerated Filer</w:t>
            </w:r>
          </w:p>
        </w:tc>
        <w:tc>
          <w:tcPr>
            <w:tcW w:w="760" w:type="dxa"/>
            <w:vAlign w:val="bottom"/>
          </w:tcPr>
          <w:p>
            <w:pPr>
              <w:ind w:left="62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03"/>
        </w:trPr>
        <w:tc>
          <w:tcPr>
            <w:tcW w:w="2060" w:type="dxa"/>
            <w:vAlign w:val="bottom"/>
          </w:tcPr>
          <w:p>
            <w:pPr>
              <w:spacing w:after="0"/>
              <w:rPr>
                <w:sz w:val="20"/>
                <w:szCs w:val="20"/>
                <w:color w:val="auto"/>
              </w:rPr>
            </w:pPr>
            <w:r>
              <w:rPr>
                <w:rFonts w:ascii="Arial" w:cs="Arial" w:eastAsia="Arial" w:hAnsi="Arial"/>
                <w:sz w:val="14"/>
                <w:szCs w:val="14"/>
                <w:color w:val="auto"/>
              </w:rPr>
              <w:t>Non-accelerated filer</w:t>
            </w:r>
          </w:p>
        </w:tc>
        <w:tc>
          <w:tcPr>
            <w:tcW w:w="2220" w:type="dxa"/>
            <w:vAlign w:val="bottom"/>
          </w:tcPr>
          <w:p>
            <w:pPr>
              <w:ind w:left="740"/>
              <w:spacing w:after="0" w:line="141" w:lineRule="exact"/>
              <w:rPr>
                <w:sz w:val="20"/>
                <w:szCs w:val="20"/>
                <w:color w:val="auto"/>
              </w:rPr>
            </w:pPr>
            <w:r>
              <w:rPr>
                <w:rFonts w:ascii="MS PGothic" w:cs="MS PGothic" w:eastAsia="MS PGothic" w:hAnsi="MS PGothic"/>
                <w:sz w:val="14"/>
                <w:szCs w:val="14"/>
                <w:color w:val="auto"/>
              </w:rPr>
              <w:t>☐</w:t>
            </w:r>
          </w:p>
        </w:tc>
        <w:tc>
          <w:tcPr>
            <w:tcW w:w="3520" w:type="dxa"/>
            <w:vAlign w:val="bottom"/>
          </w:tcPr>
          <w:p>
            <w:pPr>
              <w:ind w:left="1340"/>
              <w:spacing w:after="0"/>
              <w:rPr>
                <w:sz w:val="20"/>
                <w:szCs w:val="20"/>
                <w:color w:val="auto"/>
              </w:rPr>
            </w:pPr>
            <w:r>
              <w:rPr>
                <w:rFonts w:ascii="Arial" w:cs="Arial" w:eastAsia="Arial" w:hAnsi="Arial"/>
                <w:sz w:val="14"/>
                <w:szCs w:val="14"/>
                <w:color w:val="auto"/>
              </w:rPr>
              <w:t>Smaller reporting company</w:t>
            </w:r>
          </w:p>
        </w:tc>
        <w:tc>
          <w:tcPr>
            <w:tcW w:w="760" w:type="dxa"/>
            <w:vAlign w:val="bottom"/>
          </w:tcPr>
          <w:p>
            <w:pPr>
              <w:ind w:left="62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42"/>
        </w:trPr>
        <w:tc>
          <w:tcPr>
            <w:tcW w:w="206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3520" w:type="dxa"/>
            <w:vAlign w:val="bottom"/>
          </w:tcPr>
          <w:p>
            <w:pPr>
              <w:ind w:left="1340"/>
              <w:spacing w:after="0"/>
              <w:rPr>
                <w:sz w:val="20"/>
                <w:szCs w:val="20"/>
                <w:color w:val="auto"/>
              </w:rPr>
            </w:pPr>
            <w:r>
              <w:rPr>
                <w:rFonts w:ascii="Arial" w:cs="Arial" w:eastAsia="Arial" w:hAnsi="Arial"/>
                <w:sz w:val="14"/>
                <w:szCs w:val="14"/>
                <w:color w:val="auto"/>
              </w:rPr>
              <w:t>Emerging growth company</w:t>
            </w:r>
          </w:p>
        </w:tc>
        <w:tc>
          <w:tcPr>
            <w:tcW w:w="760" w:type="dxa"/>
            <w:vAlign w:val="bottom"/>
          </w:tcPr>
          <w:p>
            <w:pPr>
              <w:ind w:left="62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37" w:lineRule="exact"/>
        <w:rPr>
          <w:sz w:val="24"/>
          <w:szCs w:val="24"/>
          <w:color w:val="auto"/>
        </w:rPr>
      </w:pPr>
    </w:p>
    <w:p>
      <w:pPr>
        <w:ind w:right="560"/>
        <w:spacing w:after="0" w:line="184"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highlight w:val="black"/>
        </w:rPr>
        <w:t>☒</w:t>
      </w:r>
    </w:p>
    <w:p>
      <w:pPr>
        <w:spacing w:after="0" w:line="17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122" w:lineRule="exact"/>
        <w:rPr>
          <w:sz w:val="24"/>
          <w:szCs w:val="24"/>
          <w:color w:val="auto"/>
        </w:rPr>
      </w:pPr>
    </w:p>
    <w:tbl>
      <w:tblPr>
        <w:tblLayout w:type="fixed"/>
        <w:tblInd w:w="0" w:type="dxa"/>
        <w:tblCellMar>
          <w:top w:w="0" w:type="dxa"/>
          <w:left w:w="0" w:type="dxa"/>
          <w:bottom w:w="0" w:type="dxa"/>
          <w:right w:w="0" w:type="dxa"/>
        </w:tblCellMar>
      </w:tblPr>
      <w:tr>
        <w:trPr>
          <w:trHeight w:val="181"/>
        </w:trPr>
        <w:tc>
          <w:tcPr>
            <w:tcW w:w="35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Title of each class:</w:t>
            </w:r>
          </w:p>
        </w:tc>
        <w:tc>
          <w:tcPr>
            <w:tcW w:w="240" w:type="dxa"/>
            <w:vAlign w:val="bottom"/>
          </w:tcPr>
          <w:p>
            <w:pPr>
              <w:spacing w:after="0"/>
              <w:rPr>
                <w:sz w:val="15"/>
                <w:szCs w:val="15"/>
                <w:color w:val="auto"/>
              </w:rPr>
            </w:pPr>
          </w:p>
        </w:tc>
        <w:tc>
          <w:tcPr>
            <w:tcW w:w="36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Trading Symbol(s)</w:t>
            </w:r>
          </w:p>
        </w:tc>
        <w:tc>
          <w:tcPr>
            <w:tcW w:w="240" w:type="dxa"/>
            <w:vAlign w:val="bottom"/>
          </w:tcPr>
          <w:p>
            <w:pPr>
              <w:spacing w:after="0"/>
              <w:rPr>
                <w:sz w:val="15"/>
                <w:szCs w:val="15"/>
                <w:color w:val="auto"/>
              </w:rPr>
            </w:pPr>
          </w:p>
        </w:tc>
        <w:tc>
          <w:tcPr>
            <w:tcW w:w="35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Name of each exchange on which registered:</w:t>
            </w:r>
          </w:p>
        </w:tc>
      </w:tr>
      <w:tr>
        <w:trPr>
          <w:trHeight w:val="176"/>
        </w:trPr>
        <w:tc>
          <w:tcPr>
            <w:tcW w:w="3580" w:type="dxa"/>
            <w:vAlign w:val="bottom"/>
          </w:tcPr>
          <w:p>
            <w:pPr>
              <w:jc w:val="center"/>
              <w:spacing w:after="0"/>
              <w:rPr>
                <w:sz w:val="20"/>
                <w:szCs w:val="20"/>
                <w:color w:val="auto"/>
              </w:rPr>
            </w:pPr>
            <w:r>
              <w:rPr>
                <w:rFonts w:ascii="Arial" w:cs="Arial" w:eastAsia="Arial" w:hAnsi="Arial"/>
                <w:sz w:val="14"/>
                <w:szCs w:val="14"/>
                <w:color w:val="auto"/>
                <w:w w:val="91"/>
              </w:rPr>
              <w:t>Common Stock, Par Value $0.0001 Per Share</w:t>
            </w:r>
          </w:p>
        </w:tc>
        <w:tc>
          <w:tcPr>
            <w:tcW w:w="240" w:type="dxa"/>
            <w:vAlign w:val="bottom"/>
          </w:tcPr>
          <w:p>
            <w:pPr>
              <w:spacing w:after="0"/>
              <w:rPr>
                <w:sz w:val="15"/>
                <w:szCs w:val="15"/>
                <w:color w:val="auto"/>
              </w:rPr>
            </w:pPr>
          </w:p>
        </w:tc>
        <w:tc>
          <w:tcPr>
            <w:tcW w:w="3600" w:type="dxa"/>
            <w:vAlign w:val="bottom"/>
          </w:tcPr>
          <w:p>
            <w:pPr>
              <w:jc w:val="center"/>
              <w:spacing w:after="0"/>
              <w:rPr>
                <w:sz w:val="20"/>
                <w:szCs w:val="20"/>
                <w:color w:val="auto"/>
              </w:rPr>
            </w:pPr>
            <w:r>
              <w:rPr>
                <w:rFonts w:ascii="Arial" w:cs="Arial" w:eastAsia="Arial" w:hAnsi="Arial"/>
                <w:sz w:val="14"/>
                <w:szCs w:val="14"/>
                <w:color w:val="auto"/>
              </w:rPr>
              <w:t>AXSM</w:t>
            </w:r>
          </w:p>
        </w:tc>
        <w:tc>
          <w:tcPr>
            <w:tcW w:w="240" w:type="dxa"/>
            <w:vAlign w:val="bottom"/>
          </w:tcPr>
          <w:p>
            <w:pPr>
              <w:spacing w:after="0"/>
              <w:rPr>
                <w:sz w:val="15"/>
                <w:szCs w:val="15"/>
                <w:color w:val="auto"/>
              </w:rPr>
            </w:pPr>
          </w:p>
        </w:tc>
        <w:tc>
          <w:tcPr>
            <w:tcW w:w="3580" w:type="dxa"/>
            <w:vAlign w:val="bottom"/>
          </w:tcPr>
          <w:p>
            <w:pPr>
              <w:jc w:val="center"/>
              <w:spacing w:after="0"/>
              <w:rPr>
                <w:sz w:val="20"/>
                <w:szCs w:val="20"/>
                <w:color w:val="auto"/>
              </w:rPr>
            </w:pPr>
            <w:r>
              <w:rPr>
                <w:rFonts w:ascii="Arial" w:cs="Arial" w:eastAsia="Arial" w:hAnsi="Arial"/>
                <w:sz w:val="14"/>
                <w:szCs w:val="14"/>
                <w:color w:val="auto"/>
                <w:w w:val="94"/>
              </w:rPr>
              <w:t>The Nasdaq Global Market</w:t>
            </w:r>
          </w:p>
        </w:tc>
      </w:tr>
    </w:tbl>
    <w:p>
      <w:pPr>
        <w:spacing w:after="0" w:line="150" w:lineRule="exact"/>
        <w:rPr>
          <w:sz w:val="24"/>
          <w:szCs w:val="24"/>
          <w:color w:val="auto"/>
        </w:rPr>
      </w:pPr>
    </w:p>
    <w:p>
      <w:pPr>
        <w:spacing w:after="0"/>
        <w:rPr>
          <w:sz w:val="20"/>
          <w:szCs w:val="20"/>
          <w:color w:val="auto"/>
        </w:rPr>
      </w:pPr>
      <w:r>
        <w:rPr>
          <w:rFonts w:ascii="Arial" w:cs="Arial" w:eastAsia="Arial" w:hAnsi="Arial"/>
          <w:sz w:val="14"/>
          <w:szCs w:val="14"/>
          <w:color w:val="auto"/>
        </w:rPr>
        <w:t>There were 47,190,970 shares of the registrant’s common stock, $0.0001 par value, outstanding as of July 31,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149860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167005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368300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84"/>
        </w:trPr>
        <w:tc>
          <w:tcPr>
            <w:tcW w:w="10480" w:type="dxa"/>
            <w:vAlign w:val="bottom"/>
            <w:gridSpan w:val="16"/>
          </w:tcPr>
          <w:p>
            <w:pPr>
              <w:spacing w:after="0"/>
              <w:rPr>
                <w:sz w:val="20"/>
                <w:szCs w:val="20"/>
                <w:color w:val="auto"/>
              </w:rPr>
            </w:pPr>
            <w:r>
              <w:rPr>
                <w:rFonts w:ascii="Arial" w:cs="Arial" w:eastAsia="Arial" w:hAnsi="Arial"/>
                <w:sz w:val="16"/>
                <w:szCs w:val="16"/>
                <w:color w:val="0563C1"/>
              </w:rPr>
              <w:t>Table of Contents</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5"/>
        </w:trPr>
        <w:tc>
          <w:tcPr>
            <w:tcW w:w="20" w:type="dxa"/>
            <w:vAlign w:val="bottom"/>
            <w:tcBorders>
              <w:top w:val="single" w:sz="8" w:color="0563C1"/>
            </w:tcBorders>
          </w:tcPr>
          <w:p>
            <w:pPr>
              <w:spacing w:after="0"/>
              <w:rPr>
                <w:sz w:val="24"/>
                <w:szCs w:val="24"/>
                <w:color w:val="auto"/>
              </w:rPr>
            </w:pPr>
          </w:p>
        </w:tc>
        <w:tc>
          <w:tcPr>
            <w:tcW w:w="680" w:type="dxa"/>
            <w:vAlign w:val="bottom"/>
            <w:tcBorders>
              <w:top w:val="single" w:sz="8" w:color="0563C1"/>
            </w:tcBorders>
          </w:tcPr>
          <w:p>
            <w:pPr>
              <w:spacing w:after="0"/>
              <w:rPr>
                <w:sz w:val="24"/>
                <w:szCs w:val="24"/>
                <w:color w:val="auto"/>
              </w:rPr>
            </w:pPr>
          </w:p>
        </w:tc>
        <w:tc>
          <w:tcPr>
            <w:tcW w:w="340" w:type="dxa"/>
            <w:vAlign w:val="bottom"/>
            <w:tcBorders>
              <w:top w:val="single" w:sz="8" w:color="0563C1"/>
            </w:tcBorders>
          </w:tcPr>
          <w:p>
            <w:pPr>
              <w:spacing w:after="0"/>
              <w:rPr>
                <w:sz w:val="24"/>
                <w:szCs w:val="24"/>
                <w:color w:val="auto"/>
              </w:rPr>
            </w:pPr>
          </w:p>
        </w:tc>
        <w:tc>
          <w:tcPr>
            <w:tcW w:w="120" w:type="dxa"/>
            <w:vAlign w:val="bottom"/>
            <w:tcBorders>
              <w:top w:val="single" w:sz="8" w:color="0563C1"/>
            </w:tcBorders>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540" w:type="dxa"/>
            <w:vAlign w:val="bottom"/>
            <w:gridSpan w:val="4"/>
          </w:tcPr>
          <w:p>
            <w:pPr>
              <w:jc w:val="center"/>
              <w:ind w:right="2180"/>
              <w:spacing w:after="0"/>
              <w:rPr>
                <w:sz w:val="20"/>
                <w:szCs w:val="20"/>
                <w:color w:val="auto"/>
              </w:rPr>
            </w:pPr>
            <w:r>
              <w:rPr>
                <w:rFonts w:ascii="Arial" w:cs="Arial" w:eastAsia="Arial" w:hAnsi="Arial"/>
                <w:sz w:val="16"/>
                <w:szCs w:val="16"/>
                <w:b w:val="1"/>
                <w:bCs w:val="1"/>
                <w:color w:val="auto"/>
              </w:rPr>
              <w:t>AXSOME THERAPEUTICS, INC.</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540" w:type="dxa"/>
            <w:vAlign w:val="bottom"/>
            <w:gridSpan w:val="4"/>
          </w:tcPr>
          <w:p>
            <w:pPr>
              <w:jc w:val="center"/>
              <w:ind w:right="2180"/>
              <w:spacing w:after="0"/>
              <w:rPr>
                <w:sz w:val="20"/>
                <w:szCs w:val="20"/>
                <w:color w:val="auto"/>
              </w:rPr>
            </w:pPr>
            <w:r>
              <w:rPr>
                <w:rFonts w:ascii="Arial" w:cs="Arial" w:eastAsia="Arial" w:hAnsi="Arial"/>
                <w:sz w:val="16"/>
                <w:szCs w:val="16"/>
                <w:b w:val="1"/>
                <w:bCs w:val="1"/>
                <w:color w:val="auto"/>
              </w:rPr>
              <w:t>QUARTERLY REPORT ON FORM 10-Q</w:t>
            </w: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540" w:type="dxa"/>
            <w:vAlign w:val="bottom"/>
            <w:gridSpan w:val="4"/>
          </w:tcPr>
          <w:p>
            <w:pPr>
              <w:jc w:val="center"/>
              <w:ind w:right="2180"/>
              <w:spacing w:after="0"/>
              <w:rPr>
                <w:sz w:val="20"/>
                <w:szCs w:val="20"/>
                <w:color w:val="auto"/>
              </w:rPr>
            </w:pPr>
            <w:r>
              <w:rPr>
                <w:rFonts w:ascii="Arial" w:cs="Arial" w:eastAsia="Arial" w:hAnsi="Arial"/>
                <w:sz w:val="16"/>
                <w:szCs w:val="16"/>
                <w:b w:val="1"/>
                <w:bCs w:val="1"/>
                <w:color w:val="auto"/>
                <w:w w:val="98"/>
              </w:rPr>
              <w:t>FOR THE QUARTER ENDED JUNE 30, 2023</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540" w:type="dxa"/>
            <w:vAlign w:val="bottom"/>
            <w:gridSpan w:val="4"/>
          </w:tcPr>
          <w:p>
            <w:pPr>
              <w:jc w:val="center"/>
              <w:ind w:right="2160"/>
              <w:spacing w:after="0"/>
              <w:rPr>
                <w:sz w:val="20"/>
                <w:szCs w:val="20"/>
                <w:color w:val="auto"/>
              </w:rPr>
            </w:pPr>
            <w:r>
              <w:rPr>
                <w:rFonts w:ascii="Arial" w:cs="Arial" w:eastAsia="Arial" w:hAnsi="Arial"/>
                <w:sz w:val="16"/>
                <w:szCs w:val="16"/>
                <w:b w:val="1"/>
                <w:bCs w:val="1"/>
                <w:color w:val="auto"/>
              </w:rPr>
              <w:t>TABLE OF CONTENTS</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760" w:type="dxa"/>
            <w:vAlign w:val="bottom"/>
            <w:tcBorders>
              <w:bottom w:val="single" w:sz="8" w:color="auto"/>
            </w:tcBorders>
          </w:tcPr>
          <w:p>
            <w:pPr>
              <w:jc w:val="right"/>
              <w:ind w:right="117"/>
              <w:spacing w:after="0"/>
              <w:rPr>
                <w:sz w:val="20"/>
                <w:szCs w:val="20"/>
                <w:color w:val="auto"/>
              </w:rPr>
            </w:pPr>
            <w:r>
              <w:rPr>
                <w:rFonts w:ascii="Arial" w:cs="Arial" w:eastAsia="Arial" w:hAnsi="Arial"/>
                <w:sz w:val="16"/>
                <w:szCs w:val="16"/>
                <w:b w:val="1"/>
                <w:bCs w:val="1"/>
                <w:color w:val="auto"/>
              </w:rPr>
              <w:t>Page</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460" w:type="dxa"/>
            <w:vAlign w:val="bottom"/>
            <w:gridSpan w:val="15"/>
          </w:tcPr>
          <w:p>
            <w:pPr>
              <w:spacing w:after="0" w:line="175" w:lineRule="exact"/>
              <w:rPr>
                <w:sz w:val="20"/>
                <w:szCs w:val="20"/>
                <w:color w:val="auto"/>
              </w:rPr>
            </w:pPr>
            <w:r>
              <w:rPr>
                <w:rFonts w:ascii="Arial" w:cs="Arial" w:eastAsia="Arial" w:hAnsi="Arial"/>
                <w:sz w:val="16"/>
                <w:szCs w:val="16"/>
                <w:color w:val="0563C1"/>
              </w:rPr>
              <w:t>CAUTIONARY NOTE REGARDING FORWARD LOOKING STATEMENTS</w:t>
            </w:r>
          </w:p>
        </w:tc>
        <w:tc>
          <w:tcPr>
            <w:tcW w:w="760" w:type="dxa"/>
            <w:vAlign w:val="bottom"/>
          </w:tcPr>
          <w:p>
            <w:pPr>
              <w:jc w:val="right"/>
              <w:spacing w:after="0" w:line="175" w:lineRule="exact"/>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920" w:type="dxa"/>
            <w:vAlign w:val="bottom"/>
            <w:tcBorders>
              <w:top w:val="single" w:sz="8" w:color="0563C1"/>
              <w:bottom w:val="single" w:sz="8" w:color="0563C1"/>
            </w:tcBorders>
            <w:gridSpan w:val="11"/>
          </w:tcPr>
          <w:p>
            <w:pPr>
              <w:spacing w:after="0"/>
              <w:rPr>
                <w:sz w:val="20"/>
                <w:szCs w:val="20"/>
                <w:color w:val="auto"/>
              </w:rPr>
            </w:pPr>
            <w:r>
              <w:rPr>
                <w:rFonts w:ascii="Arial" w:cs="Arial" w:eastAsia="Arial" w:hAnsi="Arial"/>
                <w:sz w:val="16"/>
                <w:szCs w:val="16"/>
                <w:b w:val="1"/>
                <w:bCs w:val="1"/>
                <w:color w:val="0563C1"/>
              </w:rPr>
              <w:t>PART I — FINANCIAL INFORMATION</w:t>
            </w:r>
          </w:p>
        </w:tc>
        <w:tc>
          <w:tcPr>
            <w:tcW w:w="2260" w:type="dxa"/>
            <w:vAlign w:val="bottom"/>
            <w:tcBorders>
              <w:top w:val="single" w:sz="8" w:color="0563C1"/>
            </w:tcBorders>
            <w:gridSpan w:val="2"/>
          </w:tcPr>
          <w:p>
            <w:pPr>
              <w:spacing w:after="0"/>
              <w:rPr>
                <w:sz w:val="18"/>
                <w:szCs w:val="18"/>
                <w:color w:val="auto"/>
              </w:rPr>
            </w:pPr>
          </w:p>
        </w:tc>
        <w:tc>
          <w:tcPr>
            <w:tcW w:w="5280" w:type="dxa"/>
            <w:vAlign w:val="bottom"/>
            <w:gridSpan w:val="2"/>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020" w:type="dxa"/>
            <w:vAlign w:val="bottom"/>
            <w:gridSpan w:val="2"/>
          </w:tcPr>
          <w:p>
            <w:pPr>
              <w:spacing w:after="0"/>
              <w:rPr>
                <w:sz w:val="20"/>
                <w:szCs w:val="20"/>
                <w:color w:val="auto"/>
              </w:rPr>
            </w:pPr>
            <w:r>
              <w:rPr>
                <w:rFonts w:ascii="Arial" w:cs="Arial" w:eastAsia="Arial" w:hAnsi="Arial"/>
                <w:sz w:val="16"/>
                <w:szCs w:val="16"/>
                <w:color w:val="auto"/>
              </w:rPr>
              <w:t>ITEM 1</w:t>
            </w:r>
          </w:p>
        </w:tc>
        <w:tc>
          <w:tcPr>
            <w:tcW w:w="9440" w:type="dxa"/>
            <w:vAlign w:val="bottom"/>
            <w:gridSpan w:val="13"/>
          </w:tcPr>
          <w:p>
            <w:pPr>
              <w:spacing w:after="0"/>
              <w:rPr>
                <w:sz w:val="20"/>
                <w:szCs w:val="20"/>
                <w:color w:val="auto"/>
              </w:rPr>
            </w:pPr>
            <w:r>
              <w:rPr>
                <w:rFonts w:ascii="Arial" w:cs="Arial" w:eastAsia="Arial" w:hAnsi="Arial"/>
                <w:sz w:val="16"/>
                <w:szCs w:val="16"/>
                <w:color w:val="0563C1"/>
              </w:rPr>
              <w:t>Financial Statements</w:t>
            </w:r>
          </w:p>
        </w:tc>
        <w:tc>
          <w:tcPr>
            <w:tcW w:w="76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gridSpan w:val="2"/>
            <w:shd w:val="clear" w:color="auto" w:fill="0563C1"/>
          </w:tcPr>
          <w:p>
            <w:pPr>
              <w:spacing w:after="0" w:line="20" w:lineRule="exact"/>
              <w:rPr>
                <w:sz w:val="1"/>
                <w:szCs w:val="1"/>
                <w:color w:val="auto"/>
              </w:rPr>
            </w:pPr>
          </w:p>
        </w:tc>
        <w:tc>
          <w:tcPr>
            <w:tcW w:w="280" w:type="dxa"/>
            <w:vAlign w:val="bottom"/>
            <w:shd w:val="clear" w:color="auto" w:fill="0563C1"/>
          </w:tcPr>
          <w:p>
            <w:pPr>
              <w:spacing w:after="0" w:line="20" w:lineRule="exact"/>
              <w:rPr>
                <w:sz w:val="1"/>
                <w:szCs w:val="1"/>
                <w:color w:val="auto"/>
              </w:rPr>
            </w:pPr>
          </w:p>
        </w:tc>
        <w:tc>
          <w:tcPr>
            <w:tcW w:w="38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020" w:type="dxa"/>
            <w:vAlign w:val="bottom"/>
            <w:gridSpan w:val="2"/>
          </w:tcPr>
          <w:p>
            <w:pPr>
              <w:spacing w:after="0"/>
              <w:rPr>
                <w:sz w:val="20"/>
                <w:szCs w:val="20"/>
                <w:color w:val="auto"/>
              </w:rPr>
            </w:pPr>
            <w:r>
              <w:rPr>
                <w:rFonts w:ascii="Arial" w:cs="Arial" w:eastAsia="Arial" w:hAnsi="Arial"/>
                <w:sz w:val="16"/>
                <w:szCs w:val="16"/>
                <w:color w:val="auto"/>
              </w:rPr>
              <w:t>ITEM 2</w:t>
            </w:r>
          </w:p>
        </w:tc>
        <w:tc>
          <w:tcPr>
            <w:tcW w:w="5820" w:type="dxa"/>
            <w:vAlign w:val="bottom"/>
            <w:tcBorders>
              <w:bottom w:val="single" w:sz="8" w:color="0563C1"/>
            </w:tcBorders>
            <w:gridSpan w:val="12"/>
          </w:tcPr>
          <w:p>
            <w:pPr>
              <w:spacing w:after="0"/>
              <w:rPr>
                <w:sz w:val="20"/>
                <w:szCs w:val="20"/>
                <w:color w:val="auto"/>
              </w:rPr>
            </w:pPr>
            <w:r>
              <w:rPr>
                <w:rFonts w:ascii="Arial" w:cs="Arial" w:eastAsia="Arial" w:hAnsi="Arial"/>
                <w:sz w:val="16"/>
                <w:szCs w:val="16"/>
                <w:color w:val="0563C1"/>
                <w:w w:val="92"/>
              </w:rPr>
              <w:t>Management’s Discussion and Analysis of Financial Condition and Results of Operations</w:t>
            </w:r>
          </w:p>
        </w:tc>
        <w:tc>
          <w:tcPr>
            <w:tcW w:w="36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020" w:type="dxa"/>
            <w:vAlign w:val="bottom"/>
            <w:gridSpan w:val="2"/>
          </w:tcPr>
          <w:p>
            <w:pPr>
              <w:spacing w:after="0"/>
              <w:rPr>
                <w:sz w:val="20"/>
                <w:szCs w:val="20"/>
                <w:color w:val="auto"/>
              </w:rPr>
            </w:pPr>
            <w:r>
              <w:rPr>
                <w:rFonts w:ascii="Arial" w:cs="Arial" w:eastAsia="Arial" w:hAnsi="Arial"/>
                <w:sz w:val="16"/>
                <w:szCs w:val="16"/>
                <w:color w:val="auto"/>
              </w:rPr>
              <w:t>ITEM 3</w:t>
            </w:r>
          </w:p>
        </w:tc>
        <w:tc>
          <w:tcPr>
            <w:tcW w:w="9440" w:type="dxa"/>
            <w:vAlign w:val="bottom"/>
            <w:gridSpan w:val="13"/>
          </w:tcPr>
          <w:p>
            <w:pPr>
              <w:spacing w:after="0"/>
              <w:rPr>
                <w:sz w:val="20"/>
                <w:szCs w:val="20"/>
                <w:color w:val="auto"/>
              </w:rPr>
            </w:pPr>
            <w:r>
              <w:rPr>
                <w:rFonts w:ascii="Arial" w:cs="Arial" w:eastAsia="Arial" w:hAnsi="Arial"/>
                <w:sz w:val="16"/>
                <w:szCs w:val="16"/>
                <w:color w:val="0563C1"/>
              </w:rPr>
              <w:t>Quantitative and Qualitative Disclosure About Market Risk</w:t>
            </w:r>
          </w:p>
        </w:tc>
        <w:tc>
          <w:tcPr>
            <w:tcW w:w="760" w:type="dxa"/>
            <w:vAlign w:val="bottom"/>
          </w:tcPr>
          <w:p>
            <w:pPr>
              <w:jc w:val="right"/>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020" w:type="dxa"/>
            <w:vAlign w:val="bottom"/>
            <w:gridSpan w:val="2"/>
          </w:tcPr>
          <w:p>
            <w:pPr>
              <w:spacing w:after="0"/>
              <w:rPr>
                <w:sz w:val="20"/>
                <w:szCs w:val="20"/>
                <w:color w:val="auto"/>
              </w:rPr>
            </w:pPr>
            <w:r>
              <w:rPr>
                <w:rFonts w:ascii="Arial" w:cs="Arial" w:eastAsia="Arial" w:hAnsi="Arial"/>
                <w:sz w:val="16"/>
                <w:szCs w:val="16"/>
                <w:color w:val="auto"/>
              </w:rPr>
              <w:t>ITEM 4</w:t>
            </w:r>
          </w:p>
        </w:tc>
        <w:tc>
          <w:tcPr>
            <w:tcW w:w="3860" w:type="dxa"/>
            <w:vAlign w:val="bottom"/>
            <w:tcBorders>
              <w:top w:val="single" w:sz="8" w:color="0563C1"/>
            </w:tcBorders>
            <w:gridSpan w:val="10"/>
          </w:tcPr>
          <w:p>
            <w:pPr>
              <w:spacing w:after="0"/>
              <w:rPr>
                <w:sz w:val="20"/>
                <w:szCs w:val="20"/>
                <w:color w:val="auto"/>
              </w:rPr>
            </w:pPr>
            <w:r>
              <w:rPr>
                <w:rFonts w:ascii="Arial" w:cs="Arial" w:eastAsia="Arial" w:hAnsi="Arial"/>
                <w:sz w:val="16"/>
                <w:szCs w:val="16"/>
                <w:color w:val="0563C1"/>
              </w:rPr>
              <w:t>Controls and Procedures</w:t>
            </w:r>
          </w:p>
        </w:tc>
        <w:tc>
          <w:tcPr>
            <w:tcW w:w="5580" w:type="dxa"/>
            <w:vAlign w:val="bottom"/>
            <w:gridSpan w:val="3"/>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gridSpan w:val="2"/>
            <w:shd w:val="clear" w:color="auto" w:fill="0563C1"/>
          </w:tcPr>
          <w:p>
            <w:pPr>
              <w:spacing w:after="0" w:line="20" w:lineRule="exact"/>
              <w:rPr>
                <w:sz w:val="1"/>
                <w:szCs w:val="1"/>
                <w:color w:val="auto"/>
              </w:rPr>
            </w:pPr>
          </w:p>
        </w:tc>
        <w:tc>
          <w:tcPr>
            <w:tcW w:w="280" w:type="dxa"/>
            <w:vAlign w:val="bottom"/>
            <w:shd w:val="clear" w:color="auto" w:fill="0563C1"/>
          </w:tcPr>
          <w:p>
            <w:pPr>
              <w:spacing w:after="0" w:line="20" w:lineRule="exact"/>
              <w:rPr>
                <w:sz w:val="1"/>
                <w:szCs w:val="1"/>
                <w:color w:val="auto"/>
              </w:rPr>
            </w:pPr>
          </w:p>
        </w:tc>
        <w:tc>
          <w:tcPr>
            <w:tcW w:w="38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380" w:type="dxa"/>
            <w:vAlign w:val="bottom"/>
            <w:gridSpan w:val="2"/>
            <w:shd w:val="clear" w:color="auto" w:fill="0563C1"/>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0" w:type="dxa"/>
            <w:vAlign w:val="bottom"/>
            <w:gridSpan w:val="5"/>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660" w:type="dxa"/>
            <w:vAlign w:val="bottom"/>
            <w:tcBorders>
              <w:bottom w:val="single" w:sz="8" w:color="0563C1"/>
            </w:tcBorders>
            <w:gridSpan w:val="10"/>
          </w:tcPr>
          <w:p>
            <w:pPr>
              <w:spacing w:after="0"/>
              <w:rPr>
                <w:sz w:val="20"/>
                <w:szCs w:val="20"/>
                <w:color w:val="auto"/>
              </w:rPr>
            </w:pPr>
            <w:r>
              <w:rPr>
                <w:rFonts w:ascii="Arial" w:cs="Arial" w:eastAsia="Arial" w:hAnsi="Arial"/>
                <w:sz w:val="16"/>
                <w:szCs w:val="16"/>
                <w:b w:val="1"/>
                <w:bCs w:val="1"/>
                <w:color w:val="0563C1"/>
              </w:rPr>
              <w:t>PART II — OTHER INFORMATION</w:t>
            </w:r>
          </w:p>
        </w:tc>
        <w:tc>
          <w:tcPr>
            <w:tcW w:w="7800" w:type="dxa"/>
            <w:vAlign w:val="bottom"/>
            <w:gridSpan w:val="5"/>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020" w:type="dxa"/>
            <w:vAlign w:val="bottom"/>
            <w:gridSpan w:val="2"/>
          </w:tcPr>
          <w:p>
            <w:pPr>
              <w:spacing w:after="0"/>
              <w:rPr>
                <w:sz w:val="20"/>
                <w:szCs w:val="20"/>
                <w:color w:val="auto"/>
              </w:rPr>
            </w:pPr>
            <w:r>
              <w:rPr>
                <w:rFonts w:ascii="Arial" w:cs="Arial" w:eastAsia="Arial" w:hAnsi="Arial"/>
                <w:sz w:val="16"/>
                <w:szCs w:val="16"/>
                <w:color w:val="auto"/>
              </w:rPr>
              <w:t>ITEM 1</w:t>
            </w:r>
          </w:p>
        </w:tc>
        <w:tc>
          <w:tcPr>
            <w:tcW w:w="1220" w:type="dxa"/>
            <w:vAlign w:val="bottom"/>
            <w:tcBorders>
              <w:bottom w:val="single" w:sz="8" w:color="0563C1"/>
            </w:tcBorders>
            <w:gridSpan w:val="5"/>
          </w:tcPr>
          <w:p>
            <w:pPr>
              <w:spacing w:after="0"/>
              <w:rPr>
                <w:sz w:val="20"/>
                <w:szCs w:val="20"/>
                <w:color w:val="auto"/>
              </w:rPr>
            </w:pPr>
            <w:r>
              <w:rPr>
                <w:rFonts w:ascii="Arial" w:cs="Arial" w:eastAsia="Arial" w:hAnsi="Arial"/>
                <w:sz w:val="16"/>
                <w:szCs w:val="16"/>
                <w:color w:val="0563C1"/>
                <w:w w:val="90"/>
              </w:rPr>
              <w:t>Legal Proceedings</w:t>
            </w:r>
          </w:p>
        </w:tc>
        <w:tc>
          <w:tcPr>
            <w:tcW w:w="8220" w:type="dxa"/>
            <w:vAlign w:val="bottom"/>
            <w:gridSpan w:val="8"/>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20" w:type="dxa"/>
            <w:vAlign w:val="bottom"/>
            <w:gridSpan w:val="2"/>
          </w:tcPr>
          <w:p>
            <w:pPr>
              <w:spacing w:after="0"/>
              <w:rPr>
                <w:sz w:val="20"/>
                <w:szCs w:val="20"/>
                <w:color w:val="auto"/>
              </w:rPr>
            </w:pPr>
            <w:r>
              <w:rPr>
                <w:rFonts w:ascii="Arial" w:cs="Arial" w:eastAsia="Arial" w:hAnsi="Arial"/>
                <w:sz w:val="16"/>
                <w:szCs w:val="16"/>
                <w:color w:val="auto"/>
              </w:rPr>
              <w:t>ITEM 1A</w:t>
            </w:r>
          </w:p>
        </w:tc>
        <w:tc>
          <w:tcPr>
            <w:tcW w:w="9440" w:type="dxa"/>
            <w:vAlign w:val="bottom"/>
            <w:gridSpan w:val="13"/>
          </w:tcPr>
          <w:p>
            <w:pPr>
              <w:spacing w:after="0"/>
              <w:rPr>
                <w:sz w:val="20"/>
                <w:szCs w:val="20"/>
                <w:color w:val="auto"/>
              </w:rPr>
            </w:pPr>
            <w:r>
              <w:rPr>
                <w:rFonts w:ascii="Arial" w:cs="Arial" w:eastAsia="Arial" w:hAnsi="Arial"/>
                <w:sz w:val="16"/>
                <w:szCs w:val="16"/>
                <w:color w:val="0563C1"/>
              </w:rPr>
              <w:t>Risk Factors</w:t>
            </w:r>
          </w:p>
        </w:tc>
        <w:tc>
          <w:tcPr>
            <w:tcW w:w="760" w:type="dxa"/>
            <w:vAlign w:val="bottom"/>
          </w:tcPr>
          <w:p>
            <w:pPr>
              <w:jc w:val="right"/>
              <w:spacing w:after="0" w:line="189" w:lineRule="exact"/>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gridSpan w:val="2"/>
            <w:shd w:val="clear" w:color="auto" w:fill="0563C1"/>
          </w:tcPr>
          <w:p>
            <w:pPr>
              <w:spacing w:after="0" w:line="20" w:lineRule="exact"/>
              <w:rPr>
                <w:sz w:val="1"/>
                <w:szCs w:val="1"/>
                <w:color w:val="auto"/>
              </w:rPr>
            </w:pPr>
          </w:p>
        </w:tc>
        <w:tc>
          <w:tcPr>
            <w:tcW w:w="280" w:type="dxa"/>
            <w:vAlign w:val="bottom"/>
            <w:shd w:val="clear" w:color="auto" w:fill="0563C1"/>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40" w:type="dxa"/>
            <w:vAlign w:val="bottom"/>
            <w:gridSpan w:val="9"/>
          </w:tcPr>
          <w:p>
            <w:pPr>
              <w:spacing w:after="0" w:line="20" w:lineRule="exact"/>
              <w:rPr>
                <w:sz w:val="1"/>
                <w:szCs w:val="1"/>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020" w:type="dxa"/>
            <w:vAlign w:val="bottom"/>
            <w:gridSpan w:val="2"/>
          </w:tcPr>
          <w:p>
            <w:pPr>
              <w:spacing w:after="0"/>
              <w:rPr>
                <w:sz w:val="20"/>
                <w:szCs w:val="20"/>
                <w:color w:val="auto"/>
              </w:rPr>
            </w:pPr>
            <w:r>
              <w:rPr>
                <w:rFonts w:ascii="Arial" w:cs="Arial" w:eastAsia="Arial" w:hAnsi="Arial"/>
                <w:sz w:val="16"/>
                <w:szCs w:val="16"/>
                <w:color w:val="auto"/>
              </w:rPr>
              <w:t>ITEM 5</w:t>
            </w:r>
          </w:p>
        </w:tc>
        <w:tc>
          <w:tcPr>
            <w:tcW w:w="1200" w:type="dxa"/>
            <w:vAlign w:val="bottom"/>
            <w:tcBorders>
              <w:bottom w:val="single" w:sz="8" w:color="0563C1"/>
            </w:tcBorders>
            <w:gridSpan w:val="4"/>
          </w:tcPr>
          <w:p>
            <w:pPr>
              <w:spacing w:after="0"/>
              <w:rPr>
                <w:sz w:val="20"/>
                <w:szCs w:val="20"/>
                <w:color w:val="auto"/>
              </w:rPr>
            </w:pPr>
            <w:r>
              <w:rPr>
                <w:rFonts w:ascii="Arial" w:cs="Arial" w:eastAsia="Arial" w:hAnsi="Arial"/>
                <w:sz w:val="16"/>
                <w:szCs w:val="16"/>
                <w:color w:val="0563C1"/>
                <w:w w:val="94"/>
              </w:rPr>
              <w:t>Other Information</w:t>
            </w:r>
          </w:p>
        </w:tc>
        <w:tc>
          <w:tcPr>
            <w:tcW w:w="8240" w:type="dxa"/>
            <w:vAlign w:val="bottom"/>
            <w:gridSpan w:val="9"/>
          </w:tcPr>
          <w:p>
            <w:pPr>
              <w:spacing w:after="0"/>
              <w:rPr>
                <w:sz w:val="19"/>
                <w:szCs w:val="19"/>
                <w:color w:val="auto"/>
              </w:rPr>
            </w:pPr>
          </w:p>
        </w:tc>
        <w:tc>
          <w:tcPr>
            <w:tcW w:w="7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20" w:type="dxa"/>
            <w:vAlign w:val="bottom"/>
            <w:gridSpan w:val="2"/>
          </w:tcPr>
          <w:p>
            <w:pPr>
              <w:spacing w:after="0"/>
              <w:rPr>
                <w:sz w:val="20"/>
                <w:szCs w:val="20"/>
                <w:color w:val="auto"/>
              </w:rPr>
            </w:pPr>
            <w:r>
              <w:rPr>
                <w:rFonts w:ascii="Arial" w:cs="Arial" w:eastAsia="Arial" w:hAnsi="Arial"/>
                <w:sz w:val="16"/>
                <w:szCs w:val="16"/>
                <w:color w:val="auto"/>
              </w:rPr>
              <w:t>ITEM 6</w:t>
            </w:r>
          </w:p>
        </w:tc>
        <w:tc>
          <w:tcPr>
            <w:tcW w:w="9440" w:type="dxa"/>
            <w:vAlign w:val="bottom"/>
            <w:gridSpan w:val="13"/>
          </w:tcPr>
          <w:p>
            <w:pPr>
              <w:spacing w:after="0"/>
              <w:rPr>
                <w:sz w:val="20"/>
                <w:szCs w:val="20"/>
                <w:color w:val="auto"/>
              </w:rPr>
            </w:pPr>
            <w:r>
              <w:rPr>
                <w:rFonts w:ascii="Arial" w:cs="Arial" w:eastAsia="Arial" w:hAnsi="Arial"/>
                <w:sz w:val="16"/>
                <w:szCs w:val="16"/>
                <w:color w:val="0563C1"/>
              </w:rPr>
              <w:t>Exhibits</w:t>
            </w:r>
          </w:p>
        </w:tc>
        <w:tc>
          <w:tcPr>
            <w:tcW w:w="760" w:type="dxa"/>
            <w:vAlign w:val="bottom"/>
          </w:tcPr>
          <w:p>
            <w:pPr>
              <w:jc w:val="right"/>
              <w:spacing w:after="0"/>
              <w:rPr>
                <w:sz w:val="20"/>
                <w:szCs w:val="20"/>
                <w:color w:val="auto"/>
              </w:rPr>
            </w:pPr>
            <w:r>
              <w:rPr>
                <w:rFonts w:ascii="Arial" w:cs="Arial" w:eastAsia="Arial" w:hAnsi="Arial"/>
                <w:sz w:val="16"/>
                <w:szCs w:val="16"/>
                <w:color w:val="auto"/>
              </w:rPr>
              <w:t>97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020" w:type="dxa"/>
            <w:vAlign w:val="bottom"/>
            <w:gridSpan w:val="2"/>
          </w:tcPr>
          <w:p>
            <w:pPr>
              <w:spacing w:after="0"/>
              <w:rPr>
                <w:sz w:val="20"/>
                <w:szCs w:val="20"/>
                <w:color w:val="auto"/>
              </w:rPr>
            </w:pPr>
            <w:r>
              <w:rPr>
                <w:rFonts w:ascii="Arial" w:cs="Arial" w:eastAsia="Arial" w:hAnsi="Arial"/>
                <w:sz w:val="16"/>
                <w:szCs w:val="16"/>
                <w:color w:val="0563C1"/>
              </w:rPr>
              <w:t>Signatures</w:t>
            </w:r>
          </w:p>
        </w:tc>
        <w:tc>
          <w:tcPr>
            <w:tcW w:w="120" w:type="dxa"/>
            <w:vAlign w:val="bottom"/>
            <w:tcBorders>
              <w:top w:val="single" w:sz="8" w:color="0563C1"/>
            </w:tcBorders>
          </w:tcPr>
          <w:p>
            <w:pPr>
              <w:spacing w:after="0"/>
              <w:rPr>
                <w:sz w:val="18"/>
                <w:szCs w:val="18"/>
                <w:color w:val="auto"/>
              </w:rPr>
            </w:pPr>
          </w:p>
        </w:tc>
        <w:tc>
          <w:tcPr>
            <w:tcW w:w="420" w:type="dxa"/>
            <w:vAlign w:val="bottom"/>
            <w:tcBorders>
              <w:top w:val="single" w:sz="8" w:color="0563C1"/>
            </w:tcBorders>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98</w:t>
            </w:r>
          </w:p>
        </w:tc>
        <w:tc>
          <w:tcPr>
            <w:tcW w:w="0" w:type="dxa"/>
            <w:vAlign w:val="bottom"/>
          </w:tcPr>
          <w:p>
            <w:pPr>
              <w:spacing w:after="0"/>
              <w:rPr>
                <w:sz w:val="1"/>
                <w:szCs w:val="1"/>
                <w:color w:val="auto"/>
              </w:rPr>
            </w:pPr>
          </w:p>
        </w:tc>
      </w:tr>
      <w:tr>
        <w:trPr>
          <w:trHeight w:val="682"/>
        </w:trPr>
        <w:tc>
          <w:tcPr>
            <w:tcW w:w="20" w:type="dxa"/>
            <w:vAlign w:val="bottom"/>
          </w:tcPr>
          <w:p>
            <w:pPr>
              <w:spacing w:after="0"/>
              <w:rPr>
                <w:sz w:val="24"/>
                <w:szCs w:val="24"/>
                <w:color w:val="auto"/>
              </w:rPr>
            </w:pPr>
          </w:p>
        </w:tc>
        <w:tc>
          <w:tcPr>
            <w:tcW w:w="680" w:type="dxa"/>
            <w:vAlign w:val="bottom"/>
            <w:tcBorders>
              <w:top w:val="single" w:sz="8" w:color="0563C1"/>
            </w:tcBorders>
          </w:tcPr>
          <w:p>
            <w:pPr>
              <w:spacing w:after="0"/>
              <w:rPr>
                <w:sz w:val="24"/>
                <w:szCs w:val="24"/>
                <w:color w:val="auto"/>
              </w:rPr>
            </w:pPr>
          </w:p>
        </w:tc>
        <w:tc>
          <w:tcPr>
            <w:tcW w:w="340" w:type="dxa"/>
            <w:vAlign w:val="bottom"/>
          </w:tcPr>
          <w:p>
            <w:pPr>
              <w:spacing w:after="0"/>
              <w:rPr>
                <w:sz w:val="24"/>
                <w:szCs w:val="24"/>
                <w:color w:val="auto"/>
              </w:rPr>
            </w:pPr>
          </w:p>
        </w:tc>
        <w:tc>
          <w:tcPr>
            <w:tcW w:w="5820" w:type="dxa"/>
            <w:vAlign w:val="bottom"/>
            <w:gridSpan w:val="12"/>
          </w:tcPr>
          <w:p>
            <w:pPr>
              <w:jc w:val="center"/>
              <w:ind w:left="3258"/>
              <w:spacing w:after="0"/>
              <w:rPr>
                <w:sz w:val="20"/>
                <w:szCs w:val="20"/>
                <w:color w:val="auto"/>
              </w:rPr>
            </w:pPr>
            <w:r>
              <w:rPr>
                <w:rFonts w:ascii="Arial" w:cs="Arial" w:eastAsia="Arial" w:hAnsi="Arial"/>
                <w:sz w:val="18"/>
                <w:szCs w:val="18"/>
                <w:color w:val="auto"/>
                <w:w w:val="79"/>
              </w:rPr>
              <w:t>2</w:t>
            </w:r>
          </w:p>
        </w:tc>
        <w:tc>
          <w:tcPr>
            <w:tcW w:w="36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9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660" w:type="dxa"/>
            <w:vAlign w:val="bottom"/>
            <w:tcBorders>
              <w:bottom w:val="single" w:sz="8" w:color="9A9A9A"/>
            </w:tcBorders>
          </w:tcPr>
          <w:p>
            <w:pPr>
              <w:spacing w:after="0"/>
              <w:rPr>
                <w:sz w:val="10"/>
                <w:szCs w:val="10"/>
                <w:color w:val="auto"/>
              </w:rPr>
            </w:pPr>
          </w:p>
        </w:tc>
        <w:tc>
          <w:tcPr>
            <w:tcW w:w="36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 w:name="page3"/>
    <w:bookmarkEnd w:id="2"/>
    <w:p>
      <w:pPr>
        <w:spacing w:after="0"/>
        <w:rPr>
          <w:sz w:val="20"/>
          <w:szCs w:val="20"/>
          <w:color w:val="auto"/>
        </w:rPr>
      </w:pPr>
      <w:r>
        <w:rPr>
          <w:rFonts w:ascii="Arial" w:cs="Arial" w:eastAsia="Arial" w:hAnsi="Arial"/>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3025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30250" cy="8255"/>
                    </a:xfrm>
                    <a:prstGeom prst="rect">
                      <a:avLst/>
                    </a:prstGeom>
                    <a:noFill/>
                  </pic:spPr>
                </pic:pic>
              </a:graphicData>
            </a:graphic>
          </wp:anchor>
        </w:drawing>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CAUTIONARY NOTE REGARDING FORWARD-LOOKING STATEMENTS</w:t>
      </w:r>
    </w:p>
    <w:p>
      <w:pPr>
        <w:spacing w:after="0" w:line="239" w:lineRule="exact"/>
        <w:rPr>
          <w:sz w:val="20"/>
          <w:szCs w:val="20"/>
          <w:color w:val="auto"/>
        </w:rPr>
      </w:pPr>
    </w:p>
    <w:p>
      <w:pPr>
        <w:ind w:firstLine="749"/>
        <w:spacing w:after="0" w:line="267" w:lineRule="auto"/>
        <w:rPr>
          <w:sz w:val="20"/>
          <w:szCs w:val="20"/>
          <w:color w:val="auto"/>
        </w:rPr>
      </w:pPr>
      <w:r>
        <w:rPr>
          <w:rFonts w:ascii="Arial" w:cs="Arial" w:eastAsia="Arial" w:hAnsi="Arial"/>
          <w:sz w:val="16"/>
          <w:szCs w:val="16"/>
          <w:color w:val="auto"/>
        </w:rPr>
        <w:t>Certain matters discussed in this report, including matters discussed under the caption “Management’s Discussion and Analysis of Financial Condition and Results of Operations,” may constitute forward-looking statements for purposes of the Securities Act of 1933, as amended, or the Securities Act, and the Securities Exchange Act of 1934, as amended, or the Exchange Act, and involve known and unknown risks, uncertainties and other factors that may cause our actual results, performance or achievements to be materially different from the future results, performance or achievements expressed or implied by such forward-looking statements. The words “anticipate,” “believe,” “estimate,” “may,” “expect” and similar expressions are generally intended to identify forward-looking statements. Our actual results may differ materially from the results anticipated in these forward-looking statements due to a variety of factors, including, without limitation, those discussed under the captions “Risk Factors,” “Management’s Discussion and Analysis of Financial Condition and Results of Operations” and elsewhere in this report, as well as other factors which may be identified from time to time in our other filings with the Securities and Exchange Commission, or the SEC, or in the documents where such forward-looking statements appear. All written or oral forward-looking statements attributable to us are expressly qualified in their entirety by these cautionary statements. Such forward-looking statements include, but are not limited to, statements about:</w:t>
      </w:r>
    </w:p>
    <w:p>
      <w:pPr>
        <w:spacing w:after="0" w:line="86" w:lineRule="exact"/>
        <w:rPr>
          <w:sz w:val="20"/>
          <w:szCs w:val="20"/>
          <w:color w:val="auto"/>
        </w:rPr>
      </w:pPr>
    </w:p>
    <w:p>
      <w:pPr>
        <w:ind w:left="760" w:hanging="378"/>
        <w:spacing w:after="0"/>
        <w:tabs>
          <w:tab w:leader="none" w:pos="760" w:val="left"/>
        </w:tabs>
        <w:numPr>
          <w:ilvl w:val="0"/>
          <w:numId w:val="2"/>
        </w:numPr>
        <w:rPr>
          <w:rFonts w:ascii="Arial" w:cs="Arial" w:eastAsia="Arial" w:hAnsi="Arial"/>
          <w:sz w:val="16"/>
          <w:szCs w:val="16"/>
          <w:color w:val="auto"/>
        </w:rPr>
      </w:pPr>
      <w:r>
        <w:rPr>
          <w:rFonts w:ascii="Arial" w:cs="Arial" w:eastAsia="Arial" w:hAnsi="Arial"/>
          <w:sz w:val="16"/>
          <w:szCs w:val="16"/>
          <w:color w:val="auto"/>
        </w:rPr>
        <w:t>our expectations for increases or decreases in expenses;</w:t>
      </w:r>
    </w:p>
    <w:p>
      <w:pPr>
        <w:spacing w:after="0" w:line="126" w:lineRule="exact"/>
        <w:rPr>
          <w:rFonts w:ascii="Arial" w:cs="Arial" w:eastAsia="Arial" w:hAnsi="Arial"/>
          <w:sz w:val="16"/>
          <w:szCs w:val="16"/>
          <w:color w:val="auto"/>
        </w:rPr>
      </w:pPr>
    </w:p>
    <w:p>
      <w:pPr>
        <w:ind w:left="760" w:right="620" w:hanging="378"/>
        <w:spacing w:after="0" w:line="293" w:lineRule="auto"/>
        <w:tabs>
          <w:tab w:leader="none" w:pos="760" w:val="left"/>
        </w:tabs>
        <w:numPr>
          <w:ilvl w:val="0"/>
          <w:numId w:val="2"/>
        </w:numPr>
        <w:rPr>
          <w:rFonts w:ascii="Arial" w:cs="Arial" w:eastAsia="Arial" w:hAnsi="Arial"/>
          <w:sz w:val="16"/>
          <w:szCs w:val="16"/>
          <w:color w:val="auto"/>
        </w:rPr>
      </w:pPr>
      <w:r>
        <w:rPr>
          <w:rFonts w:ascii="Arial" w:cs="Arial" w:eastAsia="Arial" w:hAnsi="Arial"/>
          <w:sz w:val="16"/>
          <w:szCs w:val="16"/>
          <w:color w:val="auto"/>
        </w:rPr>
        <w:t>our expectations for the clinical and preclinical development, manufacturing, regulatory approval, and commercialization of our pharmaceutical product candidates or any other products that we may acquire or in-license;</w:t>
      </w:r>
    </w:p>
    <w:p>
      <w:pPr>
        <w:spacing w:after="0" w:line="63" w:lineRule="exact"/>
        <w:rPr>
          <w:rFonts w:ascii="Arial" w:cs="Arial" w:eastAsia="Arial" w:hAnsi="Arial"/>
          <w:sz w:val="16"/>
          <w:szCs w:val="16"/>
          <w:color w:val="auto"/>
        </w:rPr>
      </w:pPr>
    </w:p>
    <w:p>
      <w:pPr>
        <w:ind w:left="760" w:hanging="378"/>
        <w:spacing w:after="0"/>
        <w:tabs>
          <w:tab w:leader="none" w:pos="760" w:val="left"/>
        </w:tabs>
        <w:numPr>
          <w:ilvl w:val="0"/>
          <w:numId w:val="2"/>
        </w:numPr>
        <w:rPr>
          <w:rFonts w:ascii="Arial" w:cs="Arial" w:eastAsia="Arial" w:hAnsi="Arial"/>
          <w:sz w:val="16"/>
          <w:szCs w:val="16"/>
          <w:color w:val="auto"/>
        </w:rPr>
      </w:pPr>
      <w:r>
        <w:rPr>
          <w:rFonts w:ascii="Arial" w:cs="Arial" w:eastAsia="Arial" w:hAnsi="Arial"/>
          <w:sz w:val="16"/>
          <w:szCs w:val="16"/>
          <w:color w:val="auto"/>
        </w:rPr>
        <w:t>our estimates of the sufficiency of our existing capital resources combined with future anticipated cash flows to finance our operating requirements;</w:t>
      </w:r>
    </w:p>
    <w:p>
      <w:pPr>
        <w:spacing w:after="0" w:line="126" w:lineRule="exact"/>
        <w:rPr>
          <w:rFonts w:ascii="Arial" w:cs="Arial" w:eastAsia="Arial" w:hAnsi="Arial"/>
          <w:sz w:val="16"/>
          <w:szCs w:val="16"/>
          <w:color w:val="auto"/>
        </w:rPr>
      </w:pPr>
    </w:p>
    <w:p>
      <w:pPr>
        <w:ind w:left="760" w:hanging="378"/>
        <w:spacing w:after="0"/>
        <w:tabs>
          <w:tab w:leader="none" w:pos="760" w:val="left"/>
        </w:tabs>
        <w:numPr>
          <w:ilvl w:val="0"/>
          <w:numId w:val="2"/>
        </w:numPr>
        <w:rPr>
          <w:rFonts w:ascii="Arial" w:cs="Arial" w:eastAsia="Arial" w:hAnsi="Arial"/>
          <w:sz w:val="16"/>
          <w:szCs w:val="16"/>
          <w:color w:val="auto"/>
        </w:rPr>
      </w:pPr>
      <w:r>
        <w:rPr>
          <w:rFonts w:ascii="Arial" w:cs="Arial" w:eastAsia="Arial" w:hAnsi="Arial"/>
          <w:sz w:val="16"/>
          <w:szCs w:val="16"/>
          <w:color w:val="auto"/>
        </w:rPr>
        <w:t>our expectations for incurring capital expenditures to expand our research and development and manufacturing capabilities;</w:t>
      </w:r>
    </w:p>
    <w:p>
      <w:pPr>
        <w:spacing w:after="0" w:line="126" w:lineRule="exact"/>
        <w:rPr>
          <w:rFonts w:ascii="Arial" w:cs="Arial" w:eastAsia="Arial" w:hAnsi="Arial"/>
          <w:sz w:val="16"/>
          <w:szCs w:val="16"/>
          <w:color w:val="auto"/>
        </w:rPr>
      </w:pPr>
    </w:p>
    <w:p>
      <w:pPr>
        <w:ind w:left="760" w:hanging="378"/>
        <w:spacing w:after="0"/>
        <w:tabs>
          <w:tab w:leader="none" w:pos="760" w:val="left"/>
        </w:tabs>
        <w:numPr>
          <w:ilvl w:val="0"/>
          <w:numId w:val="2"/>
        </w:numPr>
        <w:rPr>
          <w:rFonts w:ascii="Arial" w:cs="Arial" w:eastAsia="Arial" w:hAnsi="Arial"/>
          <w:sz w:val="16"/>
          <w:szCs w:val="16"/>
          <w:color w:val="auto"/>
        </w:rPr>
      </w:pPr>
      <w:r>
        <w:rPr>
          <w:rFonts w:ascii="Arial" w:cs="Arial" w:eastAsia="Arial" w:hAnsi="Arial"/>
          <w:sz w:val="16"/>
          <w:szCs w:val="16"/>
          <w:color w:val="auto"/>
        </w:rPr>
        <w:t>unforeseen circumstances or other disruptions to normal business operations arising from or related to COVID-19;</w:t>
      </w:r>
    </w:p>
    <w:p>
      <w:pPr>
        <w:spacing w:after="0" w:line="126" w:lineRule="exact"/>
        <w:rPr>
          <w:rFonts w:ascii="Arial" w:cs="Arial" w:eastAsia="Arial" w:hAnsi="Arial"/>
          <w:sz w:val="16"/>
          <w:szCs w:val="16"/>
          <w:color w:val="auto"/>
        </w:rPr>
      </w:pPr>
    </w:p>
    <w:p>
      <w:pPr>
        <w:ind w:left="760" w:hanging="378"/>
        <w:spacing w:after="0"/>
        <w:tabs>
          <w:tab w:leader="none" w:pos="760" w:val="left"/>
        </w:tabs>
        <w:numPr>
          <w:ilvl w:val="0"/>
          <w:numId w:val="2"/>
        </w:numPr>
        <w:rPr>
          <w:rFonts w:ascii="Arial" w:cs="Arial" w:eastAsia="Arial" w:hAnsi="Arial"/>
          <w:sz w:val="16"/>
          <w:szCs w:val="16"/>
          <w:color w:val="auto"/>
        </w:rPr>
      </w:pPr>
      <w:r>
        <w:rPr>
          <w:rFonts w:ascii="Arial" w:cs="Arial" w:eastAsia="Arial" w:hAnsi="Arial"/>
          <w:sz w:val="16"/>
          <w:szCs w:val="16"/>
          <w:color w:val="auto"/>
        </w:rPr>
        <w:t>our future revenue projections, sales forecasts, and potential peak market data;</w:t>
      </w:r>
    </w:p>
    <w:p>
      <w:pPr>
        <w:spacing w:after="0" w:line="126" w:lineRule="exact"/>
        <w:rPr>
          <w:rFonts w:ascii="Arial" w:cs="Arial" w:eastAsia="Arial" w:hAnsi="Arial"/>
          <w:sz w:val="16"/>
          <w:szCs w:val="16"/>
          <w:color w:val="auto"/>
        </w:rPr>
      </w:pPr>
    </w:p>
    <w:p>
      <w:pPr>
        <w:ind w:left="760" w:hanging="378"/>
        <w:spacing w:after="0"/>
        <w:tabs>
          <w:tab w:leader="none" w:pos="760" w:val="left"/>
        </w:tabs>
        <w:numPr>
          <w:ilvl w:val="0"/>
          <w:numId w:val="2"/>
        </w:numPr>
        <w:rPr>
          <w:rFonts w:ascii="Arial" w:cs="Arial" w:eastAsia="Arial" w:hAnsi="Arial"/>
          <w:sz w:val="16"/>
          <w:szCs w:val="16"/>
          <w:color w:val="auto"/>
        </w:rPr>
      </w:pPr>
      <w:r>
        <w:rPr>
          <w:rFonts w:ascii="Arial" w:cs="Arial" w:eastAsia="Arial" w:hAnsi="Arial"/>
          <w:sz w:val="16"/>
          <w:szCs w:val="16"/>
          <w:color w:val="auto"/>
        </w:rPr>
        <w:t>our expectations for becoming profitable on a sustained basis;</w:t>
      </w:r>
    </w:p>
    <w:p>
      <w:pPr>
        <w:spacing w:after="0" w:line="126" w:lineRule="exact"/>
        <w:rPr>
          <w:rFonts w:ascii="Arial" w:cs="Arial" w:eastAsia="Arial" w:hAnsi="Arial"/>
          <w:sz w:val="16"/>
          <w:szCs w:val="16"/>
          <w:color w:val="auto"/>
        </w:rPr>
      </w:pPr>
    </w:p>
    <w:p>
      <w:pPr>
        <w:ind w:left="760" w:hanging="378"/>
        <w:spacing w:after="0"/>
        <w:tabs>
          <w:tab w:leader="none" w:pos="760" w:val="left"/>
        </w:tabs>
        <w:numPr>
          <w:ilvl w:val="0"/>
          <w:numId w:val="2"/>
        </w:numPr>
        <w:rPr>
          <w:rFonts w:ascii="Arial" w:cs="Arial" w:eastAsia="Arial" w:hAnsi="Arial"/>
          <w:sz w:val="16"/>
          <w:szCs w:val="16"/>
          <w:color w:val="auto"/>
        </w:rPr>
      </w:pPr>
      <w:r>
        <w:rPr>
          <w:rFonts w:ascii="Arial" w:cs="Arial" w:eastAsia="Arial" w:hAnsi="Arial"/>
          <w:sz w:val="16"/>
          <w:szCs w:val="16"/>
          <w:color w:val="auto"/>
        </w:rPr>
        <w:t>our expectations or ability to enter into marketing and other partnership agreements;</w:t>
      </w:r>
    </w:p>
    <w:p>
      <w:pPr>
        <w:spacing w:after="0" w:line="126" w:lineRule="exact"/>
        <w:rPr>
          <w:rFonts w:ascii="Arial" w:cs="Arial" w:eastAsia="Arial" w:hAnsi="Arial"/>
          <w:sz w:val="16"/>
          <w:szCs w:val="16"/>
          <w:color w:val="auto"/>
        </w:rPr>
      </w:pPr>
    </w:p>
    <w:p>
      <w:pPr>
        <w:ind w:left="760" w:hanging="378"/>
        <w:spacing w:after="0"/>
        <w:tabs>
          <w:tab w:leader="none" w:pos="760" w:val="left"/>
        </w:tabs>
        <w:numPr>
          <w:ilvl w:val="0"/>
          <w:numId w:val="2"/>
        </w:numPr>
        <w:rPr>
          <w:rFonts w:ascii="Arial" w:cs="Arial" w:eastAsia="Arial" w:hAnsi="Arial"/>
          <w:sz w:val="16"/>
          <w:szCs w:val="16"/>
          <w:color w:val="auto"/>
        </w:rPr>
      </w:pPr>
      <w:r>
        <w:rPr>
          <w:rFonts w:ascii="Arial" w:cs="Arial" w:eastAsia="Arial" w:hAnsi="Arial"/>
          <w:sz w:val="16"/>
          <w:szCs w:val="16"/>
          <w:color w:val="auto"/>
        </w:rPr>
        <w:t>our expectations or ability to enter into product acquisition and in-licensing transactions;</w:t>
      </w:r>
    </w:p>
    <w:p>
      <w:pPr>
        <w:spacing w:after="0" w:line="126" w:lineRule="exact"/>
        <w:rPr>
          <w:rFonts w:ascii="Arial" w:cs="Arial" w:eastAsia="Arial" w:hAnsi="Arial"/>
          <w:sz w:val="16"/>
          <w:szCs w:val="16"/>
          <w:color w:val="auto"/>
        </w:rPr>
      </w:pPr>
    </w:p>
    <w:p>
      <w:pPr>
        <w:ind w:left="760" w:hanging="378"/>
        <w:spacing w:after="0"/>
        <w:tabs>
          <w:tab w:leader="none" w:pos="760" w:val="left"/>
        </w:tabs>
        <w:numPr>
          <w:ilvl w:val="0"/>
          <w:numId w:val="2"/>
        </w:numPr>
        <w:rPr>
          <w:rFonts w:ascii="Arial" w:cs="Arial" w:eastAsia="Arial" w:hAnsi="Arial"/>
          <w:sz w:val="16"/>
          <w:szCs w:val="16"/>
          <w:color w:val="auto"/>
        </w:rPr>
      </w:pPr>
      <w:r>
        <w:rPr>
          <w:rFonts w:ascii="Arial" w:cs="Arial" w:eastAsia="Arial" w:hAnsi="Arial"/>
          <w:sz w:val="16"/>
          <w:szCs w:val="16"/>
          <w:color w:val="auto"/>
        </w:rPr>
        <w:t>our expectations or ability to expand our own commercial infrastructure to manufacture, market and sell our products;</w:t>
      </w:r>
    </w:p>
    <w:p>
      <w:pPr>
        <w:spacing w:after="0" w:line="126" w:lineRule="exact"/>
        <w:rPr>
          <w:rFonts w:ascii="Arial" w:cs="Arial" w:eastAsia="Arial" w:hAnsi="Arial"/>
          <w:sz w:val="16"/>
          <w:szCs w:val="16"/>
          <w:color w:val="auto"/>
        </w:rPr>
      </w:pPr>
    </w:p>
    <w:p>
      <w:pPr>
        <w:ind w:left="760" w:hanging="378"/>
        <w:spacing w:after="0"/>
        <w:tabs>
          <w:tab w:leader="none" w:pos="760" w:val="left"/>
        </w:tabs>
        <w:numPr>
          <w:ilvl w:val="0"/>
          <w:numId w:val="2"/>
        </w:numPr>
        <w:rPr>
          <w:rFonts w:ascii="Arial" w:cs="Arial" w:eastAsia="Arial" w:hAnsi="Arial"/>
          <w:sz w:val="16"/>
          <w:szCs w:val="16"/>
          <w:color w:val="auto"/>
        </w:rPr>
      </w:pPr>
      <w:r>
        <w:rPr>
          <w:rFonts w:ascii="Arial" w:cs="Arial" w:eastAsia="Arial" w:hAnsi="Arial"/>
          <w:sz w:val="16"/>
          <w:szCs w:val="16"/>
          <w:color w:val="auto"/>
        </w:rPr>
        <w:t>our expected losses;</w:t>
      </w:r>
    </w:p>
    <w:p>
      <w:pPr>
        <w:spacing w:after="0" w:line="126" w:lineRule="exact"/>
        <w:rPr>
          <w:rFonts w:ascii="Arial" w:cs="Arial" w:eastAsia="Arial" w:hAnsi="Arial"/>
          <w:sz w:val="16"/>
          <w:szCs w:val="16"/>
          <w:color w:val="auto"/>
        </w:rPr>
      </w:pPr>
    </w:p>
    <w:p>
      <w:pPr>
        <w:ind w:left="760" w:hanging="378"/>
        <w:spacing w:after="0"/>
        <w:tabs>
          <w:tab w:leader="none" w:pos="760" w:val="left"/>
        </w:tabs>
        <w:numPr>
          <w:ilvl w:val="0"/>
          <w:numId w:val="2"/>
        </w:numPr>
        <w:rPr>
          <w:rFonts w:ascii="Arial" w:cs="Arial" w:eastAsia="Arial" w:hAnsi="Arial"/>
          <w:sz w:val="16"/>
          <w:szCs w:val="16"/>
          <w:color w:val="auto"/>
        </w:rPr>
      </w:pPr>
      <w:r>
        <w:rPr>
          <w:rFonts w:ascii="Arial" w:cs="Arial" w:eastAsia="Arial" w:hAnsi="Arial"/>
          <w:sz w:val="16"/>
          <w:szCs w:val="16"/>
          <w:color w:val="auto"/>
        </w:rPr>
        <w:t>our ability to obtain and maintain intellectual property protection for our products;</w:t>
      </w:r>
    </w:p>
    <w:p>
      <w:pPr>
        <w:spacing w:after="0" w:line="126" w:lineRule="exact"/>
        <w:rPr>
          <w:rFonts w:ascii="Arial" w:cs="Arial" w:eastAsia="Arial" w:hAnsi="Arial"/>
          <w:sz w:val="16"/>
          <w:szCs w:val="16"/>
          <w:color w:val="auto"/>
        </w:rPr>
      </w:pPr>
    </w:p>
    <w:p>
      <w:pPr>
        <w:ind w:left="760" w:hanging="378"/>
        <w:spacing w:after="0"/>
        <w:tabs>
          <w:tab w:leader="none" w:pos="76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acceptance of our products by doctors, patients, or payors;</w:t>
      </w:r>
    </w:p>
    <w:p>
      <w:pPr>
        <w:spacing w:after="0" w:line="126" w:lineRule="exact"/>
        <w:rPr>
          <w:rFonts w:ascii="Arial" w:cs="Arial" w:eastAsia="Arial" w:hAnsi="Arial"/>
          <w:sz w:val="16"/>
          <w:szCs w:val="16"/>
          <w:color w:val="auto"/>
        </w:rPr>
      </w:pPr>
    </w:p>
    <w:p>
      <w:pPr>
        <w:ind w:left="760" w:hanging="378"/>
        <w:spacing w:after="0"/>
        <w:tabs>
          <w:tab w:leader="none" w:pos="760" w:val="left"/>
        </w:tabs>
        <w:numPr>
          <w:ilvl w:val="0"/>
          <w:numId w:val="2"/>
        </w:numPr>
        <w:rPr>
          <w:rFonts w:ascii="Arial" w:cs="Arial" w:eastAsia="Arial" w:hAnsi="Arial"/>
          <w:sz w:val="16"/>
          <w:szCs w:val="16"/>
          <w:color w:val="auto"/>
        </w:rPr>
      </w:pPr>
      <w:r>
        <w:rPr>
          <w:rFonts w:ascii="Arial" w:cs="Arial" w:eastAsia="Arial" w:hAnsi="Arial"/>
          <w:sz w:val="16"/>
          <w:szCs w:val="16"/>
          <w:color w:val="auto"/>
        </w:rPr>
        <w:t>our stock price and its volatility;</w:t>
      </w:r>
    </w:p>
    <w:p>
      <w:pPr>
        <w:spacing w:after="0" w:line="126" w:lineRule="exact"/>
        <w:rPr>
          <w:rFonts w:ascii="Arial" w:cs="Arial" w:eastAsia="Arial" w:hAnsi="Arial"/>
          <w:sz w:val="16"/>
          <w:szCs w:val="16"/>
          <w:color w:val="auto"/>
        </w:rPr>
      </w:pPr>
    </w:p>
    <w:p>
      <w:pPr>
        <w:ind w:left="760" w:hanging="378"/>
        <w:spacing w:after="0"/>
        <w:tabs>
          <w:tab w:leader="none" w:pos="760" w:val="left"/>
        </w:tabs>
        <w:numPr>
          <w:ilvl w:val="0"/>
          <w:numId w:val="2"/>
        </w:numPr>
        <w:rPr>
          <w:rFonts w:ascii="Arial" w:cs="Arial" w:eastAsia="Arial" w:hAnsi="Arial"/>
          <w:sz w:val="16"/>
          <w:szCs w:val="16"/>
          <w:color w:val="auto"/>
        </w:rPr>
      </w:pPr>
      <w:r>
        <w:rPr>
          <w:rFonts w:ascii="Arial" w:cs="Arial" w:eastAsia="Arial" w:hAnsi="Arial"/>
          <w:sz w:val="16"/>
          <w:szCs w:val="16"/>
          <w:color w:val="auto"/>
        </w:rPr>
        <w:t>our ability to attract and retain key personnel;</w:t>
      </w:r>
    </w:p>
    <w:p>
      <w:pPr>
        <w:spacing w:after="0" w:line="126" w:lineRule="exact"/>
        <w:rPr>
          <w:rFonts w:ascii="Arial" w:cs="Arial" w:eastAsia="Arial" w:hAnsi="Arial"/>
          <w:sz w:val="16"/>
          <w:szCs w:val="16"/>
          <w:color w:val="auto"/>
        </w:rPr>
      </w:pPr>
    </w:p>
    <w:p>
      <w:pPr>
        <w:ind w:left="760" w:hanging="378"/>
        <w:spacing w:after="0"/>
        <w:tabs>
          <w:tab w:leader="none" w:pos="76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performance of our third-party manufacturers;</w:t>
      </w:r>
    </w:p>
    <w:p>
      <w:pPr>
        <w:spacing w:after="0" w:line="126" w:lineRule="exact"/>
        <w:rPr>
          <w:rFonts w:ascii="Arial" w:cs="Arial" w:eastAsia="Arial" w:hAnsi="Arial"/>
          <w:sz w:val="16"/>
          <w:szCs w:val="16"/>
          <w:color w:val="auto"/>
        </w:rPr>
      </w:pPr>
    </w:p>
    <w:p>
      <w:pPr>
        <w:ind w:left="760" w:hanging="378"/>
        <w:spacing w:after="0"/>
        <w:tabs>
          <w:tab w:leader="none" w:pos="760" w:val="left"/>
        </w:tabs>
        <w:numPr>
          <w:ilvl w:val="0"/>
          <w:numId w:val="2"/>
        </w:numPr>
        <w:rPr>
          <w:rFonts w:ascii="Arial" w:cs="Arial" w:eastAsia="Arial" w:hAnsi="Arial"/>
          <w:sz w:val="16"/>
          <w:szCs w:val="16"/>
          <w:color w:val="auto"/>
        </w:rPr>
      </w:pPr>
      <w:r>
        <w:rPr>
          <w:rFonts w:ascii="Arial" w:cs="Arial" w:eastAsia="Arial" w:hAnsi="Arial"/>
          <w:sz w:val="16"/>
          <w:szCs w:val="16"/>
          <w:color w:val="auto"/>
        </w:rPr>
        <w:t>our expectations for future capital requirements; and</w:t>
      </w:r>
    </w:p>
    <w:p>
      <w:pPr>
        <w:spacing w:after="0" w:line="126" w:lineRule="exact"/>
        <w:rPr>
          <w:rFonts w:ascii="Arial" w:cs="Arial" w:eastAsia="Arial" w:hAnsi="Arial"/>
          <w:sz w:val="16"/>
          <w:szCs w:val="16"/>
          <w:color w:val="auto"/>
        </w:rPr>
      </w:pPr>
    </w:p>
    <w:p>
      <w:pPr>
        <w:ind w:left="760" w:hanging="378"/>
        <w:spacing w:after="0"/>
        <w:tabs>
          <w:tab w:leader="none" w:pos="760" w:val="left"/>
        </w:tabs>
        <w:numPr>
          <w:ilvl w:val="0"/>
          <w:numId w:val="2"/>
        </w:numPr>
        <w:rPr>
          <w:rFonts w:ascii="Arial" w:cs="Arial" w:eastAsia="Arial" w:hAnsi="Arial"/>
          <w:sz w:val="16"/>
          <w:szCs w:val="16"/>
          <w:color w:val="auto"/>
        </w:rPr>
      </w:pPr>
      <w:r>
        <w:rPr>
          <w:rFonts w:ascii="Arial" w:cs="Arial" w:eastAsia="Arial" w:hAnsi="Arial"/>
          <w:sz w:val="16"/>
          <w:szCs w:val="16"/>
          <w:color w:val="auto"/>
        </w:rPr>
        <w:t>our ability to successfully implement our strategy.</w:t>
      </w:r>
    </w:p>
    <w:p>
      <w:pPr>
        <w:spacing w:after="0" w:line="235" w:lineRule="exact"/>
        <w:rPr>
          <w:sz w:val="20"/>
          <w:szCs w:val="20"/>
          <w:color w:val="auto"/>
        </w:rPr>
      </w:pPr>
    </w:p>
    <w:p>
      <w:pPr>
        <w:ind w:firstLine="749"/>
        <w:spacing w:after="0" w:line="293" w:lineRule="auto"/>
        <w:rPr>
          <w:sz w:val="20"/>
          <w:szCs w:val="20"/>
          <w:color w:val="auto"/>
        </w:rPr>
      </w:pPr>
      <w:r>
        <w:rPr>
          <w:rFonts w:ascii="Arial" w:cs="Arial" w:eastAsia="Arial" w:hAnsi="Arial"/>
          <w:sz w:val="16"/>
          <w:szCs w:val="16"/>
          <w:color w:val="auto"/>
        </w:rPr>
        <w:t>The forward-looking statements contained in this report reflect our views and assumptions only as of the date that this report is signed. Except as required by law, we assume no responsibility for updating any forward-looking statements.</w:t>
      </w:r>
    </w:p>
    <w:p>
      <w:pPr>
        <w:spacing w:after="0" w:line="172" w:lineRule="exact"/>
        <w:rPr>
          <w:sz w:val="20"/>
          <w:szCs w:val="20"/>
          <w:color w:val="auto"/>
        </w:rPr>
      </w:pPr>
    </w:p>
    <w:p>
      <w:pPr>
        <w:ind w:right="100" w:firstLine="749"/>
        <w:spacing w:after="0" w:line="293" w:lineRule="auto"/>
        <w:rPr>
          <w:sz w:val="20"/>
          <w:szCs w:val="20"/>
          <w:color w:val="auto"/>
        </w:rPr>
      </w:pPr>
      <w:r>
        <w:rPr>
          <w:rFonts w:ascii="Arial" w:cs="Arial" w:eastAsia="Arial" w:hAnsi="Arial"/>
          <w:sz w:val="16"/>
          <w:szCs w:val="16"/>
          <w:color w:val="auto"/>
        </w:rPr>
        <w:t>We qualify all of our forward-looking statements by these cautionary statements. In addition, with respect to all of our forward-looking statements, we claim the protection of the safe harbor for forward-looking statements contained in the Private Securities Litigation Reform Act of 1995.</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 w:name="page4"/>
    <w:bookmarkEnd w:id="3"/>
    <w:p>
      <w:pPr>
        <w:spacing w:after="0"/>
        <w:rPr>
          <w:sz w:val="20"/>
          <w:szCs w:val="20"/>
          <w:color w:val="auto"/>
        </w:rPr>
      </w:pPr>
      <w:r>
        <w:rPr>
          <w:rFonts w:ascii="Arial" w:cs="Arial" w:eastAsia="Arial" w:hAnsi="Arial"/>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3025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30250" cy="8255"/>
                    </a:xfrm>
                    <a:prstGeom prst="rect">
                      <a:avLst/>
                    </a:prstGeom>
                    <a:noFill/>
                  </pic:spPr>
                </pic:pic>
              </a:graphicData>
            </a:graphic>
          </wp:anchor>
        </w:drawing>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PART I. FINANCIAL INFORMATION</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 FINANCIAL STATEMENTS</w:t>
      </w:r>
    </w:p>
    <w:p>
      <w:pPr>
        <w:spacing w:after="0" w:line="154"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Axsome Therapeutics, Inc.</w:t>
      </w:r>
    </w:p>
    <w:p>
      <w:pPr>
        <w:spacing w:after="0" w:line="26"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Consolidated Balance Sheets</w:t>
      </w:r>
    </w:p>
    <w:p>
      <w:pPr>
        <w:spacing w:after="0" w:line="19"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(In thousands, except for share and par value amounts)</w:t>
      </w:r>
    </w:p>
    <w:p>
      <w:pPr>
        <w:spacing w:after="0" w:line="42"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7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4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89"/>
              </w:rPr>
              <w:t>June 30,</w:t>
            </w:r>
          </w:p>
        </w:tc>
        <w:tc>
          <w:tcPr>
            <w:tcW w:w="240" w:type="dxa"/>
            <w:vAlign w:val="bottom"/>
          </w:tcPr>
          <w:p>
            <w:pPr>
              <w:spacing w:after="0"/>
              <w:rPr>
                <w:sz w:val="15"/>
                <w:szCs w:val="15"/>
                <w:color w:val="auto"/>
              </w:rPr>
            </w:pPr>
          </w:p>
        </w:tc>
        <w:tc>
          <w:tcPr>
            <w:tcW w:w="14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December 31,</w:t>
            </w:r>
          </w:p>
        </w:tc>
      </w:tr>
      <w:tr>
        <w:trPr>
          <w:trHeight w:val="185"/>
        </w:trPr>
        <w:tc>
          <w:tcPr>
            <w:tcW w:w="75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52"/>
              <w:spacing w:after="0"/>
              <w:rPr>
                <w:sz w:val="20"/>
                <w:szCs w:val="20"/>
                <w:color w:val="auto"/>
              </w:rPr>
            </w:pPr>
            <w:r>
              <w:rPr>
                <w:rFonts w:ascii="Arial" w:cs="Arial" w:eastAsia="Arial" w:hAnsi="Arial"/>
                <w:sz w:val="14"/>
                <w:szCs w:val="14"/>
                <w:b w:val="1"/>
                <w:bCs w:val="1"/>
                <w:color w:val="auto"/>
                <w:w w:val="96"/>
              </w:rPr>
              <w:t>2023</w:t>
            </w:r>
          </w:p>
        </w:tc>
        <w:tc>
          <w:tcPr>
            <w:tcW w:w="3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r>
      <w:tr>
        <w:trPr>
          <w:trHeight w:val="169"/>
        </w:trPr>
        <w:tc>
          <w:tcPr>
            <w:tcW w:w="7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tcPr>
          <w:p>
            <w:pPr>
              <w:jc w:val="center"/>
              <w:ind w:right="152"/>
              <w:spacing w:after="0"/>
              <w:rPr>
                <w:sz w:val="20"/>
                <w:szCs w:val="20"/>
                <w:color w:val="auto"/>
              </w:rPr>
            </w:pPr>
            <w:r>
              <w:rPr>
                <w:rFonts w:ascii="Arial" w:cs="Arial" w:eastAsia="Arial" w:hAnsi="Arial"/>
                <w:sz w:val="14"/>
                <w:szCs w:val="14"/>
                <w:b w:val="1"/>
                <w:bCs w:val="1"/>
                <w:color w:val="auto"/>
                <w:w w:val="95"/>
              </w:rPr>
              <w:t>(Unaudited)</w:t>
            </w: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43"/>
        </w:trPr>
        <w:tc>
          <w:tcPr>
            <w:tcW w:w="75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24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r>
      <w:tr>
        <w:trPr>
          <w:trHeight w:val="237"/>
        </w:trPr>
        <w:tc>
          <w:tcPr>
            <w:tcW w:w="754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49"/>
        </w:trPr>
        <w:tc>
          <w:tcPr>
            <w:tcW w:w="75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437,113</w:t>
            </w:r>
          </w:p>
        </w:tc>
        <w:tc>
          <w:tcPr>
            <w:tcW w:w="34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200,842</w:t>
            </w:r>
          </w:p>
        </w:tc>
        <w:tc>
          <w:tcPr>
            <w:tcW w:w="120" w:type="dxa"/>
            <w:vAlign w:val="bottom"/>
            <w:shd w:val="clear" w:color="auto" w:fill="CFF0FC"/>
          </w:tcPr>
          <w:p>
            <w:pPr>
              <w:spacing w:after="0"/>
              <w:rPr>
                <w:sz w:val="21"/>
                <w:szCs w:val="21"/>
                <w:color w:val="auto"/>
              </w:rPr>
            </w:pPr>
          </w:p>
        </w:tc>
      </w:tr>
      <w:tr>
        <w:trPr>
          <w:trHeight w:val="237"/>
        </w:trPr>
        <w:tc>
          <w:tcPr>
            <w:tcW w:w="7540" w:type="dxa"/>
            <w:vAlign w:val="bottom"/>
          </w:tcPr>
          <w:p>
            <w:pPr>
              <w:ind w:left="200"/>
              <w:spacing w:after="0"/>
              <w:rPr>
                <w:sz w:val="20"/>
                <w:szCs w:val="20"/>
                <w:color w:val="auto"/>
              </w:rPr>
            </w:pPr>
            <w:r>
              <w:rPr>
                <w:rFonts w:ascii="Arial" w:cs="Arial" w:eastAsia="Arial" w:hAnsi="Arial"/>
                <w:sz w:val="18"/>
                <w:szCs w:val="18"/>
                <w:color w:val="auto"/>
              </w:rPr>
              <w:t>Accounts receivables, net</w:t>
            </w:r>
          </w:p>
        </w:tc>
        <w:tc>
          <w:tcPr>
            <w:tcW w:w="2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67,410</w:t>
            </w: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37,699</w:t>
            </w:r>
          </w:p>
        </w:tc>
        <w:tc>
          <w:tcPr>
            <w:tcW w:w="120" w:type="dxa"/>
            <w:vAlign w:val="bottom"/>
          </w:tcPr>
          <w:p>
            <w:pPr>
              <w:spacing w:after="0"/>
              <w:rPr>
                <w:sz w:val="20"/>
                <w:szCs w:val="20"/>
                <w:color w:val="auto"/>
              </w:rPr>
            </w:pPr>
          </w:p>
        </w:tc>
      </w:tr>
      <w:tr>
        <w:trPr>
          <w:trHeight w:val="249"/>
        </w:trPr>
        <w:tc>
          <w:tcPr>
            <w:tcW w:w="75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Inventories, net</w:t>
            </w:r>
          </w:p>
        </w:tc>
        <w:tc>
          <w:tcPr>
            <w:tcW w:w="24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9,252</w:t>
            </w:r>
          </w:p>
        </w:tc>
        <w:tc>
          <w:tcPr>
            <w:tcW w:w="3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4,320</w:t>
            </w:r>
          </w:p>
        </w:tc>
        <w:tc>
          <w:tcPr>
            <w:tcW w:w="120" w:type="dxa"/>
            <w:vAlign w:val="bottom"/>
            <w:shd w:val="clear" w:color="auto" w:fill="CFF0FC"/>
          </w:tcPr>
          <w:p>
            <w:pPr>
              <w:spacing w:after="0"/>
              <w:rPr>
                <w:sz w:val="21"/>
                <w:szCs w:val="21"/>
                <w:color w:val="auto"/>
              </w:rPr>
            </w:pPr>
          </w:p>
        </w:tc>
      </w:tr>
      <w:tr>
        <w:trPr>
          <w:trHeight w:val="237"/>
        </w:trPr>
        <w:tc>
          <w:tcPr>
            <w:tcW w:w="7540" w:type="dxa"/>
            <w:vAlign w:val="bottom"/>
          </w:tcPr>
          <w:p>
            <w:pPr>
              <w:ind w:left="200"/>
              <w:spacing w:after="0"/>
              <w:rPr>
                <w:sz w:val="20"/>
                <w:szCs w:val="20"/>
                <w:color w:val="auto"/>
              </w:rPr>
            </w:pPr>
            <w:r>
              <w:rPr>
                <w:rFonts w:ascii="Arial" w:cs="Arial" w:eastAsia="Arial" w:hAnsi="Arial"/>
                <w:sz w:val="18"/>
                <w:szCs w:val="18"/>
                <w:color w:val="auto"/>
              </w:rPr>
              <w:t>Prepaid and other current assets</w:t>
            </w:r>
          </w:p>
        </w:tc>
        <w:tc>
          <w:tcPr>
            <w:tcW w:w="2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5,911</w:t>
            </w:r>
          </w:p>
        </w:tc>
        <w:tc>
          <w:tcPr>
            <w:tcW w:w="3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2,781</w:t>
            </w:r>
          </w:p>
        </w:tc>
        <w:tc>
          <w:tcPr>
            <w:tcW w:w="120" w:type="dxa"/>
            <w:vAlign w:val="bottom"/>
          </w:tcPr>
          <w:p>
            <w:pPr>
              <w:spacing w:after="0"/>
              <w:rPr>
                <w:sz w:val="20"/>
                <w:szCs w:val="20"/>
                <w:color w:val="auto"/>
              </w:rPr>
            </w:pPr>
          </w:p>
        </w:tc>
      </w:tr>
      <w:tr>
        <w:trPr>
          <w:trHeight w:val="243"/>
        </w:trPr>
        <w:tc>
          <w:tcPr>
            <w:tcW w:w="754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current assets</w:t>
            </w:r>
          </w:p>
        </w:tc>
        <w:tc>
          <w:tcPr>
            <w:tcW w:w="24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519,686</w:t>
            </w:r>
          </w:p>
        </w:tc>
        <w:tc>
          <w:tcPr>
            <w:tcW w:w="3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245,642</w:t>
            </w:r>
          </w:p>
        </w:tc>
        <w:tc>
          <w:tcPr>
            <w:tcW w:w="120" w:type="dxa"/>
            <w:vAlign w:val="bottom"/>
            <w:shd w:val="clear" w:color="auto" w:fill="CFF0FC"/>
          </w:tcPr>
          <w:p>
            <w:pPr>
              <w:spacing w:after="0"/>
              <w:rPr>
                <w:sz w:val="21"/>
                <w:szCs w:val="21"/>
                <w:color w:val="auto"/>
              </w:rPr>
            </w:pPr>
          </w:p>
        </w:tc>
      </w:tr>
      <w:tr>
        <w:trPr>
          <w:trHeight w:val="237"/>
        </w:trPr>
        <w:tc>
          <w:tcPr>
            <w:tcW w:w="7540" w:type="dxa"/>
            <w:vAlign w:val="bottom"/>
          </w:tcPr>
          <w:p>
            <w:pPr>
              <w:ind w:left="20"/>
              <w:spacing w:after="0"/>
              <w:rPr>
                <w:sz w:val="20"/>
                <w:szCs w:val="20"/>
                <w:color w:val="auto"/>
              </w:rPr>
            </w:pPr>
            <w:r>
              <w:rPr>
                <w:rFonts w:ascii="Arial" w:cs="Arial" w:eastAsia="Arial" w:hAnsi="Arial"/>
                <w:sz w:val="18"/>
                <w:szCs w:val="18"/>
                <w:color w:val="auto"/>
              </w:rPr>
              <w:t>Equipment, net</w:t>
            </w:r>
          </w:p>
        </w:tc>
        <w:tc>
          <w:tcPr>
            <w:tcW w:w="2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736</w:t>
            </w: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722</w:t>
            </w:r>
          </w:p>
        </w:tc>
        <w:tc>
          <w:tcPr>
            <w:tcW w:w="120" w:type="dxa"/>
            <w:vAlign w:val="bottom"/>
          </w:tcPr>
          <w:p>
            <w:pPr>
              <w:spacing w:after="0"/>
              <w:rPr>
                <w:sz w:val="20"/>
                <w:szCs w:val="20"/>
                <w:color w:val="auto"/>
              </w:rPr>
            </w:pPr>
          </w:p>
        </w:tc>
      </w:tr>
      <w:tr>
        <w:trPr>
          <w:trHeight w:val="249"/>
        </w:trPr>
        <w:tc>
          <w:tcPr>
            <w:tcW w:w="7540" w:type="dxa"/>
            <w:vAlign w:val="bottom"/>
            <w:shd w:val="clear" w:color="auto" w:fill="CFF0FC"/>
          </w:tcPr>
          <w:p>
            <w:pPr>
              <w:ind w:left="20"/>
              <w:spacing w:after="0"/>
              <w:rPr>
                <w:sz w:val="20"/>
                <w:szCs w:val="20"/>
                <w:color w:val="auto"/>
              </w:rPr>
            </w:pPr>
            <w:r>
              <w:rPr>
                <w:rFonts w:ascii="Arial" w:cs="Arial" w:eastAsia="Arial" w:hAnsi="Arial"/>
                <w:sz w:val="18"/>
                <w:szCs w:val="18"/>
                <w:color w:val="auto"/>
              </w:rPr>
              <w:t>Right-of-use asset - operating lease</w:t>
            </w:r>
          </w:p>
        </w:tc>
        <w:tc>
          <w:tcPr>
            <w:tcW w:w="24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7,412</w:t>
            </w:r>
          </w:p>
        </w:tc>
        <w:tc>
          <w:tcPr>
            <w:tcW w:w="3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420</w:t>
            </w:r>
          </w:p>
        </w:tc>
        <w:tc>
          <w:tcPr>
            <w:tcW w:w="120" w:type="dxa"/>
            <w:vAlign w:val="bottom"/>
            <w:shd w:val="clear" w:color="auto" w:fill="CFF0FC"/>
          </w:tcPr>
          <w:p>
            <w:pPr>
              <w:spacing w:after="0"/>
              <w:rPr>
                <w:sz w:val="21"/>
                <w:szCs w:val="21"/>
                <w:color w:val="auto"/>
              </w:rPr>
            </w:pPr>
          </w:p>
        </w:tc>
      </w:tr>
      <w:tr>
        <w:trPr>
          <w:trHeight w:val="237"/>
        </w:trPr>
        <w:tc>
          <w:tcPr>
            <w:tcW w:w="7540" w:type="dxa"/>
            <w:vAlign w:val="bottom"/>
          </w:tcPr>
          <w:p>
            <w:pPr>
              <w:ind w:left="20"/>
              <w:spacing w:after="0"/>
              <w:rPr>
                <w:sz w:val="20"/>
                <w:szCs w:val="20"/>
                <w:color w:val="auto"/>
              </w:rPr>
            </w:pPr>
            <w:r>
              <w:rPr>
                <w:rFonts w:ascii="Arial" w:cs="Arial" w:eastAsia="Arial" w:hAnsi="Arial"/>
                <w:sz w:val="18"/>
                <w:szCs w:val="18"/>
                <w:color w:val="auto"/>
              </w:rPr>
              <w:t>Goodwill</w:t>
            </w:r>
          </w:p>
        </w:tc>
        <w:tc>
          <w:tcPr>
            <w:tcW w:w="2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12,042</w:t>
            </w: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10,310</w:t>
            </w:r>
          </w:p>
        </w:tc>
        <w:tc>
          <w:tcPr>
            <w:tcW w:w="120" w:type="dxa"/>
            <w:vAlign w:val="bottom"/>
          </w:tcPr>
          <w:p>
            <w:pPr>
              <w:spacing w:after="0"/>
              <w:rPr>
                <w:sz w:val="20"/>
                <w:szCs w:val="20"/>
                <w:color w:val="auto"/>
              </w:rPr>
            </w:pPr>
          </w:p>
        </w:tc>
      </w:tr>
      <w:tr>
        <w:trPr>
          <w:trHeight w:val="249"/>
        </w:trPr>
        <w:tc>
          <w:tcPr>
            <w:tcW w:w="754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Intangible asset, net</w:t>
            </w:r>
          </w:p>
        </w:tc>
        <w:tc>
          <w:tcPr>
            <w:tcW w:w="24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56,500</w:t>
            </w:r>
          </w:p>
        </w:tc>
        <w:tc>
          <w:tcPr>
            <w:tcW w:w="3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59,661</w:t>
            </w:r>
          </w:p>
        </w:tc>
        <w:tc>
          <w:tcPr>
            <w:tcW w:w="120" w:type="dxa"/>
            <w:vAlign w:val="bottom"/>
            <w:shd w:val="clear" w:color="auto" w:fill="CFF0FC"/>
          </w:tcPr>
          <w:p>
            <w:pPr>
              <w:spacing w:after="0"/>
              <w:rPr>
                <w:sz w:val="21"/>
                <w:szCs w:val="21"/>
                <w:color w:val="auto"/>
              </w:rPr>
            </w:pPr>
          </w:p>
        </w:tc>
      </w:tr>
      <w:tr>
        <w:trPr>
          <w:trHeight w:val="237"/>
        </w:trPr>
        <w:tc>
          <w:tcPr>
            <w:tcW w:w="7540" w:type="dxa"/>
            <w:vAlign w:val="bottom"/>
          </w:tcPr>
          <w:p>
            <w:pPr>
              <w:ind w:left="20"/>
              <w:spacing w:after="0"/>
              <w:rPr>
                <w:sz w:val="20"/>
                <w:szCs w:val="20"/>
                <w:color w:val="auto"/>
              </w:rPr>
            </w:pPr>
            <w:r>
              <w:rPr>
                <w:rFonts w:ascii="Arial" w:cs="Arial" w:eastAsia="Arial" w:hAnsi="Arial"/>
                <w:sz w:val="18"/>
                <w:szCs w:val="18"/>
                <w:color w:val="auto"/>
              </w:rPr>
              <w:t>Non-current inventory and other assets</w:t>
            </w:r>
          </w:p>
        </w:tc>
        <w:tc>
          <w:tcPr>
            <w:tcW w:w="2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15,262</w:t>
            </w:r>
          </w:p>
        </w:tc>
        <w:tc>
          <w:tcPr>
            <w:tcW w:w="3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14,721</w:t>
            </w:r>
          </w:p>
        </w:tc>
        <w:tc>
          <w:tcPr>
            <w:tcW w:w="120" w:type="dxa"/>
            <w:vAlign w:val="bottom"/>
          </w:tcPr>
          <w:p>
            <w:pPr>
              <w:spacing w:after="0"/>
              <w:rPr>
                <w:sz w:val="20"/>
                <w:szCs w:val="20"/>
                <w:color w:val="auto"/>
              </w:rPr>
            </w:pPr>
          </w:p>
        </w:tc>
      </w:tr>
      <w:tr>
        <w:trPr>
          <w:trHeight w:val="277"/>
        </w:trPr>
        <w:tc>
          <w:tcPr>
            <w:tcW w:w="75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611,638</w:t>
            </w:r>
          </w:p>
        </w:tc>
        <w:tc>
          <w:tcPr>
            <w:tcW w:w="34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331,476</w:t>
            </w:r>
          </w:p>
        </w:tc>
        <w:tc>
          <w:tcPr>
            <w:tcW w:w="120" w:type="dxa"/>
            <w:vAlign w:val="bottom"/>
            <w:tcBorders>
              <w:bottom w:val="single" w:sz="8" w:color="CFF0FC"/>
            </w:tcBorders>
            <w:shd w:val="clear" w:color="auto" w:fill="CFF0FC"/>
          </w:tcPr>
          <w:p>
            <w:pPr>
              <w:spacing w:after="0"/>
              <w:rPr>
                <w:sz w:val="24"/>
                <w:szCs w:val="24"/>
                <w:color w:val="auto"/>
              </w:rPr>
            </w:pPr>
          </w:p>
        </w:tc>
      </w:tr>
      <w:tr>
        <w:trPr>
          <w:trHeight w:val="225"/>
        </w:trPr>
        <w:tc>
          <w:tcPr>
            <w:tcW w:w="7540" w:type="dxa"/>
            <w:vAlign w:val="bottom"/>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47"/>
        </w:trPr>
        <w:tc>
          <w:tcPr>
            <w:tcW w:w="75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Current liabilities:</w:t>
            </w:r>
          </w:p>
        </w:tc>
        <w:tc>
          <w:tcPr>
            <w:tcW w:w="24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r>
      <w:tr>
        <w:trPr>
          <w:trHeight w:val="237"/>
        </w:trPr>
        <w:tc>
          <w:tcPr>
            <w:tcW w:w="7540" w:type="dxa"/>
            <w:vAlign w:val="bottom"/>
          </w:tcPr>
          <w:p>
            <w:pPr>
              <w:ind w:left="200"/>
              <w:spacing w:after="0"/>
              <w:rPr>
                <w:sz w:val="20"/>
                <w:szCs w:val="20"/>
                <w:color w:val="auto"/>
              </w:rPr>
            </w:pPr>
            <w:r>
              <w:rPr>
                <w:rFonts w:ascii="Arial" w:cs="Arial" w:eastAsia="Arial" w:hAnsi="Arial"/>
                <w:sz w:val="18"/>
                <w:szCs w:val="18"/>
                <w:color w:val="auto"/>
              </w:rPr>
              <w:t>Accounts payable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42,958</w:t>
            </w:r>
          </w:p>
        </w:tc>
        <w:tc>
          <w:tcPr>
            <w:tcW w:w="34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38,605</w:t>
            </w:r>
          </w:p>
        </w:tc>
        <w:tc>
          <w:tcPr>
            <w:tcW w:w="120" w:type="dxa"/>
            <w:vAlign w:val="bottom"/>
          </w:tcPr>
          <w:p>
            <w:pPr>
              <w:spacing w:after="0"/>
              <w:rPr>
                <w:sz w:val="20"/>
                <w:szCs w:val="20"/>
                <w:color w:val="auto"/>
              </w:rPr>
            </w:pPr>
          </w:p>
        </w:tc>
      </w:tr>
      <w:tr>
        <w:trPr>
          <w:trHeight w:val="249"/>
        </w:trPr>
        <w:tc>
          <w:tcPr>
            <w:tcW w:w="75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Accrued expenses and other current liabilities</w:t>
            </w:r>
          </w:p>
        </w:tc>
        <w:tc>
          <w:tcPr>
            <w:tcW w:w="24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65,324</w:t>
            </w:r>
          </w:p>
        </w:tc>
        <w:tc>
          <w:tcPr>
            <w:tcW w:w="3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51,631</w:t>
            </w:r>
          </w:p>
        </w:tc>
        <w:tc>
          <w:tcPr>
            <w:tcW w:w="120" w:type="dxa"/>
            <w:vAlign w:val="bottom"/>
            <w:shd w:val="clear" w:color="auto" w:fill="CFF0FC"/>
          </w:tcPr>
          <w:p>
            <w:pPr>
              <w:spacing w:after="0"/>
              <w:rPr>
                <w:sz w:val="21"/>
                <w:szCs w:val="21"/>
                <w:color w:val="auto"/>
              </w:rPr>
            </w:pPr>
          </w:p>
        </w:tc>
      </w:tr>
      <w:tr>
        <w:trPr>
          <w:trHeight w:val="237"/>
        </w:trPr>
        <w:tc>
          <w:tcPr>
            <w:tcW w:w="7540" w:type="dxa"/>
            <w:vAlign w:val="bottom"/>
          </w:tcPr>
          <w:p>
            <w:pPr>
              <w:ind w:left="200"/>
              <w:spacing w:after="0"/>
              <w:rPr>
                <w:sz w:val="20"/>
                <w:szCs w:val="20"/>
                <w:color w:val="auto"/>
              </w:rPr>
            </w:pPr>
            <w:r>
              <w:rPr>
                <w:rFonts w:ascii="Arial" w:cs="Arial" w:eastAsia="Arial" w:hAnsi="Arial"/>
                <w:sz w:val="18"/>
                <w:szCs w:val="18"/>
                <w:color w:val="auto"/>
              </w:rPr>
              <w:t>Operating lease liability, current portion</w:t>
            </w:r>
          </w:p>
        </w:tc>
        <w:tc>
          <w:tcPr>
            <w:tcW w:w="2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350</w:t>
            </w: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425</w:t>
            </w:r>
          </w:p>
        </w:tc>
        <w:tc>
          <w:tcPr>
            <w:tcW w:w="120" w:type="dxa"/>
            <w:vAlign w:val="bottom"/>
          </w:tcPr>
          <w:p>
            <w:pPr>
              <w:spacing w:after="0"/>
              <w:rPr>
                <w:sz w:val="20"/>
                <w:szCs w:val="20"/>
                <w:color w:val="auto"/>
              </w:rPr>
            </w:pPr>
          </w:p>
        </w:tc>
      </w:tr>
      <w:tr>
        <w:trPr>
          <w:trHeight w:val="243"/>
        </w:trPr>
        <w:tc>
          <w:tcPr>
            <w:tcW w:w="75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Contingent consideration, current</w:t>
            </w:r>
          </w:p>
        </w:tc>
        <w:tc>
          <w:tcPr>
            <w:tcW w:w="240" w:type="dxa"/>
            <w:vAlign w:val="bottom"/>
            <w:tcBorders>
              <w:bottom w:val="single" w:sz="8" w:color="auto"/>
            </w:tcBorders>
            <w:shd w:val="clear" w:color="auto" w:fill="CFF0FC"/>
          </w:tcPr>
          <w:p>
            <w:pPr>
              <w:spacing w:after="0"/>
              <w:rPr>
                <w:sz w:val="21"/>
                <w:szCs w:val="21"/>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6,342</w:t>
            </w:r>
          </w:p>
        </w:tc>
        <w:tc>
          <w:tcPr>
            <w:tcW w:w="3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5,900</w:t>
            </w:r>
          </w:p>
        </w:tc>
        <w:tc>
          <w:tcPr>
            <w:tcW w:w="120" w:type="dxa"/>
            <w:vAlign w:val="bottom"/>
            <w:tcBorders>
              <w:bottom w:val="single" w:sz="8" w:color="CFF0FC"/>
            </w:tcBorders>
            <w:shd w:val="clear" w:color="auto" w:fill="CFF0FC"/>
          </w:tcPr>
          <w:p>
            <w:pPr>
              <w:spacing w:after="0"/>
              <w:rPr>
                <w:sz w:val="21"/>
                <w:szCs w:val="21"/>
                <w:color w:val="auto"/>
              </w:rPr>
            </w:pPr>
          </w:p>
        </w:tc>
      </w:tr>
      <w:tr>
        <w:trPr>
          <w:trHeight w:val="237"/>
        </w:trPr>
        <w:tc>
          <w:tcPr>
            <w:tcW w:w="7540" w:type="dxa"/>
            <w:vAlign w:val="bottom"/>
          </w:tcPr>
          <w:p>
            <w:pPr>
              <w:ind w:left="20"/>
              <w:spacing w:after="0"/>
              <w:rPr>
                <w:sz w:val="20"/>
                <w:szCs w:val="20"/>
                <w:color w:val="auto"/>
              </w:rPr>
            </w:pPr>
            <w:r>
              <w:rPr>
                <w:rFonts w:ascii="Arial" w:cs="Arial" w:eastAsia="Arial" w:hAnsi="Arial"/>
                <w:sz w:val="18"/>
                <w:szCs w:val="18"/>
                <w:color w:val="auto"/>
              </w:rPr>
              <w:t>Total current liabilities</w:t>
            </w:r>
          </w:p>
        </w:tc>
        <w:tc>
          <w:tcPr>
            <w:tcW w:w="2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114,974</w:t>
            </w: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96,561</w:t>
            </w:r>
          </w:p>
        </w:tc>
        <w:tc>
          <w:tcPr>
            <w:tcW w:w="120" w:type="dxa"/>
            <w:vAlign w:val="bottom"/>
          </w:tcPr>
          <w:p>
            <w:pPr>
              <w:spacing w:after="0"/>
              <w:rPr>
                <w:sz w:val="20"/>
                <w:szCs w:val="20"/>
                <w:color w:val="auto"/>
              </w:rPr>
            </w:pPr>
          </w:p>
        </w:tc>
      </w:tr>
      <w:tr>
        <w:trPr>
          <w:trHeight w:val="249"/>
        </w:trPr>
        <w:tc>
          <w:tcPr>
            <w:tcW w:w="75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Contingent consideration, non-current</w:t>
            </w:r>
          </w:p>
        </w:tc>
        <w:tc>
          <w:tcPr>
            <w:tcW w:w="24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33,500</w:t>
            </w:r>
          </w:p>
        </w:tc>
        <w:tc>
          <w:tcPr>
            <w:tcW w:w="3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31,100</w:t>
            </w:r>
          </w:p>
        </w:tc>
        <w:tc>
          <w:tcPr>
            <w:tcW w:w="120" w:type="dxa"/>
            <w:vAlign w:val="bottom"/>
            <w:shd w:val="clear" w:color="auto" w:fill="CFF0FC"/>
          </w:tcPr>
          <w:p>
            <w:pPr>
              <w:spacing w:after="0"/>
              <w:rPr>
                <w:sz w:val="21"/>
                <w:szCs w:val="21"/>
                <w:color w:val="auto"/>
              </w:rPr>
            </w:pPr>
          </w:p>
        </w:tc>
      </w:tr>
      <w:tr>
        <w:trPr>
          <w:trHeight w:val="237"/>
        </w:trPr>
        <w:tc>
          <w:tcPr>
            <w:tcW w:w="7540" w:type="dxa"/>
            <w:vAlign w:val="bottom"/>
          </w:tcPr>
          <w:p>
            <w:pPr>
              <w:ind w:left="20"/>
              <w:spacing w:after="0"/>
              <w:rPr>
                <w:sz w:val="20"/>
                <w:szCs w:val="20"/>
                <w:color w:val="auto"/>
              </w:rPr>
            </w:pPr>
            <w:r>
              <w:rPr>
                <w:rFonts w:ascii="Arial" w:cs="Arial" w:eastAsia="Arial" w:hAnsi="Arial"/>
                <w:sz w:val="18"/>
                <w:szCs w:val="18"/>
                <w:color w:val="auto"/>
              </w:rPr>
              <w:t>Loan payable, long-term</w:t>
            </w:r>
          </w:p>
        </w:tc>
        <w:tc>
          <w:tcPr>
            <w:tcW w:w="2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176,820</w:t>
            </w: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94,259</w:t>
            </w:r>
          </w:p>
        </w:tc>
        <w:tc>
          <w:tcPr>
            <w:tcW w:w="120" w:type="dxa"/>
            <w:vAlign w:val="bottom"/>
          </w:tcPr>
          <w:p>
            <w:pPr>
              <w:spacing w:after="0"/>
              <w:rPr>
                <w:sz w:val="20"/>
                <w:szCs w:val="20"/>
                <w:color w:val="auto"/>
              </w:rPr>
            </w:pPr>
          </w:p>
        </w:tc>
      </w:tr>
      <w:tr>
        <w:trPr>
          <w:trHeight w:val="243"/>
        </w:trPr>
        <w:tc>
          <w:tcPr>
            <w:tcW w:w="754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lease liability, long-term</w:t>
            </w:r>
          </w:p>
        </w:tc>
        <w:tc>
          <w:tcPr>
            <w:tcW w:w="24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7,540</w:t>
            </w:r>
          </w:p>
        </w:tc>
        <w:tc>
          <w:tcPr>
            <w:tcW w:w="3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36"/>
        </w:trPr>
        <w:tc>
          <w:tcPr>
            <w:tcW w:w="754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Total liabilities</w:t>
            </w:r>
          </w:p>
        </w:tc>
        <w:tc>
          <w:tcPr>
            <w:tcW w:w="24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332,834</w:t>
            </w:r>
          </w:p>
        </w:tc>
        <w:tc>
          <w:tcPr>
            <w:tcW w:w="340" w:type="dxa"/>
            <w:vAlign w:val="bottom"/>
            <w:tcBorders>
              <w:top w:val="single" w:sz="8" w:color="CFF0FC"/>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221,920</w:t>
            </w:r>
          </w:p>
        </w:tc>
        <w:tc>
          <w:tcPr>
            <w:tcW w:w="120" w:type="dxa"/>
            <w:vAlign w:val="bottom"/>
            <w:tcBorders>
              <w:top w:val="single" w:sz="8" w:color="CFF0FC"/>
            </w:tcBorders>
          </w:tcPr>
          <w:p>
            <w:pPr>
              <w:spacing w:after="0"/>
              <w:rPr>
                <w:sz w:val="20"/>
                <w:szCs w:val="20"/>
                <w:color w:val="auto"/>
              </w:rPr>
            </w:pPr>
          </w:p>
        </w:tc>
      </w:tr>
      <w:tr>
        <w:trPr>
          <w:trHeight w:val="249"/>
        </w:trPr>
        <w:tc>
          <w:tcPr>
            <w:tcW w:w="754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Stockholders’ equity:</w:t>
            </w:r>
          </w:p>
        </w:tc>
        <w:tc>
          <w:tcPr>
            <w:tcW w:w="24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r>
      <w:tr>
        <w:trPr>
          <w:trHeight w:val="215"/>
        </w:trPr>
        <w:tc>
          <w:tcPr>
            <w:tcW w:w="7540" w:type="dxa"/>
            <w:vAlign w:val="bottom"/>
          </w:tcPr>
          <w:p>
            <w:pPr>
              <w:ind w:left="20"/>
              <w:spacing w:after="0"/>
              <w:rPr>
                <w:sz w:val="20"/>
                <w:szCs w:val="20"/>
                <w:color w:val="auto"/>
              </w:rPr>
            </w:pPr>
            <w:r>
              <w:rPr>
                <w:rFonts w:ascii="Arial" w:cs="Arial" w:eastAsia="Arial" w:hAnsi="Arial"/>
                <w:sz w:val="18"/>
                <w:szCs w:val="18"/>
                <w:color w:val="auto"/>
              </w:rPr>
              <w:t>Preferred stock, $0.0001 par value per share (10,000,000 shares authorized, none issued and</w:t>
            </w: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7"/>
        </w:trPr>
        <w:tc>
          <w:tcPr>
            <w:tcW w:w="7540" w:type="dxa"/>
            <w:vAlign w:val="bottom"/>
          </w:tcPr>
          <w:p>
            <w:pPr>
              <w:ind w:left="20"/>
              <w:spacing w:after="0"/>
              <w:rPr>
                <w:sz w:val="20"/>
                <w:szCs w:val="20"/>
                <w:color w:val="auto"/>
              </w:rPr>
            </w:pPr>
            <w:r>
              <w:rPr>
                <w:rFonts w:ascii="Arial" w:cs="Arial" w:eastAsia="Arial" w:hAnsi="Arial"/>
                <w:sz w:val="18"/>
                <w:szCs w:val="18"/>
                <w:color w:val="auto"/>
              </w:rPr>
              <w:t>outstanding at June 30, 2023 and December 31, 2022, respectively)</w:t>
            </w:r>
          </w:p>
        </w:tc>
        <w:tc>
          <w:tcPr>
            <w:tcW w:w="240" w:type="dxa"/>
            <w:vAlign w:val="bottom"/>
          </w:tcPr>
          <w:p>
            <w:pPr>
              <w:spacing w:after="0"/>
              <w:rPr>
                <w:sz w:val="20"/>
                <w:szCs w:val="20"/>
                <w:color w:val="auto"/>
              </w:rPr>
            </w:pPr>
          </w:p>
        </w:tc>
        <w:tc>
          <w:tcPr>
            <w:tcW w:w="16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22"/>
        </w:trPr>
        <w:tc>
          <w:tcPr>
            <w:tcW w:w="75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Common stock, $0.0001 par value per share (150,000,000 shares authorized, 46,726,794 and</w:t>
            </w:r>
          </w:p>
        </w:tc>
        <w:tc>
          <w:tcPr>
            <w:tcW w:w="24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44"/>
        </w:trPr>
        <w:tc>
          <w:tcPr>
            <w:tcW w:w="7540" w:type="dxa"/>
            <w:vAlign w:val="bottom"/>
            <w:shd w:val="clear" w:color="auto" w:fill="CFF0FC"/>
          </w:tcPr>
          <w:p>
            <w:pPr>
              <w:ind w:left="20"/>
              <w:spacing w:after="0"/>
              <w:rPr>
                <w:sz w:val="20"/>
                <w:szCs w:val="20"/>
                <w:color w:val="auto"/>
              </w:rPr>
            </w:pPr>
            <w:r>
              <w:rPr>
                <w:rFonts w:ascii="Arial" w:cs="Arial" w:eastAsia="Arial" w:hAnsi="Arial"/>
                <w:sz w:val="18"/>
                <w:szCs w:val="18"/>
                <w:color w:val="auto"/>
                <w:w w:val="95"/>
              </w:rPr>
              <w:t>43,498,617 shares issued and outstanding at June 30, 2023 and December 31, 2022, respectively)</w:t>
            </w:r>
          </w:p>
        </w:tc>
        <w:tc>
          <w:tcPr>
            <w:tcW w:w="24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3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FF0FC"/>
          </w:tcPr>
          <w:p>
            <w:pPr>
              <w:spacing w:after="0"/>
              <w:rPr>
                <w:sz w:val="21"/>
                <w:szCs w:val="21"/>
                <w:color w:val="auto"/>
              </w:rPr>
            </w:pPr>
          </w:p>
        </w:tc>
      </w:tr>
      <w:tr>
        <w:trPr>
          <w:trHeight w:val="237"/>
        </w:trPr>
        <w:tc>
          <w:tcPr>
            <w:tcW w:w="7540" w:type="dxa"/>
            <w:vAlign w:val="bottom"/>
          </w:tcPr>
          <w:p>
            <w:pPr>
              <w:ind w:left="20"/>
              <w:spacing w:after="0"/>
              <w:rPr>
                <w:sz w:val="20"/>
                <w:szCs w:val="20"/>
                <w:color w:val="auto"/>
              </w:rPr>
            </w:pPr>
            <w:r>
              <w:rPr>
                <w:rFonts w:ascii="Arial" w:cs="Arial" w:eastAsia="Arial" w:hAnsi="Arial"/>
                <w:sz w:val="18"/>
                <w:szCs w:val="18"/>
                <w:color w:val="auto"/>
              </w:rPr>
              <w:t>Additional paid-in capital</w:t>
            </w:r>
          </w:p>
        </w:tc>
        <w:tc>
          <w:tcPr>
            <w:tcW w:w="2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953,520</w:t>
            </w: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705,885</w:t>
            </w:r>
          </w:p>
        </w:tc>
        <w:tc>
          <w:tcPr>
            <w:tcW w:w="120" w:type="dxa"/>
            <w:vAlign w:val="bottom"/>
          </w:tcPr>
          <w:p>
            <w:pPr>
              <w:spacing w:after="0"/>
              <w:rPr>
                <w:sz w:val="20"/>
                <w:szCs w:val="20"/>
                <w:color w:val="auto"/>
              </w:rPr>
            </w:pPr>
          </w:p>
        </w:tc>
      </w:tr>
      <w:tr>
        <w:trPr>
          <w:trHeight w:val="243"/>
        </w:trPr>
        <w:tc>
          <w:tcPr>
            <w:tcW w:w="754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Accumulated deficit</w:t>
            </w:r>
          </w:p>
        </w:tc>
        <w:tc>
          <w:tcPr>
            <w:tcW w:w="240" w:type="dxa"/>
            <w:vAlign w:val="bottom"/>
            <w:shd w:val="clear" w:color="auto" w:fill="CFF0FC"/>
          </w:tcPr>
          <w:p>
            <w:pPr>
              <w:spacing w:after="0"/>
              <w:rPr>
                <w:sz w:val="21"/>
                <w:szCs w:val="21"/>
                <w:color w:val="auto"/>
              </w:rPr>
            </w:pPr>
          </w:p>
        </w:tc>
        <w:tc>
          <w:tcPr>
            <w:tcW w:w="16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(674,721 )</w:t>
            </w:r>
          </w:p>
        </w:tc>
        <w:tc>
          <w:tcPr>
            <w:tcW w:w="240" w:type="dxa"/>
            <w:vAlign w:val="bottom"/>
            <w:shd w:val="clear" w:color="auto" w:fill="CFF0FC"/>
          </w:tcPr>
          <w:p>
            <w:pPr>
              <w:spacing w:after="0"/>
              <w:rPr>
                <w:sz w:val="21"/>
                <w:szCs w:val="21"/>
                <w:color w:val="auto"/>
              </w:rPr>
            </w:pPr>
          </w:p>
        </w:tc>
        <w:tc>
          <w:tcPr>
            <w:tcW w:w="14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(596,333 )</w:t>
            </w:r>
          </w:p>
        </w:tc>
      </w:tr>
      <w:tr>
        <w:trPr>
          <w:trHeight w:val="236"/>
        </w:trPr>
        <w:tc>
          <w:tcPr>
            <w:tcW w:w="754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Total stockholders’ equity</w:t>
            </w:r>
          </w:p>
        </w:tc>
        <w:tc>
          <w:tcPr>
            <w:tcW w:w="240" w:type="dxa"/>
            <w:vAlign w:val="bottom"/>
            <w:tcBorders>
              <w:top w:val="single" w:sz="8" w:color="auto"/>
              <w:bottom w:val="single" w:sz="8" w:color="auto"/>
            </w:tcBorders>
          </w:tcPr>
          <w:p>
            <w:pPr>
              <w:spacing w:after="0"/>
              <w:rPr>
                <w:sz w:val="20"/>
                <w:szCs w:val="20"/>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278,804</w:t>
            </w:r>
          </w:p>
        </w:tc>
        <w:tc>
          <w:tcPr>
            <w:tcW w:w="340" w:type="dxa"/>
            <w:vAlign w:val="bottom"/>
            <w:tcBorders>
              <w:top w:val="single" w:sz="8" w:color="CFF0FC"/>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109,556</w:t>
            </w:r>
          </w:p>
        </w:tc>
        <w:tc>
          <w:tcPr>
            <w:tcW w:w="120" w:type="dxa"/>
            <w:vAlign w:val="bottom"/>
            <w:tcBorders>
              <w:top w:val="single" w:sz="8" w:color="CFF0FC"/>
            </w:tcBorders>
          </w:tcPr>
          <w:p>
            <w:pPr>
              <w:spacing w:after="0"/>
              <w:rPr>
                <w:sz w:val="20"/>
                <w:szCs w:val="20"/>
                <w:color w:val="auto"/>
              </w:rPr>
            </w:pPr>
          </w:p>
        </w:tc>
      </w:tr>
      <w:tr>
        <w:trPr>
          <w:trHeight w:val="277"/>
        </w:trPr>
        <w:tc>
          <w:tcPr>
            <w:tcW w:w="75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611,638</w:t>
            </w:r>
          </w:p>
        </w:tc>
        <w:tc>
          <w:tcPr>
            <w:tcW w:w="34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331,476</w:t>
            </w:r>
          </w:p>
        </w:tc>
        <w:tc>
          <w:tcPr>
            <w:tcW w:w="12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5808345</wp:posOffset>
            </wp:positionH>
            <wp:positionV relativeFrom="paragraph">
              <wp:posOffset>-3136900</wp:posOffset>
            </wp:positionV>
            <wp:extent cx="1294765" cy="1797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94765" cy="17970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-2185670</wp:posOffset>
            </wp:positionV>
            <wp:extent cx="85725" cy="1631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-2185670</wp:posOffset>
            </wp:positionV>
            <wp:extent cx="85725" cy="1631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-1559560</wp:posOffset>
            </wp:positionV>
            <wp:extent cx="85725" cy="1625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-1559560</wp:posOffset>
            </wp:positionV>
            <wp:extent cx="85725" cy="1625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-350520</wp:posOffset>
            </wp:positionV>
            <wp:extent cx="85725"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-350520</wp:posOffset>
            </wp:positionV>
            <wp:extent cx="85725"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-24765</wp:posOffset>
            </wp:positionV>
            <wp:extent cx="8572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-7620</wp:posOffset>
            </wp:positionV>
            <wp:extent cx="8572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-24765</wp:posOffset>
            </wp:positionV>
            <wp:extent cx="8572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-7620</wp:posOffset>
            </wp:positionV>
            <wp:extent cx="8572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213" w:lineRule="exact"/>
        <w:rPr>
          <w:sz w:val="20"/>
          <w:szCs w:val="20"/>
          <w:color w:val="auto"/>
        </w:rPr>
      </w:pPr>
    </w:p>
    <w:p>
      <w:pPr>
        <w:jc w:val="center"/>
        <w:ind w:right="-59"/>
        <w:spacing w:after="0"/>
        <w:rPr>
          <w:sz w:val="20"/>
          <w:szCs w:val="20"/>
          <w:color w:val="auto"/>
        </w:rPr>
      </w:pPr>
      <w:r>
        <w:rPr>
          <w:rFonts w:ascii="Arial" w:cs="Arial" w:eastAsia="Arial" w:hAnsi="Arial"/>
          <w:sz w:val="16"/>
          <w:szCs w:val="16"/>
          <w:i w:val="1"/>
          <w:iCs w:val="1"/>
          <w:color w:val="auto"/>
        </w:rPr>
        <w:t>The accompanying notes are an integral part of the consolidated financial statements.</w:t>
      </w:r>
    </w:p>
    <w:p>
      <w:pPr>
        <w:spacing w:after="0" w:line="2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0" w:right="399" w:bottom="1440" w:gutter="0" w:footer="0" w:header="0"/>
        </w:sectPr>
      </w:pPr>
    </w:p>
    <w:bookmarkStart w:id="4" w:name="page5"/>
    <w:bookmarkEnd w:id="4"/>
    <w:p>
      <w:pPr>
        <w:spacing w:after="0"/>
        <w:rPr>
          <w:sz w:val="20"/>
          <w:szCs w:val="20"/>
          <w:color w:val="auto"/>
        </w:rPr>
      </w:pPr>
      <w:r>
        <w:rPr>
          <w:rFonts w:ascii="Arial" w:cs="Arial" w:eastAsia="Arial" w:hAnsi="Arial"/>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3025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30250" cy="8255"/>
                    </a:xfrm>
                    <a:prstGeom prst="rect">
                      <a:avLst/>
                    </a:prstGeom>
                    <a:noFill/>
                  </pic:spPr>
                </pic:pic>
              </a:graphicData>
            </a:graphic>
          </wp:anchor>
        </w:drawing>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Axsome Therapeutics,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Operations (Unaudited)</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for per share amounts)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0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560" w:type="dxa"/>
            <w:vAlign w:val="bottom"/>
            <w:gridSpan w:val="5"/>
          </w:tcPr>
          <w:p>
            <w:pPr>
              <w:jc w:val="center"/>
              <w:ind w:right="470"/>
              <w:spacing w:after="0"/>
              <w:rPr>
                <w:sz w:val="20"/>
                <w:szCs w:val="20"/>
                <w:color w:val="auto"/>
              </w:rPr>
            </w:pPr>
            <w:r>
              <w:rPr>
                <w:rFonts w:ascii="Arial" w:cs="Arial" w:eastAsia="Arial" w:hAnsi="Arial"/>
                <w:sz w:val="14"/>
                <w:szCs w:val="14"/>
                <w:b w:val="1"/>
                <w:bCs w:val="1"/>
                <w:color w:val="auto"/>
                <w:w w:val="95"/>
              </w:rPr>
              <w:t>Three Months Ended</w:t>
            </w:r>
          </w:p>
        </w:tc>
        <w:tc>
          <w:tcPr>
            <w:tcW w:w="140" w:type="dxa"/>
            <w:vAlign w:val="bottom"/>
          </w:tcPr>
          <w:p>
            <w:pPr>
              <w:spacing w:after="0"/>
              <w:rPr>
                <w:sz w:val="15"/>
                <w:szCs w:val="15"/>
                <w:color w:val="auto"/>
              </w:rPr>
            </w:pPr>
          </w:p>
        </w:tc>
        <w:tc>
          <w:tcPr>
            <w:tcW w:w="2280" w:type="dxa"/>
            <w:vAlign w:val="bottom"/>
            <w:gridSpan w:val="5"/>
          </w:tcPr>
          <w:p>
            <w:pPr>
              <w:jc w:val="right"/>
              <w:ind w:right="610"/>
              <w:spacing w:after="0"/>
              <w:rPr>
                <w:sz w:val="20"/>
                <w:szCs w:val="20"/>
                <w:color w:val="auto"/>
              </w:rPr>
            </w:pPr>
            <w:r>
              <w:rPr>
                <w:rFonts w:ascii="Arial" w:cs="Arial" w:eastAsia="Arial" w:hAnsi="Arial"/>
                <w:sz w:val="14"/>
                <w:szCs w:val="14"/>
                <w:b w:val="1"/>
                <w:bCs w:val="1"/>
                <w:color w:val="auto"/>
              </w:rPr>
              <w:t>Six Months Ended</w:t>
            </w:r>
          </w:p>
        </w:tc>
      </w:tr>
      <w:tr>
        <w:trPr>
          <w:trHeight w:val="185"/>
        </w:trPr>
        <w:tc>
          <w:tcPr>
            <w:tcW w:w="60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left="653"/>
              <w:spacing w:after="0"/>
              <w:rPr>
                <w:sz w:val="20"/>
                <w:szCs w:val="20"/>
                <w:color w:val="auto"/>
              </w:rPr>
            </w:pPr>
            <w:r>
              <w:rPr>
                <w:rFonts w:ascii="Arial" w:cs="Arial" w:eastAsia="Arial" w:hAnsi="Arial"/>
                <w:sz w:val="14"/>
                <w:szCs w:val="14"/>
                <w:b w:val="1"/>
                <w:bCs w:val="1"/>
                <w:color w:val="auto"/>
                <w:w w:val="92"/>
              </w:rPr>
              <w:t>June 30,</w:t>
            </w: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r>
      <w:tr>
        <w:trPr>
          <w:trHeight w:val="169"/>
        </w:trPr>
        <w:tc>
          <w:tcPr>
            <w:tcW w:w="60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2023</w:t>
            </w:r>
          </w:p>
        </w:tc>
        <w:tc>
          <w:tcPr>
            <w:tcW w:w="2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2022</w:t>
            </w:r>
          </w:p>
        </w:tc>
        <w:tc>
          <w:tcPr>
            <w:tcW w:w="3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2023</w:t>
            </w:r>
          </w:p>
        </w:tc>
        <w:tc>
          <w:tcPr>
            <w:tcW w:w="3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4"/>
                <w:szCs w:val="14"/>
                <w:color w:val="auto"/>
              </w:rPr>
            </w:pPr>
          </w:p>
        </w:tc>
      </w:tr>
      <w:tr>
        <w:trPr>
          <w:trHeight w:val="237"/>
        </w:trPr>
        <w:tc>
          <w:tcPr>
            <w:tcW w:w="600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Revenues:</w:t>
            </w:r>
          </w:p>
        </w:tc>
        <w:tc>
          <w:tcPr>
            <w:tcW w:w="26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r>
      <w:tr>
        <w:trPr>
          <w:trHeight w:val="237"/>
        </w:trPr>
        <w:tc>
          <w:tcPr>
            <w:tcW w:w="6000" w:type="dxa"/>
            <w:vAlign w:val="bottom"/>
          </w:tcPr>
          <w:p>
            <w:pPr>
              <w:ind w:left="200"/>
              <w:spacing w:after="0"/>
              <w:rPr>
                <w:sz w:val="20"/>
                <w:szCs w:val="20"/>
                <w:color w:val="auto"/>
              </w:rPr>
            </w:pPr>
            <w:r>
              <w:rPr>
                <w:rFonts w:ascii="Arial" w:cs="Arial" w:eastAsia="Arial" w:hAnsi="Arial"/>
                <w:sz w:val="18"/>
                <w:szCs w:val="18"/>
                <w:color w:val="auto"/>
              </w:rPr>
              <w:t>Product sales, net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46,017</w:t>
            </w:r>
          </w:p>
        </w:tc>
        <w:tc>
          <w:tcPr>
            <w:tcW w:w="2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8,820</w:t>
            </w:r>
          </w:p>
        </w:tc>
        <w:tc>
          <w:tcPr>
            <w:tcW w:w="3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74,586</w:t>
            </w:r>
          </w:p>
        </w:tc>
        <w:tc>
          <w:tcPr>
            <w:tcW w:w="3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8,820</w:t>
            </w:r>
          </w:p>
        </w:tc>
        <w:tc>
          <w:tcPr>
            <w:tcW w:w="140" w:type="dxa"/>
            <w:vAlign w:val="bottom"/>
          </w:tcPr>
          <w:p>
            <w:pPr>
              <w:spacing w:after="0"/>
              <w:rPr>
                <w:sz w:val="20"/>
                <w:szCs w:val="20"/>
                <w:color w:val="auto"/>
              </w:rPr>
            </w:pPr>
          </w:p>
        </w:tc>
      </w:tr>
      <w:tr>
        <w:trPr>
          <w:trHeight w:val="249"/>
        </w:trPr>
        <w:tc>
          <w:tcPr>
            <w:tcW w:w="60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License revenue</w:t>
            </w:r>
          </w:p>
        </w:tc>
        <w:tc>
          <w:tcPr>
            <w:tcW w:w="26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21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23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65,735</w:t>
            </w:r>
          </w:p>
        </w:tc>
        <w:tc>
          <w:tcPr>
            <w:tcW w:w="3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r>
      <w:tr>
        <w:trPr>
          <w:trHeight w:val="237"/>
        </w:trPr>
        <w:tc>
          <w:tcPr>
            <w:tcW w:w="6000" w:type="dxa"/>
            <w:vAlign w:val="bottom"/>
          </w:tcPr>
          <w:p>
            <w:pPr>
              <w:ind w:left="200"/>
              <w:spacing w:after="0"/>
              <w:rPr>
                <w:sz w:val="20"/>
                <w:szCs w:val="20"/>
                <w:color w:val="auto"/>
              </w:rPr>
            </w:pPr>
            <w:r>
              <w:rPr>
                <w:rFonts w:ascii="Arial" w:cs="Arial" w:eastAsia="Arial" w:hAnsi="Arial"/>
                <w:sz w:val="18"/>
                <w:szCs w:val="18"/>
                <w:color w:val="auto"/>
              </w:rPr>
              <w:t>Royalty revenue</w:t>
            </w: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683</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955</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r>
      <w:tr>
        <w:trPr>
          <w:trHeight w:val="237"/>
        </w:trPr>
        <w:tc>
          <w:tcPr>
            <w:tcW w:w="60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Revenues</w:t>
            </w:r>
          </w:p>
        </w:tc>
        <w:tc>
          <w:tcPr>
            <w:tcW w:w="260" w:type="dxa"/>
            <w:vAlign w:val="bottom"/>
            <w:tcBorders>
              <w:top w:val="single" w:sz="8" w:color="auto"/>
              <w:bottom w:val="single" w:sz="8" w:color="auto"/>
            </w:tcBorders>
            <w:shd w:val="clear" w:color="auto" w:fill="CFF0FC"/>
          </w:tcPr>
          <w:p>
            <w:pPr>
              <w:spacing w:after="0"/>
              <w:rPr>
                <w:sz w:val="20"/>
                <w:szCs w:val="20"/>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46,700</w:t>
            </w:r>
          </w:p>
        </w:tc>
        <w:tc>
          <w:tcPr>
            <w:tcW w:w="28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top w:val="single" w:sz="8" w:color="auto"/>
              <w:bottom w:val="single" w:sz="8" w:color="auto"/>
            </w:tcBorders>
            <w:shd w:val="clear" w:color="auto" w:fill="CFF0FC"/>
          </w:tcPr>
          <w:p>
            <w:pPr>
              <w:spacing w:after="0"/>
              <w:rPr>
                <w:sz w:val="20"/>
                <w:szCs w:val="20"/>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8,820</w:t>
            </w:r>
          </w:p>
        </w:tc>
        <w:tc>
          <w:tcPr>
            <w:tcW w:w="30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top w:val="single" w:sz="8" w:color="auto"/>
              <w:bottom w:val="single" w:sz="8" w:color="auto"/>
            </w:tcBorders>
            <w:shd w:val="clear" w:color="auto" w:fill="CFF0FC"/>
          </w:tcPr>
          <w:p>
            <w:pPr>
              <w:spacing w:after="0"/>
              <w:rPr>
                <w:sz w:val="20"/>
                <w:szCs w:val="20"/>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141,276</w:t>
            </w:r>
          </w:p>
        </w:tc>
        <w:tc>
          <w:tcPr>
            <w:tcW w:w="3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top w:val="single" w:sz="8" w:color="auto"/>
              <w:bottom w:val="single" w:sz="8" w:color="auto"/>
            </w:tcBorders>
            <w:shd w:val="clear" w:color="auto" w:fill="CFF0FC"/>
          </w:tcPr>
          <w:p>
            <w:pPr>
              <w:spacing w:after="0"/>
              <w:rPr>
                <w:sz w:val="20"/>
                <w:szCs w:val="20"/>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8,820</w:t>
            </w:r>
          </w:p>
        </w:tc>
        <w:tc>
          <w:tcPr>
            <w:tcW w:w="140" w:type="dxa"/>
            <w:vAlign w:val="bottom"/>
            <w:tcBorders>
              <w:bottom w:val="single" w:sz="8" w:color="CFF0FC"/>
            </w:tcBorders>
            <w:shd w:val="clear" w:color="auto" w:fill="CFF0FC"/>
          </w:tcPr>
          <w:p>
            <w:pPr>
              <w:spacing w:after="0"/>
              <w:rPr>
                <w:sz w:val="20"/>
                <w:szCs w:val="20"/>
                <w:color w:val="auto"/>
              </w:rPr>
            </w:pPr>
          </w:p>
        </w:tc>
      </w:tr>
      <w:tr>
        <w:trPr>
          <w:trHeight w:val="236"/>
        </w:trPr>
        <w:tc>
          <w:tcPr>
            <w:tcW w:w="600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49"/>
        </w:trPr>
        <w:tc>
          <w:tcPr>
            <w:tcW w:w="60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Cost of revenue (excluding amortization and depreciation)</w:t>
            </w:r>
          </w:p>
        </w:tc>
        <w:tc>
          <w:tcPr>
            <w:tcW w:w="2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4,599</w:t>
            </w: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983</w:t>
            </w: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12,155</w:t>
            </w:r>
          </w:p>
        </w:tc>
        <w:tc>
          <w:tcPr>
            <w:tcW w:w="3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983</w:t>
            </w:r>
          </w:p>
        </w:tc>
        <w:tc>
          <w:tcPr>
            <w:tcW w:w="140" w:type="dxa"/>
            <w:vAlign w:val="bottom"/>
            <w:shd w:val="clear" w:color="auto" w:fill="CFF0FC"/>
          </w:tcPr>
          <w:p>
            <w:pPr>
              <w:spacing w:after="0"/>
              <w:rPr>
                <w:sz w:val="21"/>
                <w:szCs w:val="21"/>
                <w:color w:val="auto"/>
              </w:rPr>
            </w:pPr>
          </w:p>
        </w:tc>
      </w:tr>
      <w:tr>
        <w:trPr>
          <w:trHeight w:val="237"/>
        </w:trPr>
        <w:tc>
          <w:tcPr>
            <w:tcW w:w="600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20,581</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15,792</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38,374</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28,377</w:t>
            </w:r>
          </w:p>
        </w:tc>
        <w:tc>
          <w:tcPr>
            <w:tcW w:w="140" w:type="dxa"/>
            <w:vAlign w:val="bottom"/>
          </w:tcPr>
          <w:p>
            <w:pPr>
              <w:spacing w:after="0"/>
              <w:rPr>
                <w:sz w:val="20"/>
                <w:szCs w:val="20"/>
                <w:color w:val="auto"/>
              </w:rPr>
            </w:pPr>
          </w:p>
        </w:tc>
      </w:tr>
      <w:tr>
        <w:trPr>
          <w:trHeight w:val="249"/>
        </w:trPr>
        <w:tc>
          <w:tcPr>
            <w:tcW w:w="60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78,935</w:t>
            </w: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31,160</w:t>
            </w: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153,126</w:t>
            </w:r>
          </w:p>
        </w:tc>
        <w:tc>
          <w:tcPr>
            <w:tcW w:w="3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56,864</w:t>
            </w:r>
          </w:p>
        </w:tc>
        <w:tc>
          <w:tcPr>
            <w:tcW w:w="140" w:type="dxa"/>
            <w:vAlign w:val="bottom"/>
            <w:shd w:val="clear" w:color="auto" w:fill="CFF0FC"/>
          </w:tcPr>
          <w:p>
            <w:pPr>
              <w:spacing w:after="0"/>
              <w:rPr>
                <w:sz w:val="21"/>
                <w:szCs w:val="21"/>
                <w:color w:val="auto"/>
              </w:rPr>
            </w:pPr>
          </w:p>
        </w:tc>
      </w:tr>
      <w:tr>
        <w:trPr>
          <w:trHeight w:val="237"/>
        </w:trPr>
        <w:tc>
          <w:tcPr>
            <w:tcW w:w="6000" w:type="dxa"/>
            <w:vAlign w:val="bottom"/>
          </w:tcPr>
          <w:p>
            <w:pPr>
              <w:ind w:left="200"/>
              <w:spacing w:after="0"/>
              <w:rPr>
                <w:sz w:val="20"/>
                <w:szCs w:val="20"/>
                <w:color w:val="auto"/>
              </w:rPr>
            </w:pPr>
            <w:r>
              <w:rPr>
                <w:rFonts w:ascii="Arial" w:cs="Arial" w:eastAsia="Arial" w:hAnsi="Arial"/>
                <w:sz w:val="18"/>
                <w:szCs w:val="18"/>
                <w:color w:val="auto"/>
              </w:rPr>
              <w:t>Loss (Gain) in fair value of contingent consideration</w:t>
            </w: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6,053</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jc w:val="right"/>
              <w:ind w:right="130"/>
              <w:spacing w:after="0"/>
              <w:rPr>
                <w:sz w:val="20"/>
                <w:szCs w:val="20"/>
                <w:color w:val="auto"/>
              </w:rPr>
            </w:pPr>
            <w:r>
              <w:rPr>
                <w:rFonts w:ascii="Arial" w:cs="Arial" w:eastAsia="Arial" w:hAnsi="Arial"/>
                <w:sz w:val="18"/>
                <w:szCs w:val="18"/>
                <w:color w:val="auto"/>
              </w:rPr>
              <w:t>(860 )</w:t>
            </w: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5,891</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(860 )</w:t>
            </w:r>
          </w:p>
        </w:tc>
      </w:tr>
      <w:tr>
        <w:trPr>
          <w:trHeight w:val="243"/>
        </w:trPr>
        <w:tc>
          <w:tcPr>
            <w:tcW w:w="60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Intangible asset amortization</w:t>
            </w:r>
          </w:p>
        </w:tc>
        <w:tc>
          <w:tcPr>
            <w:tcW w:w="26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1,589</w:t>
            </w:r>
          </w:p>
        </w:tc>
        <w:tc>
          <w:tcPr>
            <w:tcW w:w="28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926</w:t>
            </w:r>
          </w:p>
        </w:tc>
        <w:tc>
          <w:tcPr>
            <w:tcW w:w="3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3,161</w:t>
            </w:r>
          </w:p>
        </w:tc>
        <w:tc>
          <w:tcPr>
            <w:tcW w:w="3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926</w:t>
            </w:r>
          </w:p>
        </w:tc>
        <w:tc>
          <w:tcPr>
            <w:tcW w:w="140" w:type="dxa"/>
            <w:vAlign w:val="bottom"/>
            <w:tcBorders>
              <w:bottom w:val="single" w:sz="8" w:color="CFF0FC"/>
            </w:tcBorders>
            <w:shd w:val="clear" w:color="auto" w:fill="CFF0FC"/>
          </w:tcPr>
          <w:p>
            <w:pPr>
              <w:spacing w:after="0"/>
              <w:rPr>
                <w:sz w:val="21"/>
                <w:szCs w:val="21"/>
                <w:color w:val="auto"/>
              </w:rPr>
            </w:pPr>
          </w:p>
        </w:tc>
      </w:tr>
      <w:tr>
        <w:trPr>
          <w:trHeight w:val="236"/>
        </w:trPr>
        <w:tc>
          <w:tcPr>
            <w:tcW w:w="6000" w:type="dxa"/>
            <w:vAlign w:val="bottom"/>
          </w:tcPr>
          <w:p>
            <w:pPr>
              <w:ind w:left="2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111,757</w:t>
            </w:r>
          </w:p>
        </w:tc>
        <w:tc>
          <w:tcPr>
            <w:tcW w:w="2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48,001</w:t>
            </w:r>
          </w:p>
        </w:tc>
        <w:tc>
          <w:tcPr>
            <w:tcW w:w="3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212,707</w:t>
            </w:r>
          </w:p>
        </w:tc>
        <w:tc>
          <w:tcPr>
            <w:tcW w:w="3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86,290</w:t>
            </w:r>
          </w:p>
        </w:tc>
        <w:tc>
          <w:tcPr>
            <w:tcW w:w="140" w:type="dxa"/>
            <w:vAlign w:val="bottom"/>
          </w:tcPr>
          <w:p>
            <w:pPr>
              <w:spacing w:after="0"/>
              <w:rPr>
                <w:sz w:val="20"/>
                <w:szCs w:val="20"/>
                <w:color w:val="auto"/>
              </w:rPr>
            </w:pPr>
          </w:p>
        </w:tc>
      </w:tr>
      <w:tr>
        <w:trPr>
          <w:trHeight w:val="243"/>
        </w:trPr>
        <w:tc>
          <w:tcPr>
            <w:tcW w:w="600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Loss from operations</w:t>
            </w:r>
          </w:p>
        </w:tc>
        <w:tc>
          <w:tcPr>
            <w:tcW w:w="2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(65,057</w:t>
            </w:r>
          </w:p>
        </w:tc>
        <w:tc>
          <w:tcPr>
            <w:tcW w:w="280" w:type="dxa"/>
            <w:vAlign w:val="bottom"/>
            <w:shd w:val="clear" w:color="auto" w:fill="CFF0FC"/>
          </w:tcPr>
          <w:p>
            <w:pPr>
              <w:jc w:val="center"/>
              <w:ind w:right="130"/>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(39,181</w:t>
            </w:r>
          </w:p>
        </w:tc>
        <w:tc>
          <w:tcPr>
            <w:tcW w:w="30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(71,431</w:t>
            </w:r>
          </w:p>
        </w:tc>
        <w:tc>
          <w:tcPr>
            <w:tcW w:w="32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(77,470</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r>
      <w:tr>
        <w:trPr>
          <w:trHeight w:val="237"/>
        </w:trPr>
        <w:tc>
          <w:tcPr>
            <w:tcW w:w="6000" w:type="dxa"/>
            <w:vAlign w:val="bottom"/>
          </w:tcPr>
          <w:p>
            <w:pPr>
              <w:ind w:left="200"/>
              <w:spacing w:after="0"/>
              <w:rPr>
                <w:sz w:val="20"/>
                <w:szCs w:val="20"/>
                <w:color w:val="auto"/>
              </w:rPr>
            </w:pPr>
            <w:r>
              <w:rPr>
                <w:rFonts w:ascii="Arial" w:cs="Arial" w:eastAsia="Arial" w:hAnsi="Arial"/>
                <w:sz w:val="18"/>
                <w:szCs w:val="18"/>
                <w:color w:val="auto"/>
              </w:rPr>
              <w:t>Interest expense, net</w:t>
            </w:r>
          </w:p>
        </w:tc>
        <w:tc>
          <w:tcPr>
            <w:tcW w:w="260" w:type="dxa"/>
            <w:vAlign w:val="bottom"/>
          </w:tcPr>
          <w:p>
            <w:pPr>
              <w:spacing w:after="0"/>
              <w:rPr>
                <w:sz w:val="20"/>
                <w:szCs w:val="20"/>
                <w:color w:val="auto"/>
              </w:rPr>
            </w:pPr>
          </w:p>
        </w:tc>
        <w:tc>
          <w:tcPr>
            <w:tcW w:w="1260" w:type="dxa"/>
            <w:vAlign w:val="bottom"/>
            <w:gridSpan w:val="2"/>
          </w:tcPr>
          <w:p>
            <w:pPr>
              <w:jc w:val="right"/>
              <w:ind w:right="130"/>
              <w:spacing w:after="0"/>
              <w:rPr>
                <w:sz w:val="20"/>
                <w:szCs w:val="20"/>
                <w:color w:val="auto"/>
              </w:rPr>
            </w:pPr>
            <w:r>
              <w:rPr>
                <w:rFonts w:ascii="Arial" w:cs="Arial" w:eastAsia="Arial" w:hAnsi="Arial"/>
                <w:sz w:val="18"/>
                <w:szCs w:val="18"/>
                <w:color w:val="auto"/>
              </w:rPr>
              <w:t>(2,730 )</w:t>
            </w:r>
          </w:p>
        </w:tc>
        <w:tc>
          <w:tcPr>
            <w:tcW w:w="140" w:type="dxa"/>
            <w:vAlign w:val="bottom"/>
          </w:tcPr>
          <w:p>
            <w:pPr>
              <w:spacing w:after="0"/>
              <w:rPr>
                <w:sz w:val="20"/>
                <w:szCs w:val="20"/>
                <w:color w:val="auto"/>
              </w:rPr>
            </w:pPr>
          </w:p>
        </w:tc>
        <w:tc>
          <w:tcPr>
            <w:tcW w:w="1160" w:type="dxa"/>
            <w:vAlign w:val="bottom"/>
            <w:gridSpan w:val="2"/>
          </w:tcPr>
          <w:p>
            <w:pPr>
              <w:jc w:val="right"/>
              <w:ind w:right="130"/>
              <w:spacing w:after="0"/>
              <w:rPr>
                <w:sz w:val="20"/>
                <w:szCs w:val="20"/>
                <w:color w:val="auto"/>
              </w:rPr>
            </w:pPr>
            <w:r>
              <w:rPr>
                <w:rFonts w:ascii="Arial" w:cs="Arial" w:eastAsia="Arial" w:hAnsi="Arial"/>
                <w:sz w:val="18"/>
                <w:szCs w:val="18"/>
                <w:color w:val="auto"/>
              </w:rPr>
              <w:t>(2,257 )</w:t>
            </w:r>
          </w:p>
        </w:tc>
        <w:tc>
          <w:tcPr>
            <w:tcW w:w="140" w:type="dxa"/>
            <w:vAlign w:val="bottom"/>
          </w:tcPr>
          <w:p>
            <w:pPr>
              <w:spacing w:after="0"/>
              <w:rPr>
                <w:sz w:val="20"/>
                <w:szCs w:val="20"/>
                <w:color w:val="auto"/>
              </w:rPr>
            </w:pPr>
          </w:p>
        </w:tc>
        <w:tc>
          <w:tcPr>
            <w:tcW w:w="1160" w:type="dxa"/>
            <w:vAlign w:val="bottom"/>
            <w:gridSpan w:val="2"/>
          </w:tcPr>
          <w:p>
            <w:pPr>
              <w:jc w:val="right"/>
              <w:ind w:right="150"/>
              <w:spacing w:after="0"/>
              <w:rPr>
                <w:sz w:val="20"/>
                <w:szCs w:val="20"/>
                <w:color w:val="auto"/>
              </w:rPr>
            </w:pPr>
            <w:r>
              <w:rPr>
                <w:rFonts w:ascii="Arial" w:cs="Arial" w:eastAsia="Arial" w:hAnsi="Arial"/>
                <w:sz w:val="18"/>
                <w:szCs w:val="18"/>
                <w:color w:val="auto"/>
              </w:rPr>
              <w:t>(4,994 )</w:t>
            </w:r>
          </w:p>
        </w:tc>
        <w:tc>
          <w:tcPr>
            <w:tcW w:w="14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(3,601 )</w:t>
            </w:r>
          </w:p>
        </w:tc>
      </w:tr>
      <w:tr>
        <w:trPr>
          <w:trHeight w:val="243"/>
        </w:trPr>
        <w:tc>
          <w:tcPr>
            <w:tcW w:w="600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Loss before income taxes</w:t>
            </w:r>
          </w:p>
        </w:tc>
        <w:tc>
          <w:tcPr>
            <w:tcW w:w="260" w:type="dxa"/>
            <w:vAlign w:val="bottom"/>
            <w:tcBorders>
              <w:top w:val="single" w:sz="8" w:color="auto"/>
            </w:tcBorders>
            <w:shd w:val="clear" w:color="auto" w:fill="CFF0FC"/>
          </w:tcPr>
          <w:p>
            <w:pPr>
              <w:spacing w:after="0"/>
              <w:rPr>
                <w:sz w:val="21"/>
                <w:szCs w:val="21"/>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(67,787</w:t>
            </w:r>
          </w:p>
        </w:tc>
        <w:tc>
          <w:tcPr>
            <w:tcW w:w="280" w:type="dxa"/>
            <w:vAlign w:val="bottom"/>
            <w:shd w:val="clear" w:color="auto" w:fill="CFF0FC"/>
          </w:tcPr>
          <w:p>
            <w:pPr>
              <w:jc w:val="center"/>
              <w:ind w:right="130"/>
              <w:spacing w:after="0"/>
              <w:rPr>
                <w:sz w:val="20"/>
                <w:szCs w:val="20"/>
                <w:color w:val="auto"/>
              </w:rPr>
            </w:pPr>
            <w:r>
              <w:rPr>
                <w:rFonts w:ascii="Arial" w:cs="Arial" w:eastAsia="Arial" w:hAnsi="Arial"/>
                <w:sz w:val="18"/>
                <w:szCs w:val="18"/>
                <w:color w:val="auto"/>
                <w:w w:val="99"/>
              </w:rPr>
              <w:t>)</w:t>
            </w:r>
          </w:p>
        </w:tc>
        <w:tc>
          <w:tcPr>
            <w:tcW w:w="140" w:type="dxa"/>
            <w:vAlign w:val="bottom"/>
            <w:tcBorders>
              <w:top w:val="single" w:sz="8" w:color="auto"/>
            </w:tcBorders>
            <w:shd w:val="clear" w:color="auto" w:fill="CFF0FC"/>
          </w:tcPr>
          <w:p>
            <w:pPr>
              <w:spacing w:after="0"/>
              <w:rPr>
                <w:sz w:val="21"/>
                <w:szCs w:val="21"/>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(41,438</w:t>
            </w:r>
          </w:p>
        </w:tc>
        <w:tc>
          <w:tcPr>
            <w:tcW w:w="30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40" w:type="dxa"/>
            <w:vAlign w:val="bottom"/>
            <w:tcBorders>
              <w:top w:val="single" w:sz="8" w:color="auto"/>
            </w:tcBorders>
            <w:shd w:val="clear" w:color="auto" w:fill="CFF0FC"/>
          </w:tcPr>
          <w:p>
            <w:pPr>
              <w:spacing w:after="0"/>
              <w:rPr>
                <w:sz w:val="21"/>
                <w:szCs w:val="21"/>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(76,425</w:t>
            </w:r>
          </w:p>
        </w:tc>
        <w:tc>
          <w:tcPr>
            <w:tcW w:w="32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140" w:type="dxa"/>
            <w:vAlign w:val="bottom"/>
            <w:tcBorders>
              <w:top w:val="single" w:sz="8" w:color="auto"/>
            </w:tcBorders>
            <w:shd w:val="clear" w:color="auto" w:fill="CFF0FC"/>
          </w:tcPr>
          <w:p>
            <w:pPr>
              <w:spacing w:after="0"/>
              <w:rPr>
                <w:sz w:val="21"/>
                <w:szCs w:val="21"/>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(81,071</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r>
      <w:tr>
        <w:trPr>
          <w:trHeight w:val="237"/>
        </w:trPr>
        <w:tc>
          <w:tcPr>
            <w:tcW w:w="6000" w:type="dxa"/>
            <w:vAlign w:val="bottom"/>
          </w:tcPr>
          <w:p>
            <w:pPr>
              <w:ind w:left="200"/>
              <w:spacing w:after="0"/>
              <w:rPr>
                <w:sz w:val="20"/>
                <w:szCs w:val="20"/>
                <w:color w:val="auto"/>
              </w:rPr>
            </w:pPr>
            <w:r>
              <w:rPr>
                <w:rFonts w:ascii="Arial" w:cs="Arial" w:eastAsia="Arial" w:hAnsi="Arial"/>
                <w:sz w:val="18"/>
                <w:szCs w:val="18"/>
                <w:color w:val="auto"/>
              </w:rPr>
              <w:t>Income tax benefit (expense)</w:t>
            </w: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617</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60" w:type="dxa"/>
            <w:vAlign w:val="bottom"/>
            <w:gridSpan w:val="2"/>
          </w:tcPr>
          <w:p>
            <w:pPr>
              <w:jc w:val="right"/>
              <w:ind w:right="150"/>
              <w:spacing w:after="0"/>
              <w:rPr>
                <w:sz w:val="20"/>
                <w:szCs w:val="20"/>
                <w:color w:val="auto"/>
              </w:rPr>
            </w:pPr>
            <w:r>
              <w:rPr>
                <w:rFonts w:ascii="Arial" w:cs="Arial" w:eastAsia="Arial" w:hAnsi="Arial"/>
                <w:sz w:val="18"/>
                <w:szCs w:val="18"/>
                <w:color w:val="auto"/>
              </w:rPr>
              <w:t>(1,963 )</w:t>
            </w:r>
          </w:p>
        </w:tc>
        <w:tc>
          <w:tcPr>
            <w:tcW w:w="140" w:type="dxa"/>
            <w:vAlign w:val="bottom"/>
          </w:tcPr>
          <w:p>
            <w:pPr>
              <w:spacing w:after="0"/>
              <w:rPr>
                <w:sz w:val="20"/>
                <w:szCs w:val="20"/>
                <w:color w:val="auto"/>
              </w:rPr>
            </w:pPr>
          </w:p>
        </w:tc>
        <w:tc>
          <w:tcPr>
            <w:tcW w:w="9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r>
      <w:tr>
        <w:trPr>
          <w:trHeight w:val="277"/>
        </w:trPr>
        <w:tc>
          <w:tcPr>
            <w:tcW w:w="60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loss</w:t>
            </w: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(67,170</w:t>
            </w:r>
          </w:p>
        </w:tc>
        <w:tc>
          <w:tcPr>
            <w:tcW w:w="280" w:type="dxa"/>
            <w:vAlign w:val="bottom"/>
            <w:tcBorders>
              <w:bottom w:val="single" w:sz="8" w:color="CFF0FC"/>
            </w:tcBorders>
            <w:shd w:val="clear" w:color="auto" w:fill="CFF0FC"/>
          </w:tcPr>
          <w:p>
            <w:pPr>
              <w:jc w:val="center"/>
              <w:ind w:right="130"/>
              <w:spacing w:after="0"/>
              <w:rPr>
                <w:sz w:val="20"/>
                <w:szCs w:val="20"/>
                <w:color w:val="auto"/>
              </w:rPr>
            </w:pPr>
            <w:r>
              <w:rPr>
                <w:rFonts w:ascii="Arial" w:cs="Arial" w:eastAsia="Arial" w:hAnsi="Arial"/>
                <w:sz w:val="18"/>
                <w:szCs w:val="18"/>
                <w:color w:val="auto"/>
                <w:w w:val="99"/>
              </w:rPr>
              <w:t>)</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(41,438</w:t>
            </w:r>
          </w:p>
        </w:tc>
        <w:tc>
          <w:tcPr>
            <w:tcW w:w="300" w:type="dxa"/>
            <w:vAlign w:val="bottom"/>
            <w:tcBorders>
              <w:bottom w:val="single" w:sz="8" w:color="CFF0FC"/>
            </w:tcBorders>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(78,388</w:t>
            </w:r>
          </w:p>
        </w:tc>
        <w:tc>
          <w:tcPr>
            <w:tcW w:w="320" w:type="dxa"/>
            <w:vAlign w:val="bottom"/>
            <w:tcBorders>
              <w:bottom w:val="single" w:sz="8" w:color="CFF0FC"/>
            </w:tcBorders>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(81,071</w:t>
            </w:r>
          </w:p>
        </w:tc>
        <w:tc>
          <w:tcPr>
            <w:tcW w:w="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r>
      <w:tr>
        <w:trPr>
          <w:trHeight w:val="224"/>
        </w:trPr>
        <w:tc>
          <w:tcPr>
            <w:tcW w:w="6000" w:type="dxa"/>
            <w:vAlign w:val="bottom"/>
          </w:tcPr>
          <w:p>
            <w:pPr>
              <w:ind w:left="20"/>
              <w:spacing w:after="0"/>
              <w:rPr>
                <w:sz w:val="20"/>
                <w:szCs w:val="20"/>
                <w:color w:val="auto"/>
              </w:rPr>
            </w:pPr>
            <w:r>
              <w:rPr>
                <w:rFonts w:ascii="Arial" w:cs="Arial" w:eastAsia="Arial" w:hAnsi="Arial"/>
                <w:sz w:val="18"/>
                <w:szCs w:val="18"/>
                <w:color w:val="auto"/>
              </w:rPr>
              <w:t>Net loss per common share, basic and diluted</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30"/>
              <w:spacing w:after="0"/>
              <w:rPr>
                <w:sz w:val="20"/>
                <w:szCs w:val="20"/>
                <w:color w:val="auto"/>
              </w:rPr>
            </w:pPr>
            <w:r>
              <w:rPr>
                <w:rFonts w:ascii="Arial" w:cs="Arial" w:eastAsia="Arial" w:hAnsi="Arial"/>
                <w:sz w:val="18"/>
                <w:szCs w:val="18"/>
                <w:color w:val="auto"/>
              </w:rPr>
              <w:t>(1.54 )</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130"/>
              <w:spacing w:after="0"/>
              <w:rPr>
                <w:sz w:val="20"/>
                <w:szCs w:val="20"/>
                <w:color w:val="auto"/>
              </w:rPr>
            </w:pPr>
            <w:r>
              <w:rPr>
                <w:rFonts w:ascii="Arial" w:cs="Arial" w:eastAsia="Arial" w:hAnsi="Arial"/>
                <w:sz w:val="18"/>
                <w:szCs w:val="18"/>
                <w:color w:val="auto"/>
              </w:rPr>
              <w:t>(1.06 )</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50"/>
              <w:spacing w:after="0"/>
              <w:rPr>
                <w:sz w:val="20"/>
                <w:szCs w:val="20"/>
                <w:color w:val="auto"/>
              </w:rPr>
            </w:pPr>
            <w:r>
              <w:rPr>
                <w:rFonts w:ascii="Arial" w:cs="Arial" w:eastAsia="Arial" w:hAnsi="Arial"/>
                <w:sz w:val="18"/>
                <w:szCs w:val="18"/>
                <w:color w:val="auto"/>
              </w:rPr>
              <w:t>(1.80 )</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(2.09 )</w:t>
            </w:r>
          </w:p>
        </w:tc>
      </w:tr>
      <w:tr>
        <w:trPr>
          <w:trHeight w:val="20"/>
        </w:trPr>
        <w:tc>
          <w:tcPr>
            <w:tcW w:w="60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63"/>
        </w:trPr>
        <w:tc>
          <w:tcPr>
            <w:tcW w:w="60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Weighted average common shares outstanding, basic and diluted</w:t>
            </w:r>
          </w:p>
        </w:tc>
        <w:tc>
          <w:tcPr>
            <w:tcW w:w="260" w:type="dxa"/>
            <w:vAlign w:val="bottom"/>
            <w:tcBorders>
              <w:bottom w:val="single" w:sz="8" w:color="auto"/>
            </w:tcBorders>
            <w:shd w:val="clear" w:color="auto" w:fill="CFF0FC"/>
          </w:tcPr>
          <w:p>
            <w:pPr>
              <w:spacing w:after="0"/>
              <w:rPr>
                <w:sz w:val="22"/>
                <w:szCs w:val="22"/>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43,669,820</w:t>
            </w:r>
          </w:p>
        </w:tc>
        <w:tc>
          <w:tcPr>
            <w:tcW w:w="28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spacing w:after="0"/>
              <w:rPr>
                <w:sz w:val="22"/>
                <w:szCs w:val="22"/>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0"/>
              </w:rPr>
              <w:t>39,081,100</w:t>
            </w:r>
          </w:p>
        </w:tc>
        <w:tc>
          <w:tcPr>
            <w:tcW w:w="30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spacing w:after="0"/>
              <w:rPr>
                <w:sz w:val="22"/>
                <w:szCs w:val="22"/>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0"/>
              </w:rPr>
              <w:t>43,597,131</w:t>
            </w:r>
          </w:p>
        </w:tc>
        <w:tc>
          <w:tcPr>
            <w:tcW w:w="32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spacing w:after="0"/>
              <w:rPr>
                <w:sz w:val="22"/>
                <w:szCs w:val="22"/>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0"/>
              </w:rPr>
              <w:t>38,704,227</w:t>
            </w:r>
          </w:p>
        </w:tc>
        <w:tc>
          <w:tcPr>
            <w:tcW w:w="14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4591050</wp:posOffset>
            </wp:positionH>
            <wp:positionV relativeFrom="paragraph">
              <wp:posOffset>-2279650</wp:posOffset>
            </wp:positionV>
            <wp:extent cx="85725" cy="1625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-2279650</wp:posOffset>
            </wp:positionV>
            <wp:extent cx="85725" cy="1625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-2279650</wp:posOffset>
            </wp:positionV>
            <wp:extent cx="85725" cy="1625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-2279650</wp:posOffset>
            </wp:positionV>
            <wp:extent cx="85725" cy="1625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-1345565</wp:posOffset>
            </wp:positionV>
            <wp:extent cx="85725"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-1345565</wp:posOffset>
            </wp:positionV>
            <wp:extent cx="85725"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-1345565</wp:posOffset>
            </wp:positionV>
            <wp:extent cx="85725"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-1345565</wp:posOffset>
            </wp:positionV>
            <wp:extent cx="85725"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-384810</wp:posOffset>
            </wp:positionV>
            <wp:extent cx="2546350" cy="2057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546350" cy="205740"/>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-24765</wp:posOffset>
            </wp:positionV>
            <wp:extent cx="8572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-7620</wp:posOffset>
            </wp:positionV>
            <wp:extent cx="8572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-24765</wp:posOffset>
            </wp:positionV>
            <wp:extent cx="8572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-7620</wp:posOffset>
            </wp:positionV>
            <wp:extent cx="8572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-24765</wp:posOffset>
            </wp:positionV>
            <wp:extent cx="8572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-7620</wp:posOffset>
            </wp:positionV>
            <wp:extent cx="8572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-24765</wp:posOffset>
            </wp:positionV>
            <wp:extent cx="8572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-7620</wp:posOffset>
            </wp:positionV>
            <wp:extent cx="8572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The accompanying notes are an integral part of the consolidated financial statements.</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 w:name="page6"/>
    <w:bookmarkEnd w:id="5"/>
    <w:p>
      <w:pPr>
        <w:spacing w:after="0"/>
        <w:rPr>
          <w:sz w:val="20"/>
          <w:szCs w:val="20"/>
          <w:color w:val="auto"/>
        </w:rPr>
      </w:pPr>
      <w:r>
        <w:rPr>
          <w:rFonts w:ascii="Arial" w:cs="Arial" w:eastAsia="Arial" w:hAnsi="Arial"/>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3025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30250" cy="8255"/>
                    </a:xfrm>
                    <a:prstGeom prst="rect">
                      <a:avLst/>
                    </a:prstGeom>
                    <a:noFill/>
                  </pic:spPr>
                </pic:pic>
              </a:graphicData>
            </a:graphic>
          </wp:anchor>
        </w:drawing>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Axsome Therapeutics,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Stockholders’ Equity (Unaudited)</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for share amounts)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00" w:type="dxa"/>
            <w:vAlign w:val="bottom"/>
          </w:tcPr>
          <w:p>
            <w:pPr>
              <w:spacing w:after="0"/>
              <w:rPr>
                <w:sz w:val="14"/>
                <w:szCs w:val="14"/>
                <w:color w:val="auto"/>
              </w:rPr>
            </w:pPr>
          </w:p>
        </w:tc>
        <w:tc>
          <w:tcPr>
            <w:tcW w:w="2140" w:type="dxa"/>
            <w:vAlign w:val="bottom"/>
            <w:gridSpan w:val="3"/>
            <w:vMerge w:val="restart"/>
          </w:tcPr>
          <w:p>
            <w:pPr>
              <w:jc w:val="right"/>
              <w:ind w:right="424"/>
              <w:spacing w:after="0"/>
              <w:rPr>
                <w:sz w:val="20"/>
                <w:szCs w:val="20"/>
                <w:color w:val="auto"/>
              </w:rPr>
            </w:pPr>
            <w:r>
              <w:rPr>
                <w:rFonts w:ascii="Arial" w:cs="Arial" w:eastAsia="Arial" w:hAnsi="Arial"/>
                <w:sz w:val="14"/>
                <w:szCs w:val="14"/>
                <w:b w:val="1"/>
                <w:bCs w:val="1"/>
                <w:color w:val="auto"/>
              </w:rPr>
              <w:t>Common stock</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w w:val="99"/>
              </w:rPr>
              <w:t>Additional</w:t>
            </w:r>
          </w:p>
        </w:tc>
        <w:tc>
          <w:tcPr>
            <w:tcW w:w="100" w:type="dxa"/>
            <w:vAlign w:val="bottom"/>
          </w:tcPr>
          <w:p>
            <w:pPr>
              <w:spacing w:after="0"/>
              <w:rPr>
                <w:sz w:val="14"/>
                <w:szCs w:val="14"/>
                <w:color w:val="auto"/>
              </w:rPr>
            </w:pPr>
          </w:p>
        </w:tc>
        <w:tc>
          <w:tcPr>
            <w:tcW w:w="120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w w:val="90"/>
              </w:rPr>
              <w:t>Accumulated</w:t>
            </w:r>
          </w:p>
        </w:tc>
        <w:tc>
          <w:tcPr>
            <w:tcW w:w="80" w:type="dxa"/>
            <w:vAlign w:val="bottom"/>
          </w:tcPr>
          <w:p>
            <w:pPr>
              <w:spacing w:after="0"/>
              <w:rPr>
                <w:sz w:val="14"/>
                <w:szCs w:val="14"/>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1"/>
        </w:trPr>
        <w:tc>
          <w:tcPr>
            <w:tcW w:w="4900" w:type="dxa"/>
            <w:vAlign w:val="bottom"/>
          </w:tcPr>
          <w:p>
            <w:pPr>
              <w:spacing w:after="0"/>
              <w:rPr>
                <w:sz w:val="14"/>
                <w:szCs w:val="14"/>
                <w:color w:val="auto"/>
              </w:rPr>
            </w:pPr>
          </w:p>
        </w:tc>
        <w:tc>
          <w:tcPr>
            <w:tcW w:w="2140" w:type="dxa"/>
            <w:vAlign w:val="bottom"/>
            <w:tcBorders>
              <w:bottom w:val="single" w:sz="8" w:color="auto"/>
            </w:tcBorders>
            <w:gridSpan w:val="3"/>
            <w:vMerge w:val="continue"/>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169"/>
        </w:trPr>
        <w:tc>
          <w:tcPr>
            <w:tcW w:w="4900" w:type="dxa"/>
            <w:vAlign w:val="bottom"/>
          </w:tcPr>
          <w:p>
            <w:pPr>
              <w:spacing w:after="0"/>
              <w:rPr>
                <w:sz w:val="14"/>
                <w:szCs w:val="14"/>
                <w:color w:val="auto"/>
              </w:rPr>
            </w:pPr>
          </w:p>
        </w:tc>
        <w:tc>
          <w:tcPr>
            <w:tcW w:w="108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Shares</w:t>
            </w:r>
          </w:p>
        </w:tc>
        <w:tc>
          <w:tcPr>
            <w:tcW w:w="260" w:type="dxa"/>
            <w:vAlign w:val="bottom"/>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2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9"/>
              </w:rPr>
              <w:t>paid-in capital</w:t>
            </w: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deficit</w:t>
            </w:r>
          </w:p>
        </w:tc>
        <w:tc>
          <w:tcPr>
            <w:tcW w:w="2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equity</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900" w:type="dxa"/>
            <w:vAlign w:val="bottom"/>
            <w:shd w:val="clear" w:color="auto" w:fill="CFF0FC"/>
          </w:tcPr>
          <w:p>
            <w:pPr>
              <w:ind w:left="20"/>
              <w:spacing w:after="0"/>
              <w:rPr>
                <w:sz w:val="20"/>
                <w:szCs w:val="20"/>
                <w:color w:val="auto"/>
              </w:rPr>
            </w:pPr>
            <w:r>
              <w:rPr>
                <w:rFonts w:ascii="Arial" w:cs="Arial" w:eastAsia="Arial" w:hAnsi="Arial"/>
                <w:sz w:val="16"/>
                <w:szCs w:val="16"/>
                <w:color w:val="auto"/>
              </w:rPr>
              <w:t>Balance at December 31, 2021</w:t>
            </w: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37,816,794</w:t>
            </w:r>
          </w:p>
        </w:tc>
        <w:tc>
          <w:tcPr>
            <w:tcW w:w="1060" w:type="dxa"/>
            <w:vAlign w:val="bottom"/>
            <w:gridSpan w:val="2"/>
            <w:shd w:val="clear" w:color="auto" w:fill="CFF0FC"/>
          </w:tcPr>
          <w:p>
            <w:pPr>
              <w:jc w:val="right"/>
              <w:ind w:right="624"/>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424,826</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(409,199 )</w:t>
            </w: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15,631</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900" w:type="dxa"/>
            <w:vAlign w:val="bottom"/>
          </w:tcPr>
          <w:p>
            <w:pPr>
              <w:ind w:left="20"/>
              <w:spacing w:after="0"/>
              <w:rPr>
                <w:sz w:val="20"/>
                <w:szCs w:val="20"/>
                <w:color w:val="auto"/>
              </w:rPr>
            </w:pPr>
            <w:r>
              <w:rPr>
                <w:rFonts w:ascii="Arial" w:cs="Arial" w:eastAsia="Arial" w:hAnsi="Arial"/>
                <w:sz w:val="16"/>
                <w:szCs w:val="16"/>
                <w:color w:val="auto"/>
              </w:rPr>
              <w:t>Stock-based compensation</w:t>
            </w: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7,598</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7,598</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900" w:type="dxa"/>
            <w:vAlign w:val="bottom"/>
            <w:shd w:val="clear" w:color="auto" w:fill="CFF0FC"/>
          </w:tcPr>
          <w:p>
            <w:pPr>
              <w:ind w:left="20"/>
              <w:spacing w:after="0"/>
              <w:rPr>
                <w:sz w:val="20"/>
                <w:szCs w:val="20"/>
                <w:color w:val="auto"/>
              </w:rPr>
            </w:pPr>
            <w:r>
              <w:rPr>
                <w:rFonts w:ascii="Arial" w:cs="Arial" w:eastAsia="Arial" w:hAnsi="Arial"/>
                <w:sz w:val="16"/>
                <w:szCs w:val="16"/>
                <w:color w:val="auto"/>
              </w:rPr>
              <w:t>Issuance of common stock upon exercise of options</w:t>
            </w: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18,015</w:t>
            </w:r>
          </w:p>
        </w:tc>
        <w:tc>
          <w:tcPr>
            <w:tcW w:w="26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182</w:t>
            </w:r>
          </w:p>
        </w:tc>
        <w:tc>
          <w:tcPr>
            <w:tcW w:w="2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182</w:t>
            </w:r>
          </w:p>
        </w:tc>
        <w:tc>
          <w:tcPr>
            <w:tcW w:w="1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4900" w:type="dxa"/>
            <w:vAlign w:val="bottom"/>
          </w:tcPr>
          <w:p>
            <w:pPr>
              <w:ind w:left="20"/>
              <w:spacing w:after="0"/>
              <w:rPr>
                <w:sz w:val="20"/>
                <w:szCs w:val="20"/>
                <w:color w:val="auto"/>
              </w:rPr>
            </w:pPr>
            <w:r>
              <w:rPr>
                <w:rFonts w:ascii="Arial" w:cs="Arial" w:eastAsia="Arial" w:hAnsi="Arial"/>
                <w:sz w:val="16"/>
                <w:szCs w:val="16"/>
                <w:color w:val="auto"/>
              </w:rPr>
              <w:t>Issuance of common stock upon vesting of RSUs</w:t>
            </w:r>
          </w:p>
        </w:tc>
        <w:tc>
          <w:tcPr>
            <w:tcW w:w="1080" w:type="dxa"/>
            <w:vAlign w:val="bottom"/>
          </w:tcPr>
          <w:p>
            <w:pPr>
              <w:jc w:val="right"/>
              <w:spacing w:after="0"/>
              <w:rPr>
                <w:sz w:val="20"/>
                <w:szCs w:val="20"/>
                <w:color w:val="auto"/>
              </w:rPr>
            </w:pPr>
            <w:r>
              <w:rPr>
                <w:rFonts w:ascii="Arial" w:cs="Arial" w:eastAsia="Arial" w:hAnsi="Arial"/>
                <w:sz w:val="16"/>
                <w:szCs w:val="16"/>
                <w:color w:val="auto"/>
              </w:rPr>
              <w:t>4,555</w:t>
            </w: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9"/>
        </w:trPr>
        <w:tc>
          <w:tcPr>
            <w:tcW w:w="4900" w:type="dxa"/>
            <w:vAlign w:val="bottom"/>
            <w:shd w:val="clear" w:color="auto" w:fill="CFF0FC"/>
          </w:tcPr>
          <w:p>
            <w:pPr>
              <w:ind w:left="20"/>
              <w:spacing w:after="0"/>
              <w:rPr>
                <w:sz w:val="20"/>
                <w:szCs w:val="20"/>
                <w:color w:val="auto"/>
              </w:rPr>
            </w:pPr>
            <w:r>
              <w:rPr>
                <w:rFonts w:ascii="Arial" w:cs="Arial" w:eastAsia="Arial" w:hAnsi="Arial"/>
                <w:sz w:val="16"/>
                <w:szCs w:val="16"/>
                <w:color w:val="auto"/>
              </w:rPr>
              <w:t>Issuance of common stock upon financing</w:t>
            </w: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1,044,081</w:t>
            </w:r>
          </w:p>
        </w:tc>
        <w:tc>
          <w:tcPr>
            <w:tcW w:w="26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31,008</w:t>
            </w:r>
          </w:p>
        </w:tc>
        <w:tc>
          <w:tcPr>
            <w:tcW w:w="2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31,008</w:t>
            </w:r>
          </w:p>
        </w:tc>
        <w:tc>
          <w:tcPr>
            <w:tcW w:w="1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4900" w:type="dxa"/>
            <w:vAlign w:val="bottom"/>
          </w:tcPr>
          <w:p>
            <w:pPr>
              <w:ind w:left="20"/>
              <w:spacing w:after="0"/>
              <w:rPr>
                <w:sz w:val="20"/>
                <w:szCs w:val="20"/>
                <w:color w:val="auto"/>
              </w:rPr>
            </w:pPr>
            <w:r>
              <w:rPr>
                <w:rFonts w:ascii="Arial" w:cs="Arial" w:eastAsia="Arial" w:hAnsi="Arial"/>
                <w:sz w:val="16"/>
                <w:szCs w:val="16"/>
                <w:color w:val="auto"/>
              </w:rPr>
              <w:t>Shares tendered for withholding taxes</w:t>
            </w: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(89 )</w:t>
            </w:r>
          </w:p>
        </w:tc>
        <w:tc>
          <w:tcPr>
            <w:tcW w:w="100" w:type="dxa"/>
            <w:vAlign w:val="bottom"/>
          </w:tcPr>
          <w:p>
            <w:pPr>
              <w:spacing w:after="0"/>
              <w:rPr>
                <w:sz w:val="19"/>
                <w:szCs w:val="19"/>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6"/>
                <w:szCs w:val="16"/>
                <w:color w:val="auto"/>
              </w:rPr>
              <w:t>(89 )</w:t>
            </w:r>
          </w:p>
        </w:tc>
        <w:tc>
          <w:tcPr>
            <w:tcW w:w="0" w:type="dxa"/>
            <w:vAlign w:val="bottom"/>
          </w:tcPr>
          <w:p>
            <w:pPr>
              <w:spacing w:after="0"/>
              <w:rPr>
                <w:sz w:val="1"/>
                <w:szCs w:val="1"/>
                <w:color w:val="auto"/>
              </w:rPr>
            </w:pPr>
          </w:p>
        </w:tc>
      </w:tr>
      <w:tr>
        <w:trPr>
          <w:trHeight w:val="229"/>
        </w:trPr>
        <w:tc>
          <w:tcPr>
            <w:tcW w:w="490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Net loss</w:t>
            </w: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(39,632 )</w:t>
            </w:r>
          </w:p>
        </w:tc>
        <w:tc>
          <w:tcPr>
            <w:tcW w:w="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(39,632 )</w:t>
            </w:r>
          </w:p>
        </w:tc>
        <w:tc>
          <w:tcPr>
            <w:tcW w:w="0" w:type="dxa"/>
            <w:vAlign w:val="bottom"/>
          </w:tcPr>
          <w:p>
            <w:pPr>
              <w:spacing w:after="0"/>
              <w:rPr>
                <w:sz w:val="1"/>
                <w:szCs w:val="1"/>
                <w:color w:val="auto"/>
              </w:rPr>
            </w:pPr>
          </w:p>
        </w:tc>
      </w:tr>
      <w:tr>
        <w:trPr>
          <w:trHeight w:val="23"/>
        </w:trPr>
        <w:tc>
          <w:tcPr>
            <w:tcW w:w="4900" w:type="dxa"/>
            <w:vAlign w:val="bottom"/>
            <w:shd w:val="clear" w:color="auto" w:fill="CFF0FC"/>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80" w:type="dxa"/>
            <w:vAlign w:val="bottom"/>
            <w:shd w:val="clear" w:color="auto" w:fill="CFF0FC"/>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4900" w:type="dxa"/>
            <w:vAlign w:val="bottom"/>
          </w:tcPr>
          <w:p>
            <w:pPr>
              <w:ind w:left="20"/>
              <w:spacing w:after="0"/>
              <w:rPr>
                <w:sz w:val="20"/>
                <w:szCs w:val="20"/>
                <w:color w:val="auto"/>
              </w:rPr>
            </w:pPr>
            <w:r>
              <w:rPr>
                <w:rFonts w:ascii="Arial" w:cs="Arial" w:eastAsia="Arial" w:hAnsi="Arial"/>
                <w:sz w:val="16"/>
                <w:szCs w:val="16"/>
                <w:color w:val="auto"/>
              </w:rPr>
              <w:t>Balance at March 31, 2022</w:t>
            </w:r>
          </w:p>
        </w:tc>
        <w:tc>
          <w:tcPr>
            <w:tcW w:w="1080" w:type="dxa"/>
            <w:vAlign w:val="bottom"/>
          </w:tcPr>
          <w:p>
            <w:pPr>
              <w:jc w:val="right"/>
              <w:spacing w:after="0"/>
              <w:rPr>
                <w:sz w:val="20"/>
                <w:szCs w:val="20"/>
                <w:color w:val="auto"/>
              </w:rPr>
            </w:pPr>
            <w:r>
              <w:rPr>
                <w:rFonts w:ascii="Arial" w:cs="Arial" w:eastAsia="Arial" w:hAnsi="Arial"/>
                <w:sz w:val="16"/>
                <w:szCs w:val="16"/>
                <w:color w:val="auto"/>
              </w:rPr>
              <w:t>38,883,445</w:t>
            </w: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rPr>
              <w:t>4</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463,525</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(448,831 )</w:t>
            </w:r>
          </w:p>
        </w:tc>
        <w:tc>
          <w:tcPr>
            <w:tcW w:w="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14,698</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900" w:type="dxa"/>
            <w:vAlign w:val="bottom"/>
            <w:shd w:val="clear" w:color="auto" w:fill="CFF0FC"/>
          </w:tcPr>
          <w:p>
            <w:pPr>
              <w:ind w:left="20"/>
              <w:spacing w:after="0"/>
              <w:rPr>
                <w:sz w:val="20"/>
                <w:szCs w:val="20"/>
                <w:color w:val="auto"/>
              </w:rPr>
            </w:pPr>
            <w:r>
              <w:rPr>
                <w:rFonts w:ascii="Arial" w:cs="Arial" w:eastAsia="Arial" w:hAnsi="Arial"/>
                <w:sz w:val="16"/>
                <w:szCs w:val="16"/>
                <w:color w:val="auto"/>
              </w:rPr>
              <w:t>Stock-based compensation</w:t>
            </w: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10,162</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10,162</w:t>
            </w: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900" w:type="dxa"/>
            <w:vAlign w:val="bottom"/>
          </w:tcPr>
          <w:p>
            <w:pPr>
              <w:ind w:left="20"/>
              <w:spacing w:after="0"/>
              <w:rPr>
                <w:sz w:val="20"/>
                <w:szCs w:val="20"/>
                <w:color w:val="auto"/>
              </w:rPr>
            </w:pPr>
            <w:r>
              <w:rPr>
                <w:rFonts w:ascii="Arial" w:cs="Arial" w:eastAsia="Arial" w:hAnsi="Arial"/>
                <w:sz w:val="16"/>
                <w:szCs w:val="16"/>
                <w:color w:val="auto"/>
              </w:rPr>
              <w:t>Issuance of common stock upon exercise of options</w:t>
            </w:r>
          </w:p>
        </w:tc>
        <w:tc>
          <w:tcPr>
            <w:tcW w:w="1080" w:type="dxa"/>
            <w:vAlign w:val="bottom"/>
          </w:tcPr>
          <w:p>
            <w:pPr>
              <w:jc w:val="right"/>
              <w:spacing w:after="0"/>
              <w:rPr>
                <w:sz w:val="20"/>
                <w:szCs w:val="20"/>
                <w:color w:val="auto"/>
              </w:rPr>
            </w:pPr>
            <w:r>
              <w:rPr>
                <w:rFonts w:ascii="Arial" w:cs="Arial" w:eastAsia="Arial" w:hAnsi="Arial"/>
                <w:sz w:val="16"/>
                <w:szCs w:val="16"/>
                <w:color w:val="auto"/>
              </w:rPr>
              <w:t>6,691</w:t>
            </w: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176</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176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900" w:type="dxa"/>
            <w:vAlign w:val="bottom"/>
            <w:shd w:val="clear" w:color="auto" w:fill="CFF0FC"/>
          </w:tcPr>
          <w:p>
            <w:pPr>
              <w:ind w:left="20"/>
              <w:spacing w:after="0"/>
              <w:rPr>
                <w:sz w:val="20"/>
                <w:szCs w:val="20"/>
                <w:color w:val="auto"/>
              </w:rPr>
            </w:pPr>
            <w:r>
              <w:rPr>
                <w:rFonts w:ascii="Arial" w:cs="Arial" w:eastAsia="Arial" w:hAnsi="Arial"/>
                <w:sz w:val="16"/>
                <w:szCs w:val="16"/>
                <w:color w:val="auto"/>
              </w:rPr>
              <w:t>Issuance of common stock upon vesting of RSUs</w:t>
            </w: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1,122</w:t>
            </w:r>
          </w:p>
        </w:tc>
        <w:tc>
          <w:tcPr>
            <w:tcW w:w="26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4900" w:type="dxa"/>
            <w:vAlign w:val="bottom"/>
          </w:tcPr>
          <w:p>
            <w:pPr>
              <w:ind w:left="20"/>
              <w:spacing w:after="0"/>
              <w:rPr>
                <w:sz w:val="20"/>
                <w:szCs w:val="20"/>
                <w:color w:val="auto"/>
              </w:rPr>
            </w:pPr>
            <w:r>
              <w:rPr>
                <w:rFonts w:ascii="Arial" w:cs="Arial" w:eastAsia="Arial" w:hAnsi="Arial"/>
                <w:sz w:val="16"/>
                <w:szCs w:val="16"/>
                <w:color w:val="auto"/>
              </w:rPr>
              <w:t>Issuance of common stock upon financing</w:t>
            </w:r>
          </w:p>
        </w:tc>
        <w:tc>
          <w:tcPr>
            <w:tcW w:w="1080" w:type="dxa"/>
            <w:vAlign w:val="bottom"/>
          </w:tcPr>
          <w:p>
            <w:pPr>
              <w:jc w:val="right"/>
              <w:spacing w:after="0"/>
              <w:rPr>
                <w:sz w:val="20"/>
                <w:szCs w:val="20"/>
                <w:color w:val="auto"/>
              </w:rPr>
            </w:pPr>
            <w:r>
              <w:rPr>
                <w:rFonts w:ascii="Arial" w:cs="Arial" w:eastAsia="Arial" w:hAnsi="Arial"/>
                <w:sz w:val="16"/>
                <w:szCs w:val="16"/>
                <w:color w:val="auto"/>
              </w:rPr>
              <w:t>1,023,153</w:t>
            </w: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30,795</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30,795</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900" w:type="dxa"/>
            <w:vAlign w:val="bottom"/>
            <w:shd w:val="clear" w:color="auto" w:fill="CFF0FC"/>
          </w:tcPr>
          <w:p>
            <w:pPr>
              <w:ind w:left="20"/>
              <w:spacing w:after="0"/>
              <w:rPr>
                <w:sz w:val="20"/>
                <w:szCs w:val="20"/>
                <w:color w:val="auto"/>
              </w:rPr>
            </w:pPr>
            <w:r>
              <w:rPr>
                <w:rFonts w:ascii="Arial" w:cs="Arial" w:eastAsia="Arial" w:hAnsi="Arial"/>
                <w:sz w:val="16"/>
                <w:szCs w:val="16"/>
                <w:color w:val="auto"/>
              </w:rPr>
              <w:t>Issuance of warrants upon debt financing</w:t>
            </w: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826</w:t>
            </w:r>
          </w:p>
        </w:tc>
        <w:tc>
          <w:tcPr>
            <w:tcW w:w="2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826</w:t>
            </w:r>
          </w:p>
        </w:tc>
        <w:tc>
          <w:tcPr>
            <w:tcW w:w="1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4900" w:type="dxa"/>
            <w:vAlign w:val="bottom"/>
          </w:tcPr>
          <w:p>
            <w:pPr>
              <w:ind w:left="20"/>
              <w:spacing w:after="0"/>
              <w:rPr>
                <w:sz w:val="20"/>
                <w:szCs w:val="20"/>
                <w:color w:val="auto"/>
              </w:rPr>
            </w:pPr>
            <w:r>
              <w:rPr>
                <w:rFonts w:ascii="Arial" w:cs="Arial" w:eastAsia="Arial" w:hAnsi="Arial"/>
                <w:sz w:val="16"/>
                <w:szCs w:val="16"/>
                <w:color w:val="auto"/>
              </w:rPr>
              <w:t>Shares tendered for withholding taxes</w:t>
            </w: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(19 )</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6"/>
                <w:szCs w:val="16"/>
                <w:color w:val="auto"/>
              </w:rPr>
              <w:t>(19 )</w:t>
            </w:r>
          </w:p>
        </w:tc>
        <w:tc>
          <w:tcPr>
            <w:tcW w:w="0" w:type="dxa"/>
            <w:vAlign w:val="bottom"/>
          </w:tcPr>
          <w:p>
            <w:pPr>
              <w:spacing w:after="0"/>
              <w:rPr>
                <w:sz w:val="1"/>
                <w:szCs w:val="1"/>
                <w:color w:val="auto"/>
              </w:rPr>
            </w:pPr>
          </w:p>
        </w:tc>
      </w:tr>
      <w:tr>
        <w:trPr>
          <w:trHeight w:val="229"/>
        </w:trPr>
        <w:tc>
          <w:tcPr>
            <w:tcW w:w="490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Net loss</w:t>
            </w: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(41,438 )</w:t>
            </w:r>
          </w:p>
        </w:tc>
        <w:tc>
          <w:tcPr>
            <w:tcW w:w="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(41,438 )</w:t>
            </w:r>
          </w:p>
        </w:tc>
        <w:tc>
          <w:tcPr>
            <w:tcW w:w="0" w:type="dxa"/>
            <w:vAlign w:val="bottom"/>
          </w:tcPr>
          <w:p>
            <w:pPr>
              <w:spacing w:after="0"/>
              <w:rPr>
                <w:sz w:val="1"/>
                <w:szCs w:val="1"/>
                <w:color w:val="auto"/>
              </w:rPr>
            </w:pPr>
          </w:p>
        </w:tc>
      </w:tr>
      <w:tr>
        <w:trPr>
          <w:trHeight w:val="23"/>
        </w:trPr>
        <w:tc>
          <w:tcPr>
            <w:tcW w:w="4900" w:type="dxa"/>
            <w:vAlign w:val="bottom"/>
            <w:shd w:val="clear" w:color="auto" w:fill="CFF0FC"/>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80" w:type="dxa"/>
            <w:vAlign w:val="bottom"/>
            <w:shd w:val="clear" w:color="auto" w:fill="CFF0FC"/>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4900" w:type="dxa"/>
            <w:vAlign w:val="bottom"/>
          </w:tcPr>
          <w:p>
            <w:pPr>
              <w:ind w:left="20"/>
              <w:spacing w:after="0"/>
              <w:rPr>
                <w:sz w:val="20"/>
                <w:szCs w:val="20"/>
                <w:color w:val="auto"/>
              </w:rPr>
            </w:pPr>
            <w:r>
              <w:rPr>
                <w:rFonts w:ascii="Arial" w:cs="Arial" w:eastAsia="Arial" w:hAnsi="Arial"/>
                <w:sz w:val="16"/>
                <w:szCs w:val="16"/>
                <w:color w:val="auto"/>
              </w:rPr>
              <w:t>Balance at June 30, 2022</w:t>
            </w:r>
          </w:p>
        </w:tc>
        <w:tc>
          <w:tcPr>
            <w:tcW w:w="1080" w:type="dxa"/>
            <w:vAlign w:val="bottom"/>
          </w:tcPr>
          <w:p>
            <w:pPr>
              <w:jc w:val="right"/>
              <w:spacing w:after="0"/>
              <w:rPr>
                <w:sz w:val="20"/>
                <w:szCs w:val="20"/>
                <w:color w:val="auto"/>
              </w:rPr>
            </w:pPr>
            <w:r>
              <w:rPr>
                <w:rFonts w:ascii="Arial" w:cs="Arial" w:eastAsia="Arial" w:hAnsi="Arial"/>
                <w:sz w:val="16"/>
                <w:szCs w:val="16"/>
                <w:color w:val="auto"/>
              </w:rPr>
              <w:t>39,914,411</w:t>
            </w: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rPr>
              <w:t>4</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505,465</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(490,269 )</w:t>
            </w:r>
          </w:p>
        </w:tc>
        <w:tc>
          <w:tcPr>
            <w:tcW w:w="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15,200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900" w:type="dxa"/>
            <w:vAlign w:val="bottom"/>
            <w:shd w:val="clear" w:color="auto" w:fill="CFF0FC"/>
          </w:tcPr>
          <w:p>
            <w:pPr>
              <w:ind w:left="20"/>
              <w:spacing w:after="0"/>
              <w:rPr>
                <w:sz w:val="20"/>
                <w:szCs w:val="20"/>
                <w:color w:val="auto"/>
              </w:rPr>
            </w:pPr>
            <w:r>
              <w:rPr>
                <w:rFonts w:ascii="Arial" w:cs="Arial" w:eastAsia="Arial" w:hAnsi="Arial"/>
                <w:sz w:val="16"/>
                <w:szCs w:val="16"/>
                <w:color w:val="auto"/>
              </w:rPr>
              <w:t>Balance at December 31, 2022</w:t>
            </w: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43,498,617</w:t>
            </w:r>
          </w:p>
        </w:tc>
        <w:tc>
          <w:tcPr>
            <w:tcW w:w="2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705,885</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(596,333 )</w:t>
            </w:r>
          </w:p>
        </w:tc>
        <w:tc>
          <w:tcPr>
            <w:tcW w:w="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109,556</w:t>
            </w: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900" w:type="dxa"/>
            <w:vAlign w:val="bottom"/>
          </w:tcPr>
          <w:p>
            <w:pPr>
              <w:ind w:left="20"/>
              <w:spacing w:after="0"/>
              <w:rPr>
                <w:sz w:val="20"/>
                <w:szCs w:val="20"/>
                <w:color w:val="auto"/>
              </w:rPr>
            </w:pPr>
            <w:r>
              <w:rPr>
                <w:rFonts w:ascii="Arial" w:cs="Arial" w:eastAsia="Arial" w:hAnsi="Arial"/>
                <w:sz w:val="16"/>
                <w:szCs w:val="16"/>
                <w:color w:val="auto"/>
              </w:rPr>
              <w:t>Stock-based compensation</w:t>
            </w: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12,943</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12,943</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900" w:type="dxa"/>
            <w:vAlign w:val="bottom"/>
            <w:shd w:val="clear" w:color="auto" w:fill="CFF0FC"/>
          </w:tcPr>
          <w:p>
            <w:pPr>
              <w:ind w:left="20"/>
              <w:spacing w:after="0"/>
              <w:rPr>
                <w:sz w:val="20"/>
                <w:szCs w:val="20"/>
                <w:color w:val="auto"/>
              </w:rPr>
            </w:pPr>
            <w:r>
              <w:rPr>
                <w:rFonts w:ascii="Arial" w:cs="Arial" w:eastAsia="Arial" w:hAnsi="Arial"/>
                <w:sz w:val="16"/>
                <w:szCs w:val="16"/>
                <w:color w:val="auto"/>
              </w:rPr>
              <w:t>Issuance of common stock upon exercise of options</w:t>
            </w: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28,876</w:t>
            </w:r>
          </w:p>
        </w:tc>
        <w:tc>
          <w:tcPr>
            <w:tcW w:w="26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387</w:t>
            </w:r>
          </w:p>
        </w:tc>
        <w:tc>
          <w:tcPr>
            <w:tcW w:w="2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387</w:t>
            </w:r>
          </w:p>
        </w:tc>
        <w:tc>
          <w:tcPr>
            <w:tcW w:w="1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4900" w:type="dxa"/>
            <w:vAlign w:val="bottom"/>
          </w:tcPr>
          <w:p>
            <w:pPr>
              <w:ind w:left="20"/>
              <w:spacing w:after="0"/>
              <w:rPr>
                <w:sz w:val="20"/>
                <w:szCs w:val="20"/>
                <w:color w:val="auto"/>
              </w:rPr>
            </w:pPr>
            <w:r>
              <w:rPr>
                <w:rFonts w:ascii="Arial" w:cs="Arial" w:eastAsia="Arial" w:hAnsi="Arial"/>
                <w:sz w:val="16"/>
                <w:szCs w:val="16"/>
                <w:color w:val="auto"/>
              </w:rPr>
              <w:t>Issuance of common stock upon vesting of RSUs</w:t>
            </w:r>
          </w:p>
        </w:tc>
        <w:tc>
          <w:tcPr>
            <w:tcW w:w="1080" w:type="dxa"/>
            <w:vAlign w:val="bottom"/>
          </w:tcPr>
          <w:p>
            <w:pPr>
              <w:jc w:val="right"/>
              <w:spacing w:after="0"/>
              <w:rPr>
                <w:sz w:val="20"/>
                <w:szCs w:val="20"/>
                <w:color w:val="auto"/>
              </w:rPr>
            </w:pPr>
            <w:r>
              <w:rPr>
                <w:rFonts w:ascii="Arial" w:cs="Arial" w:eastAsia="Arial" w:hAnsi="Arial"/>
                <w:sz w:val="16"/>
                <w:szCs w:val="16"/>
                <w:color w:val="auto"/>
              </w:rPr>
              <w:t>20,973</w:t>
            </w: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9"/>
        </w:trPr>
        <w:tc>
          <w:tcPr>
            <w:tcW w:w="4900" w:type="dxa"/>
            <w:vAlign w:val="bottom"/>
            <w:shd w:val="clear" w:color="auto" w:fill="CFF0FC"/>
          </w:tcPr>
          <w:p>
            <w:pPr>
              <w:ind w:left="20"/>
              <w:spacing w:after="0"/>
              <w:rPr>
                <w:sz w:val="20"/>
                <w:szCs w:val="20"/>
                <w:color w:val="auto"/>
              </w:rPr>
            </w:pPr>
            <w:r>
              <w:rPr>
                <w:rFonts w:ascii="Arial" w:cs="Arial" w:eastAsia="Arial" w:hAnsi="Arial"/>
                <w:sz w:val="16"/>
                <w:szCs w:val="16"/>
                <w:color w:val="auto"/>
              </w:rPr>
              <w:t>Issuance of warrants</w:t>
            </w: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1,011</w:t>
            </w:r>
          </w:p>
        </w:tc>
        <w:tc>
          <w:tcPr>
            <w:tcW w:w="2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1,011</w:t>
            </w:r>
          </w:p>
        </w:tc>
        <w:tc>
          <w:tcPr>
            <w:tcW w:w="1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4900" w:type="dxa"/>
            <w:vAlign w:val="bottom"/>
          </w:tcPr>
          <w:p>
            <w:pPr>
              <w:ind w:left="20"/>
              <w:spacing w:after="0"/>
              <w:rPr>
                <w:sz w:val="20"/>
                <w:szCs w:val="20"/>
                <w:color w:val="auto"/>
              </w:rPr>
            </w:pPr>
            <w:r>
              <w:rPr>
                <w:rFonts w:ascii="Arial" w:cs="Arial" w:eastAsia="Arial" w:hAnsi="Arial"/>
                <w:sz w:val="16"/>
                <w:szCs w:val="16"/>
                <w:color w:val="auto"/>
              </w:rPr>
              <w:t>Shares tendered for withholding taxes</w:t>
            </w: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(867 )</w:t>
            </w:r>
          </w:p>
        </w:tc>
        <w:tc>
          <w:tcPr>
            <w:tcW w:w="100" w:type="dxa"/>
            <w:vAlign w:val="bottom"/>
          </w:tcPr>
          <w:p>
            <w:pPr>
              <w:spacing w:after="0"/>
              <w:rPr>
                <w:sz w:val="19"/>
                <w:szCs w:val="19"/>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6"/>
                <w:szCs w:val="16"/>
                <w:color w:val="auto"/>
              </w:rPr>
              <w:t>(867 )</w:t>
            </w:r>
          </w:p>
        </w:tc>
        <w:tc>
          <w:tcPr>
            <w:tcW w:w="0" w:type="dxa"/>
            <w:vAlign w:val="bottom"/>
          </w:tcPr>
          <w:p>
            <w:pPr>
              <w:spacing w:after="0"/>
              <w:rPr>
                <w:sz w:val="1"/>
                <w:szCs w:val="1"/>
                <w:color w:val="auto"/>
              </w:rPr>
            </w:pPr>
          </w:p>
        </w:tc>
      </w:tr>
      <w:tr>
        <w:trPr>
          <w:trHeight w:val="229"/>
        </w:trPr>
        <w:tc>
          <w:tcPr>
            <w:tcW w:w="490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Net loss</w:t>
            </w: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(11,218 )</w:t>
            </w:r>
          </w:p>
        </w:tc>
        <w:tc>
          <w:tcPr>
            <w:tcW w:w="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(11,218 )</w:t>
            </w:r>
          </w:p>
        </w:tc>
        <w:tc>
          <w:tcPr>
            <w:tcW w:w="0" w:type="dxa"/>
            <w:vAlign w:val="bottom"/>
          </w:tcPr>
          <w:p>
            <w:pPr>
              <w:spacing w:after="0"/>
              <w:rPr>
                <w:sz w:val="1"/>
                <w:szCs w:val="1"/>
                <w:color w:val="auto"/>
              </w:rPr>
            </w:pPr>
          </w:p>
        </w:tc>
      </w:tr>
      <w:tr>
        <w:trPr>
          <w:trHeight w:val="23"/>
        </w:trPr>
        <w:tc>
          <w:tcPr>
            <w:tcW w:w="4900" w:type="dxa"/>
            <w:vAlign w:val="bottom"/>
            <w:shd w:val="clear" w:color="auto" w:fill="CFF0FC"/>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80" w:type="dxa"/>
            <w:vAlign w:val="bottom"/>
            <w:shd w:val="clear" w:color="auto" w:fill="CFF0FC"/>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4900" w:type="dxa"/>
            <w:vAlign w:val="bottom"/>
          </w:tcPr>
          <w:p>
            <w:pPr>
              <w:ind w:left="20"/>
              <w:spacing w:after="0"/>
              <w:rPr>
                <w:sz w:val="20"/>
                <w:szCs w:val="20"/>
                <w:color w:val="auto"/>
              </w:rPr>
            </w:pPr>
            <w:r>
              <w:rPr>
                <w:rFonts w:ascii="Arial" w:cs="Arial" w:eastAsia="Arial" w:hAnsi="Arial"/>
                <w:sz w:val="16"/>
                <w:szCs w:val="16"/>
                <w:color w:val="auto"/>
              </w:rPr>
              <w:t>Balance at March 31, 2023</w:t>
            </w:r>
          </w:p>
        </w:tc>
        <w:tc>
          <w:tcPr>
            <w:tcW w:w="1080" w:type="dxa"/>
            <w:vAlign w:val="bottom"/>
          </w:tcPr>
          <w:p>
            <w:pPr>
              <w:jc w:val="right"/>
              <w:spacing w:after="0"/>
              <w:rPr>
                <w:sz w:val="20"/>
                <w:szCs w:val="20"/>
                <w:color w:val="auto"/>
              </w:rPr>
            </w:pPr>
            <w:r>
              <w:rPr>
                <w:rFonts w:ascii="Arial" w:cs="Arial" w:eastAsia="Arial" w:hAnsi="Arial"/>
                <w:sz w:val="16"/>
                <w:szCs w:val="16"/>
                <w:color w:val="auto"/>
              </w:rPr>
              <w:t>43,548,466</w:t>
            </w:r>
          </w:p>
        </w:tc>
        <w:tc>
          <w:tcPr>
            <w:tcW w:w="260" w:type="dxa"/>
            <w:vAlign w:val="bottom"/>
          </w:tcPr>
          <w:p>
            <w:pPr>
              <w:spacing w:after="0"/>
              <w:rPr>
                <w:sz w:val="19"/>
                <w:szCs w:val="19"/>
                <w:color w:val="auto"/>
              </w:rPr>
            </w:pPr>
          </w:p>
        </w:tc>
        <w:tc>
          <w:tcPr>
            <w:tcW w:w="800" w:type="dxa"/>
            <w:vAlign w:val="bottom"/>
          </w:tcPr>
          <w:p>
            <w:pPr>
              <w:jc w:val="right"/>
              <w:ind w:right="624"/>
              <w:spacing w:after="0"/>
              <w:rPr>
                <w:sz w:val="20"/>
                <w:szCs w:val="20"/>
                <w:color w:val="auto"/>
              </w:rPr>
            </w:pPr>
            <w:r>
              <w:rPr>
                <w:rFonts w:ascii="Arial" w:cs="Arial" w:eastAsia="Arial" w:hAnsi="Arial"/>
                <w:sz w:val="16"/>
                <w:szCs w:val="16"/>
                <w:color w:val="auto"/>
                <w:w w:val="89"/>
              </w:rPr>
              <w:t>$</w:t>
            </w:r>
          </w:p>
        </w:tc>
        <w:tc>
          <w:tcPr>
            <w:tcW w:w="220" w:type="dxa"/>
            <w:vAlign w:val="bottom"/>
          </w:tcPr>
          <w:p>
            <w:pPr>
              <w:jc w:val="right"/>
              <w:spacing w:after="0"/>
              <w:rPr>
                <w:sz w:val="20"/>
                <w:szCs w:val="20"/>
                <w:color w:val="auto"/>
              </w:rPr>
            </w:pPr>
            <w:r>
              <w:rPr>
                <w:rFonts w:ascii="Arial" w:cs="Arial" w:eastAsia="Arial" w:hAnsi="Arial"/>
                <w:sz w:val="16"/>
                <w:szCs w:val="16"/>
                <w:color w:val="auto"/>
              </w:rPr>
              <w:t>4</w:t>
            </w:r>
          </w:p>
        </w:tc>
        <w:tc>
          <w:tcPr>
            <w:tcW w:w="26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719,359</w:t>
            </w:r>
          </w:p>
        </w:tc>
        <w:tc>
          <w:tcPr>
            <w:tcW w:w="2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(607,551 )</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111,812</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900" w:type="dxa"/>
            <w:vAlign w:val="bottom"/>
            <w:shd w:val="clear" w:color="auto" w:fill="CFF0FC"/>
          </w:tcPr>
          <w:p>
            <w:pPr>
              <w:ind w:left="20"/>
              <w:spacing w:after="0"/>
              <w:rPr>
                <w:sz w:val="20"/>
                <w:szCs w:val="20"/>
                <w:color w:val="auto"/>
              </w:rPr>
            </w:pPr>
            <w:r>
              <w:rPr>
                <w:rFonts w:ascii="Arial" w:cs="Arial" w:eastAsia="Arial" w:hAnsi="Arial"/>
                <w:sz w:val="16"/>
                <w:szCs w:val="16"/>
                <w:color w:val="auto"/>
              </w:rPr>
              <w:t>Stock-based compensation</w:t>
            </w: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15,922</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15,922</w:t>
            </w: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900" w:type="dxa"/>
            <w:vAlign w:val="bottom"/>
          </w:tcPr>
          <w:p>
            <w:pPr>
              <w:ind w:left="20"/>
              <w:spacing w:after="0"/>
              <w:rPr>
                <w:sz w:val="20"/>
                <w:szCs w:val="20"/>
                <w:color w:val="auto"/>
              </w:rPr>
            </w:pPr>
            <w:r>
              <w:rPr>
                <w:rFonts w:ascii="Arial" w:cs="Arial" w:eastAsia="Arial" w:hAnsi="Arial"/>
                <w:sz w:val="16"/>
                <w:szCs w:val="16"/>
                <w:color w:val="auto"/>
              </w:rPr>
              <w:t>Issuance of common stock upon exercise of options</w:t>
            </w:r>
          </w:p>
        </w:tc>
        <w:tc>
          <w:tcPr>
            <w:tcW w:w="1080" w:type="dxa"/>
            <w:vAlign w:val="bottom"/>
          </w:tcPr>
          <w:p>
            <w:pPr>
              <w:jc w:val="right"/>
              <w:spacing w:after="0"/>
              <w:rPr>
                <w:sz w:val="20"/>
                <w:szCs w:val="20"/>
                <w:color w:val="auto"/>
              </w:rPr>
            </w:pPr>
            <w:r>
              <w:rPr>
                <w:rFonts w:ascii="Arial" w:cs="Arial" w:eastAsia="Arial" w:hAnsi="Arial"/>
                <w:sz w:val="16"/>
                <w:szCs w:val="16"/>
                <w:color w:val="auto"/>
              </w:rPr>
              <w:t>169,998</w:t>
            </w: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rPr>
              <w:t>0</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6,570</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6,570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900" w:type="dxa"/>
            <w:vAlign w:val="bottom"/>
            <w:shd w:val="clear" w:color="auto" w:fill="CFF0FC"/>
          </w:tcPr>
          <w:p>
            <w:pPr>
              <w:ind w:left="20"/>
              <w:spacing w:after="0"/>
              <w:rPr>
                <w:sz w:val="20"/>
                <w:szCs w:val="20"/>
                <w:color w:val="auto"/>
              </w:rPr>
            </w:pPr>
            <w:r>
              <w:rPr>
                <w:rFonts w:ascii="Arial" w:cs="Arial" w:eastAsia="Arial" w:hAnsi="Arial"/>
                <w:sz w:val="16"/>
                <w:szCs w:val="16"/>
                <w:color w:val="auto"/>
              </w:rPr>
              <w:t>Issuance of common stock upon vesting of RSUs</w:t>
            </w: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8,330</w:t>
            </w:r>
          </w:p>
        </w:tc>
        <w:tc>
          <w:tcPr>
            <w:tcW w:w="26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4900" w:type="dxa"/>
            <w:vAlign w:val="bottom"/>
          </w:tcPr>
          <w:p>
            <w:pPr>
              <w:ind w:left="20"/>
              <w:spacing w:after="0"/>
              <w:rPr>
                <w:sz w:val="20"/>
                <w:szCs w:val="20"/>
                <w:color w:val="auto"/>
              </w:rPr>
            </w:pPr>
            <w:r>
              <w:rPr>
                <w:rFonts w:ascii="Arial" w:cs="Arial" w:eastAsia="Arial" w:hAnsi="Arial"/>
                <w:sz w:val="16"/>
                <w:szCs w:val="16"/>
                <w:color w:val="auto"/>
              </w:rPr>
              <w:t>Issuance of common stock upon financing</w:t>
            </w:r>
          </w:p>
        </w:tc>
        <w:tc>
          <w:tcPr>
            <w:tcW w:w="1080" w:type="dxa"/>
            <w:vAlign w:val="bottom"/>
          </w:tcPr>
          <w:p>
            <w:pPr>
              <w:jc w:val="right"/>
              <w:spacing w:after="0"/>
              <w:rPr>
                <w:sz w:val="20"/>
                <w:szCs w:val="20"/>
                <w:color w:val="auto"/>
              </w:rPr>
            </w:pPr>
            <w:r>
              <w:rPr>
                <w:rFonts w:ascii="Arial" w:cs="Arial" w:eastAsia="Arial" w:hAnsi="Arial"/>
                <w:sz w:val="16"/>
                <w:szCs w:val="16"/>
                <w:color w:val="auto"/>
              </w:rPr>
              <w:t>3,000,000</w:t>
            </w: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rPr>
              <w:t>0</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211,378</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211,378</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900" w:type="dxa"/>
            <w:vAlign w:val="bottom"/>
            <w:shd w:val="clear" w:color="auto" w:fill="CFF0FC"/>
          </w:tcPr>
          <w:p>
            <w:pPr>
              <w:ind w:left="20"/>
              <w:spacing w:after="0"/>
              <w:rPr>
                <w:sz w:val="20"/>
                <w:szCs w:val="20"/>
                <w:color w:val="auto"/>
              </w:rPr>
            </w:pPr>
            <w:r>
              <w:rPr>
                <w:rFonts w:ascii="Arial" w:cs="Arial" w:eastAsia="Arial" w:hAnsi="Arial"/>
                <w:sz w:val="16"/>
                <w:szCs w:val="16"/>
                <w:color w:val="auto"/>
              </w:rPr>
              <w:t>Issuance of warrants upon debt financing</w:t>
            </w: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624</w:t>
            </w:r>
          </w:p>
        </w:tc>
        <w:tc>
          <w:tcPr>
            <w:tcW w:w="2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624</w:t>
            </w:r>
          </w:p>
        </w:tc>
        <w:tc>
          <w:tcPr>
            <w:tcW w:w="1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4900" w:type="dxa"/>
            <w:vAlign w:val="bottom"/>
          </w:tcPr>
          <w:p>
            <w:pPr>
              <w:ind w:left="20"/>
              <w:spacing w:after="0"/>
              <w:rPr>
                <w:sz w:val="20"/>
                <w:szCs w:val="20"/>
                <w:color w:val="auto"/>
              </w:rPr>
            </w:pPr>
            <w:r>
              <w:rPr>
                <w:rFonts w:ascii="Arial" w:cs="Arial" w:eastAsia="Arial" w:hAnsi="Arial"/>
                <w:sz w:val="16"/>
                <w:szCs w:val="16"/>
                <w:color w:val="auto"/>
              </w:rPr>
              <w:t>Shares tendered for withholding taxes</w:t>
            </w: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(333 )</w:t>
            </w:r>
          </w:p>
        </w:tc>
        <w:tc>
          <w:tcPr>
            <w:tcW w:w="100" w:type="dxa"/>
            <w:vAlign w:val="bottom"/>
          </w:tcPr>
          <w:p>
            <w:pPr>
              <w:spacing w:after="0"/>
              <w:rPr>
                <w:sz w:val="19"/>
                <w:szCs w:val="19"/>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6"/>
                <w:szCs w:val="16"/>
                <w:color w:val="auto"/>
              </w:rPr>
              <w:t>(333 )</w:t>
            </w:r>
          </w:p>
        </w:tc>
        <w:tc>
          <w:tcPr>
            <w:tcW w:w="0" w:type="dxa"/>
            <w:vAlign w:val="bottom"/>
          </w:tcPr>
          <w:p>
            <w:pPr>
              <w:spacing w:after="0"/>
              <w:rPr>
                <w:sz w:val="1"/>
                <w:szCs w:val="1"/>
                <w:color w:val="auto"/>
              </w:rPr>
            </w:pPr>
          </w:p>
        </w:tc>
      </w:tr>
      <w:tr>
        <w:trPr>
          <w:trHeight w:val="230"/>
        </w:trPr>
        <w:tc>
          <w:tcPr>
            <w:tcW w:w="490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Net loss</w:t>
            </w: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(67,170 )</w:t>
            </w:r>
          </w:p>
        </w:tc>
        <w:tc>
          <w:tcPr>
            <w:tcW w:w="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(67,170 )</w:t>
            </w:r>
          </w:p>
        </w:tc>
        <w:tc>
          <w:tcPr>
            <w:tcW w:w="0" w:type="dxa"/>
            <w:vAlign w:val="bottom"/>
          </w:tcPr>
          <w:p>
            <w:pPr>
              <w:spacing w:after="0"/>
              <w:rPr>
                <w:sz w:val="1"/>
                <w:szCs w:val="1"/>
                <w:color w:val="auto"/>
              </w:rPr>
            </w:pPr>
          </w:p>
        </w:tc>
      </w:tr>
      <w:tr>
        <w:trPr>
          <w:trHeight w:val="23"/>
        </w:trPr>
        <w:tc>
          <w:tcPr>
            <w:tcW w:w="4900" w:type="dxa"/>
            <w:vAlign w:val="bottom"/>
            <w:shd w:val="clear" w:color="auto" w:fill="CFF0FC"/>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80" w:type="dxa"/>
            <w:vAlign w:val="bottom"/>
            <w:shd w:val="clear" w:color="auto" w:fill="CFF0FC"/>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4900" w:type="dxa"/>
            <w:vAlign w:val="bottom"/>
          </w:tcPr>
          <w:p>
            <w:pPr>
              <w:ind w:left="20"/>
              <w:spacing w:after="0"/>
              <w:rPr>
                <w:sz w:val="20"/>
                <w:szCs w:val="20"/>
                <w:color w:val="auto"/>
              </w:rPr>
            </w:pPr>
            <w:r>
              <w:rPr>
                <w:rFonts w:ascii="Arial" w:cs="Arial" w:eastAsia="Arial" w:hAnsi="Arial"/>
                <w:sz w:val="16"/>
                <w:szCs w:val="16"/>
                <w:color w:val="auto"/>
              </w:rPr>
              <w:t>Balance at June 30, 2023</w:t>
            </w:r>
          </w:p>
        </w:tc>
        <w:tc>
          <w:tcPr>
            <w:tcW w:w="1080" w:type="dxa"/>
            <w:vAlign w:val="bottom"/>
          </w:tcPr>
          <w:p>
            <w:pPr>
              <w:jc w:val="right"/>
              <w:spacing w:after="0"/>
              <w:rPr>
                <w:sz w:val="20"/>
                <w:szCs w:val="20"/>
                <w:color w:val="auto"/>
              </w:rPr>
            </w:pPr>
            <w:r>
              <w:rPr>
                <w:rFonts w:ascii="Arial" w:cs="Arial" w:eastAsia="Arial" w:hAnsi="Arial"/>
                <w:sz w:val="16"/>
                <w:szCs w:val="16"/>
                <w:color w:val="auto"/>
              </w:rPr>
              <w:t>46,726,794</w:t>
            </w: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rPr>
              <w:t>5</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953,520</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(674,721 )</w:t>
            </w:r>
          </w:p>
        </w:tc>
        <w:tc>
          <w:tcPr>
            <w:tcW w:w="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278,804</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-3780155</wp:posOffset>
            </wp:positionV>
            <wp:extent cx="85725" cy="1797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5725" cy="179705"/>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-3780155</wp:posOffset>
            </wp:positionV>
            <wp:extent cx="85725" cy="1797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85725" cy="17970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-3780155</wp:posOffset>
            </wp:positionV>
            <wp:extent cx="85725" cy="1797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5725" cy="17970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-3780155</wp:posOffset>
            </wp:positionV>
            <wp:extent cx="85725" cy="1797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5725" cy="17970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-3780155</wp:posOffset>
            </wp:positionV>
            <wp:extent cx="85725" cy="1797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5725" cy="179705"/>
                    </a:xfrm>
                    <a:prstGeom prst="rect">
                      <a:avLst/>
                    </a:prstGeom>
                    <a:noFill/>
                  </pic:spPr>
                </pic:pic>
              </a:graphicData>
            </a:graphic>
          </wp:anchor>
        </w:drawing>
        <w:drawing>
          <wp:anchor simplePos="0" relativeHeight="251657728" behindDoc="1" locked="0" layoutInCell="0" allowOverlap="1">
            <wp:simplePos x="0" y="0"/>
            <wp:positionH relativeFrom="column">
              <wp:posOffset>3794125</wp:posOffset>
            </wp:positionH>
            <wp:positionV relativeFrom="paragraph">
              <wp:posOffset>-2580005</wp:posOffset>
            </wp:positionV>
            <wp:extent cx="85725" cy="1797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85725" cy="179705"/>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-2580005</wp:posOffset>
            </wp:positionV>
            <wp:extent cx="85725" cy="1797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85725" cy="17970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-2580005</wp:posOffset>
            </wp:positionV>
            <wp:extent cx="85725" cy="1797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85725" cy="17970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-2580005</wp:posOffset>
            </wp:positionV>
            <wp:extent cx="85725" cy="1797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85725" cy="17970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-2580005</wp:posOffset>
            </wp:positionV>
            <wp:extent cx="85725" cy="1797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85725" cy="179705"/>
                    </a:xfrm>
                    <a:prstGeom prst="rect">
                      <a:avLst/>
                    </a:prstGeom>
                    <a:noFill/>
                  </pic:spPr>
                </pic:pic>
              </a:graphicData>
            </a:graphic>
          </wp:anchor>
        </w:drawing>
        <w:drawing>
          <wp:anchor simplePos="0" relativeHeight="251657728" behindDoc="1" locked="0" layoutInCell="0" allowOverlap="1">
            <wp:simplePos x="0" y="0"/>
            <wp:positionH relativeFrom="column">
              <wp:posOffset>3794125</wp:posOffset>
            </wp:positionH>
            <wp:positionV relativeFrom="paragraph">
              <wp:posOffset>-1379855</wp:posOffset>
            </wp:positionV>
            <wp:extent cx="85725" cy="1803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85725" cy="18034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-1379855</wp:posOffset>
            </wp:positionV>
            <wp:extent cx="85725" cy="1803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85725" cy="18034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-1379855</wp:posOffset>
            </wp:positionV>
            <wp:extent cx="85725" cy="1803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85725" cy="180340"/>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-1379855</wp:posOffset>
            </wp:positionV>
            <wp:extent cx="85725" cy="1803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85725" cy="18034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-1379855</wp:posOffset>
            </wp:positionV>
            <wp:extent cx="85725" cy="1803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85725" cy="180340"/>
                    </a:xfrm>
                    <a:prstGeom prst="rect">
                      <a:avLst/>
                    </a:prstGeom>
                    <a:noFill/>
                  </pic:spPr>
                </pic:pic>
              </a:graphicData>
            </a:graphic>
          </wp:anchor>
        </w:drawing>
        <w:drawing>
          <wp:anchor simplePos="0" relativeHeight="251657728" behindDoc="1" locked="0" layoutInCell="0" allowOverlap="1">
            <wp:simplePos x="0" y="0"/>
            <wp:positionH relativeFrom="column">
              <wp:posOffset>3794125</wp:posOffset>
            </wp:positionH>
            <wp:positionV relativeFrom="paragraph">
              <wp:posOffset>-179705</wp:posOffset>
            </wp:positionV>
            <wp:extent cx="85725" cy="1803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85725" cy="18034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-179705</wp:posOffset>
            </wp:positionV>
            <wp:extent cx="85725" cy="1803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85725" cy="18034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-179705</wp:posOffset>
            </wp:positionV>
            <wp:extent cx="85725" cy="1803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85725" cy="180340"/>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-179705</wp:posOffset>
            </wp:positionV>
            <wp:extent cx="85725" cy="1803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85725" cy="18034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-179705</wp:posOffset>
            </wp:positionV>
            <wp:extent cx="85725" cy="1803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85725" cy="180340"/>
                    </a:xfrm>
                    <a:prstGeom prst="rect">
                      <a:avLst/>
                    </a:prstGeom>
                    <a:noFill/>
                  </pic:spPr>
                </pic:pic>
              </a:graphicData>
            </a:graphic>
          </wp:anchor>
        </w:drawing>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The accompanying notes are an integral part of the consolidated financial statements.</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6" w:name="page7"/>
    <w:bookmarkEnd w:id="6"/>
    <w:p>
      <w:pPr>
        <w:spacing w:after="0"/>
        <w:rPr>
          <w:sz w:val="20"/>
          <w:szCs w:val="20"/>
          <w:color w:val="auto"/>
        </w:rPr>
      </w:pPr>
      <w:r>
        <w:rPr>
          <w:rFonts w:ascii="Arial" w:cs="Arial" w:eastAsia="Arial" w:hAnsi="Arial"/>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3025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30250" cy="8255"/>
                    </a:xfrm>
                    <a:prstGeom prst="rect">
                      <a:avLst/>
                    </a:prstGeom>
                    <a:noFill/>
                  </pic:spPr>
                </pic:pic>
              </a:graphicData>
            </a:graphic>
          </wp:anchor>
        </w:drawing>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Axsome Therapeutics,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Cash Flows (Unaudited)</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600" w:type="dxa"/>
            <w:vAlign w:val="bottom"/>
          </w:tcPr>
          <w:p>
            <w:pPr>
              <w:spacing w:after="0"/>
              <w:rPr>
                <w:sz w:val="16"/>
                <w:szCs w:val="16"/>
                <w:color w:val="auto"/>
              </w:rPr>
            </w:pPr>
          </w:p>
        </w:tc>
        <w:tc>
          <w:tcPr>
            <w:tcW w:w="2880" w:type="dxa"/>
            <w:vAlign w:val="bottom"/>
            <w:tcBorders>
              <w:bottom w:val="single" w:sz="8" w:color="auto"/>
            </w:tcBorders>
            <w:gridSpan w:val="4"/>
          </w:tcPr>
          <w:p>
            <w:pPr>
              <w:jc w:val="right"/>
              <w:ind w:right="195"/>
              <w:spacing w:after="0"/>
              <w:rPr>
                <w:sz w:val="20"/>
                <w:szCs w:val="20"/>
                <w:color w:val="auto"/>
              </w:rPr>
            </w:pPr>
            <w:r>
              <w:rPr>
                <w:rFonts w:ascii="Arial" w:cs="Arial" w:eastAsia="Arial" w:hAnsi="Arial"/>
                <w:sz w:val="14"/>
                <w:szCs w:val="14"/>
                <w:b w:val="1"/>
                <w:bCs w:val="1"/>
                <w:color w:val="auto"/>
              </w:rPr>
              <w:t>Six Months Ended June 30,</w:t>
            </w:r>
          </w:p>
        </w:tc>
        <w:tc>
          <w:tcPr>
            <w:tcW w:w="62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r>
      <w:tr>
        <w:trPr>
          <w:trHeight w:val="169"/>
        </w:trPr>
        <w:tc>
          <w:tcPr>
            <w:tcW w:w="7600" w:type="dxa"/>
            <w:vAlign w:val="bottom"/>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62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237"/>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96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r>
      <w:tr>
        <w:trPr>
          <w:trHeight w:val="237"/>
        </w:trPr>
        <w:tc>
          <w:tcPr>
            <w:tcW w:w="7600" w:type="dxa"/>
            <w:vAlign w:val="bottom"/>
          </w:tcPr>
          <w:p>
            <w:pPr>
              <w:ind w:left="20"/>
              <w:spacing w:after="0"/>
              <w:rPr>
                <w:sz w:val="20"/>
                <w:szCs w:val="20"/>
                <w:color w:val="auto"/>
              </w:rPr>
            </w:pPr>
            <w:r>
              <w:rPr>
                <w:rFonts w:ascii="Arial" w:cs="Arial" w:eastAsia="Arial" w:hAnsi="Arial"/>
                <w:sz w:val="18"/>
                <w:szCs w:val="18"/>
                <w:color w:val="auto"/>
              </w:rPr>
              <w:t>Net loss</w:t>
            </w:r>
          </w:p>
        </w:tc>
        <w:tc>
          <w:tcPr>
            <w:tcW w:w="960" w:type="dxa"/>
            <w:vAlign w:val="bottom"/>
          </w:tcPr>
          <w:p>
            <w:pPr>
              <w:jc w:val="right"/>
              <w:ind w:right="757"/>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w w:val="94"/>
              </w:rPr>
              <w:t>(78,388 )</w:t>
            </w:r>
          </w:p>
        </w:tc>
        <w:tc>
          <w:tcPr>
            <w:tcW w:w="960" w:type="dxa"/>
            <w:vAlign w:val="bottom"/>
          </w:tcPr>
          <w:p>
            <w:pPr>
              <w:jc w:val="right"/>
              <w:ind w:right="755"/>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(81,071 )</w:t>
            </w:r>
          </w:p>
        </w:tc>
      </w:tr>
      <w:tr>
        <w:trPr>
          <w:trHeight w:val="249"/>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96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r>
      <w:tr>
        <w:trPr>
          <w:trHeight w:val="237"/>
        </w:trPr>
        <w:tc>
          <w:tcPr>
            <w:tcW w:w="7600" w:type="dxa"/>
            <w:vAlign w:val="bottom"/>
          </w:tcPr>
          <w:p>
            <w:pPr>
              <w:ind w:left="20"/>
              <w:spacing w:after="0"/>
              <w:rPr>
                <w:sz w:val="20"/>
                <w:szCs w:val="20"/>
                <w:color w:val="auto"/>
              </w:rPr>
            </w:pPr>
            <w:r>
              <w:rPr>
                <w:rFonts w:ascii="Arial" w:cs="Arial" w:eastAsia="Arial" w:hAnsi="Arial"/>
                <w:sz w:val="18"/>
                <w:szCs w:val="18"/>
                <w:color w:val="auto"/>
              </w:rPr>
              <w:t>Stock-based compensation expense</w:t>
            </w:r>
          </w:p>
        </w:tc>
        <w:tc>
          <w:tcPr>
            <w:tcW w:w="9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28,865</w:t>
            </w:r>
          </w:p>
        </w:tc>
        <w:tc>
          <w:tcPr>
            <w:tcW w:w="3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17,760</w:t>
            </w:r>
          </w:p>
        </w:tc>
        <w:tc>
          <w:tcPr>
            <w:tcW w:w="140" w:type="dxa"/>
            <w:vAlign w:val="bottom"/>
          </w:tcPr>
          <w:p>
            <w:pPr>
              <w:spacing w:after="0"/>
              <w:rPr>
                <w:sz w:val="20"/>
                <w:szCs w:val="20"/>
                <w:color w:val="auto"/>
              </w:rPr>
            </w:pPr>
          </w:p>
        </w:tc>
      </w:tr>
      <w:tr>
        <w:trPr>
          <w:trHeight w:val="249"/>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Amortization of intangible asset</w:t>
            </w:r>
          </w:p>
        </w:tc>
        <w:tc>
          <w:tcPr>
            <w:tcW w:w="96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3,161</w:t>
            </w:r>
          </w:p>
        </w:tc>
        <w:tc>
          <w:tcPr>
            <w:tcW w:w="34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926</w:t>
            </w:r>
          </w:p>
        </w:tc>
        <w:tc>
          <w:tcPr>
            <w:tcW w:w="140" w:type="dxa"/>
            <w:vAlign w:val="bottom"/>
            <w:shd w:val="clear" w:color="auto" w:fill="CFF0FC"/>
          </w:tcPr>
          <w:p>
            <w:pPr>
              <w:spacing w:after="0"/>
              <w:rPr>
                <w:sz w:val="21"/>
                <w:szCs w:val="21"/>
                <w:color w:val="auto"/>
              </w:rPr>
            </w:pPr>
          </w:p>
        </w:tc>
      </w:tr>
      <w:tr>
        <w:trPr>
          <w:trHeight w:val="237"/>
        </w:trPr>
        <w:tc>
          <w:tcPr>
            <w:tcW w:w="7600" w:type="dxa"/>
            <w:vAlign w:val="bottom"/>
          </w:tcPr>
          <w:p>
            <w:pPr>
              <w:ind w:left="20"/>
              <w:spacing w:after="0"/>
              <w:rPr>
                <w:sz w:val="20"/>
                <w:szCs w:val="20"/>
                <w:color w:val="auto"/>
              </w:rPr>
            </w:pPr>
            <w:r>
              <w:rPr>
                <w:rFonts w:ascii="Arial" w:cs="Arial" w:eastAsia="Arial" w:hAnsi="Arial"/>
                <w:sz w:val="18"/>
                <w:szCs w:val="18"/>
                <w:color w:val="auto"/>
              </w:rPr>
              <w:t>Amortization of debt discount</w:t>
            </w:r>
          </w:p>
        </w:tc>
        <w:tc>
          <w:tcPr>
            <w:tcW w:w="9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1,493</w:t>
            </w:r>
          </w:p>
        </w:tc>
        <w:tc>
          <w:tcPr>
            <w:tcW w:w="3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683</w:t>
            </w:r>
          </w:p>
        </w:tc>
        <w:tc>
          <w:tcPr>
            <w:tcW w:w="140" w:type="dxa"/>
            <w:vAlign w:val="bottom"/>
          </w:tcPr>
          <w:p>
            <w:pPr>
              <w:spacing w:after="0"/>
              <w:rPr>
                <w:sz w:val="20"/>
                <w:szCs w:val="20"/>
                <w:color w:val="auto"/>
              </w:rPr>
            </w:pPr>
          </w:p>
        </w:tc>
      </w:tr>
      <w:tr>
        <w:trPr>
          <w:trHeight w:val="249"/>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Depreciation</w:t>
            </w:r>
          </w:p>
        </w:tc>
        <w:tc>
          <w:tcPr>
            <w:tcW w:w="96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w:t>
            </w:r>
          </w:p>
        </w:tc>
        <w:tc>
          <w:tcPr>
            <w:tcW w:w="34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w:t>
            </w:r>
          </w:p>
        </w:tc>
        <w:tc>
          <w:tcPr>
            <w:tcW w:w="140" w:type="dxa"/>
            <w:vAlign w:val="bottom"/>
            <w:shd w:val="clear" w:color="auto" w:fill="CFF0FC"/>
          </w:tcPr>
          <w:p>
            <w:pPr>
              <w:spacing w:after="0"/>
              <w:rPr>
                <w:sz w:val="21"/>
                <w:szCs w:val="21"/>
                <w:color w:val="auto"/>
              </w:rPr>
            </w:pPr>
          </w:p>
        </w:tc>
      </w:tr>
      <w:tr>
        <w:trPr>
          <w:trHeight w:val="237"/>
        </w:trPr>
        <w:tc>
          <w:tcPr>
            <w:tcW w:w="7600" w:type="dxa"/>
            <w:vAlign w:val="bottom"/>
          </w:tcPr>
          <w:p>
            <w:pPr>
              <w:ind w:left="20"/>
              <w:spacing w:after="0"/>
              <w:rPr>
                <w:sz w:val="20"/>
                <w:szCs w:val="20"/>
                <w:color w:val="auto"/>
              </w:rPr>
            </w:pPr>
            <w:r>
              <w:rPr>
                <w:rFonts w:ascii="Arial" w:cs="Arial" w:eastAsia="Arial" w:hAnsi="Arial"/>
                <w:sz w:val="18"/>
                <w:szCs w:val="18"/>
                <w:color w:val="auto"/>
              </w:rPr>
              <w:t>Loss in fair value of contingent consideration</w:t>
            </w:r>
          </w:p>
        </w:tc>
        <w:tc>
          <w:tcPr>
            <w:tcW w:w="9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5,891</w:t>
            </w:r>
          </w:p>
        </w:tc>
        <w:tc>
          <w:tcPr>
            <w:tcW w:w="3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(860 )</w:t>
            </w:r>
          </w:p>
        </w:tc>
      </w:tr>
      <w:tr>
        <w:trPr>
          <w:trHeight w:val="249"/>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Non-cash lease expense</w:t>
            </w:r>
          </w:p>
        </w:tc>
        <w:tc>
          <w:tcPr>
            <w:tcW w:w="96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772</w:t>
            </w:r>
          </w:p>
        </w:tc>
        <w:tc>
          <w:tcPr>
            <w:tcW w:w="34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554</w:t>
            </w:r>
          </w:p>
        </w:tc>
        <w:tc>
          <w:tcPr>
            <w:tcW w:w="140" w:type="dxa"/>
            <w:vAlign w:val="bottom"/>
            <w:shd w:val="clear" w:color="auto" w:fill="CFF0FC"/>
          </w:tcPr>
          <w:p>
            <w:pPr>
              <w:spacing w:after="0"/>
              <w:rPr>
                <w:sz w:val="21"/>
                <w:szCs w:val="21"/>
                <w:color w:val="auto"/>
              </w:rPr>
            </w:pPr>
          </w:p>
        </w:tc>
      </w:tr>
      <w:tr>
        <w:trPr>
          <w:trHeight w:val="237"/>
        </w:trPr>
        <w:tc>
          <w:tcPr>
            <w:tcW w:w="7600" w:type="dxa"/>
            <w:vAlign w:val="bottom"/>
          </w:tcPr>
          <w:p>
            <w:pPr>
              <w:ind w:left="20"/>
              <w:spacing w:after="0"/>
              <w:rPr>
                <w:sz w:val="20"/>
                <w:szCs w:val="20"/>
                <w:color w:val="auto"/>
              </w:rPr>
            </w:pPr>
            <w:r>
              <w:rPr>
                <w:rFonts w:ascii="Arial" w:cs="Arial" w:eastAsia="Arial" w:hAnsi="Arial"/>
                <w:sz w:val="18"/>
                <w:szCs w:val="18"/>
                <w:color w:val="auto"/>
              </w:rPr>
              <w:t>Change in operating lease liability</w:t>
            </w:r>
          </w:p>
        </w:tc>
        <w:tc>
          <w:tcPr>
            <w:tcW w:w="960" w:type="dxa"/>
            <w:vAlign w:val="bottom"/>
          </w:tcPr>
          <w:p>
            <w:pPr>
              <w:spacing w:after="0"/>
              <w:rPr>
                <w:sz w:val="20"/>
                <w:szCs w:val="20"/>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(299 )</w:t>
            </w:r>
          </w:p>
        </w:tc>
        <w:tc>
          <w:tcPr>
            <w:tcW w:w="960" w:type="dxa"/>
            <w:vAlign w:val="bottom"/>
          </w:tcPr>
          <w:p>
            <w:pPr>
              <w:spacing w:after="0"/>
              <w:rPr>
                <w:sz w:val="20"/>
                <w:szCs w:val="20"/>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(473 )</w:t>
            </w:r>
          </w:p>
        </w:tc>
      </w:tr>
      <w:tr>
        <w:trPr>
          <w:trHeight w:val="249"/>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Changes in operating assets and liabilities:</w:t>
            </w:r>
          </w:p>
        </w:tc>
        <w:tc>
          <w:tcPr>
            <w:tcW w:w="96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r>
      <w:tr>
        <w:trPr>
          <w:trHeight w:val="237"/>
        </w:trPr>
        <w:tc>
          <w:tcPr>
            <w:tcW w:w="7600" w:type="dxa"/>
            <w:vAlign w:val="bottom"/>
          </w:tcPr>
          <w:p>
            <w:pPr>
              <w:ind w:left="200"/>
              <w:spacing w:after="0"/>
              <w:rPr>
                <w:sz w:val="20"/>
                <w:szCs w:val="20"/>
                <w:color w:val="auto"/>
              </w:rPr>
            </w:pPr>
            <w:r>
              <w:rPr>
                <w:rFonts w:ascii="Arial" w:cs="Arial" w:eastAsia="Arial" w:hAnsi="Arial"/>
                <w:sz w:val="18"/>
                <w:szCs w:val="18"/>
                <w:color w:val="auto"/>
              </w:rPr>
              <w:t>Accounts receivable, net</w:t>
            </w:r>
          </w:p>
        </w:tc>
        <w:tc>
          <w:tcPr>
            <w:tcW w:w="960" w:type="dxa"/>
            <w:vAlign w:val="bottom"/>
          </w:tcPr>
          <w:p>
            <w:pPr>
              <w:spacing w:after="0"/>
              <w:rPr>
                <w:sz w:val="20"/>
                <w:szCs w:val="20"/>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w w:val="94"/>
              </w:rPr>
              <w:t>(29,711 )</w:t>
            </w:r>
          </w:p>
        </w:tc>
        <w:tc>
          <w:tcPr>
            <w:tcW w:w="960" w:type="dxa"/>
            <w:vAlign w:val="bottom"/>
          </w:tcPr>
          <w:p>
            <w:pPr>
              <w:spacing w:after="0"/>
              <w:rPr>
                <w:sz w:val="20"/>
                <w:szCs w:val="20"/>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(16,168 )</w:t>
            </w:r>
          </w:p>
        </w:tc>
      </w:tr>
      <w:tr>
        <w:trPr>
          <w:trHeight w:val="249"/>
        </w:trPr>
        <w:tc>
          <w:tcPr>
            <w:tcW w:w="76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Inventories, net</w:t>
            </w:r>
          </w:p>
        </w:tc>
        <w:tc>
          <w:tcPr>
            <w:tcW w:w="96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(4,932 )</w:t>
            </w:r>
          </w:p>
        </w:tc>
        <w:tc>
          <w:tcPr>
            <w:tcW w:w="96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277</w:t>
            </w:r>
          </w:p>
        </w:tc>
        <w:tc>
          <w:tcPr>
            <w:tcW w:w="140" w:type="dxa"/>
            <w:vAlign w:val="bottom"/>
            <w:shd w:val="clear" w:color="auto" w:fill="CFF0FC"/>
          </w:tcPr>
          <w:p>
            <w:pPr>
              <w:spacing w:after="0"/>
              <w:rPr>
                <w:sz w:val="21"/>
                <w:szCs w:val="21"/>
                <w:color w:val="auto"/>
              </w:rPr>
            </w:pPr>
          </w:p>
        </w:tc>
      </w:tr>
      <w:tr>
        <w:trPr>
          <w:trHeight w:val="237"/>
        </w:trPr>
        <w:tc>
          <w:tcPr>
            <w:tcW w:w="7600" w:type="dxa"/>
            <w:vAlign w:val="bottom"/>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960" w:type="dxa"/>
            <w:vAlign w:val="bottom"/>
          </w:tcPr>
          <w:p>
            <w:pPr>
              <w:spacing w:after="0"/>
              <w:rPr>
                <w:sz w:val="20"/>
                <w:szCs w:val="20"/>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(3,130 )</w:t>
            </w:r>
          </w:p>
        </w:tc>
        <w:tc>
          <w:tcPr>
            <w:tcW w:w="960" w:type="dxa"/>
            <w:vAlign w:val="bottom"/>
          </w:tcPr>
          <w:p>
            <w:pPr>
              <w:spacing w:after="0"/>
              <w:rPr>
                <w:sz w:val="20"/>
                <w:szCs w:val="20"/>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(1,204 )</w:t>
            </w:r>
          </w:p>
        </w:tc>
      </w:tr>
      <w:tr>
        <w:trPr>
          <w:trHeight w:val="249"/>
        </w:trPr>
        <w:tc>
          <w:tcPr>
            <w:tcW w:w="76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Non-current inventory and other assets</w:t>
            </w:r>
          </w:p>
        </w:tc>
        <w:tc>
          <w:tcPr>
            <w:tcW w:w="96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(541 )</w:t>
            </w:r>
          </w:p>
        </w:tc>
        <w:tc>
          <w:tcPr>
            <w:tcW w:w="960" w:type="dxa"/>
            <w:vAlign w:val="bottom"/>
            <w:shd w:val="clear" w:color="auto" w:fill="CFF0FC"/>
          </w:tcPr>
          <w:p>
            <w:pPr>
              <w:spacing w:after="0"/>
              <w:rPr>
                <w:sz w:val="21"/>
                <w:szCs w:val="21"/>
                <w:color w:val="auto"/>
              </w:rPr>
            </w:pPr>
          </w:p>
        </w:tc>
        <w:tc>
          <w:tcPr>
            <w:tcW w:w="7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(185 )</w:t>
            </w:r>
          </w:p>
        </w:tc>
      </w:tr>
      <w:tr>
        <w:trPr>
          <w:trHeight w:val="237"/>
        </w:trPr>
        <w:tc>
          <w:tcPr>
            <w:tcW w:w="7600" w:type="dxa"/>
            <w:vAlign w:val="bottom"/>
          </w:tcPr>
          <w:p>
            <w:pPr>
              <w:ind w:left="200"/>
              <w:spacing w:after="0"/>
              <w:rPr>
                <w:sz w:val="20"/>
                <w:szCs w:val="20"/>
                <w:color w:val="auto"/>
              </w:rPr>
            </w:pPr>
            <w:r>
              <w:rPr>
                <w:rFonts w:ascii="Arial" w:cs="Arial" w:eastAsia="Arial" w:hAnsi="Arial"/>
                <w:sz w:val="18"/>
                <w:szCs w:val="18"/>
                <w:color w:val="auto"/>
              </w:rPr>
              <w:t>Accounts payable</w:t>
            </w:r>
          </w:p>
        </w:tc>
        <w:tc>
          <w:tcPr>
            <w:tcW w:w="9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4,353</w:t>
            </w:r>
          </w:p>
        </w:tc>
        <w:tc>
          <w:tcPr>
            <w:tcW w:w="3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6,282</w:t>
            </w:r>
          </w:p>
        </w:tc>
        <w:tc>
          <w:tcPr>
            <w:tcW w:w="140" w:type="dxa"/>
            <w:vAlign w:val="bottom"/>
          </w:tcPr>
          <w:p>
            <w:pPr>
              <w:spacing w:after="0"/>
              <w:rPr>
                <w:sz w:val="20"/>
                <w:szCs w:val="20"/>
                <w:color w:val="auto"/>
              </w:rPr>
            </w:pPr>
          </w:p>
        </w:tc>
      </w:tr>
      <w:tr>
        <w:trPr>
          <w:trHeight w:val="243"/>
        </w:trPr>
        <w:tc>
          <w:tcPr>
            <w:tcW w:w="76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Accrued expenses and other current liabilities</w:t>
            </w:r>
          </w:p>
        </w:tc>
        <w:tc>
          <w:tcPr>
            <w:tcW w:w="960" w:type="dxa"/>
            <w:vAlign w:val="bottom"/>
            <w:tcBorders>
              <w:bottom w:val="single" w:sz="8" w:color="auto"/>
            </w:tcBorders>
            <w:shd w:val="clear" w:color="auto" w:fill="CFF0FC"/>
          </w:tcPr>
          <w:p>
            <w:pPr>
              <w:spacing w:after="0"/>
              <w:rPr>
                <w:sz w:val="21"/>
                <w:szCs w:val="21"/>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11,106</w:t>
            </w:r>
          </w:p>
        </w:tc>
        <w:tc>
          <w:tcPr>
            <w:tcW w:w="340" w:type="dxa"/>
            <w:vAlign w:val="bottom"/>
            <w:tcBorders>
              <w:bottom w:val="single" w:sz="8" w:color="CFF0FC"/>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spacing w:after="0"/>
              <w:rPr>
                <w:sz w:val="21"/>
                <w:szCs w:val="21"/>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7,185</w:t>
            </w:r>
          </w:p>
        </w:tc>
        <w:tc>
          <w:tcPr>
            <w:tcW w:w="140" w:type="dxa"/>
            <w:vAlign w:val="bottom"/>
            <w:tcBorders>
              <w:bottom w:val="single" w:sz="8" w:color="CFF0FC"/>
            </w:tcBorders>
            <w:shd w:val="clear" w:color="auto" w:fill="CFF0FC"/>
          </w:tcPr>
          <w:p>
            <w:pPr>
              <w:spacing w:after="0"/>
              <w:rPr>
                <w:sz w:val="21"/>
                <w:szCs w:val="21"/>
                <w:color w:val="auto"/>
              </w:rPr>
            </w:pPr>
          </w:p>
        </w:tc>
      </w:tr>
      <w:tr>
        <w:trPr>
          <w:trHeight w:val="236"/>
        </w:trPr>
        <w:tc>
          <w:tcPr>
            <w:tcW w:w="7600" w:type="dxa"/>
            <w:vAlign w:val="bottom"/>
          </w:tcPr>
          <w:p>
            <w:pPr>
              <w:ind w:left="20"/>
              <w:spacing w:after="0"/>
              <w:rPr>
                <w:sz w:val="20"/>
                <w:szCs w:val="20"/>
                <w:color w:val="auto"/>
              </w:rPr>
            </w:pPr>
            <w:r>
              <w:rPr>
                <w:rFonts w:ascii="Arial" w:cs="Arial" w:eastAsia="Arial" w:hAnsi="Arial"/>
                <w:sz w:val="18"/>
                <w:szCs w:val="18"/>
                <w:color w:val="auto"/>
              </w:rPr>
              <w:t>Net cash used in operating activities</w:t>
            </w:r>
          </w:p>
        </w:tc>
        <w:tc>
          <w:tcPr>
            <w:tcW w:w="960" w:type="dxa"/>
            <w:vAlign w:val="bottom"/>
          </w:tcPr>
          <w:p>
            <w:pPr>
              <w:spacing w:after="0"/>
              <w:rPr>
                <w:sz w:val="20"/>
                <w:szCs w:val="20"/>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w w:val="94"/>
              </w:rPr>
              <w:t>(61,170 )</w:t>
            </w:r>
          </w:p>
        </w:tc>
        <w:tc>
          <w:tcPr>
            <w:tcW w:w="960" w:type="dxa"/>
            <w:vAlign w:val="bottom"/>
          </w:tcPr>
          <w:p>
            <w:pPr>
              <w:spacing w:after="0"/>
              <w:rPr>
                <w:sz w:val="20"/>
                <w:szCs w:val="20"/>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(66,190 )</w:t>
            </w:r>
          </w:p>
        </w:tc>
      </w:tr>
      <w:tr>
        <w:trPr>
          <w:trHeight w:val="243"/>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960" w:type="dxa"/>
            <w:vAlign w:val="bottom"/>
            <w:tcBorders>
              <w:top w:val="single" w:sz="8" w:color="auto"/>
            </w:tcBorders>
            <w:shd w:val="clear" w:color="auto" w:fill="CFF0FC"/>
          </w:tcPr>
          <w:p>
            <w:pPr>
              <w:spacing w:after="0"/>
              <w:rPr>
                <w:sz w:val="21"/>
                <w:szCs w:val="21"/>
                <w:color w:val="auto"/>
              </w:rPr>
            </w:pPr>
          </w:p>
        </w:tc>
        <w:tc>
          <w:tcPr>
            <w:tcW w:w="620" w:type="dxa"/>
            <w:vAlign w:val="bottom"/>
            <w:tcBorders>
              <w:top w:val="single" w:sz="8" w:color="auto"/>
            </w:tcBorders>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960" w:type="dxa"/>
            <w:vAlign w:val="bottom"/>
            <w:tcBorders>
              <w:top w:val="single" w:sz="8" w:color="auto"/>
            </w:tcBorders>
            <w:shd w:val="clear" w:color="auto" w:fill="CFF0FC"/>
          </w:tcPr>
          <w:p>
            <w:pPr>
              <w:spacing w:after="0"/>
              <w:rPr>
                <w:sz w:val="21"/>
                <w:szCs w:val="21"/>
                <w:color w:val="auto"/>
              </w:rPr>
            </w:pPr>
          </w:p>
        </w:tc>
        <w:tc>
          <w:tcPr>
            <w:tcW w:w="620" w:type="dxa"/>
            <w:vAlign w:val="bottom"/>
            <w:tcBorders>
              <w:top w:val="single" w:sz="8" w:color="auto"/>
            </w:tcBorders>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r>
      <w:tr>
        <w:trPr>
          <w:trHeight w:val="237"/>
        </w:trPr>
        <w:tc>
          <w:tcPr>
            <w:tcW w:w="7600" w:type="dxa"/>
            <w:vAlign w:val="bottom"/>
          </w:tcPr>
          <w:p>
            <w:pPr>
              <w:ind w:left="20"/>
              <w:spacing w:after="0"/>
              <w:rPr>
                <w:sz w:val="20"/>
                <w:szCs w:val="20"/>
                <w:color w:val="auto"/>
              </w:rPr>
            </w:pPr>
            <w:r>
              <w:rPr>
                <w:rFonts w:ascii="Arial" w:cs="Arial" w:eastAsia="Arial" w:hAnsi="Arial"/>
                <w:sz w:val="18"/>
                <w:szCs w:val="18"/>
                <w:color w:val="auto"/>
              </w:rPr>
              <w:t>Purchases of equipment</w:t>
            </w:r>
          </w:p>
        </w:tc>
        <w:tc>
          <w:tcPr>
            <w:tcW w:w="960" w:type="dxa"/>
            <w:vAlign w:val="bottom"/>
          </w:tcPr>
          <w:p>
            <w:pPr>
              <w:spacing w:after="0"/>
              <w:rPr>
                <w:sz w:val="20"/>
                <w:szCs w:val="20"/>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(204 )</w:t>
            </w:r>
          </w:p>
        </w:tc>
        <w:tc>
          <w:tcPr>
            <w:tcW w:w="960" w:type="dxa"/>
            <w:vAlign w:val="bottom"/>
          </w:tcPr>
          <w:p>
            <w:pPr>
              <w:spacing w:after="0"/>
              <w:rPr>
                <w:sz w:val="20"/>
                <w:szCs w:val="20"/>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(455 )</w:t>
            </w:r>
          </w:p>
        </w:tc>
      </w:tr>
      <w:tr>
        <w:trPr>
          <w:trHeight w:val="243"/>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paid for business combination</w:t>
            </w:r>
          </w:p>
        </w:tc>
        <w:tc>
          <w:tcPr>
            <w:tcW w:w="96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7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w w:val="94"/>
              </w:rPr>
              <w:t>(53,000 )</w:t>
            </w:r>
          </w:p>
        </w:tc>
      </w:tr>
      <w:tr>
        <w:trPr>
          <w:trHeight w:val="20"/>
        </w:trPr>
        <w:tc>
          <w:tcPr>
            <w:tcW w:w="760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r>
      <w:tr>
        <w:trPr>
          <w:trHeight w:val="236"/>
        </w:trPr>
        <w:tc>
          <w:tcPr>
            <w:tcW w:w="760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960" w:type="dxa"/>
            <w:vAlign w:val="bottom"/>
          </w:tcPr>
          <w:p>
            <w:pPr>
              <w:spacing w:after="0"/>
              <w:rPr>
                <w:sz w:val="20"/>
                <w:szCs w:val="20"/>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(204 )</w:t>
            </w:r>
          </w:p>
        </w:tc>
        <w:tc>
          <w:tcPr>
            <w:tcW w:w="960" w:type="dxa"/>
            <w:vAlign w:val="bottom"/>
          </w:tcPr>
          <w:p>
            <w:pPr>
              <w:spacing w:after="0"/>
              <w:rPr>
                <w:sz w:val="20"/>
                <w:szCs w:val="20"/>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(53,455 )</w:t>
            </w:r>
          </w:p>
        </w:tc>
      </w:tr>
      <w:tr>
        <w:trPr>
          <w:trHeight w:val="243"/>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960" w:type="dxa"/>
            <w:vAlign w:val="bottom"/>
            <w:tcBorders>
              <w:top w:val="single" w:sz="8" w:color="auto"/>
            </w:tcBorders>
            <w:shd w:val="clear" w:color="auto" w:fill="CFF0FC"/>
          </w:tcPr>
          <w:p>
            <w:pPr>
              <w:spacing w:after="0"/>
              <w:rPr>
                <w:sz w:val="21"/>
                <w:szCs w:val="21"/>
                <w:color w:val="auto"/>
              </w:rPr>
            </w:pPr>
          </w:p>
        </w:tc>
        <w:tc>
          <w:tcPr>
            <w:tcW w:w="620" w:type="dxa"/>
            <w:vAlign w:val="bottom"/>
            <w:tcBorders>
              <w:top w:val="single" w:sz="8" w:color="auto"/>
            </w:tcBorders>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960" w:type="dxa"/>
            <w:vAlign w:val="bottom"/>
            <w:tcBorders>
              <w:top w:val="single" w:sz="8" w:color="auto"/>
            </w:tcBorders>
            <w:shd w:val="clear" w:color="auto" w:fill="CFF0FC"/>
          </w:tcPr>
          <w:p>
            <w:pPr>
              <w:spacing w:after="0"/>
              <w:rPr>
                <w:sz w:val="21"/>
                <w:szCs w:val="21"/>
                <w:color w:val="auto"/>
              </w:rPr>
            </w:pPr>
          </w:p>
        </w:tc>
        <w:tc>
          <w:tcPr>
            <w:tcW w:w="620" w:type="dxa"/>
            <w:vAlign w:val="bottom"/>
            <w:tcBorders>
              <w:top w:val="single" w:sz="8" w:color="auto"/>
            </w:tcBorders>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r>
      <w:tr>
        <w:trPr>
          <w:trHeight w:val="237"/>
        </w:trPr>
        <w:tc>
          <w:tcPr>
            <w:tcW w:w="7600" w:type="dxa"/>
            <w:vAlign w:val="bottom"/>
          </w:tcPr>
          <w:p>
            <w:pPr>
              <w:ind w:left="20"/>
              <w:spacing w:after="0"/>
              <w:rPr>
                <w:sz w:val="20"/>
                <w:szCs w:val="20"/>
                <w:color w:val="auto"/>
              </w:rPr>
            </w:pPr>
            <w:r>
              <w:rPr>
                <w:rFonts w:ascii="Arial" w:cs="Arial" w:eastAsia="Arial" w:hAnsi="Arial"/>
                <w:sz w:val="18"/>
                <w:szCs w:val="18"/>
                <w:color w:val="auto"/>
              </w:rPr>
              <w:t>Proceeds from draw down of debt</w:t>
            </w:r>
          </w:p>
        </w:tc>
        <w:tc>
          <w:tcPr>
            <w:tcW w:w="9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85,000</w:t>
            </w:r>
          </w:p>
        </w:tc>
        <w:tc>
          <w:tcPr>
            <w:tcW w:w="3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45,000</w:t>
            </w:r>
          </w:p>
        </w:tc>
        <w:tc>
          <w:tcPr>
            <w:tcW w:w="140" w:type="dxa"/>
            <w:vAlign w:val="bottom"/>
          </w:tcPr>
          <w:p>
            <w:pPr>
              <w:spacing w:after="0"/>
              <w:rPr>
                <w:sz w:val="20"/>
                <w:szCs w:val="20"/>
                <w:color w:val="auto"/>
              </w:rPr>
            </w:pPr>
          </w:p>
        </w:tc>
      </w:tr>
      <w:tr>
        <w:trPr>
          <w:trHeight w:val="249"/>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Payment of debt issuance costs</w:t>
            </w:r>
          </w:p>
        </w:tc>
        <w:tc>
          <w:tcPr>
            <w:tcW w:w="96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(1,441 )</w:t>
            </w:r>
          </w:p>
        </w:tc>
        <w:tc>
          <w:tcPr>
            <w:tcW w:w="960" w:type="dxa"/>
            <w:vAlign w:val="bottom"/>
            <w:shd w:val="clear" w:color="auto" w:fill="CFF0FC"/>
          </w:tcPr>
          <w:p>
            <w:pPr>
              <w:spacing w:after="0"/>
              <w:rPr>
                <w:sz w:val="21"/>
                <w:szCs w:val="21"/>
                <w:color w:val="auto"/>
              </w:rPr>
            </w:pPr>
          </w:p>
        </w:tc>
        <w:tc>
          <w:tcPr>
            <w:tcW w:w="7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(487 )</w:t>
            </w:r>
          </w:p>
        </w:tc>
      </w:tr>
      <w:tr>
        <w:trPr>
          <w:trHeight w:val="237"/>
        </w:trPr>
        <w:tc>
          <w:tcPr>
            <w:tcW w:w="7600" w:type="dxa"/>
            <w:vAlign w:val="bottom"/>
          </w:tcPr>
          <w:p>
            <w:pPr>
              <w:ind w:left="20"/>
              <w:spacing w:after="0"/>
              <w:rPr>
                <w:sz w:val="20"/>
                <w:szCs w:val="20"/>
                <w:color w:val="auto"/>
              </w:rPr>
            </w:pPr>
            <w:r>
              <w:rPr>
                <w:rFonts w:ascii="Arial" w:cs="Arial" w:eastAsia="Arial" w:hAnsi="Arial"/>
                <w:sz w:val="18"/>
                <w:szCs w:val="18"/>
                <w:color w:val="auto"/>
              </w:rPr>
              <w:t>Proceeds from issuance of common stock upon financing</w:t>
            </w:r>
          </w:p>
        </w:tc>
        <w:tc>
          <w:tcPr>
            <w:tcW w:w="9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225,000</w:t>
            </w:r>
          </w:p>
        </w:tc>
        <w:tc>
          <w:tcPr>
            <w:tcW w:w="3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63,560</w:t>
            </w:r>
          </w:p>
        </w:tc>
        <w:tc>
          <w:tcPr>
            <w:tcW w:w="140" w:type="dxa"/>
            <w:vAlign w:val="bottom"/>
          </w:tcPr>
          <w:p>
            <w:pPr>
              <w:spacing w:after="0"/>
              <w:rPr>
                <w:sz w:val="20"/>
                <w:szCs w:val="20"/>
                <w:color w:val="auto"/>
              </w:rPr>
            </w:pPr>
          </w:p>
        </w:tc>
      </w:tr>
      <w:tr>
        <w:trPr>
          <w:trHeight w:val="249"/>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paid for common stock issuance costs</w:t>
            </w:r>
          </w:p>
        </w:tc>
        <w:tc>
          <w:tcPr>
            <w:tcW w:w="96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w w:val="94"/>
              </w:rPr>
              <w:t>(13,622 )</w:t>
            </w:r>
          </w:p>
        </w:tc>
        <w:tc>
          <w:tcPr>
            <w:tcW w:w="960" w:type="dxa"/>
            <w:vAlign w:val="bottom"/>
            <w:shd w:val="clear" w:color="auto" w:fill="CFF0FC"/>
          </w:tcPr>
          <w:p>
            <w:pPr>
              <w:spacing w:after="0"/>
              <w:rPr>
                <w:sz w:val="21"/>
                <w:szCs w:val="21"/>
                <w:color w:val="auto"/>
              </w:rPr>
            </w:pPr>
          </w:p>
        </w:tc>
        <w:tc>
          <w:tcPr>
            <w:tcW w:w="7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(1,757 )</w:t>
            </w:r>
          </w:p>
        </w:tc>
      </w:tr>
      <w:tr>
        <w:trPr>
          <w:trHeight w:val="237"/>
        </w:trPr>
        <w:tc>
          <w:tcPr>
            <w:tcW w:w="7600" w:type="dxa"/>
            <w:vAlign w:val="bottom"/>
          </w:tcPr>
          <w:p>
            <w:pPr>
              <w:ind w:left="20"/>
              <w:spacing w:after="0"/>
              <w:rPr>
                <w:sz w:val="20"/>
                <w:szCs w:val="20"/>
                <w:color w:val="auto"/>
              </w:rPr>
            </w:pPr>
            <w:r>
              <w:rPr>
                <w:rFonts w:ascii="Arial" w:cs="Arial" w:eastAsia="Arial" w:hAnsi="Arial"/>
                <w:sz w:val="18"/>
                <w:szCs w:val="18"/>
                <w:color w:val="auto"/>
              </w:rPr>
              <w:t>Proceeds from issuance of common stock upon exercise of options</w:t>
            </w:r>
          </w:p>
        </w:tc>
        <w:tc>
          <w:tcPr>
            <w:tcW w:w="9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6,957</w:t>
            </w:r>
          </w:p>
        </w:tc>
        <w:tc>
          <w:tcPr>
            <w:tcW w:w="3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358</w:t>
            </w:r>
          </w:p>
        </w:tc>
        <w:tc>
          <w:tcPr>
            <w:tcW w:w="140" w:type="dxa"/>
            <w:vAlign w:val="bottom"/>
          </w:tcPr>
          <w:p>
            <w:pPr>
              <w:spacing w:after="0"/>
              <w:rPr>
                <w:sz w:val="20"/>
                <w:szCs w:val="20"/>
                <w:color w:val="auto"/>
              </w:rPr>
            </w:pPr>
          </w:p>
        </w:tc>
      </w:tr>
      <w:tr>
        <w:trPr>
          <w:trHeight w:val="249"/>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Payment of contingent consideration</w:t>
            </w:r>
          </w:p>
        </w:tc>
        <w:tc>
          <w:tcPr>
            <w:tcW w:w="96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(3,049 )</w:t>
            </w:r>
          </w:p>
        </w:tc>
        <w:tc>
          <w:tcPr>
            <w:tcW w:w="960" w:type="dxa"/>
            <w:vAlign w:val="bottom"/>
            <w:shd w:val="clear" w:color="auto" w:fill="CFF0FC"/>
          </w:tcPr>
          <w:p>
            <w:pPr>
              <w:spacing w:after="0"/>
              <w:rPr>
                <w:sz w:val="21"/>
                <w:szCs w:val="21"/>
                <w:color w:val="auto"/>
              </w:rPr>
            </w:pPr>
          </w:p>
        </w:tc>
        <w:tc>
          <w:tcPr>
            <w:tcW w:w="7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r>
      <w:tr>
        <w:trPr>
          <w:trHeight w:val="237"/>
        </w:trPr>
        <w:tc>
          <w:tcPr>
            <w:tcW w:w="7600" w:type="dxa"/>
            <w:vAlign w:val="bottom"/>
          </w:tcPr>
          <w:p>
            <w:pPr>
              <w:ind w:left="20"/>
              <w:spacing w:after="0"/>
              <w:rPr>
                <w:sz w:val="20"/>
                <w:szCs w:val="20"/>
                <w:color w:val="auto"/>
              </w:rPr>
            </w:pPr>
            <w:r>
              <w:rPr>
                <w:rFonts w:ascii="Arial" w:cs="Arial" w:eastAsia="Arial" w:hAnsi="Arial"/>
                <w:sz w:val="18"/>
                <w:szCs w:val="18"/>
                <w:color w:val="auto"/>
              </w:rPr>
              <w:t>Payments of tax withholdings on stock award</w:t>
            </w:r>
          </w:p>
        </w:tc>
        <w:tc>
          <w:tcPr>
            <w:tcW w:w="960" w:type="dxa"/>
            <w:vAlign w:val="bottom"/>
          </w:tcPr>
          <w:p>
            <w:pPr>
              <w:spacing w:after="0"/>
              <w:rPr>
                <w:sz w:val="20"/>
                <w:szCs w:val="20"/>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(1,200 )</w:t>
            </w:r>
          </w:p>
        </w:tc>
        <w:tc>
          <w:tcPr>
            <w:tcW w:w="960" w:type="dxa"/>
            <w:vAlign w:val="bottom"/>
          </w:tcPr>
          <w:p>
            <w:pPr>
              <w:spacing w:after="0"/>
              <w:rPr>
                <w:sz w:val="20"/>
                <w:szCs w:val="20"/>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(108 )</w:t>
            </w:r>
          </w:p>
        </w:tc>
      </w:tr>
      <w:tr>
        <w:trPr>
          <w:trHeight w:val="237"/>
        </w:trPr>
        <w:tc>
          <w:tcPr>
            <w:tcW w:w="76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960" w:type="dxa"/>
            <w:vAlign w:val="bottom"/>
            <w:tcBorders>
              <w:top w:val="single" w:sz="8" w:color="auto"/>
              <w:bottom w:val="single" w:sz="8" w:color="auto"/>
            </w:tcBorders>
            <w:shd w:val="clear" w:color="auto" w:fill="CFF0FC"/>
          </w:tcPr>
          <w:p>
            <w:pPr>
              <w:spacing w:after="0"/>
              <w:rPr>
                <w:sz w:val="20"/>
                <w:szCs w:val="20"/>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297,645</w:t>
            </w:r>
          </w:p>
        </w:tc>
        <w:tc>
          <w:tcPr>
            <w:tcW w:w="340" w:type="dxa"/>
            <w:vAlign w:val="bottom"/>
            <w:tcBorders>
              <w:bottom w:val="single" w:sz="8" w:color="CFF0FC"/>
            </w:tcBorders>
            <w:shd w:val="clear" w:color="auto" w:fill="CFF0FC"/>
          </w:tcPr>
          <w:p>
            <w:pPr>
              <w:spacing w:after="0"/>
              <w:rPr>
                <w:sz w:val="20"/>
                <w:szCs w:val="20"/>
                <w:color w:val="auto"/>
              </w:rPr>
            </w:pPr>
          </w:p>
        </w:tc>
        <w:tc>
          <w:tcPr>
            <w:tcW w:w="960" w:type="dxa"/>
            <w:vAlign w:val="bottom"/>
            <w:tcBorders>
              <w:top w:val="single" w:sz="8" w:color="auto"/>
              <w:bottom w:val="single" w:sz="8" w:color="auto"/>
            </w:tcBorders>
            <w:shd w:val="clear" w:color="auto" w:fill="CFF0FC"/>
          </w:tcPr>
          <w:p>
            <w:pPr>
              <w:spacing w:after="0"/>
              <w:rPr>
                <w:sz w:val="20"/>
                <w:szCs w:val="20"/>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106,566</w:t>
            </w:r>
          </w:p>
        </w:tc>
        <w:tc>
          <w:tcPr>
            <w:tcW w:w="140" w:type="dxa"/>
            <w:vAlign w:val="bottom"/>
            <w:tcBorders>
              <w:bottom w:val="single" w:sz="8" w:color="CFF0FC"/>
            </w:tcBorders>
            <w:shd w:val="clear" w:color="auto" w:fill="CFF0FC"/>
          </w:tcPr>
          <w:p>
            <w:pPr>
              <w:spacing w:after="0"/>
              <w:rPr>
                <w:sz w:val="20"/>
                <w:szCs w:val="20"/>
                <w:color w:val="auto"/>
              </w:rPr>
            </w:pPr>
          </w:p>
        </w:tc>
      </w:tr>
      <w:tr>
        <w:trPr>
          <w:trHeight w:val="236"/>
        </w:trPr>
        <w:tc>
          <w:tcPr>
            <w:tcW w:w="7600" w:type="dxa"/>
            <w:vAlign w:val="bottom"/>
          </w:tcPr>
          <w:p>
            <w:pPr>
              <w:ind w:left="20"/>
              <w:spacing w:after="0"/>
              <w:rPr>
                <w:sz w:val="20"/>
                <w:szCs w:val="20"/>
                <w:color w:val="auto"/>
              </w:rPr>
            </w:pPr>
            <w:r>
              <w:rPr>
                <w:rFonts w:ascii="Arial" w:cs="Arial" w:eastAsia="Arial" w:hAnsi="Arial"/>
                <w:sz w:val="18"/>
                <w:szCs w:val="18"/>
                <w:color w:val="auto"/>
              </w:rPr>
              <w:t>Net (decrease) increase in cash</w:t>
            </w:r>
          </w:p>
        </w:tc>
        <w:tc>
          <w:tcPr>
            <w:tcW w:w="9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236,271</w:t>
            </w:r>
          </w:p>
        </w:tc>
        <w:tc>
          <w:tcPr>
            <w:tcW w:w="3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(13,079 )</w:t>
            </w:r>
          </w:p>
        </w:tc>
      </w:tr>
      <w:tr>
        <w:trPr>
          <w:trHeight w:val="243"/>
        </w:trPr>
        <w:tc>
          <w:tcPr>
            <w:tcW w:w="76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Cash and cash equivalents at beginning of period</w:t>
            </w:r>
          </w:p>
        </w:tc>
        <w:tc>
          <w:tcPr>
            <w:tcW w:w="960" w:type="dxa"/>
            <w:vAlign w:val="bottom"/>
            <w:tcBorders>
              <w:bottom w:val="single" w:sz="8" w:color="auto"/>
            </w:tcBorders>
            <w:shd w:val="clear" w:color="auto" w:fill="CFF0FC"/>
          </w:tcPr>
          <w:p>
            <w:pPr>
              <w:spacing w:after="0"/>
              <w:rPr>
                <w:sz w:val="21"/>
                <w:szCs w:val="21"/>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200,842</w:t>
            </w:r>
          </w:p>
        </w:tc>
        <w:tc>
          <w:tcPr>
            <w:tcW w:w="340" w:type="dxa"/>
            <w:vAlign w:val="bottom"/>
            <w:tcBorders>
              <w:bottom w:val="single" w:sz="8" w:color="CFF0FC"/>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spacing w:after="0"/>
              <w:rPr>
                <w:sz w:val="21"/>
                <w:szCs w:val="21"/>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86,473</w:t>
            </w:r>
          </w:p>
        </w:tc>
        <w:tc>
          <w:tcPr>
            <w:tcW w:w="140" w:type="dxa"/>
            <w:vAlign w:val="bottom"/>
            <w:tcBorders>
              <w:bottom w:val="single" w:sz="8" w:color="CFF0FC"/>
            </w:tcBorders>
            <w:shd w:val="clear" w:color="auto" w:fill="CFF0FC"/>
          </w:tcPr>
          <w:p>
            <w:pPr>
              <w:spacing w:after="0"/>
              <w:rPr>
                <w:sz w:val="21"/>
                <w:szCs w:val="21"/>
                <w:color w:val="auto"/>
              </w:rPr>
            </w:pPr>
          </w:p>
        </w:tc>
      </w:tr>
      <w:tr>
        <w:trPr>
          <w:trHeight w:val="236"/>
        </w:trPr>
        <w:tc>
          <w:tcPr>
            <w:tcW w:w="7600" w:type="dxa"/>
            <w:vAlign w:val="bottom"/>
          </w:tcPr>
          <w:p>
            <w:pPr>
              <w:ind w:left="20"/>
              <w:spacing w:after="0"/>
              <w:rPr>
                <w:sz w:val="20"/>
                <w:szCs w:val="20"/>
                <w:color w:val="auto"/>
              </w:rPr>
            </w:pPr>
            <w:r>
              <w:rPr>
                <w:rFonts w:ascii="Arial" w:cs="Arial" w:eastAsia="Arial" w:hAnsi="Arial"/>
                <w:sz w:val="18"/>
                <w:szCs w:val="18"/>
                <w:color w:val="auto"/>
              </w:rPr>
              <w:t>Cash and cash equivalents at end of period</w:t>
            </w:r>
          </w:p>
        </w:tc>
        <w:tc>
          <w:tcPr>
            <w:tcW w:w="960" w:type="dxa"/>
            <w:vAlign w:val="bottom"/>
            <w:tcBorders>
              <w:bottom w:val="single" w:sz="8" w:color="auto"/>
            </w:tcBorders>
          </w:tcPr>
          <w:p>
            <w:pPr>
              <w:jc w:val="right"/>
              <w:ind w:right="757"/>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437,113</w:t>
            </w:r>
          </w:p>
        </w:tc>
        <w:tc>
          <w:tcPr>
            <w:tcW w:w="340" w:type="dxa"/>
            <w:vAlign w:val="bottom"/>
          </w:tcPr>
          <w:p>
            <w:pPr>
              <w:spacing w:after="0"/>
              <w:rPr>
                <w:sz w:val="20"/>
                <w:szCs w:val="20"/>
                <w:color w:val="auto"/>
              </w:rPr>
            </w:pPr>
          </w:p>
        </w:tc>
        <w:tc>
          <w:tcPr>
            <w:tcW w:w="960" w:type="dxa"/>
            <w:vAlign w:val="bottom"/>
            <w:tcBorders>
              <w:bottom w:val="single" w:sz="8" w:color="auto"/>
            </w:tcBorders>
          </w:tcPr>
          <w:p>
            <w:pPr>
              <w:jc w:val="right"/>
              <w:ind w:right="755"/>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73,394</w:t>
            </w:r>
          </w:p>
        </w:tc>
        <w:tc>
          <w:tcPr>
            <w:tcW w:w="140" w:type="dxa"/>
            <w:vAlign w:val="bottom"/>
          </w:tcPr>
          <w:p>
            <w:pPr>
              <w:spacing w:after="0"/>
              <w:rPr>
                <w:sz w:val="20"/>
                <w:szCs w:val="20"/>
                <w:color w:val="auto"/>
              </w:rPr>
            </w:pPr>
          </w:p>
        </w:tc>
      </w:tr>
      <w:tr>
        <w:trPr>
          <w:trHeight w:val="20"/>
        </w:trPr>
        <w:tc>
          <w:tcPr>
            <w:tcW w:w="76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30"/>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r>
      <w:tr>
        <w:trPr>
          <w:trHeight w:val="237"/>
        </w:trPr>
        <w:tc>
          <w:tcPr>
            <w:tcW w:w="7600" w:type="dxa"/>
            <w:vAlign w:val="bottom"/>
          </w:tcPr>
          <w:p>
            <w:pPr>
              <w:ind w:left="20"/>
              <w:spacing w:after="0"/>
              <w:rPr>
                <w:sz w:val="20"/>
                <w:szCs w:val="20"/>
                <w:color w:val="auto"/>
              </w:rPr>
            </w:pPr>
            <w:r>
              <w:rPr>
                <w:rFonts w:ascii="Arial" w:cs="Arial" w:eastAsia="Arial" w:hAnsi="Arial"/>
                <w:sz w:val="18"/>
                <w:szCs w:val="18"/>
                <w:color w:val="auto"/>
              </w:rPr>
              <w:t>Interest paid</w:t>
            </w:r>
          </w:p>
        </w:tc>
        <w:tc>
          <w:tcPr>
            <w:tcW w:w="960" w:type="dxa"/>
            <w:vAlign w:val="bottom"/>
          </w:tcPr>
          <w:p>
            <w:pPr>
              <w:jc w:val="right"/>
              <w:ind w:right="757"/>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7,132</w:t>
            </w:r>
          </w:p>
        </w:tc>
        <w:tc>
          <w:tcPr>
            <w:tcW w:w="340" w:type="dxa"/>
            <w:vAlign w:val="bottom"/>
          </w:tcPr>
          <w:p>
            <w:pPr>
              <w:spacing w:after="0"/>
              <w:rPr>
                <w:sz w:val="20"/>
                <w:szCs w:val="20"/>
                <w:color w:val="auto"/>
              </w:rPr>
            </w:pPr>
          </w:p>
        </w:tc>
        <w:tc>
          <w:tcPr>
            <w:tcW w:w="960" w:type="dxa"/>
            <w:vAlign w:val="bottom"/>
          </w:tcPr>
          <w:p>
            <w:pPr>
              <w:jc w:val="right"/>
              <w:ind w:right="755"/>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2,586</w:t>
            </w:r>
          </w:p>
        </w:tc>
        <w:tc>
          <w:tcPr>
            <w:tcW w:w="140" w:type="dxa"/>
            <w:vAlign w:val="bottom"/>
          </w:tcPr>
          <w:p>
            <w:pPr>
              <w:spacing w:after="0"/>
              <w:rPr>
                <w:sz w:val="20"/>
                <w:szCs w:val="20"/>
                <w:color w:val="auto"/>
              </w:rPr>
            </w:pPr>
          </w:p>
        </w:tc>
      </w:tr>
      <w:tr>
        <w:trPr>
          <w:trHeight w:val="249"/>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lease right-of-use asset obtained in exchange for operating lease liability</w:t>
            </w:r>
          </w:p>
        </w:tc>
        <w:tc>
          <w:tcPr>
            <w:tcW w:w="96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7,764</w:t>
            </w:r>
          </w:p>
        </w:tc>
        <w:tc>
          <w:tcPr>
            <w:tcW w:w="34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561</w:t>
            </w:r>
          </w:p>
        </w:tc>
        <w:tc>
          <w:tcPr>
            <w:tcW w:w="140" w:type="dxa"/>
            <w:vAlign w:val="bottom"/>
            <w:shd w:val="clear" w:color="auto" w:fill="CFF0FC"/>
          </w:tcPr>
          <w:p>
            <w:pPr>
              <w:spacing w:after="0"/>
              <w:rPr>
                <w:sz w:val="21"/>
                <w:szCs w:val="21"/>
                <w:color w:val="auto"/>
              </w:rPr>
            </w:pPr>
          </w:p>
        </w:tc>
      </w:tr>
      <w:tr>
        <w:trPr>
          <w:trHeight w:val="239"/>
        </w:trPr>
        <w:tc>
          <w:tcPr>
            <w:tcW w:w="7600" w:type="dxa"/>
            <w:vAlign w:val="bottom"/>
          </w:tcPr>
          <w:p>
            <w:pPr>
              <w:ind w:left="20"/>
              <w:spacing w:after="0"/>
              <w:rPr>
                <w:sz w:val="20"/>
                <w:szCs w:val="20"/>
                <w:color w:val="auto"/>
              </w:rPr>
            </w:pPr>
            <w:r>
              <w:rPr>
                <w:rFonts w:ascii="Arial" w:cs="Arial" w:eastAsia="Arial" w:hAnsi="Arial"/>
                <w:sz w:val="18"/>
                <w:szCs w:val="18"/>
                <w:b w:val="1"/>
                <w:bCs w:val="1"/>
                <w:color w:val="auto"/>
              </w:rPr>
              <w:t>Supplemental non-cash investing activities:</w:t>
            </w:r>
          </w:p>
        </w:tc>
        <w:tc>
          <w:tcPr>
            <w:tcW w:w="9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47"/>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Fair value of contingent consideration in a business combination</w:t>
            </w:r>
          </w:p>
        </w:tc>
        <w:tc>
          <w:tcPr>
            <w:tcW w:w="96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39,842</w:t>
            </w:r>
          </w:p>
        </w:tc>
        <w:tc>
          <w:tcPr>
            <w:tcW w:w="34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35,280</w:t>
            </w:r>
          </w:p>
        </w:tc>
        <w:tc>
          <w:tcPr>
            <w:tcW w:w="140" w:type="dxa"/>
            <w:vAlign w:val="bottom"/>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5834380</wp:posOffset>
            </wp:positionH>
            <wp:positionV relativeFrom="paragraph">
              <wp:posOffset>-3479800</wp:posOffset>
            </wp:positionV>
            <wp:extent cx="85725" cy="1714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-3479800</wp:posOffset>
            </wp:positionV>
            <wp:extent cx="85725" cy="1714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-2845435</wp:posOffset>
            </wp:positionV>
            <wp:extent cx="85725" cy="1714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-2845435</wp:posOffset>
            </wp:positionV>
            <wp:extent cx="85725" cy="1714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-1276350</wp:posOffset>
            </wp:positionV>
            <wp:extent cx="85725" cy="16256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-1276350</wp:posOffset>
            </wp:positionV>
            <wp:extent cx="85725" cy="16256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-959485</wp:posOffset>
            </wp:positionV>
            <wp:extent cx="85725" cy="18859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-959485</wp:posOffset>
            </wp:positionV>
            <wp:extent cx="85725" cy="18859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85725" cy="188595"/>
                    </a:xfrm>
                    <a:prstGeom prst="rect">
                      <a:avLst/>
                    </a:prstGeom>
                    <a:noFill/>
                  </pic:spPr>
                </pic:pic>
              </a:graphicData>
            </a:graphic>
          </wp:anchor>
        </w:drawing>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The accompanying notes are an integral part of the consolidated financial statements.</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7" w:name="page8"/>
    <w:bookmarkEnd w:id="7"/>
    <w:p>
      <w:pPr>
        <w:spacing w:after="0"/>
        <w:rPr>
          <w:sz w:val="20"/>
          <w:szCs w:val="20"/>
          <w:color w:val="auto"/>
        </w:rPr>
      </w:pPr>
      <w:r>
        <w:rPr>
          <w:rFonts w:ascii="Arial" w:cs="Arial" w:eastAsia="Arial" w:hAnsi="Arial"/>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3025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30250" cy="8255"/>
                    </a:xfrm>
                    <a:prstGeom prst="rect">
                      <a:avLst/>
                    </a:prstGeom>
                    <a:noFill/>
                  </pic:spPr>
                </pic:pic>
              </a:graphicData>
            </a:graphic>
          </wp:anchor>
        </w:drawing>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Axsome Therapeutics, Inc.</w:t>
      </w:r>
    </w:p>
    <w:p>
      <w:pPr>
        <w:spacing w:after="0" w:line="26" w:lineRule="exact"/>
        <w:rPr>
          <w:sz w:val="20"/>
          <w:szCs w:val="20"/>
          <w:color w:val="auto"/>
        </w:rPr>
      </w:pPr>
    </w:p>
    <w:p>
      <w:pPr>
        <w:ind w:left="3680"/>
        <w:spacing w:after="0"/>
        <w:rPr>
          <w:sz w:val="20"/>
          <w:szCs w:val="20"/>
          <w:color w:val="auto"/>
        </w:rPr>
      </w:pPr>
      <w:r>
        <w:rPr>
          <w:rFonts w:ascii="Arial" w:cs="Arial" w:eastAsia="Arial" w:hAnsi="Arial"/>
          <w:sz w:val="16"/>
          <w:szCs w:val="16"/>
          <w:b w:val="1"/>
          <w:bCs w:val="1"/>
          <w:color w:val="auto"/>
        </w:rPr>
        <w:t>Notes to Consolidated Financial Statements (Unaudited)</w:t>
      </w:r>
    </w:p>
    <w:p>
      <w:pPr>
        <w:spacing w:after="0" w:line="19" w:lineRule="exact"/>
        <w:rPr>
          <w:sz w:val="20"/>
          <w:szCs w:val="20"/>
          <w:color w:val="auto"/>
        </w:rPr>
      </w:pPr>
    </w:p>
    <w:p>
      <w:pPr>
        <w:ind w:left="3720"/>
        <w:spacing w:after="0"/>
        <w:rPr>
          <w:sz w:val="20"/>
          <w:szCs w:val="20"/>
          <w:color w:val="auto"/>
        </w:rPr>
      </w:pPr>
      <w:r>
        <w:rPr>
          <w:rFonts w:ascii="Arial" w:cs="Arial" w:eastAsia="Arial" w:hAnsi="Arial"/>
          <w:sz w:val="16"/>
          <w:szCs w:val="16"/>
          <w:b w:val="1"/>
          <w:bCs w:val="1"/>
          <w:color w:val="auto"/>
        </w:rPr>
        <w:t>(In thousands, except for share and per share amounts)</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 Nature of Business and Basis of Presentation</w:t>
      </w:r>
    </w:p>
    <w:p>
      <w:pPr>
        <w:spacing w:after="0" w:line="198" w:lineRule="exact"/>
        <w:rPr>
          <w:sz w:val="20"/>
          <w:szCs w:val="20"/>
          <w:color w:val="auto"/>
        </w:rPr>
      </w:pPr>
    </w:p>
    <w:p>
      <w:pPr>
        <w:ind w:right="20" w:firstLine="749"/>
        <w:spacing w:after="0" w:line="268" w:lineRule="auto"/>
        <w:rPr>
          <w:sz w:val="20"/>
          <w:szCs w:val="20"/>
          <w:color w:val="auto"/>
        </w:rPr>
      </w:pPr>
      <w:r>
        <w:rPr>
          <w:rFonts w:ascii="Arial" w:cs="Arial" w:eastAsia="Arial" w:hAnsi="Arial"/>
          <w:sz w:val="16"/>
          <w:szCs w:val="16"/>
          <w:color w:val="auto"/>
        </w:rPr>
        <w:t>Axsome Therapeutics, Inc. (“Axsome” or the “Company”) is a biopharmaceutical company developing and delivering novel therapies for central nervous system (“CNS”) conditions that have limited treatment options. By focusing on this therapeutic area, the Company is addressing significant and growing markets where current treatment options are limited or inadequate. The Company was incorporated on January 12, 2012 in the State of Delaware. The Company aims to become a fully integrated biopharmaceutical company that develops and commercializes differentiated therapies that expand the treatment options available to caregivers and improve the lives of patients living with CNS disorders. The Company’s CNS portfolio includes three not yet approved product candidates, AXS-07, AXS-12, and AXS-14, which are being developed for multiple indications, and two approved products - Auvelity® (the components of which are referred to as “AXS-05”, and Sunosi® - both of which are also being developed for further indications. The Company refers herein to Sunosi, Auvelity, AXS-07, AXS-12, AXS-14, and its programs to develop additional indications for AXS-05 and solriamfetol, as the Company’s products.</w:t>
      </w:r>
    </w:p>
    <w:p>
      <w:pPr>
        <w:spacing w:after="0" w:line="152" w:lineRule="exact"/>
        <w:rPr>
          <w:sz w:val="20"/>
          <w:szCs w:val="20"/>
          <w:color w:val="auto"/>
        </w:rPr>
      </w:pPr>
    </w:p>
    <w:p>
      <w:pPr>
        <w:ind w:firstLine="749"/>
        <w:spacing w:after="0" w:line="271" w:lineRule="auto"/>
        <w:rPr>
          <w:sz w:val="20"/>
          <w:szCs w:val="20"/>
          <w:color w:val="auto"/>
        </w:rPr>
      </w:pPr>
      <w:r>
        <w:rPr>
          <w:rFonts w:ascii="Arial" w:cs="Arial" w:eastAsia="Arial" w:hAnsi="Arial"/>
          <w:sz w:val="16"/>
          <w:szCs w:val="16"/>
          <w:color w:val="auto"/>
        </w:rPr>
        <w:t>The Company acquired the U.S. rights to Sunosi from Jazz Pharmaceuticals plc (“Jazz”) in May 2022 and worldwide ex-U.S. rights (excluding certain Asian markets) from Jazz in November 2022. Sunosi is a product approved by FDA and marketed in the U.S. to improve wakefulness in adult patients with excessive daytime sleepiness (“EDS”) associated with narcolepsy or obstructive sleep apnea, and also approved in Europe in January 2020 by the European Commission. In February 2023, the Company announced a licensing transaction with Atnahs Pharma UK Limited (“Pharmanovia”) to market Sunosi in Europe and certain countries in the Middle East / North Africa.</w:t>
      </w:r>
    </w:p>
    <w:p>
      <w:pPr>
        <w:spacing w:after="0" w:line="163" w:lineRule="exact"/>
        <w:rPr>
          <w:sz w:val="20"/>
          <w:szCs w:val="20"/>
          <w:color w:val="auto"/>
        </w:rPr>
      </w:pPr>
    </w:p>
    <w:p>
      <w:pPr>
        <w:ind w:right="40" w:firstLine="749"/>
        <w:spacing w:after="0" w:line="293" w:lineRule="auto"/>
        <w:rPr>
          <w:sz w:val="20"/>
          <w:szCs w:val="20"/>
          <w:color w:val="auto"/>
        </w:rPr>
      </w:pPr>
      <w:r>
        <w:rPr>
          <w:rFonts w:ascii="Arial" w:cs="Arial" w:eastAsia="Arial" w:hAnsi="Arial"/>
          <w:sz w:val="16"/>
          <w:szCs w:val="16"/>
          <w:color w:val="auto"/>
        </w:rPr>
        <w:t>In August 2022, the Company announced the FDA approval of Auvelity, and in October 2022, the U.S. commercial availability of Auvelity. Auvelity is indicated for the treatment of major depressive disorder in adults.</w:t>
      </w:r>
    </w:p>
    <w:p>
      <w:pPr>
        <w:spacing w:after="0" w:line="131" w:lineRule="exact"/>
        <w:rPr>
          <w:sz w:val="20"/>
          <w:szCs w:val="20"/>
          <w:color w:val="auto"/>
        </w:rPr>
      </w:pPr>
    </w:p>
    <w:p>
      <w:pPr>
        <w:ind w:right="100" w:firstLine="749"/>
        <w:spacing w:after="0" w:line="269" w:lineRule="auto"/>
        <w:rPr>
          <w:sz w:val="20"/>
          <w:szCs w:val="20"/>
          <w:color w:val="auto"/>
        </w:rPr>
      </w:pPr>
      <w:r>
        <w:rPr>
          <w:rFonts w:ascii="Arial" w:cs="Arial" w:eastAsia="Arial" w:hAnsi="Arial"/>
          <w:sz w:val="16"/>
          <w:szCs w:val="16"/>
          <w:color w:val="auto"/>
        </w:rPr>
        <w:t>The accompanying unaudited interim consolidated financial statements have been prepared by the Company in accordance with accounting principles generally accepted in the United States (“U.S. GAAP”) for interim information and pursuant to the rules and regulations of the Securities and Exchange Commission (the “SEC”) for reporting on Form 10-Q. Accordingly, certain information and footnote disclosures normally included in financial statements prepared in accordance with U.S. GAAP have been condensed or omitted pursuant to such rules and regulations. These unaudited interim consolidated financial statements should be read in conjunction with the audited financial statements and related notes included in the Company’s Annual Report on Form 10-K for the year ended December 31, 2022 filed with the SEC on February 28, 2023.</w:t>
      </w:r>
    </w:p>
    <w:p>
      <w:pPr>
        <w:spacing w:after="0" w:line="153" w:lineRule="exact"/>
        <w:rPr>
          <w:sz w:val="20"/>
          <w:szCs w:val="20"/>
          <w:color w:val="auto"/>
        </w:rPr>
      </w:pPr>
    </w:p>
    <w:p>
      <w:pPr>
        <w:ind w:firstLine="749"/>
        <w:spacing w:after="0" w:line="278" w:lineRule="auto"/>
        <w:rPr>
          <w:sz w:val="20"/>
          <w:szCs w:val="20"/>
          <w:color w:val="auto"/>
        </w:rPr>
      </w:pPr>
      <w:r>
        <w:rPr>
          <w:rFonts w:ascii="Arial" w:cs="Arial" w:eastAsia="Arial" w:hAnsi="Arial"/>
          <w:sz w:val="16"/>
          <w:szCs w:val="16"/>
          <w:color w:val="auto"/>
        </w:rPr>
        <w:t>In the opinion of management, the unaudited interim consolidated financial statements reflect all adjustments, which are normal recurring adjustments, necessary for the fair presentation of the financial information for the interim periods. The results of operations for the three and six months ended June 30, 2023 are not necessarily indicative of the operating results for the full fiscal year or any future period.</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Liquidity and Capital Resources</w:t>
      </w:r>
    </w:p>
    <w:p>
      <w:pPr>
        <w:spacing w:after="0" w:line="198" w:lineRule="exact"/>
        <w:rPr>
          <w:sz w:val="20"/>
          <w:szCs w:val="20"/>
          <w:color w:val="auto"/>
        </w:rPr>
      </w:pPr>
    </w:p>
    <w:p>
      <w:pPr>
        <w:ind w:right="20" w:firstLine="749"/>
        <w:spacing w:after="0" w:line="293" w:lineRule="auto"/>
        <w:rPr>
          <w:sz w:val="20"/>
          <w:szCs w:val="20"/>
          <w:color w:val="auto"/>
        </w:rPr>
      </w:pPr>
      <w:r>
        <w:rPr>
          <w:rFonts w:ascii="Arial" w:cs="Arial" w:eastAsia="Arial" w:hAnsi="Arial"/>
          <w:sz w:val="16"/>
          <w:szCs w:val="16"/>
          <w:color w:val="auto"/>
        </w:rPr>
        <w:t>The Company has incurred operating losses since its inception and expects to continue to incur operating losses for the foreseeable future and may never become profitable. As of June 30, 2023, the Company had an accumulated deficit of $674.7 million.</w:t>
      </w:r>
    </w:p>
    <w:p>
      <w:pPr>
        <w:spacing w:after="0" w:line="131" w:lineRule="exact"/>
        <w:rPr>
          <w:sz w:val="20"/>
          <w:szCs w:val="20"/>
          <w:color w:val="auto"/>
        </w:rPr>
      </w:pPr>
    </w:p>
    <w:p>
      <w:pPr>
        <w:ind w:firstLine="749"/>
        <w:spacing w:after="0" w:line="297" w:lineRule="auto"/>
        <w:rPr>
          <w:sz w:val="20"/>
          <w:szCs w:val="20"/>
          <w:color w:val="auto"/>
        </w:rPr>
      </w:pPr>
      <w:r>
        <w:rPr>
          <w:rFonts w:ascii="Arial" w:cs="Arial" w:eastAsia="Arial" w:hAnsi="Arial"/>
          <w:sz w:val="15"/>
          <w:szCs w:val="15"/>
          <w:color w:val="auto"/>
        </w:rPr>
        <w:t>The Company’s primary sources of cash have been proceeds from the sales of Sunosi and Auvelity, the issuance and sale of its common stock in public offerings, and the issuance of debt. The Company’s ability to achieve profitability depends on a number of factors, including its ability to obtain regulatory approval for its product candidates, successfully complete any post-approval regulatory obligations and successfully commercialize its product candidates alone or in partnership with third parties. The Company may continue to incur substantial operating losses even as it begins to generate revenues from its product candidates.</w:t>
      </w:r>
    </w:p>
    <w:p>
      <w:pPr>
        <w:spacing w:after="0" w:line="145" w:lineRule="exact"/>
        <w:rPr>
          <w:sz w:val="20"/>
          <w:szCs w:val="20"/>
          <w:color w:val="auto"/>
        </w:rPr>
      </w:pPr>
    </w:p>
    <w:p>
      <w:pPr>
        <w:ind w:right="60" w:firstLine="749"/>
        <w:spacing w:after="0" w:line="271" w:lineRule="auto"/>
        <w:rPr>
          <w:sz w:val="20"/>
          <w:szCs w:val="20"/>
          <w:color w:val="auto"/>
        </w:rPr>
      </w:pPr>
      <w:r>
        <w:rPr>
          <w:rFonts w:ascii="Arial" w:cs="Arial" w:eastAsia="Arial" w:hAnsi="Arial"/>
          <w:sz w:val="16"/>
          <w:szCs w:val="16"/>
          <w:color w:val="auto"/>
        </w:rPr>
        <w:t>The Company believes its existing cash will be sufficient to fund its anticipated operating cash requirements for at least twelve months following the date of this filing. During that time, the Company expects that its expenses will increase primarily due to the commercialization of Sunosi and Auvelity while continuing to further develop the Company's pipeline assets. The Company may use a combination of public and private equity offerings, debt financings, other third-party funding, strategic alliances, licensing arrangements or marketing and distribution arrangements if market conditions are favorable or as a result of other strategic considerations to finance its future cash needs.</w:t>
      </w:r>
    </w:p>
    <w:p>
      <w:pPr>
        <w:spacing w:after="0" w:line="176"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The Company’s common stock is listed on the Nasdaq Global Market and trades under the symbol “AXSM.”</w:t>
      </w: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8" w:name="page9"/>
    <w:bookmarkEnd w:id="8"/>
    <w:p>
      <w:pPr>
        <w:spacing w:after="0"/>
        <w:rPr>
          <w:sz w:val="20"/>
          <w:szCs w:val="20"/>
          <w:color w:val="auto"/>
        </w:rPr>
      </w:pPr>
      <w:r>
        <w:rPr>
          <w:rFonts w:ascii="Arial" w:cs="Arial" w:eastAsia="Arial" w:hAnsi="Arial"/>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3025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30250" cy="8255"/>
                    </a:xfrm>
                    <a:prstGeom prst="rect">
                      <a:avLst/>
                    </a:prstGeom>
                    <a:noFill/>
                  </pic:spPr>
                </pic:pic>
              </a:graphicData>
            </a:graphic>
          </wp:anchor>
        </w:drawing>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2. Summary of Significant Accounting Policies</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Significant Risks and Uncertainties</w:t>
      </w:r>
    </w:p>
    <w:p>
      <w:pPr>
        <w:spacing w:after="0" w:line="239" w:lineRule="exact"/>
        <w:rPr>
          <w:sz w:val="20"/>
          <w:szCs w:val="20"/>
          <w:color w:val="auto"/>
        </w:rPr>
      </w:pPr>
    </w:p>
    <w:p>
      <w:pPr>
        <w:ind w:left="760"/>
        <w:spacing w:after="0"/>
        <w:rPr>
          <w:sz w:val="20"/>
          <w:szCs w:val="20"/>
          <w:color w:val="auto"/>
        </w:rPr>
      </w:pPr>
      <w:r>
        <w:rPr>
          <w:rFonts w:ascii="Arial" w:cs="Arial" w:eastAsia="Arial" w:hAnsi="Arial"/>
          <w:sz w:val="14"/>
          <w:szCs w:val="14"/>
          <w:color w:val="auto"/>
        </w:rPr>
        <w:t>The Company’s operations are subject to a number of factors that can affect its operating results and financial condition. Such factors include, but are not limited</w:t>
      </w:r>
    </w:p>
    <w:p>
      <w:pPr>
        <w:spacing w:after="0" w:line="45" w:lineRule="exact"/>
        <w:rPr>
          <w:sz w:val="20"/>
          <w:szCs w:val="20"/>
          <w:color w:val="auto"/>
        </w:rPr>
      </w:pPr>
    </w:p>
    <w:p>
      <w:pPr>
        <w:spacing w:after="0"/>
        <w:rPr>
          <w:sz w:val="20"/>
          <w:szCs w:val="20"/>
          <w:color w:val="auto"/>
        </w:rPr>
      </w:pPr>
      <w:r>
        <w:rPr>
          <w:rFonts w:ascii="Arial" w:cs="Arial" w:eastAsia="Arial" w:hAnsi="Arial"/>
          <w:sz w:val="15"/>
          <w:szCs w:val="15"/>
          <w:color w:val="auto"/>
        </w:rPr>
        <w:t>to: the results of clinical testing and trial activities of the Company’s product candidates; the Company’s ability to obtain regulatory approval to market its products;</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color w:val="auto"/>
        </w:rPr>
        <w:t>competition from products manufactured and sold or being developed by other companies; the price of, and demand for, the Company’s products; the Company’s ability to</w:t>
      </w:r>
    </w:p>
    <w:p>
      <w:pPr>
        <w:spacing w:after="0" w:line="42" w:lineRule="exact"/>
        <w:rPr>
          <w:sz w:val="20"/>
          <w:szCs w:val="20"/>
          <w:color w:val="auto"/>
        </w:rPr>
      </w:pPr>
    </w:p>
    <w:p>
      <w:pPr>
        <w:spacing w:after="0"/>
        <w:rPr>
          <w:sz w:val="20"/>
          <w:szCs w:val="20"/>
          <w:color w:val="auto"/>
        </w:rPr>
      </w:pPr>
      <w:r>
        <w:rPr>
          <w:rFonts w:ascii="Arial" w:cs="Arial" w:eastAsia="Arial" w:hAnsi="Arial"/>
          <w:sz w:val="15"/>
          <w:szCs w:val="15"/>
          <w:color w:val="auto"/>
        </w:rPr>
        <w:t>negotiate favorable licensing or other manufacturing and marketing agreements for its products; and the Company’s ability to raise additional financing. If the Company's</w:t>
      </w:r>
    </w:p>
    <w:p>
      <w:pPr>
        <w:spacing w:after="0" w:line="30" w:lineRule="exact"/>
        <w:rPr>
          <w:sz w:val="20"/>
          <w:szCs w:val="20"/>
          <w:color w:val="auto"/>
        </w:rPr>
      </w:pPr>
    </w:p>
    <w:p>
      <w:pPr>
        <w:spacing w:after="0"/>
        <w:rPr>
          <w:sz w:val="20"/>
          <w:szCs w:val="20"/>
          <w:color w:val="auto"/>
        </w:rPr>
      </w:pPr>
      <w:r>
        <w:rPr>
          <w:rFonts w:ascii="Arial" w:cs="Arial" w:eastAsia="Arial" w:hAnsi="Arial"/>
          <w:sz w:val="15"/>
          <w:szCs w:val="15"/>
          <w:color w:val="auto"/>
        </w:rPr>
        <w:t>commercialization of its products is not financially successful, it will be unable to generate sufficient recurring product revenue to achieve and maintain profitability.</w:t>
      </w:r>
    </w:p>
    <w:p>
      <w:pPr>
        <w:spacing w:after="0" w:line="242" w:lineRule="exact"/>
        <w:rPr>
          <w:sz w:val="20"/>
          <w:szCs w:val="20"/>
          <w:color w:val="auto"/>
        </w:rPr>
      </w:pPr>
    </w:p>
    <w:p>
      <w:pPr>
        <w:ind w:right="80" w:firstLine="749"/>
        <w:spacing w:after="0" w:line="324" w:lineRule="auto"/>
        <w:rPr>
          <w:sz w:val="20"/>
          <w:szCs w:val="20"/>
          <w:color w:val="auto"/>
        </w:rPr>
      </w:pPr>
      <w:r>
        <w:rPr>
          <w:rFonts w:ascii="Arial" w:cs="Arial" w:eastAsia="Arial" w:hAnsi="Arial"/>
          <w:sz w:val="14"/>
          <w:szCs w:val="14"/>
          <w:color w:val="auto"/>
        </w:rPr>
        <w:t>The Company currently has two commercially approved products, Auvelity and Sunosi, and there can be no assurance that the Company’s research and development efforts will result in successfully commercialized products in addition to Auvelity and Sunosi. Developing and commercializing a product requires significant time and capital and is subject to regulatory review and approval as well as competition from other biotechnology and pharmaceutical companies. The Company operates in an environment of rapid change and is dependent upon the continued services of its employees and consultants and obtaining and protecting intellectual property.</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Use of Estimates</w:t>
      </w:r>
    </w:p>
    <w:p>
      <w:pPr>
        <w:spacing w:after="0" w:line="239" w:lineRule="exact"/>
        <w:rPr>
          <w:sz w:val="20"/>
          <w:szCs w:val="20"/>
          <w:color w:val="auto"/>
        </w:rPr>
      </w:pPr>
    </w:p>
    <w:p>
      <w:pPr>
        <w:ind w:firstLine="749"/>
        <w:spacing w:after="0" w:line="203" w:lineRule="exact"/>
        <w:rPr>
          <w:sz w:val="20"/>
          <w:szCs w:val="20"/>
          <w:color w:val="auto"/>
        </w:rPr>
      </w:pPr>
      <w:r>
        <w:rPr>
          <w:rFonts w:ascii="Arial" w:cs="Arial" w:eastAsia="Arial" w:hAnsi="Arial"/>
          <w:sz w:val="16"/>
          <w:szCs w:val="16"/>
          <w:color w:val="auto"/>
        </w:rPr>
        <w:t>Management considers many factors in developing the estimates and assumptions that are used in the preparation of these financial statements. Management must apply significant judgment in this process. In addition, other factors may affect estimates, including expected business and operational changes, sensitivity and volatility associated with the assumptions used in developing estimates, and whether historical trends are expected to be representative of future trends. The estimation process often may yield a range of potentially reasonable estimates of the ultimate future outcomes and management must select an amount that falls within that range of reasonable estimates. This process may result in actual results differing materially from those estimated amounts used in the preparation of the financial statements if these results differ from historical experience, or other assumptions do not turn out to be substantially accurate, even if such assumptions are reasonable when made. In preparing these financial statements, management used significant estimates in the following areas, among others: stock</w:t>
      </w:r>
      <w:r>
        <w:rPr>
          <w:rFonts w:ascii="MS PGothic" w:cs="MS PGothic" w:eastAsia="MS PGothic" w:hAnsi="MS PGothic"/>
          <w:sz w:val="16"/>
          <w:szCs w:val="16"/>
          <w:color w:val="auto"/>
        </w:rPr>
        <w:t>‑</w:t>
      </w:r>
      <w:r>
        <w:rPr>
          <w:rFonts w:ascii="Arial" w:cs="Arial" w:eastAsia="Arial" w:hAnsi="Arial"/>
          <w:sz w:val="16"/>
          <w:szCs w:val="16"/>
          <w:color w:val="auto"/>
        </w:rPr>
        <w:t>based compensation expense; the determination of the fair value of the warrants; the accounting for research and development costs; accounting for acquisitions; impairments of goodwill and intangible assets; contingent consideration; chargebacks, cash discounts, sales rebates, returns and other adjustments; and the recoverability of the Company’s net deferred tax assets and related valuation allowance.</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Revenue Recognition</w:t>
      </w:r>
    </w:p>
    <w:p>
      <w:pPr>
        <w:spacing w:after="0" w:line="239" w:lineRule="exact"/>
        <w:rPr>
          <w:sz w:val="20"/>
          <w:szCs w:val="20"/>
          <w:color w:val="auto"/>
        </w:rPr>
      </w:pPr>
    </w:p>
    <w:p>
      <w:pPr>
        <w:ind w:right="140" w:firstLine="749"/>
        <w:spacing w:after="0" w:line="297" w:lineRule="auto"/>
        <w:rPr>
          <w:sz w:val="20"/>
          <w:szCs w:val="20"/>
          <w:color w:val="auto"/>
        </w:rPr>
      </w:pPr>
      <w:r>
        <w:rPr>
          <w:rFonts w:ascii="Arial" w:cs="Arial" w:eastAsia="Arial" w:hAnsi="Arial"/>
          <w:sz w:val="15"/>
          <w:szCs w:val="15"/>
          <w:color w:val="auto"/>
        </w:rPr>
        <w:t>In accordance with ASC Topic 606, Revenue from Contracts with Customers (“ASC 606”) the Company recognizes revenue when the customer obtains control of a promised good or service, in an amount that reflects the consideration that the Company expects to receive in exchange for the good or service. Transfer of control is based on contractual performance obligations, which occurs upon transfer of the title along with the physical transfer of the Company's goods to the customer, as that is when the customer has obtained control of significantly all of the economic benefits and the Company obtains a right of payment.</w:t>
      </w:r>
    </w:p>
    <w:p>
      <w:pPr>
        <w:spacing w:after="0" w:line="172" w:lineRule="exact"/>
        <w:rPr>
          <w:sz w:val="20"/>
          <w:szCs w:val="20"/>
          <w:color w:val="auto"/>
        </w:rPr>
      </w:pPr>
    </w:p>
    <w:p>
      <w:pPr>
        <w:ind w:firstLine="749"/>
        <w:spacing w:after="0" w:line="288" w:lineRule="auto"/>
        <w:rPr>
          <w:sz w:val="20"/>
          <w:szCs w:val="20"/>
          <w:color w:val="auto"/>
        </w:rPr>
      </w:pPr>
      <w:r>
        <w:rPr>
          <w:rFonts w:ascii="Arial" w:cs="Arial" w:eastAsia="Arial" w:hAnsi="Arial"/>
          <w:sz w:val="15"/>
          <w:szCs w:val="15"/>
          <w:color w:val="auto"/>
        </w:rPr>
        <w:t>To determine revenue recognition for arrangements that the Company determines are within the scope of ASC 606, the Company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The Company only applies the five-step model to arrangements that meet the definition of a contract under ASC 606, including when it is probable that the Company will collect the consideration it is entitled to in exchange for the goods or services it transfers to the customer. At contract inception, once the contract is determined to be within the scope of ASC 606, the Company assesses the goods or services promised within each contract and determines those that are performance obligations and assesses whether each promised good or service is distinct. The Company then recognizes as revenue the amount of the transaction price that is allocated to the respective performance obligation when (or as) the performance obligation is satisfied. For a complete discussion of accounting for product sales, see Product Sales, net (below).</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9" w:name="page10"/>
    <w:bookmarkEnd w:id="9"/>
    <w:p>
      <w:pPr>
        <w:spacing w:after="0"/>
        <w:rPr>
          <w:sz w:val="20"/>
          <w:szCs w:val="20"/>
          <w:color w:val="auto"/>
        </w:rPr>
      </w:pPr>
      <w:r>
        <w:rPr>
          <w:rFonts w:ascii="Arial" w:cs="Arial" w:eastAsia="Arial" w:hAnsi="Arial"/>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3025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30250" cy="8255"/>
                    </a:xfrm>
                    <a:prstGeom prst="rect">
                      <a:avLst/>
                    </a:prstGeom>
                    <a:noFill/>
                  </pic:spPr>
                </pic:pic>
              </a:graphicData>
            </a:graphic>
          </wp:anchor>
        </w:drawing>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License Agreements</w:t>
      </w:r>
    </w:p>
    <w:p>
      <w:pPr>
        <w:spacing w:after="0" w:line="235" w:lineRule="exact"/>
        <w:rPr>
          <w:sz w:val="20"/>
          <w:szCs w:val="20"/>
          <w:color w:val="auto"/>
        </w:rPr>
      </w:pPr>
    </w:p>
    <w:p>
      <w:pPr>
        <w:jc w:val="both"/>
        <w:ind w:right="420" w:firstLine="749"/>
        <w:spacing w:after="0" w:line="305" w:lineRule="auto"/>
        <w:rPr>
          <w:sz w:val="20"/>
          <w:szCs w:val="20"/>
          <w:color w:val="auto"/>
        </w:rPr>
      </w:pPr>
      <w:r>
        <w:rPr>
          <w:rFonts w:ascii="Arial" w:cs="Arial" w:eastAsia="Arial" w:hAnsi="Arial"/>
          <w:sz w:val="15"/>
          <w:szCs w:val="15"/>
          <w:color w:val="auto"/>
        </w:rPr>
        <w:t>The Company generates revenue from license or similar agreements with pharmaceutical companies for the development and commercialization of certain products. Such agreements may include the transfer of intellectual property rights in the form of licenses. Payments made by the customer may include non-refundable upfront fees, payments based upon the achievement of defined milestones, and royalties on sales of products.</w:t>
      </w:r>
    </w:p>
    <w:p>
      <w:pPr>
        <w:spacing w:after="0" w:line="166" w:lineRule="exact"/>
        <w:rPr>
          <w:sz w:val="20"/>
          <w:szCs w:val="20"/>
          <w:color w:val="auto"/>
        </w:rPr>
      </w:pPr>
    </w:p>
    <w:p>
      <w:pPr>
        <w:ind w:firstLine="749"/>
        <w:spacing w:after="0" w:line="291" w:lineRule="auto"/>
        <w:rPr>
          <w:sz w:val="20"/>
          <w:szCs w:val="20"/>
          <w:color w:val="auto"/>
        </w:rPr>
      </w:pPr>
      <w:r>
        <w:rPr>
          <w:rFonts w:ascii="Arial" w:cs="Arial" w:eastAsia="Arial" w:hAnsi="Arial"/>
          <w:sz w:val="15"/>
          <w:szCs w:val="15"/>
          <w:color w:val="auto"/>
        </w:rPr>
        <w:t>If a license to the Company's intellectual property is determined to be distinct from the other performance obligations identified in the arrangement, the Company recognizes the transaction price allocated to the license as revenue upon transfer of control of the license. All other promised goods or services in the agreement are evaluated to determine if they are distinct. If they are not distinct, they are combined with other promised goods or services to create a bundle of promised goods or services that is distinct. Optional future services where any additional consideration paid to the Company reflects their standalone selling prices do not provide the customer with a material right and, therefore, are not considered performance obligations. If optional future services are priced in a manner which provides the customer with a significant or incremental discount, they are material rights, and are accounted for as separate performance obligations.</w:t>
      </w:r>
    </w:p>
    <w:p>
      <w:pPr>
        <w:spacing w:after="0" w:line="176" w:lineRule="exact"/>
        <w:rPr>
          <w:sz w:val="20"/>
          <w:szCs w:val="20"/>
          <w:color w:val="auto"/>
        </w:rPr>
      </w:pPr>
    </w:p>
    <w:p>
      <w:pPr>
        <w:ind w:right="20" w:firstLine="749"/>
        <w:spacing w:after="0" w:line="269" w:lineRule="auto"/>
        <w:rPr>
          <w:sz w:val="20"/>
          <w:szCs w:val="20"/>
          <w:color w:val="auto"/>
        </w:rPr>
      </w:pPr>
      <w:r>
        <w:rPr>
          <w:rFonts w:ascii="Arial" w:cs="Arial" w:eastAsia="Arial" w:hAnsi="Arial"/>
          <w:sz w:val="16"/>
          <w:szCs w:val="16"/>
          <w:color w:val="auto"/>
        </w:rPr>
        <w:t>Contingent milestones at contract inception are estimated at the amount which is not probable of a material reversal and included in the transaction price using the most likely amount method. Milestone payments that are not within the Company's control, such as regulatory approvals, are not considered probable of being achieved until those approvals are received and therefore the variable consideration is constrained. The transaction price is then allocated to each performance obligation on a relative stand-alone selling price basis, for which the Company recognizes revenue as or when the performance obligations under the contract are satisfied. At the end of each reporting period, the Company re-evaluates the probability of achieving development or sales-based milestone payments that may not be subject to a material reversal and, if necessary, adjust the estimate of the overall transaction price. Any such adjustments are recorded on a cumulative catch-up basis, which would affect license and other revenue, as well as earnings, in the period of adjustment.</w:t>
      </w:r>
    </w:p>
    <w:p>
      <w:pPr>
        <w:spacing w:after="0" w:line="190" w:lineRule="exact"/>
        <w:rPr>
          <w:sz w:val="20"/>
          <w:szCs w:val="20"/>
          <w:color w:val="auto"/>
        </w:rPr>
      </w:pPr>
    </w:p>
    <w:p>
      <w:pPr>
        <w:ind w:right="80" w:firstLine="749"/>
        <w:spacing w:after="0" w:line="278" w:lineRule="auto"/>
        <w:rPr>
          <w:sz w:val="20"/>
          <w:szCs w:val="20"/>
          <w:color w:val="auto"/>
        </w:rPr>
      </w:pPr>
      <w:r>
        <w:rPr>
          <w:rFonts w:ascii="Arial" w:cs="Arial" w:eastAsia="Arial" w:hAnsi="Arial"/>
          <w:sz w:val="16"/>
          <w:szCs w:val="16"/>
          <w:color w:val="auto"/>
        </w:rPr>
        <w:t>For arrangements that include sales-based royalties, including sales-based milestone payments, and a license of intellectual property that is deemed to be the predominant item to which the royalties relate, revenue is recognized at the later of when the related sales occur or when the performance obligation to which some or all of the royalties have been allocated has been satisfied (or partially satisfied).</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Product Sales, net</w:t>
      </w:r>
    </w:p>
    <w:p>
      <w:pPr>
        <w:spacing w:after="0" w:line="235" w:lineRule="exact"/>
        <w:rPr>
          <w:sz w:val="20"/>
          <w:szCs w:val="20"/>
          <w:color w:val="auto"/>
        </w:rPr>
      </w:pPr>
    </w:p>
    <w:p>
      <w:pPr>
        <w:ind w:firstLine="749"/>
        <w:spacing w:after="0" w:line="269" w:lineRule="auto"/>
        <w:rPr>
          <w:sz w:val="20"/>
          <w:szCs w:val="20"/>
          <w:color w:val="auto"/>
        </w:rPr>
      </w:pPr>
      <w:r>
        <w:rPr>
          <w:rFonts w:ascii="Arial" w:cs="Arial" w:eastAsia="Arial" w:hAnsi="Arial"/>
          <w:sz w:val="16"/>
          <w:szCs w:val="16"/>
          <w:color w:val="auto"/>
        </w:rPr>
        <w:t>The Company sells Sunosi and Auvelity in the United States through wholesale distributors (collectively the "Distributors") with whom the Company has entered into formal agreements for delivery to retail pharmacies. The Company sells Sunosi internationally through local distributors for delivery primarily to retail pharmacies and hospitals. For the three months ended June 30, 2023, product sales, net were $18.4 million for Sunosi, including $0.6 million in ex-U.S. market sales, and $27.6 million for Auvelity, and includes adjustments for provisions for product sales made in 2022 resulting from changes in estimates of $0.4 million for Sunosi and $0.1 million for Auvelity. For the six months ended June 30, 2023, product sales, net were $31.3 million for Sunosi, including $2.3 million in ex-U.S. market sales, and $43.3 million for Auvelity, and includes adjustments for provisions for product sales made in 2022 resulting from changes in estimates of $0.1 million for Sunosi and $0.8 million for Auvelity.</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Reserves for Variable Consideration</w:t>
      </w:r>
    </w:p>
    <w:p>
      <w:pPr>
        <w:spacing w:after="0" w:line="235" w:lineRule="exact"/>
        <w:rPr>
          <w:sz w:val="20"/>
          <w:szCs w:val="20"/>
          <w:color w:val="auto"/>
        </w:rPr>
      </w:pPr>
    </w:p>
    <w:p>
      <w:pPr>
        <w:ind w:right="140" w:firstLine="749"/>
        <w:spacing w:after="0" w:line="315" w:lineRule="auto"/>
        <w:rPr>
          <w:sz w:val="20"/>
          <w:szCs w:val="20"/>
          <w:color w:val="auto"/>
        </w:rPr>
      </w:pPr>
      <w:r>
        <w:rPr>
          <w:rFonts w:ascii="Arial" w:cs="Arial" w:eastAsia="Arial" w:hAnsi="Arial"/>
          <w:sz w:val="14"/>
          <w:szCs w:val="14"/>
          <w:color w:val="auto"/>
        </w:rPr>
        <w:t>The Company's estimates of variable consideration and determination of whether to include estimated amounts in the transaction price are based largely on an assessment of its anticipated performance and all information (historical, current and forecasted) that is reasonably available. These reserves reflect the Company's best estimate of the amount of consideration to which the Company is entitled based on the terms of the contracts. The amount of variable consideration that is included in the transaction price may be constrained and is included in the net sales price only to the extent that is considered probable that a significant reversal in the amount of the cumulative revenue recognized will not occur in a future period. Actual amounts of consideration ultimately received may differ from the estimates. If actual results in the future vary from our estimates, the Company will adjust these estimates, which would affect net product revenue and earnings in the period such variances become known.</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0" w:name="page11"/>
    <w:bookmarkEnd w:id="10"/>
    <w:p>
      <w:pPr>
        <w:spacing w:after="0"/>
        <w:rPr>
          <w:sz w:val="20"/>
          <w:szCs w:val="20"/>
          <w:color w:val="auto"/>
        </w:rPr>
      </w:pPr>
      <w:r>
        <w:rPr>
          <w:rFonts w:ascii="Arial" w:cs="Arial" w:eastAsia="Arial" w:hAnsi="Arial"/>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3025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30250" cy="8255"/>
                    </a:xfrm>
                    <a:prstGeom prst="rect">
                      <a:avLst/>
                    </a:prstGeom>
                    <a:noFill/>
                  </pic:spPr>
                </pic:pic>
              </a:graphicData>
            </a:graphic>
          </wp:anchor>
        </w:drawing>
      </w:r>
    </w:p>
    <w:p>
      <w:pPr>
        <w:spacing w:after="0" w:line="215" w:lineRule="exact"/>
        <w:rPr>
          <w:sz w:val="20"/>
          <w:szCs w:val="20"/>
          <w:color w:val="auto"/>
        </w:rPr>
      </w:pPr>
    </w:p>
    <w:p>
      <w:pPr>
        <w:ind w:firstLine="749"/>
        <w:spacing w:after="0" w:line="293" w:lineRule="auto"/>
        <w:rPr>
          <w:sz w:val="20"/>
          <w:szCs w:val="20"/>
          <w:color w:val="auto"/>
        </w:rPr>
      </w:pPr>
      <w:r>
        <w:rPr>
          <w:rFonts w:ascii="Arial" w:cs="Arial" w:eastAsia="Arial" w:hAnsi="Arial"/>
          <w:sz w:val="15"/>
          <w:szCs w:val="15"/>
          <w:color w:val="auto"/>
        </w:rPr>
        <w:t>The provision for rebates, discounts, and other incentives is based on expected patient usage, as well as inventory levels in the distribution channel to determine the contractual obligation to the benefit providers. Additionally, sales are generally made with a limited right of return under certain conditions. Revenues are recorded net of provisions for rebates, discounts, and other incentives and returns, which are established at the time of sale. The Company uses customer segment utilization mix data, changes to product price, government pricing calculations and prior payment history in order to estimate the variable consideration. Amounts accrued for rebates, discounts, and other incentives are adjusted when trends indicate that adjustment is appropriate and to reflect actual experience.</w:t>
      </w:r>
    </w:p>
    <w:p>
      <w:pPr>
        <w:spacing w:after="0" w:line="176" w:lineRule="exact"/>
        <w:rPr>
          <w:sz w:val="20"/>
          <w:szCs w:val="20"/>
          <w:color w:val="auto"/>
        </w:rPr>
      </w:pPr>
    </w:p>
    <w:p>
      <w:pPr>
        <w:ind w:right="80" w:firstLine="749"/>
        <w:spacing w:after="0" w:line="273" w:lineRule="auto"/>
        <w:rPr>
          <w:sz w:val="20"/>
          <w:szCs w:val="20"/>
          <w:color w:val="auto"/>
        </w:rPr>
      </w:pPr>
      <w:r>
        <w:rPr>
          <w:rFonts w:ascii="Arial" w:cs="Arial" w:eastAsia="Arial" w:hAnsi="Arial"/>
          <w:sz w:val="16"/>
          <w:szCs w:val="16"/>
          <w:i w:val="1"/>
          <w:iCs w:val="1"/>
          <w:color w:val="auto"/>
        </w:rPr>
        <w:t xml:space="preserve">Trade Discounts and Allowances - </w:t>
      </w:r>
      <w:r>
        <w:rPr>
          <w:rFonts w:ascii="Arial" w:cs="Arial" w:eastAsia="Arial" w:hAnsi="Arial"/>
          <w:sz w:val="16"/>
          <w:szCs w:val="16"/>
          <w:color w:val="auto"/>
        </w:rPr>
        <w:t>The Company generally provides discounts which include incentive fees that are explicitly stated in the Company’s contracts</w:t>
      </w:r>
      <w:r>
        <w:rPr>
          <w:rFonts w:ascii="Arial" w:cs="Arial" w:eastAsia="Arial" w:hAnsi="Arial"/>
          <w:sz w:val="16"/>
          <w:szCs w:val="16"/>
          <w:i w:val="1"/>
          <w:iCs w:val="1"/>
          <w:color w:val="auto"/>
        </w:rPr>
        <w:t xml:space="preserve"> </w:t>
      </w:r>
      <w:r>
        <w:rPr>
          <w:rFonts w:ascii="Arial" w:cs="Arial" w:eastAsia="Arial" w:hAnsi="Arial"/>
          <w:sz w:val="16"/>
          <w:szCs w:val="16"/>
          <w:color w:val="auto"/>
        </w:rPr>
        <w:t>and are recorded as a reduction of revenue in the period the related product revenue is recognized. In addition, the Company compensates (through trade discounts and allowances) its distributors for distribution services and data. These payments have been recorded as a reduction to product sales as well as a reduction to accounts receivables, net on the consolidated balance sheets.</w:t>
      </w:r>
    </w:p>
    <w:p>
      <w:pPr>
        <w:spacing w:after="0" w:line="189" w:lineRule="exact"/>
        <w:rPr>
          <w:sz w:val="20"/>
          <w:szCs w:val="20"/>
          <w:color w:val="auto"/>
        </w:rPr>
      </w:pPr>
    </w:p>
    <w:p>
      <w:pPr>
        <w:ind w:right="280" w:firstLine="749"/>
        <w:spacing w:after="0" w:line="273" w:lineRule="auto"/>
        <w:rPr>
          <w:sz w:val="20"/>
          <w:szCs w:val="20"/>
          <w:color w:val="auto"/>
        </w:rPr>
      </w:pPr>
      <w:r>
        <w:rPr>
          <w:rFonts w:ascii="Arial" w:cs="Arial" w:eastAsia="Arial" w:hAnsi="Arial"/>
          <w:sz w:val="16"/>
          <w:szCs w:val="16"/>
          <w:i w:val="1"/>
          <w:iCs w:val="1"/>
          <w:color w:val="auto"/>
        </w:rPr>
        <w:t xml:space="preserve">Product Returns - </w:t>
      </w:r>
      <w:r>
        <w:rPr>
          <w:rFonts w:ascii="Arial" w:cs="Arial" w:eastAsia="Arial" w:hAnsi="Arial"/>
          <w:sz w:val="16"/>
          <w:szCs w:val="16"/>
          <w:color w:val="auto"/>
        </w:rPr>
        <w:t>Consistent with industry practice, the Company generally offers a limited right of return for product that has been purchased from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based on the product’s expiration date. The Company estimates the amount of its product sales that may be returned and records this estimate as a reduction of revenue in the period the related product sales is recognized, as well as a component of accrued expense and other current liabilities. The Company currently estimates product return liabilities using available industry data, product sales information and actual returns experience.</w:t>
      </w:r>
    </w:p>
    <w:p>
      <w:pPr>
        <w:spacing w:after="0" w:line="189" w:lineRule="exact"/>
        <w:rPr>
          <w:sz w:val="20"/>
          <w:szCs w:val="20"/>
          <w:color w:val="auto"/>
        </w:rPr>
      </w:pPr>
    </w:p>
    <w:p>
      <w:pPr>
        <w:ind w:right="20" w:firstLine="749"/>
        <w:spacing w:after="0" w:line="273" w:lineRule="auto"/>
        <w:rPr>
          <w:sz w:val="20"/>
          <w:szCs w:val="20"/>
          <w:color w:val="auto"/>
        </w:rPr>
      </w:pPr>
      <w:r>
        <w:rPr>
          <w:rFonts w:ascii="Arial" w:cs="Arial" w:eastAsia="Arial" w:hAnsi="Arial"/>
          <w:sz w:val="16"/>
          <w:szCs w:val="16"/>
          <w:i w:val="1"/>
          <w:iCs w:val="1"/>
          <w:color w:val="auto"/>
        </w:rPr>
        <w:t xml:space="preserve">Chargebacks and Discounts - </w:t>
      </w:r>
      <w:r>
        <w:rPr>
          <w:rFonts w:ascii="Arial" w:cs="Arial" w:eastAsia="Arial" w:hAnsi="Arial"/>
          <w:sz w:val="16"/>
          <w:szCs w:val="16"/>
          <w:color w:val="auto"/>
        </w:rPr>
        <w:t>Chargebacks for fees and discounts to providers represent the estimated obligations resulting from contractual commitments to sell</w:t>
      </w:r>
      <w:r>
        <w:rPr>
          <w:rFonts w:ascii="Arial" w:cs="Arial" w:eastAsia="Arial" w:hAnsi="Arial"/>
          <w:sz w:val="16"/>
          <w:szCs w:val="16"/>
          <w:i w:val="1"/>
          <w:iCs w:val="1"/>
          <w:color w:val="auto"/>
        </w:rPr>
        <w:t xml:space="preserve"> </w:t>
      </w:r>
      <w:r>
        <w:rPr>
          <w:rFonts w:ascii="Arial" w:cs="Arial" w:eastAsia="Arial" w:hAnsi="Arial"/>
          <w:sz w:val="16"/>
          <w:szCs w:val="16"/>
          <w:color w:val="auto"/>
        </w:rPr>
        <w:t>products at prices lower than the list prices charged to distributors. Distributors charge the Company for the difference between what they pay for the product and the ultimate selling price. These reserves are established in the same period that the related product sales are recognized, resulting in a reduction to product sales and accounts receivables, net.</w:t>
      </w:r>
    </w:p>
    <w:p>
      <w:pPr>
        <w:spacing w:after="0" w:line="189" w:lineRule="exact"/>
        <w:rPr>
          <w:sz w:val="20"/>
          <w:szCs w:val="20"/>
          <w:color w:val="auto"/>
        </w:rPr>
      </w:pPr>
    </w:p>
    <w:p>
      <w:pPr>
        <w:ind w:right="60" w:firstLine="749"/>
        <w:spacing w:after="0" w:line="291" w:lineRule="auto"/>
        <w:rPr>
          <w:sz w:val="20"/>
          <w:szCs w:val="20"/>
          <w:color w:val="auto"/>
        </w:rPr>
      </w:pPr>
      <w:r>
        <w:rPr>
          <w:rFonts w:ascii="Arial" w:cs="Arial" w:eastAsia="Arial" w:hAnsi="Arial"/>
          <w:sz w:val="15"/>
          <w:szCs w:val="15"/>
          <w:i w:val="1"/>
          <w:iCs w:val="1"/>
          <w:color w:val="auto"/>
        </w:rPr>
        <w:t xml:space="preserve">Rebates - </w:t>
      </w:r>
      <w:r>
        <w:rPr>
          <w:rFonts w:ascii="Arial" w:cs="Arial" w:eastAsia="Arial" w:hAnsi="Arial"/>
          <w:sz w:val="15"/>
          <w:szCs w:val="15"/>
          <w:color w:val="auto"/>
        </w:rPr>
        <w:t>Rebates apply to: Medicaid, managed care, and supplemental rebates to all applicable states as defined by the statutory government pricing calculation</w:t>
      </w:r>
      <w:r>
        <w:rPr>
          <w:rFonts w:ascii="Arial" w:cs="Arial" w:eastAsia="Arial" w:hAnsi="Arial"/>
          <w:sz w:val="15"/>
          <w:szCs w:val="15"/>
          <w:i w:val="1"/>
          <w:iCs w:val="1"/>
          <w:color w:val="auto"/>
        </w:rPr>
        <w:t xml:space="preserve"> </w:t>
      </w:r>
      <w:r>
        <w:rPr>
          <w:rFonts w:ascii="Arial" w:cs="Arial" w:eastAsia="Arial" w:hAnsi="Arial"/>
          <w:sz w:val="15"/>
          <w:szCs w:val="15"/>
          <w:color w:val="auto"/>
        </w:rPr>
        <w:t>requirements under the Medicaid Drug Rebate Program. Tricare rebates to the TRICARE third-party administrator based on the statutory calculation defined in the agreement with the Defense Health Agency. Part D and Commercial Managed Care rebates are paid based on the contracts with Pharmacy Benefit Managers ("PBMs") and Managed Care Organizations. Rebates are paid to these entities upon receipt of an invoice from the contracted entity which is based on the utilization of the product by the members of the contracted entity. The Company estimates these rebates and records such estimates in the same period the related product sales is recognized, resulting in a reduction to product sales as well as a component of accrued expense and other current liabilities.</w:t>
      </w:r>
    </w:p>
    <w:p>
      <w:pPr>
        <w:spacing w:after="0" w:line="176" w:lineRule="exact"/>
        <w:rPr>
          <w:sz w:val="20"/>
          <w:szCs w:val="20"/>
          <w:color w:val="auto"/>
        </w:rPr>
      </w:pPr>
    </w:p>
    <w:p>
      <w:pPr>
        <w:ind w:right="20" w:firstLine="749"/>
        <w:spacing w:after="0" w:line="273" w:lineRule="auto"/>
        <w:rPr>
          <w:sz w:val="20"/>
          <w:szCs w:val="20"/>
          <w:color w:val="auto"/>
        </w:rPr>
      </w:pPr>
      <w:r>
        <w:rPr>
          <w:rFonts w:ascii="Arial" w:cs="Arial" w:eastAsia="Arial" w:hAnsi="Arial"/>
          <w:sz w:val="16"/>
          <w:szCs w:val="16"/>
          <w:i w:val="1"/>
          <w:iCs w:val="1"/>
          <w:color w:val="auto"/>
        </w:rPr>
        <w:t xml:space="preserve">Coverage Gap - </w:t>
      </w:r>
      <w:r>
        <w:rPr>
          <w:rFonts w:ascii="Arial" w:cs="Arial" w:eastAsia="Arial" w:hAnsi="Arial"/>
          <w:sz w:val="16"/>
          <w:szCs w:val="16"/>
          <w:color w:val="auto"/>
        </w:rPr>
        <w:t>The Medicare Part D coverage gap is a period of consumer payment for prescription medication costs which lies between the initial coverage</w:t>
      </w:r>
      <w:r>
        <w:rPr>
          <w:rFonts w:ascii="Arial" w:cs="Arial" w:eastAsia="Arial" w:hAnsi="Arial"/>
          <w:sz w:val="16"/>
          <w:szCs w:val="16"/>
          <w:i w:val="1"/>
          <w:iCs w:val="1"/>
          <w:color w:val="auto"/>
        </w:rPr>
        <w:t xml:space="preserve"> </w:t>
      </w:r>
      <w:r>
        <w:rPr>
          <w:rFonts w:ascii="Arial" w:cs="Arial" w:eastAsia="Arial" w:hAnsi="Arial"/>
          <w:sz w:val="16"/>
          <w:szCs w:val="16"/>
          <w:color w:val="auto"/>
        </w:rPr>
        <w:t>limit and the catastrophic-coverage threshold, when the patient is a member of a Medicare Part D prescription-drug program administered by the Centers for Medicare &amp; Medicaid Services. The Company estimates the percentage of goods sold under Coverage Gap and adjusts the transaction price for such discount at the time of sale resulting in a reduction to product sales as well as a component of accrued expense and other current liabilities.</w:t>
      </w:r>
    </w:p>
    <w:p>
      <w:pPr>
        <w:spacing w:after="0" w:line="189" w:lineRule="exact"/>
        <w:rPr>
          <w:sz w:val="20"/>
          <w:szCs w:val="20"/>
          <w:color w:val="auto"/>
        </w:rPr>
      </w:pPr>
    </w:p>
    <w:p>
      <w:pPr>
        <w:ind w:right="40" w:firstLine="749"/>
        <w:spacing w:after="0" w:line="271" w:lineRule="auto"/>
        <w:rPr>
          <w:sz w:val="20"/>
          <w:szCs w:val="20"/>
          <w:color w:val="auto"/>
        </w:rPr>
      </w:pPr>
      <w:r>
        <w:rPr>
          <w:rFonts w:ascii="Arial" w:cs="Arial" w:eastAsia="Arial" w:hAnsi="Arial"/>
          <w:sz w:val="16"/>
          <w:szCs w:val="16"/>
          <w:i w:val="1"/>
          <w:iCs w:val="1"/>
          <w:color w:val="auto"/>
        </w:rPr>
        <w:t xml:space="preserve">Other Incentives - </w:t>
      </w:r>
      <w:r>
        <w:rPr>
          <w:rFonts w:ascii="Arial" w:cs="Arial" w:eastAsia="Arial" w:hAnsi="Arial"/>
          <w:sz w:val="16"/>
          <w:szCs w:val="16"/>
          <w:color w:val="auto"/>
        </w:rPr>
        <w:t>Other incentives which the Company offers include voluntary patient assistance programs, such as the co-pay assistance program, which are</w:t>
      </w:r>
      <w:r>
        <w:rPr>
          <w:rFonts w:ascii="Arial" w:cs="Arial" w:eastAsia="Arial" w:hAnsi="Arial"/>
          <w:sz w:val="16"/>
          <w:szCs w:val="16"/>
          <w:i w:val="1"/>
          <w:iCs w:val="1"/>
          <w:color w:val="auto"/>
        </w:rPr>
        <w:t xml:space="preserve"> </w:t>
      </w:r>
      <w:r>
        <w:rPr>
          <w:rFonts w:ascii="Arial" w:cs="Arial" w:eastAsia="Arial" w:hAnsi="Arial"/>
          <w:sz w:val="16"/>
          <w:szCs w:val="16"/>
          <w:color w:val="auto"/>
        </w:rPr>
        <w:t>intended to provide financial assistance to qualified commercially-insured patients with prescription drug co-payments required by payers. The calculation of the accrual for co-pay assistance is based on an estimate of claims and the cost per claim that the Company expects to receive associated with product that has been recognized as revenue. The adjustments are recorded in the same period the related revenue is recognized, resulting in a reduction of product sales as well as a component of accrued expense and other current liabilities.</w:t>
      </w:r>
    </w:p>
    <w:p>
      <w:pPr>
        <w:spacing w:after="0" w:line="190" w:lineRule="exact"/>
        <w:rPr>
          <w:sz w:val="20"/>
          <w:szCs w:val="20"/>
          <w:color w:val="auto"/>
        </w:rPr>
      </w:pPr>
    </w:p>
    <w:p>
      <w:pPr>
        <w:jc w:val="both"/>
        <w:ind w:right="140" w:firstLine="749"/>
        <w:spacing w:after="0" w:line="273" w:lineRule="auto"/>
        <w:rPr>
          <w:sz w:val="20"/>
          <w:szCs w:val="20"/>
          <w:color w:val="auto"/>
        </w:rPr>
      </w:pPr>
      <w:r>
        <w:rPr>
          <w:rFonts w:ascii="Arial" w:cs="Arial" w:eastAsia="Arial" w:hAnsi="Arial"/>
          <w:sz w:val="16"/>
          <w:szCs w:val="16"/>
          <w:color w:val="auto"/>
        </w:rPr>
        <w:t>The Company makes significant estimates and judgments that materially affect its recognition of net product revenue. Claims by third-party payors for rebates, chargebacks and discounts frequently are submitted to the Company significantly after the related sales, potentially resulting in adjustments in the period in which the new information becomes known. The Company will adjust its estimates based on new information, including information regarding actual rebates, chargebacks and discounts for its products, as it becomes available.</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License revenue</w:t>
      </w:r>
    </w:p>
    <w:p>
      <w:pPr>
        <w:spacing w:after="0" w:line="235" w:lineRule="exact"/>
        <w:rPr>
          <w:sz w:val="20"/>
          <w:szCs w:val="20"/>
          <w:color w:val="auto"/>
        </w:rPr>
      </w:pPr>
    </w:p>
    <w:p>
      <w:pPr>
        <w:ind w:left="760"/>
        <w:spacing w:after="0"/>
        <w:rPr>
          <w:sz w:val="20"/>
          <w:szCs w:val="20"/>
          <w:color w:val="auto"/>
        </w:rPr>
      </w:pPr>
      <w:r>
        <w:rPr>
          <w:rFonts w:ascii="Arial" w:cs="Arial" w:eastAsia="Arial" w:hAnsi="Arial"/>
          <w:sz w:val="16"/>
          <w:szCs w:val="16"/>
          <w:color w:val="auto"/>
        </w:rPr>
        <w:t>License revenue consists of the recognition of the upfront payment the Company received from Pharmanovia in February 2023.</w:t>
      </w: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11" w:name="page12"/>
    <w:bookmarkEnd w:id="11"/>
    <w:p>
      <w:pPr>
        <w:spacing w:after="0"/>
        <w:rPr>
          <w:sz w:val="20"/>
          <w:szCs w:val="20"/>
          <w:color w:val="auto"/>
        </w:rPr>
      </w:pPr>
      <w:r>
        <w:rPr>
          <w:rFonts w:ascii="Arial" w:cs="Arial" w:eastAsia="Arial" w:hAnsi="Arial"/>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3025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30250" cy="8255"/>
                    </a:xfrm>
                    <a:prstGeom prst="rect">
                      <a:avLst/>
                    </a:prstGeom>
                    <a:noFill/>
                  </pic:spPr>
                </pic:pic>
              </a:graphicData>
            </a:graphic>
          </wp:anchor>
        </w:drawing>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Cost of revenue</w:t>
      </w:r>
    </w:p>
    <w:p>
      <w:pPr>
        <w:spacing w:after="0" w:line="239" w:lineRule="exact"/>
        <w:rPr>
          <w:sz w:val="20"/>
          <w:szCs w:val="20"/>
          <w:color w:val="auto"/>
        </w:rPr>
      </w:pPr>
    </w:p>
    <w:p>
      <w:pPr>
        <w:ind w:right="180" w:firstLine="749"/>
        <w:spacing w:after="0" w:line="293" w:lineRule="auto"/>
        <w:rPr>
          <w:sz w:val="20"/>
          <w:szCs w:val="20"/>
          <w:color w:val="auto"/>
        </w:rPr>
      </w:pPr>
      <w:r>
        <w:rPr>
          <w:rFonts w:ascii="Arial" w:cs="Arial" w:eastAsia="Arial" w:hAnsi="Arial"/>
          <w:sz w:val="15"/>
          <w:szCs w:val="15"/>
          <w:color w:val="auto"/>
        </w:rPr>
        <w:t>The Company's cost of revenue consists of cost of product sales and a fee sharing expense related to the upfront license revenue received. The cost of product sales for both Sunosi and Auvelity were $4.6 million and $7.2 million for the three and six months ended June 30, 2023, respectively. For the six months ended June 30, 2023, the Company recorded a $5.0 million fee sharing expense related to the upfront license revenue received. Cost of product sales primarily include direct costs (inclusive of material, shipping, handling, and manufacturing costs), overhead and product royalties. Cost of product sales excludes depreciation and amortization. Cost of product sales, which only related to sales of Sunosi, was approximately $1.0 million for the three and six months ended June 30, 2022.</w:t>
      </w:r>
    </w:p>
    <w:p>
      <w:pPr>
        <w:spacing w:after="0" w:line="176" w:lineRule="exact"/>
        <w:rPr>
          <w:sz w:val="20"/>
          <w:szCs w:val="20"/>
          <w:color w:val="auto"/>
        </w:rPr>
      </w:pPr>
    </w:p>
    <w:p>
      <w:pPr>
        <w:ind w:right="60" w:firstLine="749"/>
        <w:spacing w:after="0" w:line="269" w:lineRule="auto"/>
        <w:rPr>
          <w:sz w:val="20"/>
          <w:szCs w:val="20"/>
          <w:color w:val="auto"/>
        </w:rPr>
      </w:pPr>
      <w:r>
        <w:rPr>
          <w:rFonts w:ascii="Arial" w:cs="Arial" w:eastAsia="Arial" w:hAnsi="Arial"/>
          <w:sz w:val="16"/>
          <w:szCs w:val="16"/>
          <w:color w:val="auto"/>
        </w:rPr>
        <w:t>The Company assumed royalty and sales-based milestone commitments of Jazz to SK Biopharmaceuticals Co. Ltd. (“SK”) and Aerial Biopharma, LLC (“Aerial”). SK is the originator of Sunosi and retains rights in 12 Asian markets, including China, Korea, and Japan. In 2014, Jazz acquired from Aerial worldwide rights to Sunosi excluding those Asian markets stated previously. The assumed commitments to SK and Aerial include single-digit tiered royalties based on the Company's sales of Sunosi, and the Company is committed to pay up to $165 million based on revenue milestones and $1 million based on development milestones. Additionally, the Company pays a royalty to Antecip Bioventures II LLC (“Antecip”), an entity owned by Axsome’s Chief Executive Officer and Chairman of the Board, Herriot Tabuteau, M.D., equal to 3.0% of Auvelity net sales.</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Foreign Currency Translation</w:t>
      </w:r>
    </w:p>
    <w:p>
      <w:pPr>
        <w:spacing w:after="0" w:line="239" w:lineRule="exact"/>
        <w:rPr>
          <w:sz w:val="20"/>
          <w:szCs w:val="20"/>
          <w:color w:val="auto"/>
        </w:rPr>
      </w:pPr>
    </w:p>
    <w:p>
      <w:pPr>
        <w:ind w:right="300" w:firstLine="749"/>
        <w:spacing w:after="0" w:line="278" w:lineRule="auto"/>
        <w:rPr>
          <w:sz w:val="20"/>
          <w:szCs w:val="20"/>
          <w:color w:val="auto"/>
        </w:rPr>
      </w:pPr>
      <w:r>
        <w:rPr>
          <w:rFonts w:ascii="Arial" w:cs="Arial" w:eastAsia="Arial" w:hAnsi="Arial"/>
          <w:sz w:val="16"/>
          <w:szCs w:val="16"/>
          <w:color w:val="auto"/>
        </w:rPr>
        <w:t>Expenses denominated in foreign currency are translated into U.S. dollars at the exchange rate on the date the expense is incurred. Assets and liabilities of foreign operations are translated at period-end exchange rates. The effect of exchange rate fluctuations on translating foreign currency into U.S. dollars is included in the Statements of Operations and is not material to the Company’s financial statements.</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Segment and Geographic Information</w:t>
      </w:r>
    </w:p>
    <w:p>
      <w:pPr>
        <w:spacing w:after="0" w:line="239" w:lineRule="exact"/>
        <w:rPr>
          <w:sz w:val="20"/>
          <w:szCs w:val="20"/>
          <w:color w:val="auto"/>
        </w:rPr>
      </w:pPr>
    </w:p>
    <w:p>
      <w:pPr>
        <w:ind w:right="40" w:firstLine="749"/>
        <w:spacing w:after="0" w:line="305" w:lineRule="auto"/>
        <w:rPr>
          <w:sz w:val="20"/>
          <w:szCs w:val="20"/>
          <w:color w:val="auto"/>
        </w:rPr>
      </w:pPr>
      <w:r>
        <w:rPr>
          <w:rFonts w:ascii="Arial" w:cs="Arial" w:eastAsia="Arial" w:hAnsi="Arial"/>
          <w:sz w:val="15"/>
          <w:szCs w:val="15"/>
          <w:color w:val="auto"/>
        </w:rPr>
        <w:t>Operating segments are defined as components of an enterprise for which separate discrete information is available for evaluation by the chief operating decision maker or decision-making group, in deciding how to allocate resources and in assessing performance. The Company views its operations and manages its business as one operating segment and reporting unit, which is the business of developing and delivering novel therapies for the management of CNS disorders.</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Cash Equivalents</w:t>
      </w:r>
    </w:p>
    <w:p>
      <w:pPr>
        <w:spacing w:after="0" w:line="239" w:lineRule="exact"/>
        <w:rPr>
          <w:sz w:val="20"/>
          <w:szCs w:val="20"/>
          <w:color w:val="auto"/>
        </w:rPr>
      </w:pPr>
    </w:p>
    <w:p>
      <w:pPr>
        <w:ind w:right="20" w:firstLine="749"/>
        <w:spacing w:after="0" w:line="271" w:lineRule="auto"/>
        <w:rPr>
          <w:sz w:val="20"/>
          <w:szCs w:val="20"/>
          <w:color w:val="auto"/>
        </w:rPr>
      </w:pPr>
      <w:r>
        <w:rPr>
          <w:rFonts w:ascii="Arial" w:cs="Arial" w:eastAsia="Arial" w:hAnsi="Arial"/>
          <w:sz w:val="16"/>
          <w:szCs w:val="16"/>
          <w:color w:val="auto"/>
        </w:rPr>
        <w:t>The Company considers all highly liquid investments that have maturities of three months or less when acquired to be cash equivalents. The Company’s cash and cash equivalents includes holdings in checking and overnight sweep accounts. The Company’s cash equivalents, which are money market funds held in a sweep account, are measured at fair value on a recurring basis. As of June 30, 2023, the balance of cash and cash equivalents was $437.1 million, which approximates fair value and was determined based upon Level 1 inputs. The sweep account is valued using quoted market prices with no valuation adjustments applied. Accordingly, these securities are categorized as Level 1.</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Concentration of Risk</w:t>
      </w:r>
    </w:p>
    <w:p>
      <w:pPr>
        <w:spacing w:after="0" w:line="239" w:lineRule="exact"/>
        <w:rPr>
          <w:sz w:val="20"/>
          <w:szCs w:val="20"/>
          <w:color w:val="auto"/>
        </w:rPr>
      </w:pPr>
    </w:p>
    <w:p>
      <w:pPr>
        <w:ind w:firstLine="749"/>
        <w:spacing w:after="0" w:line="271" w:lineRule="auto"/>
        <w:rPr>
          <w:sz w:val="20"/>
          <w:szCs w:val="20"/>
          <w:color w:val="auto"/>
        </w:rPr>
      </w:pPr>
      <w:r>
        <w:rPr>
          <w:rFonts w:ascii="Arial" w:cs="Arial" w:eastAsia="Arial" w:hAnsi="Arial"/>
          <w:sz w:val="16"/>
          <w:szCs w:val="16"/>
          <w:i w:val="1"/>
          <w:iCs w:val="1"/>
          <w:color w:val="auto"/>
        </w:rPr>
        <w:t xml:space="preserve">Concentration of Credit Risk </w:t>
      </w:r>
      <w:r>
        <w:rPr>
          <w:rFonts w:ascii="Arial" w:cs="Arial" w:eastAsia="Arial" w:hAnsi="Arial"/>
          <w:sz w:val="16"/>
          <w:szCs w:val="16"/>
          <w:color w:val="auto"/>
        </w:rPr>
        <w:t>- Financial instruments that potentially subject the Company to a concentration of credit risk consist of cash and cash equivalents.</w:t>
      </w:r>
      <w:r>
        <w:rPr>
          <w:rFonts w:ascii="Arial" w:cs="Arial" w:eastAsia="Arial" w:hAnsi="Arial"/>
          <w:sz w:val="16"/>
          <w:szCs w:val="16"/>
          <w:i w:val="1"/>
          <w:iCs w:val="1"/>
          <w:color w:val="auto"/>
        </w:rPr>
        <w:t xml:space="preserve"> </w:t>
      </w:r>
      <w:r>
        <w:rPr>
          <w:rFonts w:ascii="Arial" w:cs="Arial" w:eastAsia="Arial" w:hAnsi="Arial"/>
          <w:sz w:val="16"/>
          <w:szCs w:val="16"/>
          <w:color w:val="auto"/>
        </w:rPr>
        <w:t>The Company maintains its cash at financial institutions which exceed insured limits. At June 30, 2023, the majority of the Company’s cash was held by two financial institutions and amounts on deposit were in excess of government-provided insurance limits. The Company places its cash and cash equivalents in what it believes to be high credit quality banks and money market funds and has not recognized any losses from credit risks on such accounts since inception. See Accounts Receivables, net below for further information.</w:t>
      </w:r>
    </w:p>
    <w:p>
      <w:pPr>
        <w:spacing w:after="0" w:line="190" w:lineRule="exact"/>
        <w:rPr>
          <w:sz w:val="20"/>
          <w:szCs w:val="20"/>
          <w:color w:val="auto"/>
        </w:rPr>
      </w:pPr>
    </w:p>
    <w:p>
      <w:pPr>
        <w:ind w:right="220" w:firstLine="749"/>
        <w:spacing w:after="0" w:line="293" w:lineRule="auto"/>
        <w:rPr>
          <w:sz w:val="20"/>
          <w:szCs w:val="20"/>
          <w:color w:val="auto"/>
        </w:rPr>
      </w:pPr>
      <w:r>
        <w:rPr>
          <w:rFonts w:ascii="Arial" w:cs="Arial" w:eastAsia="Arial" w:hAnsi="Arial"/>
          <w:sz w:val="16"/>
          <w:szCs w:val="16"/>
          <w:i w:val="1"/>
          <w:iCs w:val="1"/>
          <w:color w:val="auto"/>
        </w:rPr>
        <w:t xml:space="preserve">Concentration of Risk, Other </w:t>
      </w:r>
      <w:r>
        <w:rPr>
          <w:rFonts w:ascii="Arial" w:cs="Arial" w:eastAsia="Arial" w:hAnsi="Arial"/>
          <w:sz w:val="16"/>
          <w:szCs w:val="16"/>
          <w:color w:val="auto"/>
        </w:rPr>
        <w:t>- We have a limited number of contract manufacturers for our products. At times we may have only one manufacturer or supplier</w:t>
      </w:r>
      <w:r>
        <w:rPr>
          <w:rFonts w:ascii="Arial" w:cs="Arial" w:eastAsia="Arial" w:hAnsi="Arial"/>
          <w:sz w:val="16"/>
          <w:szCs w:val="16"/>
          <w:i w:val="1"/>
          <w:iCs w:val="1"/>
          <w:color w:val="auto"/>
        </w:rPr>
        <w:t xml:space="preserve"> </w:t>
      </w:r>
      <w:r>
        <w:rPr>
          <w:rFonts w:ascii="Arial" w:cs="Arial" w:eastAsia="Arial" w:hAnsi="Arial"/>
          <w:sz w:val="16"/>
          <w:szCs w:val="16"/>
          <w:color w:val="auto"/>
        </w:rPr>
        <w:t>for a product.</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2" w:name="page13"/>
    <w:bookmarkEnd w:id="12"/>
    <w:p>
      <w:pPr>
        <w:spacing w:after="0"/>
        <w:rPr>
          <w:sz w:val="20"/>
          <w:szCs w:val="20"/>
          <w:color w:val="auto"/>
        </w:rPr>
      </w:pPr>
      <w:r>
        <w:rPr>
          <w:rFonts w:ascii="Arial" w:cs="Arial" w:eastAsia="Arial" w:hAnsi="Arial"/>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3025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30250" cy="8255"/>
                    </a:xfrm>
                    <a:prstGeom prst="rect">
                      <a:avLst/>
                    </a:prstGeom>
                    <a:noFill/>
                  </pic:spPr>
                </pic:pic>
              </a:graphicData>
            </a:graphic>
          </wp:anchor>
        </w:drawing>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Business Combination</w:t>
      </w:r>
    </w:p>
    <w:p>
      <w:pPr>
        <w:spacing w:after="0" w:line="239" w:lineRule="exact"/>
        <w:rPr>
          <w:sz w:val="20"/>
          <w:szCs w:val="20"/>
          <w:color w:val="auto"/>
        </w:rPr>
      </w:pPr>
    </w:p>
    <w:p>
      <w:pPr>
        <w:ind w:right="220" w:firstLine="749"/>
        <w:spacing w:after="0" w:line="269" w:lineRule="auto"/>
        <w:rPr>
          <w:sz w:val="20"/>
          <w:szCs w:val="20"/>
          <w:color w:val="auto"/>
        </w:rPr>
      </w:pPr>
      <w:r>
        <w:rPr>
          <w:rFonts w:ascii="Arial" w:cs="Arial" w:eastAsia="Arial" w:hAnsi="Arial"/>
          <w:sz w:val="16"/>
          <w:szCs w:val="16"/>
          <w:color w:val="auto"/>
        </w:rPr>
        <w:t>The Company accounted for the Sunosi acquisition as a business combination using the acquisition method of accounting, which requires that all identifiable assets acquired, and liabilities assumed be recorded at their estimated fair values. The excess of the fair value of purchase consideration over the fair values of identifiable assets and liabilities is recorded as goodwill. When determining the fair values of assets acquired and liabilities assumed, management makes significant estimates and assumptions. Critical estimates in valuing certain intangible assets include but are not limited to future expected cash flows from acquired patented technology. Management’s estimates of fair value are based upon assumptions believed to be reasonable, but are inherently uncertain and unpredictable and, as a result, actual results may differ from estimates.</w:t>
      </w:r>
    </w:p>
    <w:p>
      <w:pPr>
        <w:spacing w:after="0" w:line="194" w:lineRule="exact"/>
        <w:rPr>
          <w:sz w:val="20"/>
          <w:szCs w:val="20"/>
          <w:color w:val="auto"/>
        </w:rPr>
      </w:pPr>
    </w:p>
    <w:p>
      <w:pPr>
        <w:ind w:left="760"/>
        <w:spacing w:after="0"/>
        <w:rPr>
          <w:sz w:val="20"/>
          <w:szCs w:val="20"/>
          <w:color w:val="auto"/>
        </w:rPr>
      </w:pPr>
      <w:r>
        <w:rPr>
          <w:rFonts w:ascii="Arial" w:cs="Arial" w:eastAsia="Arial" w:hAnsi="Arial"/>
          <w:sz w:val="16"/>
          <w:szCs w:val="16"/>
          <w:color w:val="auto"/>
        </w:rPr>
        <w:t>As a result of the acquisition of Sunosi from Jazz, the Company recorded goodwill and an intangible asset.</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Goodwill</w:t>
      </w:r>
    </w:p>
    <w:p>
      <w:pPr>
        <w:spacing w:after="0" w:line="200" w:lineRule="exact"/>
        <w:rPr>
          <w:sz w:val="20"/>
          <w:szCs w:val="20"/>
          <w:color w:val="auto"/>
        </w:rPr>
      </w:pPr>
    </w:p>
    <w:p>
      <w:pPr>
        <w:spacing w:after="0" w:line="237" w:lineRule="exact"/>
        <w:rPr>
          <w:sz w:val="20"/>
          <w:szCs w:val="20"/>
          <w:color w:val="auto"/>
        </w:rPr>
      </w:pPr>
    </w:p>
    <w:p>
      <w:pPr>
        <w:ind w:right="40" w:firstLine="749"/>
        <w:spacing w:after="0" w:line="288" w:lineRule="auto"/>
        <w:rPr>
          <w:sz w:val="20"/>
          <w:szCs w:val="20"/>
          <w:color w:val="auto"/>
        </w:rPr>
      </w:pPr>
      <w:r>
        <w:rPr>
          <w:rFonts w:ascii="Arial" w:cs="Arial" w:eastAsia="Arial" w:hAnsi="Arial"/>
          <w:sz w:val="15"/>
          <w:szCs w:val="15"/>
          <w:color w:val="auto"/>
        </w:rPr>
        <w:t>Goodwill is deemed to have an indefinite life and therefore not amortized. The Company tests the carrying amounts of goodwill for recoverability on an annual basis or more frequently if events or changes in circumstances indicate that the asset might be impaired. The Company performs a one-step test in its evaluation of the carrying value of goodwill if qualitative factors determine it is necessary to complete a goodwill impairment test. In the evaluation, the fair value of the relevant reporting unit is determined and compared to its carrying value. If the fair value is greater than the carrying value, then the carrying value is deemed to be recoverable, and no further action is required. If the fair value estimate is less than the carrying value, goodwill is considered impaired for the amount by which the carrying amount exceeds the reporting unit’s fair value, and a charge is reported in impairment of goodwill in the Company’s consolidated statements of operations. The Company intends to complete its annual goodwill assessment in the fourth quarter. As of June 30, 2023, the Company has determined that it has one reporting unit. The Company has not identified any events or changes in circumstances that indicate the existence of potential impairment of goodwill during the six months ended June 30, 2023.</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Intangible Assets</w:t>
      </w:r>
    </w:p>
    <w:p>
      <w:pPr>
        <w:spacing w:after="0" w:line="235" w:lineRule="exact"/>
        <w:rPr>
          <w:sz w:val="20"/>
          <w:szCs w:val="20"/>
          <w:color w:val="auto"/>
        </w:rPr>
      </w:pPr>
    </w:p>
    <w:p>
      <w:pPr>
        <w:ind w:right="20" w:firstLine="749"/>
        <w:spacing w:after="0" w:line="273" w:lineRule="auto"/>
        <w:rPr>
          <w:sz w:val="20"/>
          <w:szCs w:val="20"/>
          <w:color w:val="auto"/>
        </w:rPr>
      </w:pPr>
      <w:r>
        <w:rPr>
          <w:rFonts w:ascii="Arial" w:cs="Arial" w:eastAsia="Arial" w:hAnsi="Arial"/>
          <w:sz w:val="16"/>
          <w:szCs w:val="16"/>
          <w:color w:val="auto"/>
        </w:rPr>
        <w:t>Intangible assets are amortized using the straight-line method over their estimated period of benefit of ten years. The Company evaluates the recoverability of intangible assets periodically by considering events or changes in circumstances that may warrant revised estimates of useful lives or that indicate the asset may be impaired. The Company has not identified any events or changes in circumstances that indicate the existence of potential impairment of intangible assets during the six months ended June 30, 2023.</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Contingent Consideration</w:t>
      </w:r>
    </w:p>
    <w:p>
      <w:pPr>
        <w:spacing w:after="0" w:line="239" w:lineRule="exact"/>
        <w:rPr>
          <w:sz w:val="20"/>
          <w:szCs w:val="20"/>
          <w:color w:val="auto"/>
        </w:rPr>
      </w:pPr>
    </w:p>
    <w:p>
      <w:pPr>
        <w:ind w:firstLine="749"/>
        <w:spacing w:after="0" w:line="289" w:lineRule="auto"/>
        <w:rPr>
          <w:sz w:val="20"/>
          <w:szCs w:val="20"/>
          <w:color w:val="auto"/>
        </w:rPr>
      </w:pPr>
      <w:r>
        <w:rPr>
          <w:rFonts w:ascii="Arial" w:cs="Arial" w:eastAsia="Arial" w:hAnsi="Arial"/>
          <w:sz w:val="15"/>
          <w:szCs w:val="15"/>
          <w:color w:val="auto"/>
        </w:rPr>
        <w:t>Consideration paid in a business combination may include potential future payments that are contingent upon the acquired business achieving certain milestones in the future (“contingent consideration”). The royalty payments due to Jazz are a high single-digit royalty on the Company's U.S. net sales of Sunosi in the current indication and a mid-single-digit royalty on the Company's U.S. net sales of Sunosi for future indications. Contingent consideration liabilities are measured at their estimated fair value as of the date of acquisition, with subsequent changes in fair value recorded in the consolidated statements of operations during such period a change is recognized. The Company estimates the fair value of the contingent consideration as of the acquisition date and reporting periods thereafter using the estimated future cash outflows based on future sales. Contingent consideration liabilities expected to be settled within 12 months after the balance sheet date are presented in current liabilities, with the non-current portion recorded within total liabilities in the consolidated balance sheets.</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Fair Value Measurements</w:t>
      </w:r>
    </w:p>
    <w:p>
      <w:pPr>
        <w:spacing w:after="0" w:line="239" w:lineRule="exact"/>
        <w:rPr>
          <w:sz w:val="20"/>
          <w:szCs w:val="20"/>
          <w:color w:val="auto"/>
        </w:rPr>
      </w:pPr>
    </w:p>
    <w:p>
      <w:pPr>
        <w:ind w:right="160" w:firstLine="749"/>
        <w:spacing w:after="0" w:line="204" w:lineRule="exact"/>
        <w:rPr>
          <w:sz w:val="20"/>
          <w:szCs w:val="20"/>
          <w:color w:val="auto"/>
        </w:rPr>
      </w:pPr>
      <w:r>
        <w:rPr>
          <w:rFonts w:ascii="Arial" w:cs="Arial" w:eastAsia="Arial" w:hAnsi="Arial"/>
          <w:sz w:val="16"/>
          <w:szCs w:val="16"/>
          <w:color w:val="auto"/>
        </w:rPr>
        <w:t>Fair value is defined as the exchange price that would be received for an asset or paid to transfer a liability (an exit price) in the principal or most advantageous market for the asset or liability in an orderly transaction between market participants at the measurement date. Assets and liabilities that are measured at fair value are reported using a three</w:t>
      </w:r>
      <w:r>
        <w:rPr>
          <w:rFonts w:ascii="MS PGothic" w:cs="MS PGothic" w:eastAsia="MS PGothic" w:hAnsi="MS PGothic"/>
          <w:sz w:val="16"/>
          <w:szCs w:val="16"/>
          <w:color w:val="auto"/>
        </w:rPr>
        <w:t>‑</w:t>
      </w:r>
      <w:r>
        <w:rPr>
          <w:rFonts w:ascii="Arial" w:cs="Arial" w:eastAsia="Arial" w:hAnsi="Arial"/>
          <w:sz w:val="16"/>
          <w:szCs w:val="16"/>
          <w:color w:val="auto"/>
        </w:rPr>
        <w:t>level fair value hierarchy that prioritizes the inputs used to measure fair value. This hierarchy maximizes the use of observable inputs and minimizes the use of unobservable inputs. The three levels of inputs used to measure fair value are as follows:</w:t>
      </w:r>
    </w:p>
    <w:p>
      <w:pPr>
        <w:spacing w:after="0" w:line="213" w:lineRule="exact"/>
        <w:rPr>
          <w:sz w:val="20"/>
          <w:szCs w:val="20"/>
          <w:color w:val="auto"/>
        </w:rPr>
      </w:pPr>
    </w:p>
    <w:p>
      <w:pPr>
        <w:ind w:left="760"/>
        <w:spacing w:after="0"/>
        <w:rPr>
          <w:sz w:val="20"/>
          <w:szCs w:val="20"/>
          <w:color w:val="auto"/>
        </w:rPr>
      </w:pPr>
      <w:r>
        <w:rPr>
          <w:rFonts w:ascii="Arial" w:cs="Arial" w:eastAsia="Arial" w:hAnsi="Arial"/>
          <w:sz w:val="16"/>
          <w:szCs w:val="16"/>
          <w:color w:val="auto"/>
        </w:rPr>
        <w:t>Level 1—Quoted prices in active markets for identical assets or liabilities that the Company has the ability to access at the measurement date.</w:t>
      </w:r>
    </w:p>
    <w:p>
      <w:pPr>
        <w:spacing w:after="0" w:line="235" w:lineRule="exact"/>
        <w:rPr>
          <w:sz w:val="20"/>
          <w:szCs w:val="20"/>
          <w:color w:val="auto"/>
        </w:rPr>
      </w:pPr>
    </w:p>
    <w:p>
      <w:pPr>
        <w:ind w:left="760"/>
        <w:spacing w:after="0"/>
        <w:rPr>
          <w:sz w:val="20"/>
          <w:szCs w:val="20"/>
          <w:color w:val="auto"/>
        </w:rPr>
      </w:pPr>
      <w:r>
        <w:rPr>
          <w:rFonts w:ascii="Arial" w:cs="Arial" w:eastAsia="Arial" w:hAnsi="Arial"/>
          <w:sz w:val="16"/>
          <w:szCs w:val="16"/>
          <w:color w:val="auto"/>
        </w:rPr>
        <w:t>Level 2—Inputs other than quoted prices in active markets that are observable for the asset or liability, either directly or indirectly.</w:t>
      </w: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3" w:name="page14"/>
    <w:bookmarkEnd w:id="13"/>
    <w:p>
      <w:pPr>
        <w:spacing w:after="0"/>
        <w:rPr>
          <w:sz w:val="20"/>
          <w:szCs w:val="20"/>
          <w:color w:val="auto"/>
        </w:rPr>
      </w:pPr>
      <w:r>
        <w:rPr>
          <w:rFonts w:ascii="Arial" w:cs="Arial" w:eastAsia="Arial" w:hAnsi="Arial"/>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3025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30250" cy="8255"/>
                    </a:xfrm>
                    <a:prstGeom prst="rect">
                      <a:avLst/>
                    </a:prstGeom>
                    <a:noFill/>
                  </pic:spPr>
                </pic:pic>
              </a:graphicData>
            </a:graphic>
          </wp:anchor>
        </w:drawing>
      </w:r>
    </w:p>
    <w:p>
      <w:pPr>
        <w:spacing w:after="0" w:line="215" w:lineRule="exact"/>
        <w:rPr>
          <w:sz w:val="20"/>
          <w:szCs w:val="20"/>
          <w:color w:val="auto"/>
        </w:rPr>
      </w:pPr>
    </w:p>
    <w:p>
      <w:pPr>
        <w:ind w:left="760"/>
        <w:spacing w:after="0"/>
        <w:rPr>
          <w:sz w:val="20"/>
          <w:szCs w:val="20"/>
          <w:color w:val="auto"/>
        </w:rPr>
      </w:pPr>
      <w:r>
        <w:rPr>
          <w:rFonts w:ascii="Arial" w:cs="Arial" w:eastAsia="Arial" w:hAnsi="Arial"/>
          <w:sz w:val="16"/>
          <w:szCs w:val="16"/>
          <w:color w:val="auto"/>
        </w:rPr>
        <w:t>Level 3—Unobservable inputs for which there is little or no market data, which require the reporting entity to develop its own assumptions.</w:t>
      </w:r>
    </w:p>
    <w:p>
      <w:pPr>
        <w:spacing w:after="0" w:line="235" w:lineRule="exact"/>
        <w:rPr>
          <w:sz w:val="20"/>
          <w:szCs w:val="20"/>
          <w:color w:val="auto"/>
        </w:rPr>
      </w:pPr>
    </w:p>
    <w:p>
      <w:pPr>
        <w:ind w:firstLine="749"/>
        <w:spacing w:after="0" w:line="278" w:lineRule="auto"/>
        <w:rPr>
          <w:sz w:val="20"/>
          <w:szCs w:val="20"/>
          <w:color w:val="auto"/>
        </w:rPr>
      </w:pPr>
      <w:r>
        <w:rPr>
          <w:rFonts w:ascii="Arial" w:cs="Arial" w:eastAsia="Arial" w:hAnsi="Arial"/>
          <w:sz w:val="16"/>
          <w:szCs w:val="16"/>
          <w:color w:val="auto"/>
        </w:rPr>
        <w:t>To the extent that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An asset's or liability's level within the fair value hierarchy is based on the lowest level of any input that is significant to the fair value measurement.</w:t>
      </w:r>
    </w:p>
    <w:p>
      <w:pPr>
        <w:spacing w:after="0" w:line="184" w:lineRule="exact"/>
        <w:rPr>
          <w:sz w:val="20"/>
          <w:szCs w:val="20"/>
          <w:color w:val="auto"/>
        </w:rPr>
      </w:pPr>
    </w:p>
    <w:p>
      <w:pPr>
        <w:ind w:right="40" w:firstLine="749"/>
        <w:spacing w:after="0" w:line="267" w:lineRule="auto"/>
        <w:rPr>
          <w:sz w:val="20"/>
          <w:szCs w:val="20"/>
          <w:color w:val="auto"/>
        </w:rPr>
      </w:pPr>
      <w:r>
        <w:rPr>
          <w:rFonts w:ascii="Arial" w:cs="Arial" w:eastAsia="Arial" w:hAnsi="Arial"/>
          <w:sz w:val="16"/>
          <w:szCs w:val="16"/>
          <w:color w:val="auto"/>
        </w:rPr>
        <w:t>The Company’s financial instruments are cash and cash equivalents, accounts receivable, accounts payable, accrued liabilities, current and long-term debt, current and non-current contingent consideration. The carrying values for cash, accounts payable and accrued liabilities reported in the accompanying consolidated financial statements approximate their respective fair values due to their short-term maturities, and therefore, are considered Level 1 within the fair value hierarchy. The carrying value of debt on the Company’s balance sheet is estimated to approximate its fair value. The Company estimated the fair value of the warrant liabilities using the Black-Scholes model based on key assumption and inputs. The Company utilizes a probability assessment to estimate the likelihood of vesting for the remaining Loan Agreement warrants and allocated the probability of occurrence percentage to the fair values calculated, and therefore, is considered Level 3 within the fair value hierarchy. The Company accounts for warrants anticipated to be issued in the future under the Loan Agreement as liabilities and measures them at fair value using the Black-Scholes valuation model. The warrants are subject to remeasurement at each prospective balance sheet date, with any changes in the fair value recorded in the consolidated statements of operations.</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Accounts Receivable, net</w:t>
      </w:r>
    </w:p>
    <w:p>
      <w:pPr>
        <w:spacing w:after="0" w:line="200" w:lineRule="exact"/>
        <w:rPr>
          <w:sz w:val="20"/>
          <w:szCs w:val="20"/>
          <w:color w:val="auto"/>
        </w:rPr>
      </w:pPr>
    </w:p>
    <w:p>
      <w:pPr>
        <w:spacing w:after="0" w:line="241" w:lineRule="exact"/>
        <w:rPr>
          <w:sz w:val="20"/>
          <w:szCs w:val="20"/>
          <w:color w:val="auto"/>
        </w:rPr>
      </w:pPr>
    </w:p>
    <w:p>
      <w:pPr>
        <w:ind w:right="20" w:firstLine="749"/>
        <w:spacing w:after="0" w:line="293" w:lineRule="auto"/>
        <w:rPr>
          <w:sz w:val="20"/>
          <w:szCs w:val="20"/>
          <w:color w:val="auto"/>
        </w:rPr>
      </w:pPr>
      <w:r>
        <w:rPr>
          <w:rFonts w:ascii="Arial" w:cs="Arial" w:eastAsia="Arial" w:hAnsi="Arial"/>
          <w:sz w:val="16"/>
          <w:szCs w:val="16"/>
          <w:color w:val="auto"/>
        </w:rPr>
        <w:t>The Company’s accounts receivable, net, arise from product sales. They are generally stated at the invoiced amount and do not bear interest. Accounts receivable allowances result from chargebacks, prompt pay discounts, and distribution fees. Payment terms are typically 60 days or less.</w:t>
      </w:r>
    </w:p>
    <w:p>
      <w:pPr>
        <w:spacing w:after="0" w:line="172" w:lineRule="exact"/>
        <w:rPr>
          <w:sz w:val="20"/>
          <w:szCs w:val="20"/>
          <w:color w:val="auto"/>
        </w:rPr>
      </w:pPr>
    </w:p>
    <w:p>
      <w:pPr>
        <w:ind w:firstLine="749"/>
        <w:spacing w:after="0" w:line="269" w:lineRule="auto"/>
        <w:rPr>
          <w:sz w:val="20"/>
          <w:szCs w:val="20"/>
          <w:color w:val="auto"/>
        </w:rPr>
      </w:pPr>
      <w:r>
        <w:rPr>
          <w:rFonts w:ascii="Arial" w:cs="Arial" w:eastAsia="Arial" w:hAnsi="Arial"/>
          <w:sz w:val="16"/>
          <w:szCs w:val="16"/>
          <w:color w:val="auto"/>
        </w:rPr>
        <w:t>The Company monitors the financial performance and creditworthiness of its customers so that it can properly assess and respond to changes in the customers’ credit profiles. During the first quarter of 2023, the Company began distributing products through wholesale customers. The Company estimates expected credit losses of its accounts receivable by assessing the risk of loss and available relevant information about collectability, including historical credit losses, existing contractual payment terms, actual payment patterns of its customers, individual customer circumstances, and reasonable and supportable forecast of economic conditions expected to exist throughout the contractual life of the receivable. The Company has not historically experienced significant credit losses. Based on its assessment, as of June 30, 2023, the Company has not recorded any allowances for doubtful accounts receivable. Receivables from our three largest customers totaled 35%, 34% and 26% of the Company's accounts receivable, net, balance as of June 30, 2023.</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Debt Issuance Costs</w:t>
      </w:r>
    </w:p>
    <w:p>
      <w:pPr>
        <w:spacing w:after="0" w:line="239" w:lineRule="exact"/>
        <w:rPr>
          <w:sz w:val="20"/>
          <w:szCs w:val="20"/>
          <w:color w:val="auto"/>
        </w:rPr>
      </w:pPr>
    </w:p>
    <w:p>
      <w:pPr>
        <w:ind w:firstLine="749"/>
        <w:spacing w:after="0" w:line="278" w:lineRule="auto"/>
        <w:rPr>
          <w:sz w:val="20"/>
          <w:szCs w:val="20"/>
          <w:color w:val="auto"/>
        </w:rPr>
      </w:pPr>
      <w:r>
        <w:rPr>
          <w:rFonts w:ascii="Arial" w:cs="Arial" w:eastAsia="Arial" w:hAnsi="Arial"/>
          <w:sz w:val="16"/>
          <w:szCs w:val="16"/>
          <w:color w:val="auto"/>
        </w:rPr>
        <w:t>Debt issuance costs consist of costs incurred in obtaining long-term financing. These costs are classified on the consolidated balance sheet as a direct deduction from the carrying amount of the related debt liability. These expenses are deferred and amortized as part of interest expense in the consolidated statement of operations using the effective interest rate method over the term of the debt agreement.</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Inventory</w:t>
      </w:r>
    </w:p>
    <w:p>
      <w:pPr>
        <w:spacing w:after="0" w:line="200" w:lineRule="exact"/>
        <w:rPr>
          <w:sz w:val="20"/>
          <w:szCs w:val="20"/>
          <w:color w:val="auto"/>
        </w:rPr>
      </w:pPr>
    </w:p>
    <w:p>
      <w:pPr>
        <w:spacing w:after="0" w:line="241" w:lineRule="exact"/>
        <w:rPr>
          <w:sz w:val="20"/>
          <w:szCs w:val="20"/>
          <w:color w:val="auto"/>
        </w:rPr>
      </w:pPr>
    </w:p>
    <w:p>
      <w:pPr>
        <w:ind w:right="360" w:firstLine="749"/>
        <w:spacing w:after="0" w:line="273" w:lineRule="auto"/>
        <w:rPr>
          <w:sz w:val="20"/>
          <w:szCs w:val="20"/>
          <w:color w:val="auto"/>
        </w:rPr>
      </w:pPr>
      <w:r>
        <w:rPr>
          <w:rFonts w:ascii="Arial" w:cs="Arial" w:eastAsia="Arial" w:hAnsi="Arial"/>
          <w:sz w:val="16"/>
          <w:szCs w:val="16"/>
          <w:color w:val="auto"/>
        </w:rPr>
        <w:t>The Company values its inventories at the lower of average cost or estimated net realizable value. The remaining inventory associated with the Sunosi acquisition is stated at fair value due to purchase accounting. The Company performs an assessment of the recoverability of capitalized inventory during each reporting period, and it writes down any excess and obsolete inventories to their estimated net realizable value in the period in which the impairment is first identified. Such impairment charges, if they occur, are recorded within cost of revenue.</w:t>
      </w:r>
    </w:p>
    <w:p>
      <w:pPr>
        <w:spacing w:after="0" w:line="189" w:lineRule="exact"/>
        <w:rPr>
          <w:sz w:val="20"/>
          <w:szCs w:val="20"/>
          <w:color w:val="auto"/>
        </w:rPr>
      </w:pPr>
    </w:p>
    <w:p>
      <w:pPr>
        <w:ind w:right="120" w:firstLine="749"/>
        <w:spacing w:after="0" w:line="297" w:lineRule="auto"/>
        <w:rPr>
          <w:sz w:val="20"/>
          <w:szCs w:val="20"/>
          <w:color w:val="auto"/>
        </w:rPr>
      </w:pPr>
      <w:r>
        <w:rPr>
          <w:rFonts w:ascii="Arial" w:cs="Arial" w:eastAsia="Arial" w:hAnsi="Arial"/>
          <w:sz w:val="15"/>
          <w:szCs w:val="15"/>
          <w:color w:val="auto"/>
        </w:rPr>
        <w:t>The Company capitalizes inventory costs associated with the Company’s products after regulatory approval when, based on management’s judgment, future commercialization is considered probable and the future economic benefit is expected to be realized. Inventory acquired and manufactured prior to receipt of regulatory approval of a product candidate is expensed as research and development expense as incurred. Inventory that can be used in either the production of clinical or commercial product is expensed as research and development expense when selected for use in a clinical manufacturing campaign.</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14" w:name="page15"/>
    <w:bookmarkEnd w:id="14"/>
    <w:p>
      <w:pPr>
        <w:spacing w:after="0"/>
        <w:rPr>
          <w:sz w:val="20"/>
          <w:szCs w:val="20"/>
          <w:color w:val="auto"/>
        </w:rPr>
      </w:pPr>
      <w:r>
        <w:rPr>
          <w:rFonts w:ascii="Arial" w:cs="Arial" w:eastAsia="Arial" w:hAnsi="Arial"/>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3025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30250" cy="8255"/>
                    </a:xfrm>
                    <a:prstGeom prst="rect">
                      <a:avLst/>
                    </a:prstGeom>
                    <a:noFill/>
                  </pic:spPr>
                </pic:pic>
              </a:graphicData>
            </a:graphic>
          </wp:anchor>
        </w:drawing>
      </w:r>
    </w:p>
    <w:p>
      <w:pPr>
        <w:spacing w:after="0" w:line="215" w:lineRule="exact"/>
        <w:rPr>
          <w:sz w:val="20"/>
          <w:szCs w:val="20"/>
          <w:color w:val="auto"/>
        </w:rPr>
      </w:pPr>
    </w:p>
    <w:p>
      <w:pPr>
        <w:ind w:right="60" w:firstLine="749"/>
        <w:spacing w:after="0" w:line="293" w:lineRule="auto"/>
        <w:rPr>
          <w:sz w:val="20"/>
          <w:szCs w:val="20"/>
          <w:color w:val="auto"/>
        </w:rPr>
      </w:pPr>
      <w:r>
        <w:rPr>
          <w:rFonts w:ascii="Arial" w:cs="Arial" w:eastAsia="Arial" w:hAnsi="Arial"/>
          <w:sz w:val="16"/>
          <w:szCs w:val="16"/>
          <w:color w:val="auto"/>
        </w:rPr>
        <w:t>Inventory levels are evaluated for amounts that would be sold within one year. If the level of inventory exceeds the estimated amount that would be sold beyond the next 12 months, the Company classifies the estimate of such inventory as non-current.</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Equipment, net</w:t>
      </w:r>
    </w:p>
    <w:p>
      <w:pPr>
        <w:spacing w:after="0" w:line="239" w:lineRule="exact"/>
        <w:rPr>
          <w:sz w:val="20"/>
          <w:szCs w:val="20"/>
          <w:color w:val="auto"/>
        </w:rPr>
      </w:pPr>
    </w:p>
    <w:p>
      <w:pPr>
        <w:jc w:val="both"/>
        <w:ind w:right="340" w:firstLine="749"/>
        <w:spacing w:after="0" w:line="204" w:lineRule="exact"/>
        <w:rPr>
          <w:sz w:val="20"/>
          <w:szCs w:val="20"/>
          <w:color w:val="auto"/>
        </w:rPr>
      </w:pPr>
      <w:r>
        <w:rPr>
          <w:rFonts w:ascii="Arial" w:cs="Arial" w:eastAsia="Arial" w:hAnsi="Arial"/>
          <w:sz w:val="16"/>
          <w:szCs w:val="16"/>
          <w:color w:val="auto"/>
        </w:rPr>
        <w:t>Equipment consists primarily of computer equipment and is recorded at cost. Equipment is depreciated on a straight</w:t>
      </w:r>
      <w:r>
        <w:rPr>
          <w:rFonts w:ascii="MS PGothic" w:cs="MS PGothic" w:eastAsia="MS PGothic" w:hAnsi="MS PGothic"/>
          <w:sz w:val="16"/>
          <w:szCs w:val="16"/>
          <w:color w:val="auto"/>
        </w:rPr>
        <w:t>‑</w:t>
      </w:r>
      <w:r>
        <w:rPr>
          <w:rFonts w:ascii="Arial" w:cs="Arial" w:eastAsia="Arial" w:hAnsi="Arial"/>
          <w:sz w:val="16"/>
          <w:szCs w:val="16"/>
          <w:color w:val="auto"/>
        </w:rPr>
        <w:t>line basis over its estimated useful life, which the Company estimates to be three years. When equipment is sold or otherwise disposed of, the cost and related accumulated depreciation are removed from the accounts and the resulting gain or loss is included in operating expenses.</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Research and Development Costs</w:t>
      </w:r>
    </w:p>
    <w:p>
      <w:pPr>
        <w:spacing w:after="0" w:line="239" w:lineRule="exact"/>
        <w:rPr>
          <w:sz w:val="20"/>
          <w:szCs w:val="20"/>
          <w:color w:val="auto"/>
        </w:rPr>
      </w:pPr>
    </w:p>
    <w:p>
      <w:pPr>
        <w:ind w:right="20" w:firstLine="749"/>
        <w:spacing w:after="0" w:line="203" w:lineRule="exact"/>
        <w:rPr>
          <w:sz w:val="20"/>
          <w:szCs w:val="20"/>
          <w:color w:val="auto"/>
        </w:rPr>
      </w:pPr>
      <w:r>
        <w:rPr>
          <w:rFonts w:ascii="Arial" w:cs="Arial" w:eastAsia="Arial" w:hAnsi="Arial"/>
          <w:sz w:val="14"/>
          <w:szCs w:val="14"/>
          <w:color w:val="auto"/>
        </w:rPr>
        <w:t>Research and development costs are expensed as incurred. Research and development expenses consist primarily of employee-related expenses including salaries, benefits, travel, and stock</w:t>
      </w:r>
      <w:r>
        <w:rPr>
          <w:rFonts w:ascii="MS PGothic" w:cs="MS PGothic" w:eastAsia="MS PGothic" w:hAnsi="MS PGothic"/>
          <w:sz w:val="14"/>
          <w:szCs w:val="14"/>
          <w:color w:val="auto"/>
        </w:rPr>
        <w:t>‑</w:t>
      </w:r>
      <w:r>
        <w:rPr>
          <w:rFonts w:ascii="Arial" w:cs="Arial" w:eastAsia="Arial" w:hAnsi="Arial"/>
          <w:sz w:val="14"/>
          <w:szCs w:val="14"/>
          <w:color w:val="auto"/>
        </w:rPr>
        <w:t>based compensation expense, contract services, costs incurred to third-party service providers for the conduct of research, preclinical and clinical studies, laboratory supplies, product license fees, consulting and other related expenses. We estimate research, preclinical and clinical study expenses based on services performed, pursuant to contracts with third-party research and development organizations that conduct and manage research, preclinical and clinical activities on our behalf. We estimate these expenses based on discussions with internal management personnel and external service providers as to the progress or stage of completion of services and the contracted fees to be paid for such services. If the actual timing of the performance of services or the level of effort varies from the original estimates, we will adjust the accrual accordingly. Payments associated with licensing agreements to acquire licenses to develop, use, manufacture and commercialize products that have not reached technological feasibility and do not have alternative future use are expensed as incurred. Payments made to third parties under these arrangements in advance of the performance of the related services by the third parties are recorded as prepaid expenses until the services are rendered.</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Advertising Costs</w:t>
      </w:r>
    </w:p>
    <w:p>
      <w:pPr>
        <w:spacing w:after="0" w:line="239" w:lineRule="exact"/>
        <w:rPr>
          <w:sz w:val="20"/>
          <w:szCs w:val="20"/>
          <w:color w:val="auto"/>
        </w:rPr>
      </w:pPr>
    </w:p>
    <w:p>
      <w:pPr>
        <w:ind w:firstLine="749"/>
        <w:spacing w:after="0" w:line="305" w:lineRule="auto"/>
        <w:rPr>
          <w:sz w:val="20"/>
          <w:szCs w:val="20"/>
          <w:color w:val="auto"/>
        </w:rPr>
      </w:pPr>
      <w:r>
        <w:rPr>
          <w:rFonts w:ascii="Arial" w:cs="Arial" w:eastAsia="Arial" w:hAnsi="Arial"/>
          <w:sz w:val="15"/>
          <w:szCs w:val="15"/>
          <w:color w:val="auto"/>
        </w:rPr>
        <w:t>Advertising costs are included in selling, general and administrative expenses and are expensed as incurred. The Company considers advertising costs as expenses related to the promotion of the Company's commercial products. For the three and six months ended June 30, 2023, advertising costs were $26.7 million and $48.1 million, respectively. For the three and six months ended June 30, 2022, advertising costs were $9.1 million and $18.6 million, respectively.</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Income Taxes</w:t>
      </w:r>
    </w:p>
    <w:p>
      <w:pPr>
        <w:spacing w:after="0" w:line="239" w:lineRule="exact"/>
        <w:rPr>
          <w:sz w:val="20"/>
          <w:szCs w:val="20"/>
          <w:color w:val="auto"/>
        </w:rPr>
      </w:pPr>
    </w:p>
    <w:p>
      <w:pPr>
        <w:ind w:firstLine="749"/>
        <w:spacing w:after="0" w:line="269" w:lineRule="auto"/>
        <w:rPr>
          <w:sz w:val="20"/>
          <w:szCs w:val="20"/>
          <w:color w:val="auto"/>
        </w:rPr>
      </w:pPr>
      <w:r>
        <w:rPr>
          <w:rFonts w:ascii="Arial" w:cs="Arial" w:eastAsia="Arial" w:hAnsi="Arial"/>
          <w:sz w:val="16"/>
          <w:szCs w:val="16"/>
          <w:color w:val="auto"/>
        </w:rPr>
        <w:t>Income taxes are accounted for under the asset and liability method. Under this method, deferred tax assets and liabilities are recognized for the future tax consequences attributable to the differences between the financial statement carrying amounts of existing assets and liabilities and their respective tax bases, operating losses, and tax credit carryforwards. Deferred tax assets and liabilities are measured using enacted tax rates expected to apply to taxable income in the years in which those temporary differences are expected to be recovered or settled. The effect of a change in tax rates on deferred tax assets and liabilities is recognized in income in the period that includes the enactment date. Valuation allowances are provided if, based upon the weight of available evidence, it is more likely than not that some or all of the deferred tax assets will not be realized.</w:t>
      </w:r>
    </w:p>
    <w:p>
      <w:pPr>
        <w:spacing w:after="0" w:line="194" w:lineRule="exact"/>
        <w:rPr>
          <w:sz w:val="20"/>
          <w:szCs w:val="20"/>
          <w:color w:val="auto"/>
        </w:rPr>
      </w:pPr>
    </w:p>
    <w:p>
      <w:pPr>
        <w:ind w:right="440" w:firstLine="749"/>
        <w:spacing w:after="0" w:line="293" w:lineRule="auto"/>
        <w:rPr>
          <w:sz w:val="20"/>
          <w:szCs w:val="20"/>
          <w:color w:val="auto"/>
        </w:rPr>
      </w:pPr>
      <w:r>
        <w:rPr>
          <w:rFonts w:ascii="Arial" w:cs="Arial" w:eastAsia="Arial" w:hAnsi="Arial"/>
          <w:sz w:val="16"/>
          <w:szCs w:val="16"/>
          <w:color w:val="auto"/>
        </w:rPr>
        <w:t>The Company used the Annual Effective Tax Rate (“AETR”) approach of ASC 740-270, Interim Reporting, to calculate its 2023 interim tax provision and recorded an income tax expense for the six months ended June 30, 2023 of $2.0 million.</w:t>
      </w:r>
    </w:p>
    <w:p>
      <w:pPr>
        <w:spacing w:after="0" w:line="172" w:lineRule="exact"/>
        <w:rPr>
          <w:sz w:val="20"/>
          <w:szCs w:val="20"/>
          <w:color w:val="auto"/>
        </w:rPr>
      </w:pPr>
    </w:p>
    <w:p>
      <w:pPr>
        <w:ind w:right="40" w:firstLine="749"/>
        <w:spacing w:after="0" w:line="271" w:lineRule="auto"/>
        <w:rPr>
          <w:sz w:val="20"/>
          <w:szCs w:val="20"/>
          <w:color w:val="auto"/>
        </w:rPr>
      </w:pPr>
      <w:r>
        <w:rPr>
          <w:rFonts w:ascii="Arial" w:cs="Arial" w:eastAsia="Arial" w:hAnsi="Arial"/>
          <w:sz w:val="16"/>
          <w:szCs w:val="16"/>
          <w:color w:val="auto"/>
        </w:rPr>
        <w:t>The Company recognizes the tax benefit from an uncertain tax position only if it is more likely than not to be sustained upon examination based on the technical merits of the position as well as consideration of the available facts and circumstances. When uncertain tax positions exist, the Company recognizes the tax benefit of tax positions to the extent that the benefit will more likely than not be realized. As of June 30, 2023, the Company does not believe any material uncertain tax positions are present. In the event the Company determines that accrual of interest or penalties are necessary in the future, the amount will be presented as a component of income tax expense.</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 w:right="379" w:bottom="1440" w:gutter="0" w:footer="0" w:header="0"/>
        </w:sectPr>
      </w:pPr>
    </w:p>
    <w:bookmarkStart w:id="15" w:name="page16"/>
    <w:bookmarkEnd w:id="15"/>
    <w:p>
      <w:pPr>
        <w:spacing w:after="0"/>
        <w:rPr>
          <w:sz w:val="20"/>
          <w:szCs w:val="20"/>
          <w:color w:val="auto"/>
        </w:rPr>
      </w:pPr>
      <w:r>
        <w:rPr>
          <w:rFonts w:ascii="Arial" w:cs="Arial" w:eastAsia="Arial" w:hAnsi="Arial"/>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3025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30250" cy="8255"/>
                    </a:xfrm>
                    <a:prstGeom prst="rect">
                      <a:avLst/>
                    </a:prstGeom>
                    <a:noFill/>
                  </pic:spPr>
                </pic:pic>
              </a:graphicData>
            </a:graphic>
          </wp:anchor>
        </w:drawing>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Stock-Based Compensation</w:t>
      </w:r>
    </w:p>
    <w:p>
      <w:pPr>
        <w:spacing w:after="0" w:line="239" w:lineRule="exact"/>
        <w:rPr>
          <w:sz w:val="20"/>
          <w:szCs w:val="20"/>
          <w:color w:val="auto"/>
        </w:rPr>
      </w:pPr>
    </w:p>
    <w:p>
      <w:pPr>
        <w:ind w:firstLine="749"/>
        <w:spacing w:after="0" w:line="204" w:lineRule="exact"/>
        <w:rPr>
          <w:sz w:val="20"/>
          <w:szCs w:val="20"/>
          <w:color w:val="auto"/>
        </w:rPr>
      </w:pPr>
      <w:r>
        <w:rPr>
          <w:rFonts w:ascii="Arial" w:cs="Arial" w:eastAsia="Arial" w:hAnsi="Arial"/>
          <w:sz w:val="16"/>
          <w:szCs w:val="16"/>
          <w:color w:val="auto"/>
        </w:rPr>
        <w:t>For stock options issued, the Company estimates the grant date fair value of each option using the Black</w:t>
      </w:r>
      <w:r>
        <w:rPr>
          <w:rFonts w:ascii="MS PGothic" w:cs="MS PGothic" w:eastAsia="MS PGothic" w:hAnsi="MS PGothic"/>
          <w:sz w:val="16"/>
          <w:szCs w:val="16"/>
          <w:color w:val="auto"/>
        </w:rPr>
        <w:t>‑</w:t>
      </w:r>
      <w:r>
        <w:rPr>
          <w:rFonts w:ascii="Arial" w:cs="Arial" w:eastAsia="Arial" w:hAnsi="Arial"/>
          <w:sz w:val="16"/>
          <w:szCs w:val="16"/>
          <w:color w:val="auto"/>
        </w:rPr>
        <w:t>Scholes option pricing model. The Black-Scholes model takes into account the expected volatility of the Company’s common stock, the risk-free interest rate, the estimated life of the option, the closing market price of the Company’s common stock and the exercise price. The estimates utilized in the Black-Scholes calculation involve inherent uncertainties and the application of management’s judgment. In addition, the Company recognizes expense for equity award forfeitures as they occur.</w:t>
      </w:r>
    </w:p>
    <w:p>
      <w:pPr>
        <w:spacing w:after="0" w:line="213" w:lineRule="exact"/>
        <w:rPr>
          <w:sz w:val="20"/>
          <w:szCs w:val="20"/>
          <w:color w:val="auto"/>
        </w:rPr>
      </w:pPr>
    </w:p>
    <w:p>
      <w:pPr>
        <w:ind w:right="320" w:firstLine="749"/>
        <w:spacing w:after="0" w:line="293" w:lineRule="auto"/>
        <w:rPr>
          <w:sz w:val="20"/>
          <w:szCs w:val="20"/>
          <w:color w:val="auto"/>
        </w:rPr>
      </w:pPr>
      <w:r>
        <w:rPr>
          <w:rFonts w:ascii="Arial" w:cs="Arial" w:eastAsia="Arial" w:hAnsi="Arial"/>
          <w:sz w:val="16"/>
          <w:szCs w:val="16"/>
          <w:color w:val="auto"/>
        </w:rPr>
        <w:t>For restricted stock units (“RSUs”), the Company issues them in the form of Company common stock. The fair market value of these awards is based on the market closing price per share on the grant date.</w:t>
      </w:r>
    </w:p>
    <w:p>
      <w:pPr>
        <w:spacing w:after="0" w:line="172" w:lineRule="exact"/>
        <w:rPr>
          <w:sz w:val="20"/>
          <w:szCs w:val="20"/>
          <w:color w:val="auto"/>
        </w:rPr>
      </w:pPr>
    </w:p>
    <w:p>
      <w:pPr>
        <w:ind w:right="120" w:firstLine="749"/>
        <w:spacing w:after="0" w:line="273" w:lineRule="auto"/>
        <w:rPr>
          <w:sz w:val="20"/>
          <w:szCs w:val="20"/>
          <w:color w:val="auto"/>
        </w:rPr>
      </w:pPr>
      <w:r>
        <w:rPr>
          <w:rFonts w:ascii="Arial" w:cs="Arial" w:eastAsia="Arial" w:hAnsi="Arial"/>
          <w:sz w:val="16"/>
          <w:szCs w:val="16"/>
          <w:color w:val="auto"/>
        </w:rPr>
        <w:t>For awards subject to service-based vesting conditions, the Company recognizes stock-based compensation expense on a straight-line basis over the requisite service period, which is generally the vesting term. For awards subject to performance-based vesting conditions, the Company recognizes stock-based compensation expense using the accelerated attribution method when it is probable that the performance condition will be achieved. The expense related to the stock-based compensation is recorded within the same financial statement line item as the grantee’s cash compensation.</w:t>
      </w:r>
    </w:p>
    <w:p>
      <w:pPr>
        <w:spacing w:after="0" w:line="189" w:lineRule="exact"/>
        <w:rPr>
          <w:sz w:val="20"/>
          <w:szCs w:val="20"/>
          <w:color w:val="auto"/>
        </w:rPr>
      </w:pPr>
    </w:p>
    <w:p>
      <w:pPr>
        <w:ind w:right="120" w:firstLine="749"/>
        <w:spacing w:after="0" w:line="293" w:lineRule="auto"/>
        <w:rPr>
          <w:sz w:val="20"/>
          <w:szCs w:val="20"/>
          <w:color w:val="auto"/>
        </w:rPr>
      </w:pPr>
      <w:r>
        <w:rPr>
          <w:rFonts w:ascii="Arial" w:cs="Arial" w:eastAsia="Arial" w:hAnsi="Arial"/>
          <w:sz w:val="16"/>
          <w:szCs w:val="16"/>
          <w:color w:val="auto"/>
        </w:rPr>
        <w:t>The Company’s policy upon exercise of stock options and RSUs is that shares will be issued as new shares drawing on the Company’s 2015 Omnibus Incentive Compensation Plan share pool that was adopted by the stockholders in November 2015.</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Basic and Diluted Net Loss per Common Share</w:t>
      </w:r>
    </w:p>
    <w:p>
      <w:pPr>
        <w:spacing w:after="0" w:line="239" w:lineRule="exact"/>
        <w:rPr>
          <w:sz w:val="20"/>
          <w:szCs w:val="20"/>
          <w:color w:val="auto"/>
        </w:rPr>
      </w:pPr>
    </w:p>
    <w:p>
      <w:pPr>
        <w:ind w:right="200" w:firstLine="749"/>
        <w:spacing w:after="0" w:line="297" w:lineRule="auto"/>
        <w:rPr>
          <w:sz w:val="20"/>
          <w:szCs w:val="20"/>
          <w:color w:val="auto"/>
        </w:rPr>
      </w:pPr>
      <w:r>
        <w:rPr>
          <w:rFonts w:ascii="Arial" w:cs="Arial" w:eastAsia="Arial" w:hAnsi="Arial"/>
          <w:sz w:val="15"/>
          <w:szCs w:val="15"/>
          <w:color w:val="auto"/>
        </w:rPr>
        <w:t>Basic net loss per share of common stock is computed by dividing net loss by the weighted average number of shares of common stock outstanding during the period. Diluted net loss per share of common stock includes the effect, if any, from the potential exercise or conversion of securities, such as warrants, stock options, and RSUs, which would result in the issuance of incremental shares of common stock. As the impact of these items is anti-dilutive during periods of net loss, there was no difference between basic and diluted net loss per share of common stock for the three and six months ended June 30, 2023 and 2022.</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Leases</w:t>
      </w:r>
    </w:p>
    <w:p>
      <w:pPr>
        <w:spacing w:after="0" w:line="239" w:lineRule="exact"/>
        <w:rPr>
          <w:sz w:val="20"/>
          <w:szCs w:val="20"/>
          <w:color w:val="auto"/>
        </w:rPr>
      </w:pPr>
    </w:p>
    <w:p>
      <w:pPr>
        <w:ind w:firstLine="749"/>
        <w:spacing w:after="0" w:line="297" w:lineRule="auto"/>
        <w:rPr>
          <w:sz w:val="20"/>
          <w:szCs w:val="20"/>
          <w:color w:val="auto"/>
        </w:rPr>
      </w:pPr>
      <w:r>
        <w:rPr>
          <w:rFonts w:ascii="Arial" w:cs="Arial" w:eastAsia="Arial" w:hAnsi="Arial"/>
          <w:sz w:val="15"/>
          <w:szCs w:val="15"/>
          <w:color w:val="auto"/>
        </w:rPr>
        <w:t>The Company determines if an arrangement is a lease at contract inception. Operating lease assets represent the Company’s right to use an underlying asset for the lease term and operating lease liabilities represent the Company’s obligation to make lease payments arising from the lease. When evaluating whether a contract contains a lease, the Company considers whether (1) the contract explicitly or implicitly identifies assets that are contractually defined and (2) the Company obtains substantially all of the economic benefits from the use of that underlying asset and directs how and for what purpose the asset is used during the term of the contract.</w:t>
      </w:r>
    </w:p>
    <w:p>
      <w:pPr>
        <w:spacing w:after="0" w:line="172" w:lineRule="exact"/>
        <w:rPr>
          <w:sz w:val="20"/>
          <w:szCs w:val="20"/>
          <w:color w:val="auto"/>
        </w:rPr>
      </w:pPr>
    </w:p>
    <w:p>
      <w:pPr>
        <w:ind w:right="40" w:firstLine="749"/>
        <w:spacing w:after="0" w:line="273" w:lineRule="auto"/>
        <w:rPr>
          <w:sz w:val="20"/>
          <w:szCs w:val="20"/>
          <w:color w:val="auto"/>
        </w:rPr>
      </w:pPr>
      <w:r>
        <w:rPr>
          <w:rFonts w:ascii="Arial" w:cs="Arial" w:eastAsia="Arial" w:hAnsi="Arial"/>
          <w:sz w:val="16"/>
          <w:szCs w:val="16"/>
          <w:color w:val="auto"/>
        </w:rPr>
        <w:t>The Company’s lease agreements contain lease and non-lease components. Non-lease components primarily include payments for maintenance and utilities. The Company has applied the practical expedient to combine fixed payments for non-lease components with lease payments and account for them together as a single lease component, which increases the amount of lease assets and corresponding liabilities. Payments under the Company’s lease arrangements are primarily fixed, however variable payments, are expensed as incurred and not included in the operating lease asset and liability.</w:t>
      </w:r>
    </w:p>
    <w:p>
      <w:pPr>
        <w:spacing w:after="0" w:line="189" w:lineRule="exact"/>
        <w:rPr>
          <w:sz w:val="20"/>
          <w:szCs w:val="20"/>
          <w:color w:val="auto"/>
        </w:rPr>
      </w:pPr>
    </w:p>
    <w:p>
      <w:pPr>
        <w:ind w:right="160" w:firstLine="749"/>
        <w:spacing w:after="0" w:line="297" w:lineRule="auto"/>
        <w:rPr>
          <w:sz w:val="20"/>
          <w:szCs w:val="20"/>
          <w:color w:val="auto"/>
        </w:rPr>
      </w:pPr>
      <w:r>
        <w:rPr>
          <w:rFonts w:ascii="Arial" w:cs="Arial" w:eastAsia="Arial" w:hAnsi="Arial"/>
          <w:sz w:val="15"/>
          <w:szCs w:val="15"/>
          <w:color w:val="auto"/>
        </w:rPr>
        <w:t>Operating lease assets and liabilities are recognized at the commencement date of the lease based upon the present value of lease payments over the lease term. When determining the lease term, the Company includes options to extend or terminate the lease when it is reasonably certain that the Company will exercise that option. The Company uses the implicit interest rate when readily determinable and uses the Company’s incremental borrowing rate when the implicit rate is not readily determinable based upon the information available at the commencement date in determining the present value of the lease payments.</w:t>
      </w:r>
    </w:p>
    <w:p>
      <w:pPr>
        <w:spacing w:after="0" w:line="172" w:lineRule="exact"/>
        <w:rPr>
          <w:sz w:val="20"/>
          <w:szCs w:val="20"/>
          <w:color w:val="auto"/>
        </w:rPr>
      </w:pPr>
    </w:p>
    <w:p>
      <w:pPr>
        <w:ind w:right="60" w:firstLine="749"/>
        <w:spacing w:after="0" w:line="324" w:lineRule="auto"/>
        <w:rPr>
          <w:sz w:val="20"/>
          <w:szCs w:val="20"/>
          <w:color w:val="auto"/>
        </w:rPr>
      </w:pPr>
      <w:r>
        <w:rPr>
          <w:rFonts w:ascii="Arial" w:cs="Arial" w:eastAsia="Arial" w:hAnsi="Arial"/>
          <w:sz w:val="14"/>
          <w:szCs w:val="14"/>
          <w:color w:val="auto"/>
        </w:rPr>
        <w:t>The Company’s operating leases are reflected in the right-of-use operating asset; operating lease liability, current portion; and operating lease liability, long-term portion in the Company’s consolidated balance sheets. Lease expense for minimum lease payments is recognized on a straight-line basis over the lease term. Short-term leases, defined as leases that have a lease term of 12 months or less at the commencement date, and do not include an option to extend the term or purchase the underlying asset that the Company is reasonably certain to exercise, are excluded from this treatment and are recognized on a straight-line basis over the term of the lease.</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16" w:name="page17"/>
    <w:bookmarkEnd w:id="16"/>
    <w:p>
      <w:pPr>
        <w:spacing w:after="0"/>
        <w:rPr>
          <w:sz w:val="20"/>
          <w:szCs w:val="20"/>
          <w:color w:val="auto"/>
        </w:rPr>
      </w:pPr>
      <w:r>
        <w:rPr>
          <w:rFonts w:ascii="Arial" w:cs="Arial" w:eastAsia="Arial" w:hAnsi="Arial"/>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3025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30250" cy="8255"/>
                    </a:xfrm>
                    <a:prstGeom prst="rect">
                      <a:avLst/>
                    </a:prstGeom>
                    <a:noFill/>
                  </pic:spPr>
                </pic:pic>
              </a:graphicData>
            </a:graphic>
          </wp:anchor>
        </w:drawing>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 Accounting Pronouncements</w:t>
      </w:r>
    </w:p>
    <w:p>
      <w:pPr>
        <w:spacing w:after="0" w:line="239" w:lineRule="exact"/>
        <w:rPr>
          <w:sz w:val="20"/>
          <w:szCs w:val="20"/>
          <w:color w:val="auto"/>
        </w:rPr>
      </w:pPr>
    </w:p>
    <w:p>
      <w:pPr>
        <w:ind w:left="760"/>
        <w:spacing w:after="0"/>
        <w:rPr>
          <w:sz w:val="20"/>
          <w:szCs w:val="20"/>
          <w:color w:val="auto"/>
        </w:rPr>
      </w:pPr>
      <w:r>
        <w:rPr>
          <w:rFonts w:ascii="Arial" w:cs="Arial" w:eastAsia="Arial" w:hAnsi="Arial"/>
          <w:sz w:val="15"/>
          <w:szCs w:val="15"/>
          <w:color w:val="auto"/>
        </w:rPr>
        <w:t>There have been no recent accounting standards updates that impact the Company's financial statements during the six months ended June 30, 2023.</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w:t>
      </w:r>
      <w:r>
        <w:rPr>
          <w:rFonts w:ascii="Arial" w:cs="Arial" w:eastAsia="Arial" w:hAnsi="Arial"/>
          <w:sz w:val="16"/>
          <w:szCs w:val="16"/>
          <w:b w:val="1"/>
          <w:bCs w:val="1"/>
          <w:color w:val="auto"/>
        </w:rPr>
        <w:t>. Business Combination</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Acquisition of Assets of Jazz Pharmaceuticals</w:t>
      </w:r>
    </w:p>
    <w:p>
      <w:pPr>
        <w:spacing w:after="0" w:line="212" w:lineRule="exact"/>
        <w:rPr>
          <w:sz w:val="20"/>
          <w:szCs w:val="20"/>
          <w:color w:val="auto"/>
        </w:rPr>
      </w:pPr>
    </w:p>
    <w:p>
      <w:pPr>
        <w:ind w:right="80" w:firstLine="749"/>
        <w:spacing w:after="0" w:line="269" w:lineRule="auto"/>
        <w:rPr>
          <w:sz w:val="20"/>
          <w:szCs w:val="20"/>
          <w:color w:val="auto"/>
        </w:rPr>
      </w:pPr>
      <w:r>
        <w:rPr>
          <w:rFonts w:ascii="Arial" w:cs="Arial" w:eastAsia="Arial" w:hAnsi="Arial"/>
          <w:sz w:val="16"/>
          <w:szCs w:val="16"/>
          <w:color w:val="auto"/>
        </w:rPr>
        <w:t>On March 25, 2022, the Company entered into an Asset Purchase Agreement (the “Purchase Agreement”) with Jazz, pursuant to which the Company was to acquire commercial and development rights with respect to Sunosi from Jazz (the “Acquisition”) in certain U.S. and ex-U.S. markets. The Acquisition occurred in two separate closings. The sale and purchase of Specified Initial Assets as defined and contemplated by the Purchase Agreement occurred on May 9, 2022 (“Initial Closing”), following the satisfaction or waiver of the closing conditions under the Purchase Agreement. The sale and purchase of Specified Ex-U.S. Assets contemplated by the Purchase Agreement occurred on November 14, 2022 following the satisfaction or waiver of the closing conditions under the Purchase Agreement. (“Final Closing” or “Ex-U.S. Closing”). The Company accounted for the Initial Closing as a business combination using the acquisition method of accounting, and the Company accounted for the Final Closing as an asset acquisition.</w:t>
      </w:r>
    </w:p>
    <w:p>
      <w:pPr>
        <w:spacing w:after="0" w:line="149" w:lineRule="exact"/>
        <w:rPr>
          <w:sz w:val="20"/>
          <w:szCs w:val="20"/>
          <w:color w:val="auto"/>
        </w:rPr>
      </w:pPr>
    </w:p>
    <w:p>
      <w:pPr>
        <w:ind w:right="140" w:firstLine="749"/>
        <w:spacing w:after="0" w:line="313" w:lineRule="auto"/>
        <w:rPr>
          <w:sz w:val="20"/>
          <w:szCs w:val="20"/>
          <w:color w:val="auto"/>
        </w:rPr>
      </w:pPr>
      <w:r>
        <w:rPr>
          <w:rFonts w:ascii="Arial" w:cs="Arial" w:eastAsia="Arial" w:hAnsi="Arial"/>
          <w:sz w:val="14"/>
          <w:szCs w:val="14"/>
          <w:color w:val="auto"/>
        </w:rPr>
        <w:t>Under the terms of the Purchase Agreement, the Company received from Jazz worldwide commercial, development, manufacturing, and intellectual property rights to Sunosi, except for certain Asian markets. Jazz received from the Company a total upfront payment of $53 million. In addition, Jazz will receive a high single-digit royalty on the Company's U.S. net sales of Sunosi in the current indication, and a mid-single-digit royalty on the Company's U.S. net sales of Sunosi in future indications. The Company also assumed the commitments of Jazz to SK and Aerial. SK is the originator of Sunosi and retains rights in 12 Asian markets, including China, Korea, and Japan. In 2014, Jazz acquired from Aerial worldwide rights to Sunosi excluding those Asian markets as stated previously. The assumed commitments to SK and Aerial include single-digit tiered royalties based on the Company's sales of Sunosi, and additionally, the Company is committed to pay up to $165 million based on revenue milestones and $1 million based on development milestones. The Company financed the transaction via its existing term loan facility with Hercules Capital, Inc.</w:t>
      </w:r>
    </w:p>
    <w:p>
      <w:pPr>
        <w:spacing w:after="0" w:line="123"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The purchase consideration consisted of the following:</w:t>
      </w: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90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at settlement</w:t>
            </w:r>
          </w:p>
        </w:tc>
        <w:tc>
          <w:tcPr>
            <w:tcW w:w="720" w:type="dxa"/>
            <w:vAlign w:val="bottom"/>
            <w:shd w:val="clear" w:color="auto" w:fill="CFF0FC"/>
          </w:tcPr>
          <w:p>
            <w:pPr>
              <w:jc w:val="right"/>
              <w:ind w:right="5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53,000</w:t>
            </w:r>
          </w:p>
        </w:tc>
        <w:tc>
          <w:tcPr>
            <w:tcW w:w="380" w:type="dxa"/>
            <w:vAlign w:val="bottom"/>
            <w:shd w:val="clear" w:color="auto" w:fill="CFF0FC"/>
          </w:tcPr>
          <w:p>
            <w:pPr>
              <w:spacing w:after="0"/>
              <w:rPr>
                <w:sz w:val="21"/>
                <w:szCs w:val="21"/>
                <w:color w:val="auto"/>
              </w:rPr>
            </w:pPr>
          </w:p>
        </w:tc>
      </w:tr>
      <w:tr>
        <w:trPr>
          <w:trHeight w:val="237"/>
        </w:trPr>
        <w:tc>
          <w:tcPr>
            <w:tcW w:w="9000" w:type="dxa"/>
            <w:vAlign w:val="bottom"/>
          </w:tcPr>
          <w:p>
            <w:pPr>
              <w:ind w:left="20"/>
              <w:spacing w:after="0"/>
              <w:rPr>
                <w:sz w:val="20"/>
                <w:szCs w:val="20"/>
                <w:color w:val="auto"/>
              </w:rPr>
            </w:pPr>
            <w:r>
              <w:rPr>
                <w:rFonts w:ascii="Arial" w:cs="Arial" w:eastAsia="Arial" w:hAnsi="Arial"/>
                <w:sz w:val="18"/>
                <w:szCs w:val="18"/>
                <w:color w:val="auto"/>
              </w:rPr>
              <w:t>Fair value of contingent consideration</w:t>
            </w:r>
          </w:p>
        </w:tc>
        <w:tc>
          <w:tcPr>
            <w:tcW w:w="7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36,140</w:t>
            </w:r>
          </w:p>
        </w:tc>
        <w:tc>
          <w:tcPr>
            <w:tcW w:w="380" w:type="dxa"/>
            <w:vAlign w:val="bottom"/>
          </w:tcPr>
          <w:p>
            <w:pPr>
              <w:spacing w:after="0"/>
              <w:rPr>
                <w:sz w:val="20"/>
                <w:szCs w:val="20"/>
                <w:color w:val="auto"/>
              </w:rPr>
            </w:pPr>
          </w:p>
        </w:tc>
      </w:tr>
      <w:tr>
        <w:trPr>
          <w:trHeight w:val="276"/>
        </w:trPr>
        <w:tc>
          <w:tcPr>
            <w:tcW w:w="90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w:t>
            </w:r>
          </w:p>
        </w:tc>
        <w:tc>
          <w:tcPr>
            <w:tcW w:w="720" w:type="dxa"/>
            <w:vAlign w:val="bottom"/>
            <w:tcBorders>
              <w:bottom w:val="single" w:sz="8" w:color="auto"/>
            </w:tcBorders>
            <w:shd w:val="clear" w:color="auto" w:fill="CFF0FC"/>
          </w:tcPr>
          <w:p>
            <w:pPr>
              <w:jc w:val="right"/>
              <w:ind w:right="5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89,140</w:t>
            </w:r>
          </w:p>
        </w:tc>
        <w:tc>
          <w:tcPr>
            <w:tcW w:w="3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6897370</wp:posOffset>
            </wp:positionH>
            <wp:positionV relativeFrom="paragraph">
              <wp:posOffset>-25400</wp:posOffset>
            </wp:positionV>
            <wp:extent cx="8572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6897370</wp:posOffset>
            </wp:positionH>
            <wp:positionV relativeFrom="paragraph">
              <wp:posOffset>-8255</wp:posOffset>
            </wp:positionV>
            <wp:extent cx="8572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159"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The allocation of the fair value of the Sunosi acquisition is shown in the table below:</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Amounts</w:t>
            </w:r>
          </w:p>
        </w:tc>
        <w:tc>
          <w:tcPr>
            <w:tcW w:w="160" w:type="dxa"/>
            <w:vAlign w:val="bottom"/>
          </w:tcPr>
          <w:p>
            <w:pPr>
              <w:spacing w:after="0"/>
              <w:rPr>
                <w:sz w:val="14"/>
                <w:szCs w:val="14"/>
                <w:color w:val="auto"/>
              </w:rPr>
            </w:pPr>
          </w:p>
        </w:tc>
        <w:tc>
          <w:tcPr>
            <w:tcW w:w="148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w w:val="97"/>
              </w:rPr>
              <w:t>Measurement</w:t>
            </w: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6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w w:val="88"/>
              </w:rPr>
              <w:t>Recognized as of</w:t>
            </w:r>
          </w:p>
        </w:tc>
        <w:tc>
          <w:tcPr>
            <w:tcW w:w="16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w w:val="92"/>
              </w:rPr>
              <w:t>Purchase Price</w:t>
            </w:r>
          </w:p>
        </w:tc>
        <w:tc>
          <w:tcPr>
            <w:tcW w:w="0" w:type="dxa"/>
            <w:vAlign w:val="bottom"/>
          </w:tcPr>
          <w:p>
            <w:pPr>
              <w:spacing w:after="0"/>
              <w:rPr>
                <w:sz w:val="1"/>
                <w:szCs w:val="1"/>
                <w:color w:val="auto"/>
              </w:rPr>
            </w:pPr>
          </w:p>
        </w:tc>
      </w:tr>
      <w:tr>
        <w:trPr>
          <w:trHeight w:val="149"/>
        </w:trPr>
        <w:tc>
          <w:tcPr>
            <w:tcW w:w="6360" w:type="dxa"/>
            <w:vAlign w:val="bottom"/>
            <w:vMerge w:val="restart"/>
          </w:tcPr>
          <w:p>
            <w:pPr>
              <w:ind w:left="3100"/>
              <w:spacing w:after="0"/>
              <w:rPr>
                <w:sz w:val="20"/>
                <w:szCs w:val="20"/>
                <w:color w:val="auto"/>
              </w:rPr>
            </w:pPr>
            <w:r>
              <w:rPr>
                <w:rFonts w:ascii="Arial" w:cs="Arial" w:eastAsia="Arial" w:hAnsi="Arial"/>
                <w:sz w:val="14"/>
                <w:szCs w:val="14"/>
                <w:b w:val="1"/>
                <w:bCs w:val="1"/>
                <w:color w:val="auto"/>
              </w:rPr>
              <w:t>​</w:t>
            </w:r>
          </w:p>
        </w:tc>
        <w:tc>
          <w:tcPr>
            <w:tcW w:w="16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Acquisition Date (as</w:t>
            </w:r>
          </w:p>
        </w:tc>
        <w:tc>
          <w:tcPr>
            <w:tcW w:w="16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Period Adjustments</w:t>
            </w:r>
          </w:p>
        </w:tc>
        <w:tc>
          <w:tcPr>
            <w:tcW w:w="14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6360" w:type="dxa"/>
            <w:vAlign w:val="bottom"/>
            <w:vMerge w:val="continue"/>
          </w:tcPr>
          <w:p>
            <w:pPr>
              <w:spacing w:after="0"/>
              <w:rPr>
                <w:sz w:val="16"/>
                <w:szCs w:val="16"/>
                <w:color w:val="auto"/>
              </w:rPr>
            </w:pPr>
          </w:p>
        </w:tc>
        <w:tc>
          <w:tcPr>
            <w:tcW w:w="1620" w:type="dxa"/>
            <w:vAlign w:val="bottom"/>
            <w:gridSpan w:val="3"/>
          </w:tcPr>
          <w:p>
            <w:pPr>
              <w:ind w:left="20"/>
              <w:spacing w:after="0"/>
              <w:rPr>
                <w:sz w:val="20"/>
                <w:szCs w:val="20"/>
                <w:color w:val="auto"/>
              </w:rPr>
            </w:pPr>
            <w:r>
              <w:rPr>
                <w:rFonts w:ascii="Arial" w:cs="Arial" w:eastAsia="Arial" w:hAnsi="Arial"/>
                <w:sz w:val="14"/>
                <w:szCs w:val="14"/>
                <w:b w:val="1"/>
                <w:bCs w:val="1"/>
                <w:color w:val="auto"/>
              </w:rPr>
              <w:t>previously reported)</w:t>
            </w:r>
          </w:p>
        </w:tc>
        <w:tc>
          <w:tcPr>
            <w:tcW w:w="160" w:type="dxa"/>
            <w:vAlign w:val="bottom"/>
          </w:tcPr>
          <w:p>
            <w:pPr>
              <w:spacing w:after="0"/>
              <w:rPr>
                <w:sz w:val="16"/>
                <w:szCs w:val="16"/>
                <w:color w:val="auto"/>
              </w:rPr>
            </w:pPr>
          </w:p>
        </w:tc>
        <w:tc>
          <w:tcPr>
            <w:tcW w:w="1140" w:type="dxa"/>
            <w:vAlign w:val="bottom"/>
          </w:tcPr>
          <w:p>
            <w:pPr>
              <w:jc w:val="right"/>
              <w:ind w:right="495"/>
              <w:spacing w:after="0"/>
              <w:rPr>
                <w:sz w:val="20"/>
                <w:szCs w:val="20"/>
                <w:color w:val="auto"/>
              </w:rPr>
            </w:pPr>
            <w:r>
              <w:rPr>
                <w:rFonts w:ascii="Arial" w:cs="Arial" w:eastAsia="Arial" w:hAnsi="Arial"/>
                <w:sz w:val="14"/>
                <w:szCs w:val="14"/>
                <w:b w:val="1"/>
                <w:bCs w:val="1"/>
                <w:color w:val="auto"/>
              </w:rPr>
              <w:t>(1)</w:t>
            </w: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Allocation</w:t>
            </w:r>
          </w:p>
        </w:tc>
        <w:tc>
          <w:tcPr>
            <w:tcW w:w="0" w:type="dxa"/>
            <w:vAlign w:val="bottom"/>
          </w:tcPr>
          <w:p>
            <w:pPr>
              <w:spacing w:after="0"/>
              <w:rPr>
                <w:sz w:val="1"/>
                <w:szCs w:val="1"/>
                <w:color w:val="auto"/>
              </w:rPr>
            </w:pPr>
          </w:p>
        </w:tc>
      </w:tr>
      <w:tr>
        <w:trPr>
          <w:trHeight w:val="243"/>
        </w:trPr>
        <w:tc>
          <w:tcPr>
            <w:tcW w:w="636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Inventory</w:t>
            </w:r>
          </w:p>
        </w:tc>
        <w:tc>
          <w:tcPr>
            <w:tcW w:w="120" w:type="dxa"/>
            <w:vAlign w:val="bottom"/>
            <w:shd w:val="clear" w:color="auto" w:fill="CFF0FC"/>
          </w:tcPr>
          <w:p>
            <w:pPr>
              <w:ind w:left="2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10,601</w:t>
            </w:r>
          </w:p>
        </w:tc>
        <w:tc>
          <w:tcPr>
            <w:tcW w:w="3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10,601</w:t>
            </w:r>
          </w:p>
        </w:tc>
        <w:tc>
          <w:tcPr>
            <w:tcW w:w="3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360" w:type="dxa"/>
            <w:vAlign w:val="bottom"/>
          </w:tcPr>
          <w:p>
            <w:pPr>
              <w:ind w:left="20"/>
              <w:spacing w:after="0"/>
              <w:rPr>
                <w:sz w:val="20"/>
                <w:szCs w:val="20"/>
                <w:color w:val="auto"/>
              </w:rPr>
            </w:pPr>
            <w:r>
              <w:rPr>
                <w:rFonts w:ascii="Arial" w:cs="Arial" w:eastAsia="Arial" w:hAnsi="Arial"/>
                <w:sz w:val="18"/>
                <w:szCs w:val="18"/>
                <w:color w:val="auto"/>
              </w:rPr>
              <w:t>Other current assets</w:t>
            </w:r>
          </w:p>
        </w:tc>
        <w:tc>
          <w:tcPr>
            <w:tcW w:w="1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3,551</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1,587</w:t>
            </w: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5,138</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636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Developed technology</w:t>
            </w:r>
          </w:p>
        </w:tc>
        <w:tc>
          <w:tcPr>
            <w:tcW w:w="12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63,800</w:t>
            </w:r>
          </w:p>
        </w:tc>
        <w:tc>
          <w:tcPr>
            <w:tcW w:w="3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63,800</w:t>
            </w:r>
          </w:p>
        </w:tc>
        <w:tc>
          <w:tcPr>
            <w:tcW w:w="3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360" w:type="dxa"/>
            <w:vAlign w:val="bottom"/>
          </w:tcPr>
          <w:p>
            <w:pPr>
              <w:ind w:left="20"/>
              <w:spacing w:after="0"/>
              <w:rPr>
                <w:sz w:val="20"/>
                <w:szCs w:val="20"/>
                <w:color w:val="auto"/>
              </w:rPr>
            </w:pPr>
            <w:r>
              <w:rPr>
                <w:rFonts w:ascii="Arial" w:cs="Arial" w:eastAsia="Arial" w:hAnsi="Arial"/>
                <w:sz w:val="18"/>
                <w:szCs w:val="18"/>
                <w:color w:val="auto"/>
              </w:rPr>
              <w:t>Goodwill</w:t>
            </w:r>
          </w:p>
        </w:tc>
        <w:tc>
          <w:tcPr>
            <w:tcW w:w="1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11,897</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145</w:t>
            </w: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12,042</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36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Accrued expenses and other current liabilities</w:t>
            </w:r>
          </w:p>
        </w:tc>
        <w:tc>
          <w:tcPr>
            <w:tcW w:w="12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(709 )</w:t>
            </w:r>
          </w:p>
        </w:tc>
        <w:tc>
          <w:tcPr>
            <w:tcW w:w="16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(1,732 )</w:t>
            </w:r>
          </w:p>
        </w:tc>
        <w:tc>
          <w:tcPr>
            <w:tcW w:w="14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(2,441 )</w:t>
            </w:r>
          </w:p>
        </w:tc>
        <w:tc>
          <w:tcPr>
            <w:tcW w:w="0" w:type="dxa"/>
            <w:vAlign w:val="bottom"/>
          </w:tcPr>
          <w:p>
            <w:pPr>
              <w:spacing w:after="0"/>
              <w:rPr>
                <w:sz w:val="1"/>
                <w:szCs w:val="1"/>
                <w:color w:val="auto"/>
              </w:rPr>
            </w:pPr>
          </w:p>
        </w:tc>
      </w:tr>
      <w:tr>
        <w:trPr>
          <w:trHeight w:val="237"/>
        </w:trPr>
        <w:tc>
          <w:tcPr>
            <w:tcW w:w="636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89,140</w:t>
            </w:r>
          </w:p>
        </w:tc>
        <w:tc>
          <w:tcPr>
            <w:tcW w:w="320" w:type="dxa"/>
            <w:vAlign w:val="bottom"/>
            <w:tcBorders>
              <w:top w:val="single" w:sz="8" w:color="CFF0FC"/>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CFF0FC"/>
            </w:tcBorders>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89,140</w:t>
            </w:r>
          </w:p>
        </w:tc>
        <w:tc>
          <w:tcPr>
            <w:tcW w:w="32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4865370</wp:posOffset>
            </wp:positionH>
            <wp:positionV relativeFrom="paragraph">
              <wp:posOffset>-187960</wp:posOffset>
            </wp:positionV>
            <wp:extent cx="85725" cy="18859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-187960</wp:posOffset>
            </wp:positionV>
            <wp:extent cx="85725" cy="18859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6939915</wp:posOffset>
            </wp:positionH>
            <wp:positionV relativeFrom="paragraph">
              <wp:posOffset>-187960</wp:posOffset>
            </wp:positionV>
            <wp:extent cx="85725" cy="18859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85725" cy="188595"/>
                    </a:xfrm>
                    <a:prstGeom prst="rect">
                      <a:avLst/>
                    </a:prstGeom>
                    <a:noFill/>
                  </pic:spPr>
                </pic:pic>
              </a:graphicData>
            </a:graphic>
          </wp:anchor>
        </w:drawing>
      </w:r>
    </w:p>
    <w:p>
      <w:pPr>
        <w:spacing w:after="0" w:line="78" w:lineRule="exact"/>
        <w:rPr>
          <w:sz w:val="20"/>
          <w:szCs w:val="20"/>
          <w:color w:val="auto"/>
        </w:rPr>
      </w:pPr>
    </w:p>
    <w:p>
      <w:pPr>
        <w:spacing w:after="0"/>
        <w:rPr>
          <w:sz w:val="20"/>
          <w:szCs w:val="20"/>
          <w:color w:val="auto"/>
        </w:rPr>
      </w:pPr>
      <w:r>
        <w:rPr>
          <w:rFonts w:ascii="Arial" w:cs="Arial" w:eastAsia="Arial" w:hAnsi="Arial"/>
          <w:sz w:val="15"/>
          <w:szCs w:val="15"/>
          <w:color w:val="auto"/>
        </w:rPr>
        <w:t>(1) The adjustment to goodwill resulted from rebates and returns during the post acquisition period which were provisionally recorded as of the acquisition date.</w:t>
      </w:r>
    </w:p>
    <w:p>
      <w:pPr>
        <w:spacing w:after="0" w:line="206" w:lineRule="exact"/>
        <w:rPr>
          <w:sz w:val="20"/>
          <w:szCs w:val="20"/>
          <w:color w:val="auto"/>
        </w:rPr>
      </w:pPr>
    </w:p>
    <w:p>
      <w:pPr>
        <w:ind w:right="120" w:firstLine="749"/>
        <w:spacing w:after="0" w:line="293" w:lineRule="auto"/>
        <w:rPr>
          <w:sz w:val="20"/>
          <w:szCs w:val="20"/>
          <w:color w:val="auto"/>
        </w:rPr>
      </w:pPr>
      <w:r>
        <w:rPr>
          <w:rFonts w:ascii="Arial" w:cs="Arial" w:eastAsia="Arial" w:hAnsi="Arial"/>
          <w:sz w:val="16"/>
          <w:szCs w:val="16"/>
          <w:color w:val="auto"/>
        </w:rPr>
        <w:t>The net assets were recorded at their estimated fair value. In valuing acquired assets and liabilities, fair value estimates were based primarily on future expected cash flows, market rate assumptions for contractual obligations, and appropriate discount rates.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7" w:name="page18"/>
    <w:bookmarkEnd w:id="17"/>
    <w:p>
      <w:pPr>
        <w:spacing w:after="0"/>
        <w:rPr>
          <w:sz w:val="20"/>
          <w:szCs w:val="20"/>
          <w:color w:val="auto"/>
        </w:rPr>
      </w:pPr>
      <w:r>
        <w:rPr>
          <w:rFonts w:ascii="Arial" w:cs="Arial" w:eastAsia="Arial" w:hAnsi="Arial"/>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3025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30250" cy="8255"/>
                    </a:xfrm>
                    <a:prstGeom prst="rect">
                      <a:avLst/>
                    </a:prstGeom>
                    <a:noFill/>
                  </pic:spPr>
                </pic:pic>
              </a:graphicData>
            </a:graphic>
          </wp:anchor>
        </w:drawing>
      </w:r>
    </w:p>
    <w:p>
      <w:pPr>
        <w:spacing w:after="0" w:line="174" w:lineRule="exact"/>
        <w:rPr>
          <w:sz w:val="20"/>
          <w:szCs w:val="20"/>
          <w:color w:val="auto"/>
        </w:rPr>
      </w:pPr>
    </w:p>
    <w:p>
      <w:pPr>
        <w:ind w:right="120" w:firstLine="749"/>
        <w:spacing w:after="0" w:line="293" w:lineRule="auto"/>
        <w:rPr>
          <w:sz w:val="20"/>
          <w:szCs w:val="20"/>
          <w:color w:val="auto"/>
        </w:rPr>
      </w:pPr>
      <w:r>
        <w:rPr>
          <w:rFonts w:ascii="Arial" w:cs="Arial" w:eastAsia="Arial" w:hAnsi="Arial"/>
          <w:sz w:val="15"/>
          <w:szCs w:val="15"/>
          <w:color w:val="auto"/>
        </w:rPr>
        <w:t>Inventories acquired included raw materials, work in process and finished goods for Sunosi. Inventories were recorded at their estimated fair values categorized as Level 3. The fair value of finished goods was determined based on the estimated selling price, net of selling costs and a margin on the selling activities. The fair value of work in process was determined based on estimated selling price, net of selling costs and costs to complete the manufacturing, and a margin on the selling and manufacturing activities. The fair value of raw materials was estimated to equal the replacement cost. A step-up in the value of inventory of $1.1 million was originally recorded in connection with the Acquisition and is being amortized through cost of product sales as the underlying product is sold.</w:t>
      </w:r>
    </w:p>
    <w:p>
      <w:pPr>
        <w:spacing w:after="0" w:line="149" w:lineRule="exact"/>
        <w:rPr>
          <w:sz w:val="20"/>
          <w:szCs w:val="20"/>
          <w:color w:val="auto"/>
        </w:rPr>
      </w:pPr>
    </w:p>
    <w:p>
      <w:pPr>
        <w:ind w:left="760"/>
        <w:spacing w:after="0"/>
        <w:rPr>
          <w:sz w:val="20"/>
          <w:szCs w:val="20"/>
          <w:color w:val="auto"/>
        </w:rPr>
      </w:pPr>
      <w:r>
        <w:rPr>
          <w:rFonts w:ascii="Arial" w:cs="Arial" w:eastAsia="Arial" w:hAnsi="Arial"/>
          <w:sz w:val="15"/>
          <w:szCs w:val="15"/>
          <w:color w:val="auto"/>
        </w:rPr>
        <w:t>Other current assets acquired were sample inventory and the rebates for Sunosi sales by the Company after the Initial Closing to be covered by Jazz.</w:t>
      </w:r>
    </w:p>
    <w:p>
      <w:pPr>
        <w:spacing w:after="0" w:line="206" w:lineRule="exact"/>
        <w:rPr>
          <w:sz w:val="20"/>
          <w:szCs w:val="20"/>
          <w:color w:val="auto"/>
        </w:rPr>
      </w:pPr>
    </w:p>
    <w:p>
      <w:pPr>
        <w:ind w:right="20" w:firstLine="749"/>
        <w:spacing w:after="0" w:line="273" w:lineRule="auto"/>
        <w:rPr>
          <w:sz w:val="20"/>
          <w:szCs w:val="20"/>
          <w:color w:val="auto"/>
        </w:rPr>
      </w:pPr>
      <w:r>
        <w:rPr>
          <w:rFonts w:ascii="Arial" w:cs="Arial" w:eastAsia="Arial" w:hAnsi="Arial"/>
          <w:sz w:val="16"/>
          <w:szCs w:val="16"/>
          <w:color w:val="auto"/>
        </w:rPr>
        <w:t>Intangible assets include acquired developed technology. The fair value of the acquired developed technology asset was determined by applying the income approach, which recognizes that the fair value of an asset is premised upon the expected receipt of future economic benefits such as earnings and cash inflows based on current sales projections and estimated direct costs, using a discount rate of 43.5% that reflects the return requirements of the market. The intangible asset is being amortized over an estimated useful life of 10 years.</w:t>
      </w:r>
    </w:p>
    <w:p>
      <w:pPr>
        <w:spacing w:after="0" w:line="148" w:lineRule="exact"/>
        <w:rPr>
          <w:sz w:val="20"/>
          <w:szCs w:val="20"/>
          <w:color w:val="auto"/>
        </w:rPr>
      </w:pPr>
    </w:p>
    <w:p>
      <w:pPr>
        <w:ind w:right="20" w:firstLine="749"/>
        <w:spacing w:after="0" w:line="278" w:lineRule="auto"/>
        <w:rPr>
          <w:sz w:val="20"/>
          <w:szCs w:val="20"/>
          <w:color w:val="auto"/>
        </w:rPr>
      </w:pPr>
      <w:r>
        <w:rPr>
          <w:rFonts w:ascii="Arial" w:cs="Arial" w:eastAsia="Arial" w:hAnsi="Arial"/>
          <w:sz w:val="16"/>
          <w:szCs w:val="16"/>
          <w:color w:val="auto"/>
        </w:rPr>
        <w:t>Goodwill is considered an indefinite-lived asset and relates primarily to intangible assets that do not qualify for separate recognition, such as the assembled workforce and synergies between the entities. The Company expects that the entire amount of the purchase price allocated to goodwill will be deductible for U.S. income tax purposes over a 15-year period.</w:t>
      </w:r>
    </w:p>
    <w:p>
      <w:pPr>
        <w:spacing w:after="0" w:line="157" w:lineRule="exact"/>
        <w:rPr>
          <w:sz w:val="20"/>
          <w:szCs w:val="20"/>
          <w:color w:val="auto"/>
        </w:rPr>
      </w:pPr>
    </w:p>
    <w:p>
      <w:pPr>
        <w:ind w:right="260" w:firstLine="749"/>
        <w:spacing w:after="0" w:line="293" w:lineRule="auto"/>
        <w:rPr>
          <w:sz w:val="20"/>
          <w:szCs w:val="20"/>
          <w:color w:val="auto"/>
        </w:rPr>
      </w:pPr>
      <w:r>
        <w:rPr>
          <w:rFonts w:ascii="Arial" w:cs="Arial" w:eastAsia="Arial" w:hAnsi="Arial"/>
          <w:sz w:val="16"/>
          <w:szCs w:val="16"/>
          <w:color w:val="auto"/>
        </w:rPr>
        <w:t>Accrued expense and other current liabilities acquired were the Company's assumed sales returns liability for Sunosi after the transaction close date related to Jazz sales prior to the Initial Closing.</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 Forma Consolidated Financial Information (Unaudited)</w:t>
      </w:r>
    </w:p>
    <w:p>
      <w:pPr>
        <w:spacing w:after="0" w:line="198" w:lineRule="exact"/>
        <w:rPr>
          <w:sz w:val="20"/>
          <w:szCs w:val="20"/>
          <w:color w:val="auto"/>
        </w:rPr>
      </w:pPr>
    </w:p>
    <w:p>
      <w:pPr>
        <w:ind w:right="160" w:firstLine="749"/>
        <w:spacing w:after="0" w:line="282" w:lineRule="auto"/>
        <w:rPr>
          <w:sz w:val="20"/>
          <w:szCs w:val="20"/>
          <w:color w:val="auto"/>
        </w:rPr>
      </w:pPr>
      <w:r>
        <w:rPr>
          <w:rFonts w:ascii="Arial" w:cs="Arial" w:eastAsia="Arial" w:hAnsi="Arial"/>
          <w:sz w:val="16"/>
          <w:szCs w:val="16"/>
          <w:color w:val="auto"/>
        </w:rPr>
        <w:t>The following unaudited pro forma summary presents consolidated information of the Company, including Sunosi, as if the business combination had occurred on January 1, 2022, the earliest period presented herein:</w:t>
      </w:r>
    </w:p>
    <w:tbl>
      <w:tblPr>
        <w:tblLayout w:type="fixed"/>
        <w:tblInd w:w="0" w:type="dxa"/>
        <w:tblCellMar>
          <w:top w:w="0" w:type="dxa"/>
          <w:left w:w="0" w:type="dxa"/>
          <w:bottom w:w="0" w:type="dxa"/>
          <w:right w:w="0" w:type="dxa"/>
        </w:tblCellMar>
      </w:tblPr>
      <w:tr>
        <w:trPr>
          <w:trHeight w:val="185"/>
        </w:trPr>
        <w:tc>
          <w:tcPr>
            <w:tcW w:w="8980" w:type="dxa"/>
            <w:vAlign w:val="bottom"/>
          </w:tcPr>
          <w:p>
            <w:pPr>
              <w:ind w:left="438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6"/>
                <w:szCs w:val="16"/>
                <w:color w:val="auto"/>
              </w:rPr>
            </w:pPr>
          </w:p>
        </w:tc>
        <w:tc>
          <w:tcPr>
            <w:tcW w:w="21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4"/>
              </w:rPr>
              <w:t>Six Months Ended June 30,</w:t>
            </w:r>
          </w:p>
        </w:tc>
      </w:tr>
      <w:tr>
        <w:trPr>
          <w:trHeight w:val="169"/>
        </w:trPr>
        <w:tc>
          <w:tcPr>
            <w:tcW w:w="898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1960" w:type="dxa"/>
            <w:vAlign w:val="bottom"/>
            <w:tcBorders>
              <w:top w:val="single" w:sz="8" w:color="auto"/>
              <w:bottom w:val="single" w:sz="8" w:color="auto"/>
            </w:tcBorders>
          </w:tcPr>
          <w:p>
            <w:pPr>
              <w:jc w:val="right"/>
              <w:ind w:right="839"/>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4"/>
                <w:szCs w:val="14"/>
                <w:color w:val="auto"/>
              </w:rPr>
            </w:pPr>
          </w:p>
        </w:tc>
      </w:tr>
      <w:tr>
        <w:trPr>
          <w:trHeight w:val="237"/>
        </w:trPr>
        <w:tc>
          <w:tcPr>
            <w:tcW w:w="898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revenues</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32,848</w:t>
            </w:r>
          </w:p>
        </w:tc>
        <w:tc>
          <w:tcPr>
            <w:tcW w:w="140" w:type="dxa"/>
            <w:vAlign w:val="bottom"/>
            <w:shd w:val="clear" w:color="auto" w:fill="CFF0FC"/>
          </w:tcPr>
          <w:p>
            <w:pPr>
              <w:spacing w:after="0"/>
              <w:rPr>
                <w:sz w:val="20"/>
                <w:szCs w:val="20"/>
                <w:color w:val="auto"/>
              </w:rPr>
            </w:pPr>
          </w:p>
        </w:tc>
      </w:tr>
      <w:tr>
        <w:trPr>
          <w:trHeight w:val="230"/>
        </w:trPr>
        <w:tc>
          <w:tcPr>
            <w:tcW w:w="8980" w:type="dxa"/>
            <w:vAlign w:val="bottom"/>
          </w:tcPr>
          <w:p>
            <w:pPr>
              <w:ind w:left="20"/>
              <w:spacing w:after="0"/>
              <w:rPr>
                <w:sz w:val="20"/>
                <w:szCs w:val="20"/>
                <w:color w:val="auto"/>
              </w:rPr>
            </w:pPr>
            <w:r>
              <w:rPr>
                <w:rFonts w:ascii="Arial" w:cs="Arial" w:eastAsia="Arial" w:hAnsi="Arial"/>
                <w:sz w:val="18"/>
                <w:szCs w:val="18"/>
                <w:color w:val="auto"/>
              </w:rPr>
              <w:t>Net Loss</w:t>
            </w:r>
          </w:p>
        </w:tc>
        <w:tc>
          <w:tcPr>
            <w:tcW w:w="160" w:type="dxa"/>
            <w:vAlign w:val="bottom"/>
          </w:tcPr>
          <w:p>
            <w:pPr>
              <w:spacing w:after="0"/>
              <w:rPr>
                <w:sz w:val="20"/>
                <w:szCs w:val="20"/>
                <w:color w:val="auto"/>
              </w:rPr>
            </w:pPr>
          </w:p>
        </w:tc>
        <w:tc>
          <w:tcPr>
            <w:tcW w:w="2100" w:type="dxa"/>
            <w:vAlign w:val="bottom"/>
            <w:gridSpan w:val="2"/>
          </w:tcPr>
          <w:p>
            <w:pPr>
              <w:jc w:val="right"/>
              <w:ind w:right="60"/>
              <w:spacing w:after="0"/>
              <w:rPr>
                <w:sz w:val="20"/>
                <w:szCs w:val="20"/>
                <w:color w:val="auto"/>
              </w:rPr>
            </w:pPr>
            <w:r>
              <w:rPr>
                <w:rFonts w:ascii="Arial" w:cs="Arial" w:eastAsia="Arial" w:hAnsi="Arial"/>
                <w:sz w:val="18"/>
                <w:szCs w:val="18"/>
                <w:color w:val="auto"/>
              </w:rPr>
              <w:t>(108,332 )</w:t>
            </w:r>
          </w:p>
        </w:tc>
      </w:tr>
    </w:tbl>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Accounts receivable, net</w:t>
      </w:r>
    </w:p>
    <w:p>
      <w:pPr>
        <w:spacing w:after="0" w:line="234" w:lineRule="exact"/>
        <w:rPr>
          <w:sz w:val="20"/>
          <w:szCs w:val="20"/>
          <w:color w:val="auto"/>
        </w:rPr>
      </w:pPr>
    </w:p>
    <w:p>
      <w:pPr>
        <w:ind w:left="760"/>
        <w:spacing w:after="0"/>
        <w:rPr>
          <w:sz w:val="20"/>
          <w:szCs w:val="20"/>
          <w:color w:val="auto"/>
        </w:rPr>
      </w:pPr>
      <w:r>
        <w:rPr>
          <w:rFonts w:ascii="Arial" w:cs="Arial" w:eastAsia="Arial" w:hAnsi="Arial"/>
          <w:sz w:val="16"/>
          <w:szCs w:val="16"/>
          <w:color w:val="auto"/>
        </w:rPr>
        <w:t>As of June 30, 2023 and December 31, 2022, accounts receivable, net, consisted of the following:</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80" w:type="dxa"/>
            <w:vAlign w:val="bottom"/>
            <w:gridSpan w:val="2"/>
          </w:tcPr>
          <w:p>
            <w:pPr>
              <w:jc w:val="right"/>
              <w:ind w:right="860"/>
              <w:spacing w:after="0"/>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4"/>
                <w:szCs w:val="14"/>
                <w:color w:val="auto"/>
              </w:rPr>
            </w:pPr>
          </w:p>
        </w:tc>
        <w:tc>
          <w:tcPr>
            <w:tcW w:w="166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December 31,</w:t>
            </w:r>
          </w:p>
        </w:tc>
      </w:tr>
      <w:tr>
        <w:trPr>
          <w:trHeight w:val="185"/>
        </w:trPr>
        <w:tc>
          <w:tcPr>
            <w:tcW w:w="7480" w:type="dxa"/>
            <w:vAlign w:val="bottom"/>
          </w:tcPr>
          <w:p>
            <w:pPr>
              <w:ind w:left="3640"/>
              <w:spacing w:after="0"/>
              <w:rPr>
                <w:sz w:val="20"/>
                <w:szCs w:val="20"/>
                <w:color w:val="auto"/>
              </w:rPr>
            </w:pPr>
            <w:r>
              <w:rPr>
                <w:rFonts w:ascii="Arial" w:cs="Arial" w:eastAsia="Arial" w:hAnsi="Arial"/>
                <w:sz w:val="14"/>
                <w:szCs w:val="14"/>
                <w:b w:val="1"/>
                <w:bCs w:val="1"/>
                <w:color w:val="auto"/>
              </w:rPr>
              <w:t>​</w:t>
            </w:r>
          </w:p>
        </w:tc>
        <w:tc>
          <w:tcPr>
            <w:tcW w:w="3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2023</w:t>
            </w:r>
          </w:p>
        </w:tc>
        <w:tc>
          <w:tcPr>
            <w:tcW w:w="3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2022</w:t>
            </w:r>
          </w:p>
        </w:tc>
        <w:tc>
          <w:tcPr>
            <w:tcW w:w="340" w:type="dxa"/>
            <w:vAlign w:val="bottom"/>
          </w:tcPr>
          <w:p>
            <w:pPr>
              <w:spacing w:after="0"/>
              <w:rPr>
                <w:sz w:val="16"/>
                <w:szCs w:val="16"/>
                <w:color w:val="auto"/>
              </w:rPr>
            </w:pPr>
          </w:p>
        </w:tc>
      </w:tr>
      <w:tr>
        <w:trPr>
          <w:trHeight w:val="237"/>
        </w:trPr>
        <w:tc>
          <w:tcPr>
            <w:tcW w:w="7480" w:type="dxa"/>
            <w:vAlign w:val="bottom"/>
            <w:shd w:val="clear" w:color="auto" w:fill="CFF0FC"/>
          </w:tcPr>
          <w:p>
            <w:pPr>
              <w:ind w:left="20"/>
              <w:spacing w:after="0"/>
              <w:rPr>
                <w:sz w:val="20"/>
                <w:szCs w:val="20"/>
                <w:color w:val="auto"/>
              </w:rPr>
            </w:pPr>
            <w:r>
              <w:rPr>
                <w:rFonts w:ascii="Arial" w:cs="Arial" w:eastAsia="Arial" w:hAnsi="Arial"/>
                <w:sz w:val="18"/>
                <w:szCs w:val="18"/>
                <w:color w:val="auto"/>
              </w:rPr>
              <w:t>Trade receivables</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83,063</w:t>
            </w:r>
          </w:p>
        </w:tc>
        <w:tc>
          <w:tcPr>
            <w:tcW w:w="34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46,796</w:t>
            </w:r>
          </w:p>
        </w:tc>
        <w:tc>
          <w:tcPr>
            <w:tcW w:w="340" w:type="dxa"/>
            <w:vAlign w:val="bottom"/>
            <w:shd w:val="clear" w:color="auto" w:fill="CFF0FC"/>
          </w:tcPr>
          <w:p>
            <w:pPr>
              <w:spacing w:after="0"/>
              <w:rPr>
                <w:sz w:val="20"/>
                <w:szCs w:val="20"/>
                <w:color w:val="auto"/>
              </w:rPr>
            </w:pPr>
          </w:p>
        </w:tc>
      </w:tr>
      <w:tr>
        <w:trPr>
          <w:trHeight w:val="237"/>
        </w:trPr>
        <w:tc>
          <w:tcPr>
            <w:tcW w:w="7480" w:type="dxa"/>
            <w:vAlign w:val="bottom"/>
          </w:tcPr>
          <w:p>
            <w:pPr>
              <w:ind w:left="20"/>
              <w:spacing w:after="0"/>
              <w:rPr>
                <w:sz w:val="20"/>
                <w:szCs w:val="20"/>
                <w:color w:val="auto"/>
              </w:rPr>
            </w:pPr>
            <w:r>
              <w:rPr>
                <w:rFonts w:ascii="Arial" w:cs="Arial" w:eastAsia="Arial" w:hAnsi="Arial"/>
                <w:sz w:val="18"/>
                <w:szCs w:val="18"/>
                <w:color w:val="auto"/>
              </w:rPr>
              <w:t>Less: Reserves for Variable Consideration</w:t>
            </w:r>
          </w:p>
        </w:tc>
        <w:tc>
          <w:tcPr>
            <w:tcW w:w="300" w:type="dxa"/>
            <w:vAlign w:val="bottom"/>
          </w:tcPr>
          <w:p>
            <w:pPr>
              <w:spacing w:after="0"/>
              <w:rPr>
                <w:sz w:val="20"/>
                <w:szCs w:val="20"/>
                <w:color w:val="auto"/>
              </w:rPr>
            </w:pPr>
          </w:p>
        </w:tc>
        <w:tc>
          <w:tcPr>
            <w:tcW w:w="1580" w:type="dxa"/>
            <w:vAlign w:val="bottom"/>
            <w:gridSpan w:val="2"/>
          </w:tcPr>
          <w:p>
            <w:pPr>
              <w:jc w:val="right"/>
              <w:ind w:right="260"/>
              <w:spacing w:after="0"/>
              <w:rPr>
                <w:sz w:val="20"/>
                <w:szCs w:val="20"/>
                <w:color w:val="auto"/>
              </w:rPr>
            </w:pPr>
            <w:r>
              <w:rPr>
                <w:rFonts w:ascii="Arial" w:cs="Arial" w:eastAsia="Arial" w:hAnsi="Arial"/>
                <w:sz w:val="18"/>
                <w:szCs w:val="18"/>
                <w:color w:val="auto"/>
              </w:rPr>
              <w:t>(15,653 )</w:t>
            </w:r>
          </w:p>
        </w:tc>
        <w:tc>
          <w:tcPr>
            <w:tcW w:w="220" w:type="dxa"/>
            <w:vAlign w:val="bottom"/>
          </w:tcPr>
          <w:p>
            <w:pPr>
              <w:spacing w:after="0"/>
              <w:rPr>
                <w:sz w:val="20"/>
                <w:szCs w:val="20"/>
                <w:color w:val="auto"/>
              </w:rPr>
            </w:pPr>
          </w:p>
        </w:tc>
        <w:tc>
          <w:tcPr>
            <w:tcW w:w="1660" w:type="dxa"/>
            <w:vAlign w:val="bottom"/>
            <w:gridSpan w:val="2"/>
          </w:tcPr>
          <w:p>
            <w:pPr>
              <w:jc w:val="right"/>
              <w:ind w:right="260"/>
              <w:spacing w:after="0"/>
              <w:rPr>
                <w:sz w:val="20"/>
                <w:szCs w:val="20"/>
                <w:color w:val="auto"/>
              </w:rPr>
            </w:pPr>
            <w:r>
              <w:rPr>
                <w:rFonts w:ascii="Arial" w:cs="Arial" w:eastAsia="Arial" w:hAnsi="Arial"/>
                <w:sz w:val="18"/>
                <w:szCs w:val="18"/>
                <w:color w:val="auto"/>
              </w:rPr>
              <w:t>(9,097 )</w:t>
            </w:r>
          </w:p>
        </w:tc>
      </w:tr>
      <w:tr>
        <w:trPr>
          <w:trHeight w:val="277"/>
        </w:trPr>
        <w:tc>
          <w:tcPr>
            <w:tcW w:w="74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Accounts Receivable, net</w:t>
            </w: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67,410</w:t>
            </w:r>
          </w:p>
        </w:tc>
        <w:tc>
          <w:tcPr>
            <w:tcW w:w="34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37,699</w:t>
            </w:r>
          </w:p>
        </w:tc>
        <w:tc>
          <w:tcPr>
            <w:tcW w:w="34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5731510</wp:posOffset>
            </wp:positionH>
            <wp:positionV relativeFrom="paragraph">
              <wp:posOffset>-24765</wp:posOffset>
            </wp:positionV>
            <wp:extent cx="8572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-7620</wp:posOffset>
            </wp:positionV>
            <wp:extent cx="8572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6923405</wp:posOffset>
            </wp:positionH>
            <wp:positionV relativeFrom="paragraph">
              <wp:posOffset>-24765</wp:posOffset>
            </wp:positionV>
            <wp:extent cx="8572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6923405</wp:posOffset>
            </wp:positionH>
            <wp:positionV relativeFrom="paragraph">
              <wp:posOffset>-7620</wp:posOffset>
            </wp:positionV>
            <wp:extent cx="8572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3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5. Goodwill</w:t>
      </w:r>
    </w:p>
    <w:p>
      <w:pPr>
        <w:spacing w:after="0" w:line="198" w:lineRule="exact"/>
        <w:rPr>
          <w:sz w:val="20"/>
          <w:szCs w:val="20"/>
          <w:color w:val="auto"/>
        </w:rPr>
      </w:pPr>
    </w:p>
    <w:p>
      <w:pPr>
        <w:ind w:left="760"/>
        <w:spacing w:after="0"/>
        <w:rPr>
          <w:sz w:val="20"/>
          <w:szCs w:val="20"/>
          <w:color w:val="auto"/>
        </w:rPr>
      </w:pPr>
      <w:r>
        <w:rPr>
          <w:rFonts w:ascii="Arial" w:cs="Arial" w:eastAsia="Arial" w:hAnsi="Arial"/>
          <w:sz w:val="15"/>
          <w:szCs w:val="15"/>
          <w:color w:val="auto"/>
        </w:rPr>
        <w:t>The following table provides the Company’s goodwill balance as of June 30, 2023. There was no goodwill impairment during the six months ended June 30,</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2023.</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020" w:type="dxa"/>
            <w:vAlign w:val="bottom"/>
          </w:tcPr>
          <w:p>
            <w:pPr>
              <w:spacing w:after="0"/>
              <w:rPr>
                <w:sz w:val="16"/>
                <w:szCs w:val="16"/>
                <w:color w:val="auto"/>
              </w:rPr>
            </w:pPr>
          </w:p>
        </w:tc>
        <w:tc>
          <w:tcPr>
            <w:tcW w:w="516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auto"/>
              </w:rPr>
              <w:t>Goodwill</w:t>
            </w:r>
          </w:p>
        </w:tc>
        <w:tc>
          <w:tcPr>
            <w:tcW w:w="140" w:type="dxa"/>
            <w:vAlign w:val="bottom"/>
          </w:tcPr>
          <w:p>
            <w:pPr>
              <w:spacing w:after="0"/>
              <w:rPr>
                <w:sz w:val="16"/>
                <w:szCs w:val="16"/>
                <w:color w:val="auto"/>
              </w:rPr>
            </w:pPr>
          </w:p>
        </w:tc>
      </w:tr>
      <w:tr>
        <w:trPr>
          <w:trHeight w:val="236"/>
        </w:trPr>
        <w:tc>
          <w:tcPr>
            <w:tcW w:w="402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 at December 31, 2022</w:t>
            </w:r>
          </w:p>
        </w:tc>
        <w:tc>
          <w:tcPr>
            <w:tcW w:w="5160" w:type="dxa"/>
            <w:vAlign w:val="bottom"/>
            <w:shd w:val="clear" w:color="auto" w:fill="CFF0FC"/>
          </w:tcPr>
          <w:p>
            <w:pPr>
              <w:spacing w:after="0"/>
              <w:rPr>
                <w:sz w:val="20"/>
                <w:szCs w:val="20"/>
                <w:color w:val="auto"/>
              </w:rPr>
            </w:pPr>
          </w:p>
        </w:tc>
        <w:tc>
          <w:tcPr>
            <w:tcW w:w="40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10,310</w:t>
            </w:r>
          </w:p>
        </w:tc>
        <w:tc>
          <w:tcPr>
            <w:tcW w:w="140" w:type="dxa"/>
            <w:vAlign w:val="bottom"/>
            <w:shd w:val="clear" w:color="auto" w:fill="CFF0FC"/>
          </w:tcPr>
          <w:p>
            <w:pPr>
              <w:spacing w:after="0"/>
              <w:rPr>
                <w:sz w:val="20"/>
                <w:szCs w:val="20"/>
                <w:color w:val="auto"/>
              </w:rPr>
            </w:pPr>
          </w:p>
        </w:tc>
      </w:tr>
      <w:tr>
        <w:trPr>
          <w:trHeight w:val="237"/>
        </w:trPr>
        <w:tc>
          <w:tcPr>
            <w:tcW w:w="4020" w:type="dxa"/>
            <w:vAlign w:val="bottom"/>
          </w:tcPr>
          <w:p>
            <w:pPr>
              <w:ind w:left="200"/>
              <w:spacing w:after="0"/>
              <w:rPr>
                <w:sz w:val="20"/>
                <w:szCs w:val="20"/>
                <w:color w:val="auto"/>
              </w:rPr>
            </w:pPr>
            <w:r>
              <w:rPr>
                <w:rFonts w:ascii="Arial" w:cs="Arial" w:eastAsia="Arial" w:hAnsi="Arial"/>
                <w:sz w:val="18"/>
                <w:szCs w:val="18"/>
                <w:color w:val="auto"/>
              </w:rPr>
              <w:t>Measurement period adjustment</w:t>
            </w:r>
          </w:p>
        </w:tc>
        <w:tc>
          <w:tcPr>
            <w:tcW w:w="516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1,732</w:t>
            </w:r>
          </w:p>
        </w:tc>
        <w:tc>
          <w:tcPr>
            <w:tcW w:w="140" w:type="dxa"/>
            <w:vAlign w:val="bottom"/>
          </w:tcPr>
          <w:p>
            <w:pPr>
              <w:spacing w:after="0"/>
              <w:rPr>
                <w:sz w:val="20"/>
                <w:szCs w:val="20"/>
                <w:color w:val="auto"/>
              </w:rPr>
            </w:pPr>
          </w:p>
        </w:tc>
      </w:tr>
      <w:tr>
        <w:trPr>
          <w:trHeight w:val="279"/>
        </w:trPr>
        <w:tc>
          <w:tcPr>
            <w:tcW w:w="40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Balance at June 30, 2023</w:t>
            </w:r>
          </w:p>
        </w:tc>
        <w:tc>
          <w:tcPr>
            <w:tcW w:w="5160" w:type="dxa"/>
            <w:vAlign w:val="bottom"/>
            <w:tcBorders>
              <w:bottom w:val="single" w:sz="8" w:color="CFF0FC"/>
            </w:tcBorders>
            <w:shd w:val="clear" w:color="auto" w:fill="CFF0FC"/>
          </w:tcPr>
          <w:p>
            <w:pPr>
              <w:spacing w:after="0"/>
              <w:rPr>
                <w:sz w:val="24"/>
                <w:szCs w:val="24"/>
                <w:color w:val="auto"/>
              </w:rPr>
            </w:pPr>
          </w:p>
        </w:tc>
        <w:tc>
          <w:tcPr>
            <w:tcW w:w="40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12,042</w:t>
            </w:r>
          </w:p>
        </w:tc>
        <w:tc>
          <w:tcPr>
            <w:tcW w:w="140" w:type="dxa"/>
            <w:vAlign w:val="bottom"/>
            <w:tcBorders>
              <w:bottom w:val="single" w:sz="8" w:color="CFF0FC"/>
            </w:tcBorders>
            <w:shd w:val="clear" w:color="auto" w:fill="CFF0FC"/>
          </w:tcPr>
          <w:p>
            <w:pPr>
              <w:spacing w:after="0"/>
              <w:rPr>
                <w:sz w:val="24"/>
                <w:szCs w:val="24"/>
                <w:color w:val="auto"/>
              </w:rPr>
            </w:pPr>
          </w:p>
        </w:tc>
      </w:tr>
      <w:tr>
        <w:trPr>
          <w:trHeight w:val="633"/>
        </w:trPr>
        <w:tc>
          <w:tcPr>
            <w:tcW w:w="4020" w:type="dxa"/>
            <w:vAlign w:val="bottom"/>
          </w:tcPr>
          <w:p>
            <w:pPr>
              <w:spacing w:after="0"/>
              <w:rPr>
                <w:sz w:val="24"/>
                <w:szCs w:val="24"/>
                <w:color w:val="auto"/>
              </w:rPr>
            </w:pPr>
          </w:p>
        </w:tc>
        <w:tc>
          <w:tcPr>
            <w:tcW w:w="5160" w:type="dxa"/>
            <w:vAlign w:val="bottom"/>
          </w:tcPr>
          <w:p>
            <w:pPr>
              <w:jc w:val="right"/>
              <w:ind w:right="3370"/>
              <w:spacing w:after="0"/>
              <w:rPr>
                <w:sz w:val="20"/>
                <w:szCs w:val="20"/>
                <w:color w:val="auto"/>
              </w:rPr>
            </w:pPr>
            <w:r>
              <w:rPr>
                <w:rFonts w:ascii="Arial" w:cs="Arial" w:eastAsia="Arial" w:hAnsi="Arial"/>
                <w:sz w:val="18"/>
                <w:szCs w:val="18"/>
                <w:color w:val="auto"/>
              </w:rPr>
              <w:t>18</w:t>
            </w:r>
          </w:p>
        </w:tc>
        <w:tc>
          <w:tcPr>
            <w:tcW w:w="4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15"/>
        </w:trPr>
        <w:tc>
          <w:tcPr>
            <w:tcW w:w="4020" w:type="dxa"/>
            <w:vAlign w:val="bottom"/>
            <w:tcBorders>
              <w:bottom w:val="single" w:sz="8" w:color="9A9A9A"/>
            </w:tcBorders>
          </w:tcPr>
          <w:p>
            <w:pPr>
              <w:spacing w:after="0"/>
              <w:rPr>
                <w:sz w:val="10"/>
                <w:szCs w:val="10"/>
                <w:color w:val="auto"/>
              </w:rPr>
            </w:pPr>
          </w:p>
        </w:tc>
        <w:tc>
          <w:tcPr>
            <w:tcW w:w="516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7051675</wp:posOffset>
            </wp:positionH>
            <wp:positionV relativeFrom="paragraph">
              <wp:posOffset>-522605</wp:posOffset>
            </wp:positionV>
            <wp:extent cx="8572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-504825</wp:posOffset>
            </wp:positionV>
            <wp:extent cx="8572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8" w:name="page19"/>
    <w:bookmarkEnd w:id="18"/>
    <w:p>
      <w:pPr>
        <w:spacing w:after="0"/>
        <w:rPr>
          <w:sz w:val="20"/>
          <w:szCs w:val="20"/>
          <w:color w:val="auto"/>
        </w:rPr>
      </w:pPr>
      <w:r>
        <w:rPr>
          <w:rFonts w:ascii="Arial" w:cs="Arial" w:eastAsia="Arial" w:hAnsi="Arial"/>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3025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30250" cy="8255"/>
                    </a:xfrm>
                    <a:prstGeom prst="rect">
                      <a:avLst/>
                    </a:prstGeom>
                    <a:noFill/>
                  </pic:spPr>
                </pic:pic>
              </a:graphicData>
            </a:graphic>
          </wp:anchor>
        </w:drawing>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6. Intangible Asset</w:t>
      </w:r>
    </w:p>
    <w:p>
      <w:pPr>
        <w:spacing w:after="0" w:line="212"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The gross carrying amount and net book value of the Company's intangible asset are as follows: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8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w w:val="95"/>
              </w:rPr>
              <w:t>Estimated fair value</w:t>
            </w: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93"/>
              </w:rPr>
              <w:t>Remaining Weighted-</w:t>
            </w:r>
          </w:p>
        </w:tc>
        <w:tc>
          <w:tcPr>
            <w:tcW w:w="0" w:type="dxa"/>
            <w:vAlign w:val="bottom"/>
          </w:tcPr>
          <w:p>
            <w:pPr>
              <w:spacing w:after="0"/>
              <w:rPr>
                <w:sz w:val="1"/>
                <w:szCs w:val="1"/>
                <w:color w:val="auto"/>
              </w:rPr>
            </w:pPr>
          </w:p>
        </w:tc>
      </w:tr>
      <w:tr>
        <w:trPr>
          <w:trHeight w:val="185"/>
        </w:trPr>
        <w:tc>
          <w:tcPr>
            <w:tcW w:w="7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80" w:type="dxa"/>
            <w:vAlign w:val="bottom"/>
            <w:gridSpan w:val="2"/>
            <w:vMerge w:val="continue"/>
          </w:tcPr>
          <w:p>
            <w:pPr>
              <w:spacing w:after="0"/>
              <w:rPr>
                <w:sz w:val="16"/>
                <w:szCs w:val="16"/>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93"/>
              </w:rPr>
              <w:t>Average Useful Life</w:t>
            </w:r>
          </w:p>
        </w:tc>
        <w:tc>
          <w:tcPr>
            <w:tcW w:w="0" w:type="dxa"/>
            <w:vAlign w:val="bottom"/>
          </w:tcPr>
          <w:p>
            <w:pPr>
              <w:spacing w:after="0"/>
              <w:rPr>
                <w:sz w:val="1"/>
                <w:szCs w:val="1"/>
                <w:color w:val="auto"/>
              </w:rPr>
            </w:pPr>
          </w:p>
        </w:tc>
      </w:tr>
      <w:tr>
        <w:trPr>
          <w:trHeight w:val="237"/>
        </w:trPr>
        <w:tc>
          <w:tcPr>
            <w:tcW w:w="7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 at December 31, 2022</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59,661</w:t>
            </w:r>
          </w:p>
        </w:tc>
        <w:tc>
          <w:tcPr>
            <w:tcW w:w="340" w:type="dxa"/>
            <w:vAlign w:val="bottom"/>
            <w:shd w:val="clear" w:color="auto" w:fill="CFF0FC"/>
          </w:tcPr>
          <w:p>
            <w:pPr>
              <w:spacing w:after="0"/>
              <w:rPr>
                <w:sz w:val="20"/>
                <w:szCs w:val="20"/>
                <w:color w:val="auto"/>
              </w:rPr>
            </w:pPr>
          </w:p>
        </w:tc>
        <w:tc>
          <w:tcPr>
            <w:tcW w:w="1680" w:type="dxa"/>
            <w:vAlign w:val="bottom"/>
            <w:tcBorders>
              <w:top w:val="single" w:sz="8" w:color="auto"/>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640" w:type="dxa"/>
            <w:vAlign w:val="bottom"/>
          </w:tcPr>
          <w:p>
            <w:pPr>
              <w:ind w:left="200"/>
              <w:spacing w:after="0"/>
              <w:rPr>
                <w:sz w:val="20"/>
                <w:szCs w:val="20"/>
                <w:color w:val="auto"/>
              </w:rPr>
            </w:pPr>
            <w:r>
              <w:rPr>
                <w:rFonts w:ascii="Arial" w:cs="Arial" w:eastAsia="Arial" w:hAnsi="Arial"/>
                <w:sz w:val="18"/>
                <w:szCs w:val="18"/>
                <w:color w:val="auto"/>
              </w:rPr>
              <w:t>Amortization Expense</w:t>
            </w:r>
          </w:p>
        </w:tc>
        <w:tc>
          <w:tcPr>
            <w:tcW w:w="140" w:type="dxa"/>
            <w:vAlign w:val="bottom"/>
          </w:tcPr>
          <w:p>
            <w:pPr>
              <w:spacing w:after="0"/>
              <w:rPr>
                <w:sz w:val="21"/>
                <w:szCs w:val="21"/>
                <w:color w:val="auto"/>
              </w:rPr>
            </w:pPr>
          </w:p>
        </w:tc>
        <w:tc>
          <w:tcPr>
            <w:tcW w:w="1780" w:type="dxa"/>
            <w:vAlign w:val="bottom"/>
            <w:gridSpan w:val="2"/>
          </w:tcPr>
          <w:p>
            <w:pPr>
              <w:jc w:val="right"/>
              <w:ind w:right="260"/>
              <w:spacing w:after="0"/>
              <w:rPr>
                <w:sz w:val="20"/>
                <w:szCs w:val="20"/>
                <w:color w:val="auto"/>
              </w:rPr>
            </w:pPr>
            <w:r>
              <w:rPr>
                <w:rFonts w:ascii="Arial" w:cs="Arial" w:eastAsia="Arial" w:hAnsi="Arial"/>
                <w:sz w:val="18"/>
                <w:szCs w:val="18"/>
                <w:color w:val="auto"/>
              </w:rPr>
              <w:t>(3,161 )</w:t>
            </w:r>
          </w:p>
        </w:tc>
        <w:tc>
          <w:tcPr>
            <w:tcW w:w="1680" w:type="dxa"/>
            <w:vAlign w:val="bottom"/>
          </w:tcPr>
          <w:p>
            <w:pPr>
              <w:ind w:left="1140"/>
              <w:spacing w:after="0"/>
              <w:rPr>
                <w:sz w:val="20"/>
                <w:szCs w:val="20"/>
                <w:color w:val="auto"/>
              </w:rPr>
            </w:pPr>
            <w:r>
              <w:rPr>
                <w:rFonts w:ascii="Arial" w:cs="Arial" w:eastAsia="Arial" w:hAnsi="Arial"/>
                <w:sz w:val="18"/>
                <w:szCs w:val="18"/>
                <w:color w:val="auto"/>
                <w:w w:val="86"/>
              </w:rPr>
              <w:t>9-years</w:t>
            </w:r>
          </w:p>
        </w:tc>
        <w:tc>
          <w:tcPr>
            <w:tcW w:w="0" w:type="dxa"/>
            <w:vAlign w:val="bottom"/>
          </w:tcPr>
          <w:p>
            <w:pPr>
              <w:spacing w:after="0"/>
              <w:rPr>
                <w:sz w:val="1"/>
                <w:szCs w:val="1"/>
                <w:color w:val="auto"/>
              </w:rPr>
            </w:pPr>
          </w:p>
        </w:tc>
      </w:tr>
      <w:tr>
        <w:trPr>
          <w:trHeight w:val="237"/>
        </w:trPr>
        <w:tc>
          <w:tcPr>
            <w:tcW w:w="7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Book Value at June 30, 2023</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56,500</w:t>
            </w:r>
          </w:p>
        </w:tc>
        <w:tc>
          <w:tcPr>
            <w:tcW w:w="340" w:type="dxa"/>
            <w:vAlign w:val="bottom"/>
            <w:shd w:val="clear" w:color="auto" w:fill="CFF0FC"/>
          </w:tcPr>
          <w:p>
            <w:pPr>
              <w:spacing w:after="0"/>
              <w:rPr>
                <w:sz w:val="20"/>
                <w:szCs w:val="20"/>
                <w:color w:val="auto"/>
              </w:rPr>
            </w:pPr>
          </w:p>
        </w:tc>
        <w:tc>
          <w:tcPr>
            <w:tcW w:w="16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166" w:lineRule="exact"/>
        <w:rPr>
          <w:sz w:val="20"/>
          <w:szCs w:val="20"/>
          <w:color w:val="auto"/>
        </w:rPr>
      </w:pPr>
    </w:p>
    <w:p>
      <w:pPr>
        <w:ind w:right="340" w:firstLine="749"/>
        <w:spacing w:after="0" w:line="293" w:lineRule="auto"/>
        <w:rPr>
          <w:sz w:val="20"/>
          <w:szCs w:val="20"/>
          <w:color w:val="auto"/>
        </w:rPr>
      </w:pPr>
      <w:r>
        <w:rPr>
          <w:rFonts w:ascii="Arial" w:cs="Arial" w:eastAsia="Arial" w:hAnsi="Arial"/>
          <w:sz w:val="16"/>
          <w:szCs w:val="16"/>
          <w:color w:val="auto"/>
        </w:rPr>
        <w:t>Based on finite-lived intangible assets recorded as of June 30, 2023, and assuming the underlying assets will not be impaired and that we will not change the expected lives of the assets, future amortization expenses were estimated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180" w:type="dxa"/>
            <w:vAlign w:val="bottom"/>
          </w:tcPr>
          <w:p>
            <w:pPr>
              <w:spacing w:after="0"/>
              <w:rPr>
                <w:sz w:val="18"/>
                <w:szCs w:val="18"/>
                <w:color w:val="auto"/>
              </w:rPr>
            </w:pPr>
          </w:p>
        </w:tc>
        <w:tc>
          <w:tcPr>
            <w:tcW w:w="2060" w:type="dxa"/>
            <w:vAlign w:val="bottom"/>
            <w:gridSpan w:val="3"/>
          </w:tcPr>
          <w:p>
            <w:pPr>
              <w:ind w:left="20"/>
              <w:spacing w:after="0"/>
              <w:rPr>
                <w:sz w:val="20"/>
                <w:szCs w:val="20"/>
                <w:color w:val="auto"/>
              </w:rPr>
            </w:pPr>
            <w:r>
              <w:rPr>
                <w:rFonts w:ascii="Arial" w:cs="Arial" w:eastAsia="Arial" w:hAnsi="Arial"/>
                <w:sz w:val="18"/>
                <w:szCs w:val="18"/>
                <w:b w:val="1"/>
                <w:bCs w:val="1"/>
                <w:color w:val="auto"/>
              </w:rPr>
              <w:t>Estimated Amortization</w:t>
            </w:r>
          </w:p>
        </w:tc>
      </w:tr>
      <w:tr>
        <w:trPr>
          <w:trHeight w:val="241"/>
        </w:trPr>
        <w:tc>
          <w:tcPr>
            <w:tcW w:w="9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80" w:type="dxa"/>
            <w:vAlign w:val="bottom"/>
            <w:gridSpan w:val="2"/>
          </w:tcPr>
          <w:p>
            <w:pPr>
              <w:ind w:left="260"/>
              <w:spacing w:after="0"/>
              <w:rPr>
                <w:sz w:val="20"/>
                <w:szCs w:val="20"/>
                <w:color w:val="auto"/>
              </w:rPr>
            </w:pPr>
            <w:r>
              <w:rPr>
                <w:rFonts w:ascii="Arial" w:cs="Arial" w:eastAsia="Arial" w:hAnsi="Arial"/>
                <w:sz w:val="18"/>
                <w:szCs w:val="18"/>
                <w:b w:val="1"/>
                <w:bCs w:val="1"/>
                <w:color w:val="auto"/>
              </w:rPr>
              <w:t>Expense</w:t>
            </w:r>
          </w:p>
        </w:tc>
      </w:tr>
      <w:tr>
        <w:trPr>
          <w:trHeight w:val="250"/>
        </w:trPr>
        <w:tc>
          <w:tcPr>
            <w:tcW w:w="9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2023</w:t>
            </w:r>
          </w:p>
        </w:tc>
        <w:tc>
          <w:tcPr>
            <w:tcW w:w="380" w:type="dxa"/>
            <w:vAlign w:val="bottom"/>
            <w:shd w:val="clear" w:color="auto" w:fill="CFF0FC"/>
          </w:tcPr>
          <w:p>
            <w:pPr>
              <w:spacing w:after="0"/>
              <w:rPr>
                <w:sz w:val="21"/>
                <w:szCs w:val="21"/>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3,214</w:t>
            </w:r>
          </w:p>
        </w:tc>
        <w:tc>
          <w:tcPr>
            <w:tcW w:w="140" w:type="dxa"/>
            <w:vAlign w:val="bottom"/>
            <w:shd w:val="clear" w:color="auto" w:fill="CFF0FC"/>
          </w:tcPr>
          <w:p>
            <w:pPr>
              <w:spacing w:after="0"/>
              <w:rPr>
                <w:sz w:val="21"/>
                <w:szCs w:val="21"/>
                <w:color w:val="auto"/>
              </w:rPr>
            </w:pPr>
          </w:p>
        </w:tc>
      </w:tr>
      <w:tr>
        <w:trPr>
          <w:trHeight w:val="237"/>
        </w:trPr>
        <w:tc>
          <w:tcPr>
            <w:tcW w:w="9180" w:type="dxa"/>
            <w:vAlign w:val="bottom"/>
          </w:tcPr>
          <w:p>
            <w:pPr>
              <w:ind w:left="20"/>
              <w:spacing w:after="0"/>
              <w:rPr>
                <w:sz w:val="20"/>
                <w:szCs w:val="20"/>
                <w:color w:val="auto"/>
              </w:rPr>
            </w:pPr>
            <w:r>
              <w:rPr>
                <w:rFonts w:ascii="Arial" w:cs="Arial" w:eastAsia="Arial" w:hAnsi="Arial"/>
                <w:sz w:val="18"/>
                <w:szCs w:val="18"/>
                <w:color w:val="auto"/>
              </w:rPr>
              <w:t>2024</w:t>
            </w:r>
          </w:p>
        </w:tc>
        <w:tc>
          <w:tcPr>
            <w:tcW w:w="3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6,392</w:t>
            </w:r>
          </w:p>
        </w:tc>
        <w:tc>
          <w:tcPr>
            <w:tcW w:w="140" w:type="dxa"/>
            <w:vAlign w:val="bottom"/>
          </w:tcPr>
          <w:p>
            <w:pPr>
              <w:spacing w:after="0"/>
              <w:rPr>
                <w:sz w:val="20"/>
                <w:szCs w:val="20"/>
                <w:color w:val="auto"/>
              </w:rPr>
            </w:pPr>
          </w:p>
        </w:tc>
      </w:tr>
      <w:tr>
        <w:trPr>
          <w:trHeight w:val="249"/>
        </w:trPr>
        <w:tc>
          <w:tcPr>
            <w:tcW w:w="9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2025</w:t>
            </w:r>
          </w:p>
        </w:tc>
        <w:tc>
          <w:tcPr>
            <w:tcW w:w="380" w:type="dxa"/>
            <w:vAlign w:val="bottom"/>
            <w:shd w:val="clear" w:color="auto" w:fill="CFF0FC"/>
          </w:tcPr>
          <w:p>
            <w:pPr>
              <w:spacing w:after="0"/>
              <w:rPr>
                <w:sz w:val="21"/>
                <w:szCs w:val="21"/>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6,375</w:t>
            </w:r>
          </w:p>
        </w:tc>
        <w:tc>
          <w:tcPr>
            <w:tcW w:w="140" w:type="dxa"/>
            <w:vAlign w:val="bottom"/>
            <w:shd w:val="clear" w:color="auto" w:fill="CFF0FC"/>
          </w:tcPr>
          <w:p>
            <w:pPr>
              <w:spacing w:after="0"/>
              <w:rPr>
                <w:sz w:val="21"/>
                <w:szCs w:val="21"/>
                <w:color w:val="auto"/>
              </w:rPr>
            </w:pPr>
          </w:p>
        </w:tc>
      </w:tr>
      <w:tr>
        <w:trPr>
          <w:trHeight w:val="237"/>
        </w:trPr>
        <w:tc>
          <w:tcPr>
            <w:tcW w:w="9180" w:type="dxa"/>
            <w:vAlign w:val="bottom"/>
          </w:tcPr>
          <w:p>
            <w:pPr>
              <w:ind w:left="20"/>
              <w:spacing w:after="0"/>
              <w:rPr>
                <w:sz w:val="20"/>
                <w:szCs w:val="20"/>
                <w:color w:val="auto"/>
              </w:rPr>
            </w:pPr>
            <w:r>
              <w:rPr>
                <w:rFonts w:ascii="Arial" w:cs="Arial" w:eastAsia="Arial" w:hAnsi="Arial"/>
                <w:sz w:val="18"/>
                <w:szCs w:val="18"/>
                <w:color w:val="auto"/>
              </w:rPr>
              <w:t>2026</w:t>
            </w:r>
          </w:p>
        </w:tc>
        <w:tc>
          <w:tcPr>
            <w:tcW w:w="3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6,375</w:t>
            </w:r>
          </w:p>
        </w:tc>
        <w:tc>
          <w:tcPr>
            <w:tcW w:w="140" w:type="dxa"/>
            <w:vAlign w:val="bottom"/>
          </w:tcPr>
          <w:p>
            <w:pPr>
              <w:spacing w:after="0"/>
              <w:rPr>
                <w:sz w:val="20"/>
                <w:szCs w:val="20"/>
                <w:color w:val="auto"/>
              </w:rPr>
            </w:pPr>
          </w:p>
        </w:tc>
      </w:tr>
      <w:tr>
        <w:trPr>
          <w:trHeight w:val="249"/>
        </w:trPr>
        <w:tc>
          <w:tcPr>
            <w:tcW w:w="9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2027</w:t>
            </w:r>
          </w:p>
        </w:tc>
        <w:tc>
          <w:tcPr>
            <w:tcW w:w="380" w:type="dxa"/>
            <w:vAlign w:val="bottom"/>
            <w:shd w:val="clear" w:color="auto" w:fill="CFF0FC"/>
          </w:tcPr>
          <w:p>
            <w:pPr>
              <w:spacing w:after="0"/>
              <w:rPr>
                <w:sz w:val="21"/>
                <w:szCs w:val="21"/>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6,375</w:t>
            </w:r>
          </w:p>
        </w:tc>
        <w:tc>
          <w:tcPr>
            <w:tcW w:w="140" w:type="dxa"/>
            <w:vAlign w:val="bottom"/>
            <w:shd w:val="clear" w:color="auto" w:fill="CFF0FC"/>
          </w:tcPr>
          <w:p>
            <w:pPr>
              <w:spacing w:after="0"/>
              <w:rPr>
                <w:sz w:val="21"/>
                <w:szCs w:val="21"/>
                <w:color w:val="auto"/>
              </w:rPr>
            </w:pPr>
          </w:p>
        </w:tc>
      </w:tr>
      <w:tr>
        <w:trPr>
          <w:trHeight w:val="237"/>
        </w:trPr>
        <w:tc>
          <w:tcPr>
            <w:tcW w:w="918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3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27,769</w:t>
            </w:r>
          </w:p>
        </w:tc>
        <w:tc>
          <w:tcPr>
            <w:tcW w:w="140" w:type="dxa"/>
            <w:vAlign w:val="bottom"/>
          </w:tcPr>
          <w:p>
            <w:pPr>
              <w:spacing w:after="0"/>
              <w:rPr>
                <w:sz w:val="20"/>
                <w:szCs w:val="20"/>
                <w:color w:val="auto"/>
              </w:rPr>
            </w:pPr>
          </w:p>
        </w:tc>
      </w:tr>
      <w:tr>
        <w:trPr>
          <w:trHeight w:val="277"/>
        </w:trPr>
        <w:tc>
          <w:tcPr>
            <w:tcW w:w="91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w:t>
            </w:r>
          </w:p>
        </w:tc>
        <w:tc>
          <w:tcPr>
            <w:tcW w:w="38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56,500</w:t>
            </w:r>
          </w:p>
        </w:tc>
        <w:tc>
          <w:tcPr>
            <w:tcW w:w="14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7051675</wp:posOffset>
            </wp:positionH>
            <wp:positionV relativeFrom="paragraph">
              <wp:posOffset>-24765</wp:posOffset>
            </wp:positionV>
            <wp:extent cx="8572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-7620</wp:posOffset>
            </wp:positionV>
            <wp:extent cx="8572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7. Fair Value of Financial Instruments</w:t>
      </w:r>
    </w:p>
    <w:p>
      <w:pPr>
        <w:spacing w:after="0" w:line="198" w:lineRule="exact"/>
        <w:rPr>
          <w:sz w:val="20"/>
          <w:szCs w:val="20"/>
          <w:color w:val="auto"/>
        </w:rPr>
      </w:pPr>
    </w:p>
    <w:p>
      <w:pPr>
        <w:ind w:right="20" w:firstLine="749"/>
        <w:spacing w:after="0" w:line="335" w:lineRule="auto"/>
        <w:rPr>
          <w:sz w:val="20"/>
          <w:szCs w:val="20"/>
          <w:color w:val="auto"/>
        </w:rPr>
      </w:pPr>
      <w:r>
        <w:rPr>
          <w:rFonts w:ascii="Arial" w:cs="Arial" w:eastAsia="Arial" w:hAnsi="Arial"/>
          <w:sz w:val="14"/>
          <w:szCs w:val="14"/>
          <w:color w:val="auto"/>
        </w:rPr>
        <w:t>In connection with the Sunosi acquisition, the Company pays a royalty on net sales of Sunosi to Jazz. The discounted cash flow method used to value this contingent consideration includes inputs of not readily observable market data, which are Level 3 inputs. The fair value of the contingent consideration is reflected as current accrued contingent consideration of $6.3 million and non-current contingent consideration liability of $33.5 million in the consolidated balance sheet as of June 30, 2023.</w:t>
      </w:r>
    </w:p>
    <w:p>
      <w:pPr>
        <w:spacing w:after="0" w:line="122"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The fair value of financial instruments measured on a recurring basis is as follows:</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3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June 30, 2023</w:t>
            </w:r>
          </w:p>
        </w:tc>
        <w:tc>
          <w:tcPr>
            <w:tcW w:w="160" w:type="dxa"/>
            <w:vAlign w:val="bottom"/>
          </w:tcPr>
          <w:p>
            <w:pPr>
              <w:spacing w:after="0"/>
              <w:rPr>
                <w:sz w:val="16"/>
                <w:szCs w:val="16"/>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Level 1</w:t>
            </w:r>
          </w:p>
        </w:tc>
        <w:tc>
          <w:tcPr>
            <w:tcW w:w="28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Level 2</w:t>
            </w:r>
          </w:p>
        </w:tc>
        <w:tc>
          <w:tcPr>
            <w:tcW w:w="28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Level 3</w:t>
            </w:r>
          </w:p>
        </w:tc>
        <w:tc>
          <w:tcPr>
            <w:tcW w:w="3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6"/>
                <w:szCs w:val="16"/>
                <w:color w:val="auto"/>
              </w:rPr>
            </w:pPr>
          </w:p>
        </w:tc>
      </w:tr>
      <w:tr>
        <w:trPr>
          <w:trHeight w:val="236"/>
        </w:trPr>
        <w:tc>
          <w:tcPr>
            <w:tcW w:w="5380" w:type="dxa"/>
            <w:vAlign w:val="bottom"/>
          </w:tcPr>
          <w:p>
            <w:pPr>
              <w:ind w:left="20"/>
              <w:spacing w:after="0"/>
              <w:rPr>
                <w:sz w:val="20"/>
                <w:szCs w:val="20"/>
                <w:color w:val="auto"/>
              </w:rPr>
            </w:pPr>
            <w:r>
              <w:rPr>
                <w:rFonts w:ascii="Arial" w:cs="Arial" w:eastAsia="Arial" w:hAnsi="Arial"/>
                <w:sz w:val="14"/>
                <w:szCs w:val="14"/>
                <w:b w:val="1"/>
                <w:bCs w:val="1"/>
                <w:color w:val="auto"/>
              </w:rPr>
              <w:t>Liabilities:</w:t>
            </w: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43"/>
        </w:trPr>
        <w:tc>
          <w:tcPr>
            <w:tcW w:w="5380" w:type="dxa"/>
            <w:vAlign w:val="bottom"/>
            <w:shd w:val="clear" w:color="auto" w:fill="CFF0FC"/>
          </w:tcPr>
          <w:p>
            <w:pPr>
              <w:ind w:left="20"/>
              <w:spacing w:after="0"/>
              <w:rPr>
                <w:sz w:val="20"/>
                <w:szCs w:val="20"/>
                <w:color w:val="auto"/>
              </w:rPr>
            </w:pPr>
            <w:r>
              <w:rPr>
                <w:rFonts w:ascii="Arial" w:cs="Arial" w:eastAsia="Arial" w:hAnsi="Arial"/>
                <w:sz w:val="18"/>
                <w:szCs w:val="18"/>
                <w:color w:val="auto"/>
              </w:rPr>
              <w:t>Warrant liability</w:t>
            </w:r>
          </w:p>
        </w:tc>
        <w:tc>
          <w:tcPr>
            <w:tcW w:w="1060" w:type="dxa"/>
            <w:vAlign w:val="bottom"/>
            <w:gridSpan w:val="2"/>
            <w:shd w:val="clear" w:color="auto" w:fill="CFF0FC"/>
          </w:tcPr>
          <w:p>
            <w:pPr>
              <w:jc w:val="right"/>
              <w:ind w:right="728"/>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ind w:left="80"/>
              <w:spacing w:after="0"/>
              <w:rPr>
                <w:sz w:val="20"/>
                <w:szCs w:val="20"/>
                <w:color w:val="auto"/>
              </w:rPr>
            </w:pPr>
            <w:r>
              <w:rPr>
                <w:rFonts w:ascii="Arial" w:cs="Arial" w:eastAsia="Arial" w:hAnsi="Arial"/>
                <w:sz w:val="18"/>
                <w:szCs w:val="18"/>
                <w:color w:val="auto"/>
                <w:w w:val="99"/>
              </w:rPr>
              <w:t>—</w:t>
            </w:r>
          </w:p>
        </w:tc>
        <w:tc>
          <w:tcPr>
            <w:tcW w:w="1180" w:type="dxa"/>
            <w:vAlign w:val="bottom"/>
            <w:gridSpan w:val="2"/>
            <w:shd w:val="clear" w:color="auto" w:fill="CFF0FC"/>
          </w:tcPr>
          <w:p>
            <w:pPr>
              <w:jc w:val="right"/>
              <w:ind w:right="728"/>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ind w:left="80"/>
              <w:spacing w:after="0"/>
              <w:rPr>
                <w:sz w:val="20"/>
                <w:szCs w:val="20"/>
                <w:color w:val="auto"/>
              </w:rPr>
            </w:pPr>
            <w:r>
              <w:rPr>
                <w:rFonts w:ascii="Arial" w:cs="Arial" w:eastAsia="Arial" w:hAnsi="Arial"/>
                <w:sz w:val="18"/>
                <w:szCs w:val="18"/>
                <w:color w:val="auto"/>
                <w:w w:val="99"/>
              </w:rPr>
              <w:t>—</w:t>
            </w:r>
          </w:p>
        </w:tc>
        <w:tc>
          <w:tcPr>
            <w:tcW w:w="5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855</w:t>
            </w:r>
          </w:p>
        </w:tc>
        <w:tc>
          <w:tcPr>
            <w:tcW w:w="5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855</w:t>
            </w:r>
          </w:p>
        </w:tc>
        <w:tc>
          <w:tcPr>
            <w:tcW w:w="140" w:type="dxa"/>
            <w:vAlign w:val="bottom"/>
            <w:shd w:val="clear" w:color="auto" w:fill="CFF0FC"/>
          </w:tcPr>
          <w:p>
            <w:pPr>
              <w:spacing w:after="0"/>
              <w:rPr>
                <w:sz w:val="21"/>
                <w:szCs w:val="21"/>
                <w:color w:val="auto"/>
              </w:rPr>
            </w:pPr>
          </w:p>
        </w:tc>
      </w:tr>
      <w:tr>
        <w:trPr>
          <w:trHeight w:val="230"/>
        </w:trPr>
        <w:tc>
          <w:tcPr>
            <w:tcW w:w="5380" w:type="dxa"/>
            <w:vAlign w:val="bottom"/>
          </w:tcPr>
          <w:p>
            <w:pPr>
              <w:ind w:left="20"/>
              <w:spacing w:after="0"/>
              <w:rPr>
                <w:sz w:val="20"/>
                <w:szCs w:val="20"/>
                <w:color w:val="auto"/>
              </w:rPr>
            </w:pPr>
            <w:r>
              <w:rPr>
                <w:rFonts w:ascii="Arial" w:cs="Arial" w:eastAsia="Arial" w:hAnsi="Arial"/>
                <w:sz w:val="18"/>
                <w:szCs w:val="18"/>
                <w:color w:val="auto"/>
              </w:rPr>
              <w:t>Contingent consideration</w:t>
            </w: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ind w:left="80"/>
              <w:spacing w:after="0"/>
              <w:rPr>
                <w:sz w:val="20"/>
                <w:szCs w:val="20"/>
                <w:color w:val="auto"/>
              </w:rPr>
            </w:pPr>
            <w:r>
              <w:rPr>
                <w:rFonts w:ascii="Arial" w:cs="Arial" w:eastAsia="Arial" w:hAnsi="Arial"/>
                <w:sz w:val="18"/>
                <w:szCs w:val="18"/>
                <w:color w:val="auto"/>
                <w:w w:val="99"/>
              </w:rPr>
              <w:t>—</w:t>
            </w: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ind w:left="80"/>
              <w:spacing w:after="0"/>
              <w:rPr>
                <w:sz w:val="20"/>
                <w:szCs w:val="20"/>
                <w:color w:val="auto"/>
              </w:rPr>
            </w:pPr>
            <w:r>
              <w:rPr>
                <w:rFonts w:ascii="Arial" w:cs="Arial" w:eastAsia="Arial" w:hAnsi="Arial"/>
                <w:sz w:val="18"/>
                <w:szCs w:val="18"/>
                <w:color w:val="auto"/>
                <w:w w:val="99"/>
              </w:rPr>
              <w:t>—</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39,842</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39,842</w:t>
            </w:r>
          </w:p>
        </w:tc>
        <w:tc>
          <w:tcPr>
            <w:tcW w:w="140" w:type="dxa"/>
            <w:vAlign w:val="bottom"/>
          </w:tcPr>
          <w:p>
            <w:pPr>
              <w:spacing w:after="0"/>
              <w:rPr>
                <w:sz w:val="20"/>
                <w:szCs w:val="20"/>
                <w:color w:val="auto"/>
              </w:rPr>
            </w:pPr>
          </w:p>
        </w:tc>
      </w:tr>
      <w:tr>
        <w:trPr>
          <w:trHeight w:val="485"/>
        </w:trPr>
        <w:tc>
          <w:tcPr>
            <w:tcW w:w="53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December 31, 2022</w:t>
            </w:r>
          </w:p>
        </w:tc>
        <w:tc>
          <w:tcPr>
            <w:tcW w:w="160" w:type="dxa"/>
            <w:vAlign w:val="bottom"/>
          </w:tcPr>
          <w:p>
            <w:pPr>
              <w:spacing w:after="0"/>
              <w:rPr>
                <w:sz w:val="24"/>
                <w:szCs w:val="24"/>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Level 1</w:t>
            </w:r>
          </w:p>
        </w:tc>
        <w:tc>
          <w:tcPr>
            <w:tcW w:w="28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Level 2</w:t>
            </w:r>
          </w:p>
        </w:tc>
        <w:tc>
          <w:tcPr>
            <w:tcW w:w="280" w:type="dxa"/>
            <w:vAlign w:val="bottom"/>
            <w:tcBorders>
              <w:bottom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Level 3</w:t>
            </w:r>
          </w:p>
        </w:tc>
        <w:tc>
          <w:tcPr>
            <w:tcW w:w="3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24"/>
                <w:szCs w:val="24"/>
                <w:color w:val="auto"/>
              </w:rPr>
            </w:pPr>
          </w:p>
        </w:tc>
      </w:tr>
      <w:tr>
        <w:trPr>
          <w:trHeight w:val="236"/>
        </w:trPr>
        <w:tc>
          <w:tcPr>
            <w:tcW w:w="5380" w:type="dxa"/>
            <w:vAlign w:val="bottom"/>
          </w:tcPr>
          <w:p>
            <w:pPr>
              <w:ind w:left="20"/>
              <w:spacing w:after="0"/>
              <w:rPr>
                <w:sz w:val="20"/>
                <w:szCs w:val="20"/>
                <w:color w:val="auto"/>
              </w:rPr>
            </w:pPr>
            <w:r>
              <w:rPr>
                <w:rFonts w:ascii="Arial" w:cs="Arial" w:eastAsia="Arial" w:hAnsi="Arial"/>
                <w:sz w:val="14"/>
                <w:szCs w:val="14"/>
                <w:b w:val="1"/>
                <w:bCs w:val="1"/>
                <w:color w:val="auto"/>
              </w:rPr>
              <w:t>Liabilities:</w:t>
            </w: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43"/>
        </w:trPr>
        <w:tc>
          <w:tcPr>
            <w:tcW w:w="53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Contingent consideration</w:t>
            </w:r>
          </w:p>
        </w:tc>
        <w:tc>
          <w:tcPr>
            <w:tcW w:w="1060" w:type="dxa"/>
            <w:vAlign w:val="bottom"/>
            <w:gridSpan w:val="2"/>
            <w:shd w:val="clear" w:color="auto" w:fill="CFF0FC"/>
          </w:tcPr>
          <w:p>
            <w:pPr>
              <w:jc w:val="right"/>
              <w:ind w:right="728"/>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ind w:left="80"/>
              <w:spacing w:after="0"/>
              <w:rPr>
                <w:sz w:val="20"/>
                <w:szCs w:val="20"/>
                <w:color w:val="auto"/>
              </w:rPr>
            </w:pPr>
            <w:r>
              <w:rPr>
                <w:rFonts w:ascii="Arial" w:cs="Arial" w:eastAsia="Arial" w:hAnsi="Arial"/>
                <w:sz w:val="18"/>
                <w:szCs w:val="18"/>
                <w:color w:val="auto"/>
                <w:w w:val="99"/>
              </w:rPr>
              <w:t>—</w:t>
            </w:r>
          </w:p>
        </w:tc>
        <w:tc>
          <w:tcPr>
            <w:tcW w:w="1180" w:type="dxa"/>
            <w:vAlign w:val="bottom"/>
            <w:gridSpan w:val="2"/>
            <w:shd w:val="clear" w:color="auto" w:fill="CFF0FC"/>
          </w:tcPr>
          <w:p>
            <w:pPr>
              <w:jc w:val="right"/>
              <w:ind w:right="728"/>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ind w:left="80"/>
              <w:spacing w:after="0"/>
              <w:rPr>
                <w:sz w:val="20"/>
                <w:szCs w:val="20"/>
                <w:color w:val="auto"/>
              </w:rPr>
            </w:pPr>
            <w:r>
              <w:rPr>
                <w:rFonts w:ascii="Arial" w:cs="Arial" w:eastAsia="Arial" w:hAnsi="Arial"/>
                <w:sz w:val="18"/>
                <w:szCs w:val="18"/>
                <w:color w:val="auto"/>
                <w:w w:val="99"/>
              </w:rPr>
              <w:t>—</w:t>
            </w:r>
          </w:p>
        </w:tc>
        <w:tc>
          <w:tcPr>
            <w:tcW w:w="5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37,000</w:t>
            </w:r>
          </w:p>
        </w:tc>
        <w:tc>
          <w:tcPr>
            <w:tcW w:w="5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37,000</w:t>
            </w:r>
          </w:p>
        </w:tc>
        <w:tc>
          <w:tcPr>
            <w:tcW w:w="140" w:type="dxa"/>
            <w:vAlign w:val="bottom"/>
            <w:shd w:val="clear" w:color="auto" w:fill="CFF0FC"/>
          </w:tcPr>
          <w:p>
            <w:pPr>
              <w:spacing w:after="0"/>
              <w:rPr>
                <w:sz w:val="21"/>
                <w:szCs w:val="21"/>
                <w:color w:val="auto"/>
              </w:rPr>
            </w:pPr>
          </w:p>
        </w:tc>
      </w:tr>
    </w:tbl>
    <w:p>
      <w:pPr>
        <w:spacing w:after="0" w:line="166" w:lineRule="exact"/>
        <w:rPr>
          <w:sz w:val="20"/>
          <w:szCs w:val="20"/>
          <w:color w:val="auto"/>
        </w:rPr>
      </w:pPr>
    </w:p>
    <w:p>
      <w:pPr>
        <w:ind w:right="80" w:firstLine="749"/>
        <w:spacing w:after="0" w:line="293" w:lineRule="auto"/>
        <w:rPr>
          <w:sz w:val="20"/>
          <w:szCs w:val="20"/>
          <w:color w:val="auto"/>
        </w:rPr>
      </w:pPr>
      <w:r>
        <w:rPr>
          <w:rFonts w:ascii="Arial" w:cs="Arial" w:eastAsia="Arial" w:hAnsi="Arial"/>
          <w:sz w:val="16"/>
          <w:szCs w:val="16"/>
          <w:color w:val="auto"/>
        </w:rPr>
        <w:t>The fair value of the contingent consideration are marked-to-market each reporting period and was remeasured at June 30, 2023. Changes in the fair value of the contingent considerations as of June 30, 2023 is as follows:</w:t>
      </w:r>
    </w:p>
    <w:p>
      <w:pPr>
        <w:spacing w:after="0" w:line="200" w:lineRule="exact"/>
        <w:rPr>
          <w:sz w:val="20"/>
          <w:szCs w:val="20"/>
          <w:color w:val="auto"/>
        </w:rPr>
      </w:pP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9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9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3"/>
              </w:rPr>
              <w:t>Contingent Consideration</w:t>
            </w:r>
          </w:p>
        </w:tc>
      </w:tr>
      <w:tr>
        <w:trPr>
          <w:trHeight w:val="237"/>
        </w:trPr>
        <w:tc>
          <w:tcPr>
            <w:tcW w:w="9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 at December 31, 2022</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37,000</w:t>
            </w:r>
          </w:p>
        </w:tc>
        <w:tc>
          <w:tcPr>
            <w:tcW w:w="140" w:type="dxa"/>
            <w:vAlign w:val="bottom"/>
            <w:shd w:val="clear" w:color="auto" w:fill="CFF0FC"/>
          </w:tcPr>
          <w:p>
            <w:pPr>
              <w:spacing w:after="0"/>
              <w:rPr>
                <w:sz w:val="20"/>
                <w:szCs w:val="20"/>
                <w:color w:val="auto"/>
              </w:rPr>
            </w:pPr>
          </w:p>
        </w:tc>
      </w:tr>
      <w:tr>
        <w:trPr>
          <w:trHeight w:val="237"/>
        </w:trPr>
        <w:tc>
          <w:tcPr>
            <w:tcW w:w="9180" w:type="dxa"/>
            <w:vAlign w:val="bottom"/>
          </w:tcPr>
          <w:p>
            <w:pPr>
              <w:ind w:left="200"/>
              <w:spacing w:after="0"/>
              <w:rPr>
                <w:sz w:val="20"/>
                <w:szCs w:val="20"/>
                <w:color w:val="auto"/>
              </w:rPr>
            </w:pPr>
            <w:r>
              <w:rPr>
                <w:rFonts w:ascii="Arial" w:cs="Arial" w:eastAsia="Arial" w:hAnsi="Arial"/>
                <w:sz w:val="18"/>
                <w:szCs w:val="18"/>
                <w:color w:val="auto"/>
              </w:rPr>
              <w:t>Adjustment to fair value</w:t>
            </w:r>
          </w:p>
        </w:tc>
        <w:tc>
          <w:tcPr>
            <w:tcW w:w="14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5,891</w:t>
            </w:r>
          </w:p>
        </w:tc>
        <w:tc>
          <w:tcPr>
            <w:tcW w:w="140" w:type="dxa"/>
            <w:vAlign w:val="bottom"/>
          </w:tcPr>
          <w:p>
            <w:pPr>
              <w:spacing w:after="0"/>
              <w:rPr>
                <w:sz w:val="20"/>
                <w:szCs w:val="20"/>
                <w:color w:val="auto"/>
              </w:rPr>
            </w:pPr>
          </w:p>
        </w:tc>
      </w:tr>
      <w:tr>
        <w:trPr>
          <w:trHeight w:val="243"/>
        </w:trPr>
        <w:tc>
          <w:tcPr>
            <w:tcW w:w="91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Payments</w:t>
            </w:r>
          </w:p>
        </w:tc>
        <w:tc>
          <w:tcPr>
            <w:tcW w:w="140" w:type="dxa"/>
            <w:vAlign w:val="bottom"/>
            <w:shd w:val="clear" w:color="auto" w:fill="CFF0FC"/>
          </w:tcPr>
          <w:p>
            <w:pPr>
              <w:spacing w:after="0"/>
              <w:rPr>
                <w:sz w:val="21"/>
                <w:szCs w:val="21"/>
                <w:color w:val="auto"/>
              </w:rPr>
            </w:pPr>
          </w:p>
        </w:tc>
        <w:tc>
          <w:tcPr>
            <w:tcW w:w="19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(3,049 )</w:t>
            </w:r>
          </w:p>
        </w:tc>
      </w:tr>
      <w:tr>
        <w:trPr>
          <w:trHeight w:val="239"/>
        </w:trPr>
        <w:tc>
          <w:tcPr>
            <w:tcW w:w="918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Balance at June 30, 2023 (Level 3)</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39,842</w:t>
            </w:r>
          </w:p>
        </w:tc>
        <w:tc>
          <w:tcPr>
            <w:tcW w:w="140" w:type="dxa"/>
            <w:vAlign w:val="bottom"/>
            <w:tcBorders>
              <w:top w:val="single" w:sz="8" w:color="CFF0FC"/>
            </w:tcBorders>
          </w:tcPr>
          <w:p>
            <w:pPr>
              <w:spacing w:after="0"/>
              <w:rPr>
                <w:sz w:val="20"/>
                <w:szCs w:val="20"/>
                <w:color w:val="auto"/>
              </w:rPr>
            </w:pPr>
          </w:p>
        </w:tc>
      </w:tr>
      <w:tr>
        <w:trPr>
          <w:trHeight w:val="20"/>
        </w:trPr>
        <w:tc>
          <w:tcPr>
            <w:tcW w:w="9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7051675</wp:posOffset>
            </wp:positionH>
            <wp:positionV relativeFrom="paragraph">
              <wp:posOffset>-187960</wp:posOffset>
            </wp:positionV>
            <wp:extent cx="85725" cy="18859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85725" cy="188595"/>
                    </a:xfrm>
                    <a:prstGeom prst="rect">
                      <a:avLst/>
                    </a:prstGeom>
                    <a:noFill/>
                  </pic:spPr>
                </pic:pic>
              </a:graphicData>
            </a:graphic>
          </wp:anchor>
        </w:drawing>
      </w:r>
    </w:p>
    <w:p>
      <w:pPr>
        <w:spacing w:after="0" w:line="146" w:lineRule="exact"/>
        <w:rPr>
          <w:sz w:val="20"/>
          <w:szCs w:val="20"/>
          <w:color w:val="auto"/>
        </w:rPr>
      </w:pPr>
    </w:p>
    <w:p>
      <w:pPr>
        <w:ind w:right="180" w:firstLine="749"/>
        <w:spacing w:after="0" w:line="328" w:lineRule="auto"/>
        <w:rPr>
          <w:sz w:val="20"/>
          <w:szCs w:val="20"/>
          <w:color w:val="auto"/>
        </w:rPr>
      </w:pPr>
      <w:r>
        <w:rPr>
          <w:rFonts w:ascii="Arial" w:cs="Arial" w:eastAsia="Arial" w:hAnsi="Arial"/>
          <w:sz w:val="15"/>
          <w:szCs w:val="15"/>
          <w:color w:val="auto"/>
        </w:rPr>
        <w:t>In the second quarter of 2023, the Company changed its accounting for contingently issued warrants and recognized a $0.9 million contingent warrant liability, included in Accrued expenses and other current liabilities. The adjustment was not material to previously reported consolidated balance sheets.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9" w:name="page20"/>
    <w:bookmarkEnd w:id="19"/>
    <w:p>
      <w:pPr>
        <w:spacing w:after="0"/>
        <w:rPr>
          <w:sz w:val="20"/>
          <w:szCs w:val="20"/>
          <w:color w:val="auto"/>
        </w:rPr>
      </w:pPr>
      <w:r>
        <w:rPr>
          <w:rFonts w:ascii="Arial" w:cs="Arial" w:eastAsia="Arial" w:hAnsi="Arial"/>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3025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30250" cy="8255"/>
                    </a:xfrm>
                    <a:prstGeom prst="rect">
                      <a:avLst/>
                    </a:prstGeom>
                    <a:noFill/>
                  </pic:spPr>
                </pic:pic>
              </a:graphicData>
            </a:graphic>
          </wp:anchor>
        </w:drawing>
      </w:r>
    </w:p>
    <w:p>
      <w:pPr>
        <w:spacing w:after="0" w:line="174" w:lineRule="exact"/>
        <w:rPr>
          <w:sz w:val="20"/>
          <w:szCs w:val="20"/>
          <w:color w:val="auto"/>
        </w:rPr>
      </w:pPr>
    </w:p>
    <w:p>
      <w:pPr>
        <w:ind w:left="760"/>
        <w:spacing w:after="0"/>
        <w:rPr>
          <w:sz w:val="20"/>
          <w:szCs w:val="20"/>
          <w:color w:val="auto"/>
        </w:rPr>
      </w:pPr>
      <w:r>
        <w:rPr>
          <w:rFonts w:ascii="Arial" w:cs="Arial" w:eastAsia="Arial" w:hAnsi="Arial"/>
          <w:sz w:val="14"/>
          <w:szCs w:val="14"/>
          <w:color w:val="auto"/>
        </w:rPr>
        <w:t>The recurring Level 3 fair value measurements of contingent consideration for which a liability is recorded include the following significant unobservable inputs: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40" w:type="dxa"/>
            <w:vAlign w:val="bottom"/>
          </w:tcPr>
          <w:p>
            <w:pPr>
              <w:jc w:val="center"/>
              <w:spacing w:after="0"/>
              <w:rPr>
                <w:sz w:val="20"/>
                <w:szCs w:val="20"/>
                <w:color w:val="auto"/>
              </w:rPr>
            </w:pPr>
            <w:r>
              <w:rPr>
                <w:rFonts w:ascii="Arial" w:cs="Arial" w:eastAsia="Arial" w:hAnsi="Arial"/>
                <w:sz w:val="18"/>
                <w:szCs w:val="18"/>
                <w:b w:val="1"/>
                <w:bCs w:val="1"/>
                <w:color w:val="auto"/>
                <w:w w:val="88"/>
              </w:rPr>
              <w:t>As of</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40" w:type="dxa"/>
            <w:vAlign w:val="bottom"/>
          </w:tcPr>
          <w:p>
            <w:pPr>
              <w:jc w:val="center"/>
              <w:spacing w:after="0"/>
              <w:rPr>
                <w:sz w:val="20"/>
                <w:szCs w:val="20"/>
                <w:color w:val="auto"/>
              </w:rPr>
            </w:pPr>
            <w:r>
              <w:rPr>
                <w:rFonts w:ascii="Arial" w:cs="Arial" w:eastAsia="Arial" w:hAnsi="Arial"/>
                <w:sz w:val="18"/>
                <w:szCs w:val="18"/>
                <w:b w:val="1"/>
                <w:bCs w:val="1"/>
                <w:color w:val="auto"/>
                <w:w w:val="88"/>
              </w:rPr>
              <w:t>As of</w:t>
            </w:r>
          </w:p>
        </w:tc>
        <w:tc>
          <w:tcPr>
            <w:tcW w:w="160" w:type="dxa"/>
            <w:vAlign w:val="bottom"/>
          </w:tcPr>
          <w:p>
            <w:pPr>
              <w:spacing w:after="0"/>
              <w:rPr>
                <w:sz w:val="18"/>
                <w:szCs w:val="18"/>
                <w:color w:val="auto"/>
              </w:rPr>
            </w:pPr>
          </w:p>
        </w:tc>
      </w:tr>
      <w:tr>
        <w:trPr>
          <w:trHeight w:val="248"/>
        </w:trPr>
        <w:tc>
          <w:tcPr>
            <w:tcW w:w="1540" w:type="dxa"/>
            <w:vAlign w:val="bottom"/>
            <w:gridSpan w:val="2"/>
          </w:tcPr>
          <w:p>
            <w:pPr>
              <w:ind w:left="1460"/>
              <w:spacing w:after="0"/>
              <w:rPr>
                <w:sz w:val="20"/>
                <w:szCs w:val="20"/>
                <w:color w:val="auto"/>
              </w:rPr>
            </w:pPr>
            <w:r>
              <w:rPr>
                <w:rFonts w:ascii="Arial" w:cs="Arial" w:eastAsia="Arial" w:hAnsi="Arial"/>
                <w:sz w:val="18"/>
                <w:szCs w:val="18"/>
                <w:color w:val="auto"/>
              </w:rPr>
              <w:t>​</w:t>
            </w:r>
          </w:p>
        </w:tc>
        <w:tc>
          <w:tcPr>
            <w:tcW w:w="2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40" w:type="dxa"/>
            <w:vAlign w:val="bottom"/>
          </w:tcPr>
          <w:p>
            <w:pPr>
              <w:jc w:val="center"/>
              <w:spacing w:after="0"/>
              <w:rPr>
                <w:sz w:val="20"/>
                <w:szCs w:val="20"/>
                <w:color w:val="auto"/>
              </w:rPr>
            </w:pPr>
            <w:r>
              <w:rPr>
                <w:rFonts w:ascii="Arial" w:cs="Arial" w:eastAsia="Arial" w:hAnsi="Arial"/>
                <w:sz w:val="18"/>
                <w:szCs w:val="18"/>
                <w:b w:val="1"/>
                <w:bCs w:val="1"/>
                <w:color w:val="auto"/>
                <w:w w:val="88"/>
              </w:rPr>
              <w:t>June 30, 2023</w:t>
            </w: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40" w:type="dxa"/>
            <w:vAlign w:val="bottom"/>
          </w:tcPr>
          <w:p>
            <w:pPr>
              <w:jc w:val="center"/>
              <w:spacing w:after="0"/>
              <w:rPr>
                <w:sz w:val="20"/>
                <w:szCs w:val="20"/>
                <w:color w:val="auto"/>
              </w:rPr>
            </w:pPr>
            <w:r>
              <w:rPr>
                <w:rFonts w:ascii="Arial" w:cs="Arial" w:eastAsia="Arial" w:hAnsi="Arial"/>
                <w:sz w:val="18"/>
                <w:szCs w:val="18"/>
                <w:b w:val="1"/>
                <w:bCs w:val="1"/>
                <w:color w:val="auto"/>
                <w:w w:val="88"/>
              </w:rPr>
              <w:t>December 31, 2022</w:t>
            </w:r>
          </w:p>
        </w:tc>
        <w:tc>
          <w:tcPr>
            <w:tcW w:w="160" w:type="dxa"/>
            <w:vAlign w:val="bottom"/>
          </w:tcPr>
          <w:p>
            <w:pPr>
              <w:spacing w:after="0"/>
              <w:rPr>
                <w:sz w:val="21"/>
                <w:szCs w:val="21"/>
                <w:color w:val="auto"/>
              </w:rPr>
            </w:pPr>
          </w:p>
        </w:tc>
      </w:tr>
      <w:tr>
        <w:trPr>
          <w:trHeight w:val="205"/>
        </w:trPr>
        <w:tc>
          <w:tcPr>
            <w:tcW w:w="1480" w:type="dxa"/>
            <w:vAlign w:val="bottom"/>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222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180" w:type="dxa"/>
            <w:vAlign w:val="bottom"/>
            <w:tcBorders>
              <w:top w:val="single" w:sz="8" w:color="auto"/>
            </w:tcBorders>
          </w:tcPr>
          <w:p>
            <w:pPr>
              <w:jc w:val="center"/>
              <w:ind w:right="30"/>
              <w:spacing w:after="0" w:line="205" w:lineRule="exact"/>
              <w:rPr>
                <w:sz w:val="20"/>
                <w:szCs w:val="20"/>
                <w:color w:val="auto"/>
              </w:rPr>
            </w:pPr>
            <w:r>
              <w:rPr>
                <w:rFonts w:ascii="Arial" w:cs="Arial" w:eastAsia="Arial" w:hAnsi="Arial"/>
                <w:sz w:val="18"/>
                <w:szCs w:val="18"/>
                <w:b w:val="1"/>
                <w:bCs w:val="1"/>
                <w:color w:val="auto"/>
                <w:w w:val="89"/>
              </w:rPr>
              <w:t>Significant Unobservable</w:t>
            </w:r>
          </w:p>
        </w:tc>
        <w:tc>
          <w:tcPr>
            <w:tcW w:w="160" w:type="dxa"/>
            <w:vAlign w:val="bottom"/>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2240" w:type="dxa"/>
            <w:vAlign w:val="bottom"/>
            <w:tcBorders>
              <w:top w:val="single" w:sz="8" w:color="auto"/>
            </w:tcBorders>
          </w:tcPr>
          <w:p>
            <w:pPr>
              <w:jc w:val="center"/>
              <w:spacing w:after="0" w:line="205" w:lineRule="exact"/>
              <w:rPr>
                <w:sz w:val="20"/>
                <w:szCs w:val="20"/>
                <w:color w:val="auto"/>
              </w:rPr>
            </w:pPr>
            <w:r>
              <w:rPr>
                <w:rFonts w:ascii="Arial" w:cs="Arial" w:eastAsia="Arial" w:hAnsi="Arial"/>
                <w:sz w:val="18"/>
                <w:szCs w:val="18"/>
                <w:b w:val="1"/>
                <w:bCs w:val="1"/>
                <w:color w:val="auto"/>
                <w:w w:val="89"/>
              </w:rPr>
              <w:t>Weighted Average (range, if</w:t>
            </w:r>
          </w:p>
        </w:tc>
        <w:tc>
          <w:tcPr>
            <w:tcW w:w="160" w:type="dxa"/>
            <w:vAlign w:val="bottom"/>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2240" w:type="dxa"/>
            <w:vAlign w:val="bottom"/>
            <w:tcBorders>
              <w:top w:val="single" w:sz="8" w:color="auto"/>
            </w:tcBorders>
          </w:tcPr>
          <w:p>
            <w:pPr>
              <w:jc w:val="center"/>
              <w:ind w:right="10"/>
              <w:spacing w:after="0" w:line="205" w:lineRule="exact"/>
              <w:rPr>
                <w:sz w:val="20"/>
                <w:szCs w:val="20"/>
                <w:color w:val="auto"/>
              </w:rPr>
            </w:pPr>
            <w:r>
              <w:rPr>
                <w:rFonts w:ascii="Arial" w:cs="Arial" w:eastAsia="Arial" w:hAnsi="Arial"/>
                <w:sz w:val="18"/>
                <w:szCs w:val="18"/>
                <w:b w:val="1"/>
                <w:bCs w:val="1"/>
                <w:color w:val="auto"/>
                <w:w w:val="89"/>
              </w:rPr>
              <w:t>Weighted Average (range, if</w:t>
            </w:r>
          </w:p>
        </w:tc>
        <w:tc>
          <w:tcPr>
            <w:tcW w:w="160" w:type="dxa"/>
            <w:vAlign w:val="bottom"/>
          </w:tcPr>
          <w:p>
            <w:pPr>
              <w:spacing w:after="0"/>
              <w:rPr>
                <w:sz w:val="17"/>
                <w:szCs w:val="17"/>
                <w:color w:val="auto"/>
              </w:rPr>
            </w:pPr>
          </w:p>
        </w:tc>
      </w:tr>
      <w:tr>
        <w:trPr>
          <w:trHeight w:val="248"/>
        </w:trPr>
        <w:tc>
          <w:tcPr>
            <w:tcW w:w="1540" w:type="dxa"/>
            <w:vAlign w:val="bottom"/>
            <w:gridSpan w:val="2"/>
          </w:tcPr>
          <w:p>
            <w:pPr>
              <w:ind w:left="1460"/>
              <w:spacing w:after="0"/>
              <w:rPr>
                <w:sz w:val="20"/>
                <w:szCs w:val="20"/>
                <w:color w:val="auto"/>
              </w:rPr>
            </w:pPr>
            <w:r>
              <w:rPr>
                <w:rFonts w:ascii="Arial" w:cs="Arial" w:eastAsia="Arial" w:hAnsi="Arial"/>
                <w:sz w:val="18"/>
                <w:szCs w:val="18"/>
                <w:color w:val="auto"/>
              </w:rPr>
              <w:t>​</w:t>
            </w:r>
          </w:p>
        </w:tc>
        <w:tc>
          <w:tcPr>
            <w:tcW w:w="2220" w:type="dxa"/>
            <w:vAlign w:val="bottom"/>
          </w:tcPr>
          <w:p>
            <w:pPr>
              <w:jc w:val="center"/>
              <w:spacing w:after="0"/>
              <w:rPr>
                <w:sz w:val="20"/>
                <w:szCs w:val="20"/>
                <w:color w:val="auto"/>
              </w:rPr>
            </w:pPr>
            <w:r>
              <w:rPr>
                <w:rFonts w:ascii="Arial" w:cs="Arial" w:eastAsia="Arial" w:hAnsi="Arial"/>
                <w:sz w:val="18"/>
                <w:szCs w:val="18"/>
                <w:b w:val="1"/>
                <w:bCs w:val="1"/>
                <w:color w:val="auto"/>
                <w:w w:val="90"/>
              </w:rPr>
              <w:t>Valuation Methodology</w:t>
            </w:r>
          </w:p>
        </w:tc>
        <w:tc>
          <w:tcPr>
            <w:tcW w:w="26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2180" w:type="dxa"/>
            <w:vAlign w:val="bottom"/>
          </w:tcPr>
          <w:p>
            <w:pPr>
              <w:jc w:val="center"/>
              <w:spacing w:after="0"/>
              <w:rPr>
                <w:sz w:val="20"/>
                <w:szCs w:val="20"/>
                <w:color w:val="auto"/>
              </w:rPr>
            </w:pPr>
            <w:r>
              <w:rPr>
                <w:rFonts w:ascii="Arial" w:cs="Arial" w:eastAsia="Arial" w:hAnsi="Arial"/>
                <w:sz w:val="18"/>
                <w:szCs w:val="18"/>
                <w:b w:val="1"/>
                <w:bCs w:val="1"/>
                <w:color w:val="auto"/>
                <w:w w:val="95"/>
              </w:rPr>
              <w:t>Input</w:t>
            </w:r>
          </w:p>
        </w:tc>
        <w:tc>
          <w:tcPr>
            <w:tcW w:w="2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2240" w:type="dxa"/>
            <w:vAlign w:val="bottom"/>
          </w:tcPr>
          <w:p>
            <w:pPr>
              <w:jc w:val="center"/>
              <w:spacing w:after="0"/>
              <w:rPr>
                <w:sz w:val="20"/>
                <w:szCs w:val="20"/>
                <w:color w:val="auto"/>
              </w:rPr>
            </w:pPr>
            <w:r>
              <w:rPr>
                <w:rFonts w:ascii="Arial" w:cs="Arial" w:eastAsia="Arial" w:hAnsi="Arial"/>
                <w:sz w:val="18"/>
                <w:szCs w:val="18"/>
                <w:b w:val="1"/>
                <w:bCs w:val="1"/>
                <w:color w:val="auto"/>
                <w:w w:val="89"/>
              </w:rPr>
              <w:t>applicable)</w:t>
            </w:r>
          </w:p>
        </w:tc>
        <w:tc>
          <w:tcPr>
            <w:tcW w:w="2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2240" w:type="dxa"/>
            <w:vAlign w:val="bottom"/>
          </w:tcPr>
          <w:p>
            <w:pPr>
              <w:jc w:val="center"/>
              <w:spacing w:after="0"/>
              <w:rPr>
                <w:sz w:val="20"/>
                <w:szCs w:val="20"/>
                <w:color w:val="auto"/>
              </w:rPr>
            </w:pPr>
            <w:r>
              <w:rPr>
                <w:rFonts w:ascii="Arial" w:cs="Arial" w:eastAsia="Arial" w:hAnsi="Arial"/>
                <w:sz w:val="18"/>
                <w:szCs w:val="18"/>
                <w:b w:val="1"/>
                <w:bCs w:val="1"/>
                <w:color w:val="auto"/>
                <w:w w:val="89"/>
              </w:rPr>
              <w:t>applicable)</w:t>
            </w:r>
          </w:p>
        </w:tc>
        <w:tc>
          <w:tcPr>
            <w:tcW w:w="160" w:type="dxa"/>
            <w:vAlign w:val="bottom"/>
          </w:tcPr>
          <w:p>
            <w:pPr>
              <w:spacing w:after="0"/>
              <w:rPr>
                <w:sz w:val="21"/>
                <w:szCs w:val="21"/>
                <w:color w:val="auto"/>
              </w:rPr>
            </w:pPr>
          </w:p>
        </w:tc>
      </w:tr>
      <w:tr>
        <w:trPr>
          <w:trHeight w:val="209"/>
        </w:trPr>
        <w:tc>
          <w:tcPr>
            <w:tcW w:w="14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Contingent</w:t>
            </w:r>
          </w:p>
        </w:tc>
        <w:tc>
          <w:tcPr>
            <w:tcW w:w="60" w:type="dxa"/>
            <w:vAlign w:val="bottom"/>
            <w:tcBorders>
              <w:top w:val="single" w:sz="8" w:color="auto"/>
            </w:tcBorders>
            <w:shd w:val="clear" w:color="auto" w:fill="CFF0FC"/>
          </w:tcPr>
          <w:p>
            <w:pPr>
              <w:spacing w:after="0"/>
              <w:rPr>
                <w:sz w:val="18"/>
                <w:szCs w:val="18"/>
                <w:color w:val="auto"/>
              </w:rPr>
            </w:pPr>
          </w:p>
        </w:tc>
        <w:tc>
          <w:tcPr>
            <w:tcW w:w="2220" w:type="dxa"/>
            <w:vAlign w:val="bottom"/>
            <w:tcBorders>
              <w:top w:val="single" w:sz="8" w:color="auto"/>
            </w:tcBorders>
            <w:shd w:val="clear" w:color="auto" w:fill="CFF0FC"/>
          </w:tcPr>
          <w:p>
            <w:pPr>
              <w:jc w:val="center"/>
              <w:ind w:right="10"/>
              <w:spacing w:after="0"/>
              <w:rPr>
                <w:sz w:val="20"/>
                <w:szCs w:val="20"/>
                <w:color w:val="auto"/>
              </w:rPr>
            </w:pPr>
            <w:r>
              <w:rPr>
                <w:rFonts w:ascii="Arial" w:cs="Arial" w:eastAsia="Arial" w:hAnsi="Arial"/>
                <w:sz w:val="18"/>
                <w:szCs w:val="18"/>
                <w:color w:val="auto"/>
                <w:w w:val="92"/>
              </w:rPr>
              <w:t>Probability weighted income</w:t>
            </w:r>
          </w:p>
        </w:tc>
        <w:tc>
          <w:tcPr>
            <w:tcW w:w="16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2180" w:type="dxa"/>
            <w:vAlign w:val="bottom"/>
            <w:tcBorders>
              <w:top w:val="single" w:sz="8" w:color="auto"/>
            </w:tcBorders>
            <w:shd w:val="clear" w:color="auto" w:fill="CFF0FC"/>
          </w:tcPr>
          <w:p>
            <w:pPr>
              <w:jc w:val="center"/>
              <w:ind w:right="10"/>
              <w:spacing w:after="0"/>
              <w:rPr>
                <w:sz w:val="20"/>
                <w:szCs w:val="20"/>
                <w:color w:val="auto"/>
              </w:rPr>
            </w:pPr>
            <w:r>
              <w:rPr>
                <w:rFonts w:ascii="Arial" w:cs="Arial" w:eastAsia="Arial" w:hAnsi="Arial"/>
                <w:sz w:val="18"/>
                <w:szCs w:val="18"/>
                <w:color w:val="auto"/>
                <w:w w:val="90"/>
              </w:rPr>
              <w:t>Discount rate</w:t>
            </w:r>
          </w:p>
        </w:tc>
        <w:tc>
          <w:tcPr>
            <w:tcW w:w="160" w:type="dxa"/>
            <w:vAlign w:val="bottom"/>
            <w:shd w:val="clear" w:color="auto" w:fill="CFF0FC"/>
          </w:tcPr>
          <w:p>
            <w:pPr>
              <w:spacing w:after="0"/>
              <w:rPr>
                <w:sz w:val="18"/>
                <w:szCs w:val="18"/>
                <w:color w:val="auto"/>
              </w:rPr>
            </w:pPr>
          </w:p>
        </w:tc>
        <w:tc>
          <w:tcPr>
            <w:tcW w:w="40" w:type="dxa"/>
            <w:vAlign w:val="bottom"/>
            <w:tcBorders>
              <w:top w:val="single" w:sz="8" w:color="auto"/>
            </w:tcBorders>
            <w:shd w:val="clear" w:color="auto" w:fill="CFF0FC"/>
          </w:tcPr>
          <w:p>
            <w:pPr>
              <w:spacing w:after="0"/>
              <w:rPr>
                <w:sz w:val="18"/>
                <w:szCs w:val="18"/>
                <w:color w:val="auto"/>
              </w:rPr>
            </w:pPr>
          </w:p>
        </w:tc>
        <w:tc>
          <w:tcPr>
            <w:tcW w:w="224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0"/>
              </w:rPr>
              <w:t>12.4%</w:t>
            </w:r>
          </w:p>
        </w:tc>
        <w:tc>
          <w:tcPr>
            <w:tcW w:w="160" w:type="dxa"/>
            <w:vAlign w:val="bottom"/>
            <w:shd w:val="clear" w:color="auto" w:fill="CFF0FC"/>
          </w:tcPr>
          <w:p>
            <w:pPr>
              <w:spacing w:after="0"/>
              <w:rPr>
                <w:sz w:val="18"/>
                <w:szCs w:val="18"/>
                <w:color w:val="auto"/>
              </w:rPr>
            </w:pPr>
          </w:p>
        </w:tc>
        <w:tc>
          <w:tcPr>
            <w:tcW w:w="40" w:type="dxa"/>
            <w:vAlign w:val="bottom"/>
            <w:tcBorders>
              <w:top w:val="single" w:sz="8" w:color="auto"/>
            </w:tcBorders>
            <w:shd w:val="clear" w:color="auto" w:fill="CFF0FC"/>
          </w:tcPr>
          <w:p>
            <w:pPr>
              <w:spacing w:after="0"/>
              <w:rPr>
                <w:sz w:val="18"/>
                <w:szCs w:val="18"/>
                <w:color w:val="auto"/>
              </w:rPr>
            </w:pPr>
          </w:p>
        </w:tc>
        <w:tc>
          <w:tcPr>
            <w:tcW w:w="224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3"/>
              </w:rPr>
              <w:t>12.0%</w:t>
            </w:r>
          </w:p>
        </w:tc>
        <w:tc>
          <w:tcPr>
            <w:tcW w:w="160" w:type="dxa"/>
            <w:vAlign w:val="bottom"/>
            <w:shd w:val="clear" w:color="auto" w:fill="CFF0FC"/>
          </w:tcPr>
          <w:p>
            <w:pPr>
              <w:spacing w:after="0"/>
              <w:rPr>
                <w:sz w:val="18"/>
                <w:szCs w:val="18"/>
                <w:color w:val="auto"/>
              </w:rPr>
            </w:pPr>
          </w:p>
        </w:tc>
      </w:tr>
      <w:tr>
        <w:trPr>
          <w:trHeight w:val="244"/>
        </w:trPr>
        <w:tc>
          <w:tcPr>
            <w:tcW w:w="154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consideration</w:t>
            </w:r>
          </w:p>
        </w:tc>
        <w:tc>
          <w:tcPr>
            <w:tcW w:w="22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7"/>
              </w:rPr>
              <w:t>approach</w:t>
            </w:r>
          </w:p>
        </w:tc>
        <w:tc>
          <w:tcPr>
            <w:tcW w:w="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1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2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2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r>
      <w:tr>
        <w:trPr>
          <w:trHeight w:val="230"/>
        </w:trPr>
        <w:tc>
          <w:tcPr>
            <w:tcW w:w="1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80" w:type="dxa"/>
            <w:vAlign w:val="bottom"/>
          </w:tcPr>
          <w:p>
            <w:pPr>
              <w:jc w:val="center"/>
              <w:ind w:right="10"/>
              <w:spacing w:after="0"/>
              <w:rPr>
                <w:sz w:val="20"/>
                <w:szCs w:val="20"/>
                <w:color w:val="auto"/>
              </w:rPr>
            </w:pPr>
            <w:r>
              <w:rPr>
                <w:rFonts w:ascii="Arial" w:cs="Arial" w:eastAsia="Arial" w:hAnsi="Arial"/>
                <w:sz w:val="18"/>
                <w:szCs w:val="18"/>
                <w:color w:val="auto"/>
                <w:w w:val="88"/>
              </w:rPr>
              <w:t>Revenue discount rate</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40" w:type="dxa"/>
            <w:vAlign w:val="bottom"/>
          </w:tcPr>
          <w:p>
            <w:pPr>
              <w:jc w:val="center"/>
              <w:spacing w:after="0"/>
              <w:rPr>
                <w:sz w:val="20"/>
                <w:szCs w:val="20"/>
                <w:color w:val="auto"/>
              </w:rPr>
            </w:pPr>
            <w:r>
              <w:rPr>
                <w:rFonts w:ascii="Arial" w:cs="Arial" w:eastAsia="Arial" w:hAnsi="Arial"/>
                <w:sz w:val="18"/>
                <w:szCs w:val="18"/>
                <w:color w:val="auto"/>
                <w:w w:val="90"/>
              </w:rPr>
              <w:t>20.2%</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40" w:type="dxa"/>
            <w:vAlign w:val="bottom"/>
          </w:tcPr>
          <w:p>
            <w:pPr>
              <w:jc w:val="center"/>
              <w:spacing w:after="0"/>
              <w:rPr>
                <w:sz w:val="20"/>
                <w:szCs w:val="20"/>
                <w:color w:val="auto"/>
              </w:rPr>
            </w:pPr>
            <w:r>
              <w:rPr>
                <w:rFonts w:ascii="Arial" w:cs="Arial" w:eastAsia="Arial" w:hAnsi="Arial"/>
                <w:sz w:val="18"/>
                <w:szCs w:val="18"/>
                <w:color w:val="auto"/>
                <w:w w:val="93"/>
              </w:rPr>
              <w:t>20.9%</w:t>
            </w:r>
          </w:p>
        </w:tc>
        <w:tc>
          <w:tcPr>
            <w:tcW w:w="160" w:type="dxa"/>
            <w:vAlign w:val="bottom"/>
          </w:tcPr>
          <w:p>
            <w:pPr>
              <w:spacing w:after="0"/>
              <w:rPr>
                <w:sz w:val="20"/>
                <w:szCs w:val="20"/>
                <w:color w:val="auto"/>
              </w:rPr>
            </w:pPr>
          </w:p>
        </w:tc>
      </w:tr>
    </w:tbl>
    <w:p>
      <w:pPr>
        <w:spacing w:after="0" w:line="192" w:lineRule="exact"/>
        <w:rPr>
          <w:sz w:val="20"/>
          <w:szCs w:val="20"/>
          <w:color w:val="auto"/>
        </w:rPr>
      </w:pPr>
    </w:p>
    <w:p>
      <w:pPr>
        <w:ind w:right="60" w:firstLine="749"/>
        <w:spacing w:after="0" w:line="283" w:lineRule="auto"/>
        <w:rPr>
          <w:sz w:val="20"/>
          <w:szCs w:val="20"/>
          <w:color w:val="auto"/>
        </w:rPr>
      </w:pPr>
      <w:r>
        <w:rPr>
          <w:rFonts w:ascii="Arial" w:cs="Arial" w:eastAsia="Arial" w:hAnsi="Arial"/>
          <w:sz w:val="15"/>
          <w:szCs w:val="15"/>
          <w:color w:val="auto"/>
        </w:rPr>
        <w:t>The fair value measurement of the contingent consideration is sensitive to the change in discount rates. As of June 30, 2023, if the discount rate increases or decreases by approximately 1%, the fair value of the contingent consideration would range from $36.6 million to $40.3 million. As of June 30, 2023, if the revenue discount rate increases or decreases by approximately 1%, the fair value of the contingent consideration would range from $37.1 million to $39.8 million.</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8. Inventory</w:t>
      </w:r>
    </w:p>
    <w:p>
      <w:pPr>
        <w:spacing w:after="0" w:line="217" w:lineRule="exact"/>
        <w:rPr>
          <w:sz w:val="20"/>
          <w:szCs w:val="20"/>
          <w:color w:val="auto"/>
        </w:rPr>
      </w:pPr>
    </w:p>
    <w:p>
      <w:pPr>
        <w:ind w:left="760"/>
        <w:spacing w:after="0"/>
        <w:rPr>
          <w:sz w:val="20"/>
          <w:szCs w:val="20"/>
          <w:color w:val="auto"/>
        </w:rPr>
      </w:pPr>
      <w:r>
        <w:rPr>
          <w:rFonts w:ascii="Arial" w:cs="Arial" w:eastAsia="Arial" w:hAnsi="Arial"/>
          <w:sz w:val="16"/>
          <w:szCs w:val="16"/>
          <w:color w:val="auto"/>
        </w:rPr>
        <w:t>As of June 30, 2023 and December 31, 2022, inventory consisted of the following:</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June 30,</w:t>
            </w: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jc w:val="right"/>
              <w:ind w:right="276"/>
              <w:spacing w:after="0"/>
              <w:rPr>
                <w:sz w:val="20"/>
                <w:szCs w:val="20"/>
                <w:color w:val="auto"/>
              </w:rPr>
            </w:pPr>
            <w:r>
              <w:rPr>
                <w:rFonts w:ascii="Arial" w:cs="Arial" w:eastAsia="Arial" w:hAnsi="Arial"/>
                <w:sz w:val="14"/>
                <w:szCs w:val="14"/>
                <w:b w:val="1"/>
                <w:bCs w:val="1"/>
                <w:color w:val="auto"/>
              </w:rPr>
              <w:t>December 31,</w:t>
            </w:r>
          </w:p>
        </w:tc>
        <w:tc>
          <w:tcPr>
            <w:tcW w:w="340" w:type="dxa"/>
            <w:vAlign w:val="bottom"/>
          </w:tcPr>
          <w:p>
            <w:pPr>
              <w:spacing w:after="0"/>
              <w:rPr>
                <w:sz w:val="14"/>
                <w:szCs w:val="14"/>
                <w:color w:val="auto"/>
              </w:rPr>
            </w:pPr>
          </w:p>
        </w:tc>
      </w:tr>
      <w:tr>
        <w:trPr>
          <w:trHeight w:val="185"/>
        </w:trPr>
        <w:tc>
          <w:tcPr>
            <w:tcW w:w="7480" w:type="dxa"/>
            <w:vAlign w:val="bottom"/>
          </w:tcPr>
          <w:p>
            <w:pPr>
              <w:ind w:left="3640"/>
              <w:spacing w:after="0"/>
              <w:rPr>
                <w:sz w:val="20"/>
                <w:szCs w:val="20"/>
                <w:color w:val="auto"/>
              </w:rPr>
            </w:pPr>
            <w:r>
              <w:rPr>
                <w:rFonts w:ascii="Arial" w:cs="Arial" w:eastAsia="Arial" w:hAnsi="Arial"/>
                <w:sz w:val="14"/>
                <w:szCs w:val="14"/>
                <w:b w:val="1"/>
                <w:bCs w:val="1"/>
                <w:color w:val="auto"/>
              </w:rPr>
              <w:t>​</w:t>
            </w: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2023</w:t>
            </w:r>
          </w:p>
        </w:tc>
        <w:tc>
          <w:tcPr>
            <w:tcW w:w="520" w:type="dxa"/>
            <w:vAlign w:val="bottom"/>
            <w:tcBorders>
              <w:bottom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2022</w:t>
            </w:r>
          </w:p>
        </w:tc>
        <w:tc>
          <w:tcPr>
            <w:tcW w:w="340" w:type="dxa"/>
            <w:vAlign w:val="bottom"/>
          </w:tcPr>
          <w:p>
            <w:pPr>
              <w:spacing w:after="0"/>
              <w:rPr>
                <w:sz w:val="16"/>
                <w:szCs w:val="16"/>
                <w:color w:val="auto"/>
              </w:rPr>
            </w:pPr>
          </w:p>
        </w:tc>
      </w:tr>
      <w:tr>
        <w:trPr>
          <w:trHeight w:val="237"/>
        </w:trPr>
        <w:tc>
          <w:tcPr>
            <w:tcW w:w="7480" w:type="dxa"/>
            <w:vAlign w:val="bottom"/>
            <w:shd w:val="clear" w:color="auto" w:fill="CFF0FC"/>
          </w:tcPr>
          <w:p>
            <w:pPr>
              <w:ind w:left="20"/>
              <w:spacing w:after="0"/>
              <w:rPr>
                <w:sz w:val="20"/>
                <w:szCs w:val="20"/>
                <w:color w:val="auto"/>
              </w:rPr>
            </w:pPr>
            <w:r>
              <w:rPr>
                <w:rFonts w:ascii="Arial" w:cs="Arial" w:eastAsia="Arial" w:hAnsi="Arial"/>
                <w:sz w:val="18"/>
                <w:szCs w:val="18"/>
                <w:color w:val="auto"/>
              </w:rPr>
              <w:t>Raw materials</w:t>
            </w:r>
          </w:p>
        </w:tc>
        <w:tc>
          <w:tcPr>
            <w:tcW w:w="1020" w:type="dxa"/>
            <w:vAlign w:val="bottom"/>
            <w:shd w:val="clear" w:color="auto" w:fill="CFF0FC"/>
          </w:tcPr>
          <w:p>
            <w:pPr>
              <w:jc w:val="right"/>
              <w:ind w:right="839"/>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4,012</w:t>
            </w:r>
          </w:p>
        </w:tc>
        <w:tc>
          <w:tcPr>
            <w:tcW w:w="34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2,473</w:t>
            </w:r>
          </w:p>
        </w:tc>
        <w:tc>
          <w:tcPr>
            <w:tcW w:w="340" w:type="dxa"/>
            <w:vAlign w:val="bottom"/>
            <w:shd w:val="clear" w:color="auto" w:fill="CFF0FC"/>
          </w:tcPr>
          <w:p>
            <w:pPr>
              <w:spacing w:after="0"/>
              <w:rPr>
                <w:sz w:val="20"/>
                <w:szCs w:val="20"/>
                <w:color w:val="auto"/>
              </w:rPr>
            </w:pPr>
          </w:p>
        </w:tc>
      </w:tr>
      <w:tr>
        <w:trPr>
          <w:trHeight w:val="237"/>
        </w:trPr>
        <w:tc>
          <w:tcPr>
            <w:tcW w:w="7480" w:type="dxa"/>
            <w:vAlign w:val="bottom"/>
          </w:tcPr>
          <w:p>
            <w:pPr>
              <w:ind w:left="20"/>
              <w:spacing w:after="0"/>
              <w:rPr>
                <w:sz w:val="20"/>
                <w:szCs w:val="20"/>
                <w:color w:val="auto"/>
              </w:rPr>
            </w:pPr>
            <w:r>
              <w:rPr>
                <w:rFonts w:ascii="Arial" w:cs="Arial" w:eastAsia="Arial" w:hAnsi="Arial"/>
                <w:sz w:val="18"/>
                <w:szCs w:val="18"/>
                <w:color w:val="auto"/>
              </w:rPr>
              <w:t>Work in process</w:t>
            </w:r>
          </w:p>
        </w:tc>
        <w:tc>
          <w:tcPr>
            <w:tcW w:w="10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7"/>
              </w:rPr>
              <w:t>10,944</w:t>
            </w: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13,964</w:t>
            </w:r>
          </w:p>
        </w:tc>
        <w:tc>
          <w:tcPr>
            <w:tcW w:w="340" w:type="dxa"/>
            <w:vAlign w:val="bottom"/>
          </w:tcPr>
          <w:p>
            <w:pPr>
              <w:spacing w:after="0"/>
              <w:rPr>
                <w:sz w:val="20"/>
                <w:szCs w:val="20"/>
                <w:color w:val="auto"/>
              </w:rPr>
            </w:pPr>
          </w:p>
        </w:tc>
      </w:tr>
      <w:tr>
        <w:trPr>
          <w:trHeight w:val="243"/>
        </w:trPr>
        <w:tc>
          <w:tcPr>
            <w:tcW w:w="74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Finished goods</w:t>
            </w:r>
          </w:p>
        </w:tc>
        <w:tc>
          <w:tcPr>
            <w:tcW w:w="1020" w:type="dxa"/>
            <w:vAlign w:val="bottom"/>
            <w:tcBorders>
              <w:bottom w:val="single" w:sz="8" w:color="auto"/>
            </w:tcBorders>
            <w:shd w:val="clear" w:color="auto" w:fill="CFF0FC"/>
          </w:tcPr>
          <w:p>
            <w:pPr>
              <w:spacing w:after="0"/>
              <w:rPr>
                <w:sz w:val="21"/>
                <w:szCs w:val="21"/>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8,545</w:t>
            </w:r>
          </w:p>
        </w:tc>
        <w:tc>
          <w:tcPr>
            <w:tcW w:w="3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1,591</w:t>
            </w:r>
          </w:p>
        </w:tc>
        <w:tc>
          <w:tcPr>
            <w:tcW w:w="340" w:type="dxa"/>
            <w:vAlign w:val="bottom"/>
            <w:tcBorders>
              <w:bottom w:val="single" w:sz="8" w:color="CFF0FC"/>
            </w:tcBorders>
            <w:shd w:val="clear" w:color="auto" w:fill="CFF0FC"/>
          </w:tcPr>
          <w:p>
            <w:pPr>
              <w:spacing w:after="0"/>
              <w:rPr>
                <w:sz w:val="21"/>
                <w:szCs w:val="21"/>
                <w:color w:val="auto"/>
              </w:rPr>
            </w:pPr>
          </w:p>
        </w:tc>
      </w:tr>
      <w:tr>
        <w:trPr>
          <w:trHeight w:val="236"/>
        </w:trPr>
        <w:tc>
          <w:tcPr>
            <w:tcW w:w="7480" w:type="dxa"/>
            <w:vAlign w:val="bottom"/>
          </w:tcPr>
          <w:p>
            <w:pPr>
              <w:ind w:left="20"/>
              <w:spacing w:after="0"/>
              <w:rPr>
                <w:sz w:val="20"/>
                <w:szCs w:val="20"/>
                <w:color w:val="auto"/>
              </w:rPr>
            </w:pPr>
            <w:r>
              <w:rPr>
                <w:rFonts w:ascii="Arial" w:cs="Arial" w:eastAsia="Arial" w:hAnsi="Arial"/>
                <w:sz w:val="18"/>
                <w:szCs w:val="18"/>
                <w:color w:val="auto"/>
              </w:rPr>
              <w:t>Total</w:t>
            </w:r>
          </w:p>
        </w:tc>
        <w:tc>
          <w:tcPr>
            <w:tcW w:w="1020" w:type="dxa"/>
            <w:vAlign w:val="bottom"/>
          </w:tcPr>
          <w:p>
            <w:pPr>
              <w:jc w:val="right"/>
              <w:ind w:right="839"/>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87"/>
              </w:rPr>
              <w:t>23,501</w:t>
            </w:r>
          </w:p>
        </w:tc>
        <w:tc>
          <w:tcPr>
            <w:tcW w:w="5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18,028</w:t>
            </w:r>
          </w:p>
        </w:tc>
        <w:tc>
          <w:tcPr>
            <w:tcW w:w="340" w:type="dxa"/>
            <w:vAlign w:val="bottom"/>
          </w:tcPr>
          <w:p>
            <w:pPr>
              <w:spacing w:after="0"/>
              <w:rPr>
                <w:sz w:val="20"/>
                <w:szCs w:val="20"/>
                <w:color w:val="auto"/>
              </w:rPr>
            </w:pPr>
          </w:p>
        </w:tc>
      </w:tr>
      <w:tr>
        <w:trPr>
          <w:trHeight w:val="20"/>
        </w:trPr>
        <w:tc>
          <w:tcPr>
            <w:tcW w:w="74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5731510</wp:posOffset>
            </wp:positionH>
            <wp:positionV relativeFrom="paragraph">
              <wp:posOffset>-187960</wp:posOffset>
            </wp:positionV>
            <wp:extent cx="85725" cy="18859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6923405</wp:posOffset>
            </wp:positionH>
            <wp:positionV relativeFrom="paragraph">
              <wp:posOffset>-187960</wp:posOffset>
            </wp:positionV>
            <wp:extent cx="85725" cy="18859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85725" cy="188595"/>
                    </a:xfrm>
                    <a:prstGeom prst="rect">
                      <a:avLst/>
                    </a:prstGeom>
                    <a:noFill/>
                  </pic:spPr>
                </pic:pic>
              </a:graphicData>
            </a:graphic>
          </wp:anchor>
        </w:drawing>
      </w:r>
    </w:p>
    <w:p>
      <w:pPr>
        <w:spacing w:after="0" w:line="186" w:lineRule="exact"/>
        <w:rPr>
          <w:sz w:val="20"/>
          <w:szCs w:val="20"/>
          <w:color w:val="auto"/>
        </w:rPr>
      </w:pPr>
    </w:p>
    <w:p>
      <w:pPr>
        <w:ind w:right="220" w:firstLine="749"/>
        <w:spacing w:after="0" w:line="278" w:lineRule="auto"/>
        <w:rPr>
          <w:sz w:val="20"/>
          <w:szCs w:val="20"/>
          <w:color w:val="auto"/>
        </w:rPr>
      </w:pPr>
      <w:r>
        <w:rPr>
          <w:rFonts w:ascii="Arial" w:cs="Arial" w:eastAsia="Arial" w:hAnsi="Arial"/>
          <w:sz w:val="16"/>
          <w:szCs w:val="16"/>
          <w:color w:val="auto"/>
        </w:rPr>
        <w:t>There were no material inventory reserves as of June 30, 2023. Non-current inventory, which consists of raw materials and work in progress inventory, is included in non-current inventory and other assets in the Company's consolidated balance sheets. Non-current inventory is anticipated to be consumed beyond our normal operating cycle.</w:t>
      </w:r>
    </w:p>
    <w:p>
      <w:pPr>
        <w:spacing w:after="0" w:line="171"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The following table summarizes the balance sheet classification of the Company's inventory for each of the periods indicated:</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June 30,</w:t>
            </w: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jc w:val="right"/>
              <w:ind w:right="277"/>
              <w:spacing w:after="0"/>
              <w:rPr>
                <w:sz w:val="20"/>
                <w:szCs w:val="20"/>
                <w:color w:val="auto"/>
              </w:rPr>
            </w:pPr>
            <w:r>
              <w:rPr>
                <w:rFonts w:ascii="Arial" w:cs="Arial" w:eastAsia="Arial" w:hAnsi="Arial"/>
                <w:sz w:val="14"/>
                <w:szCs w:val="14"/>
                <w:b w:val="1"/>
                <w:bCs w:val="1"/>
                <w:color w:val="auto"/>
              </w:rPr>
              <w:t>December 31,</w:t>
            </w:r>
          </w:p>
        </w:tc>
        <w:tc>
          <w:tcPr>
            <w:tcW w:w="340" w:type="dxa"/>
            <w:vAlign w:val="bottom"/>
          </w:tcPr>
          <w:p>
            <w:pPr>
              <w:spacing w:after="0"/>
              <w:rPr>
                <w:sz w:val="14"/>
                <w:szCs w:val="14"/>
                <w:color w:val="auto"/>
              </w:rPr>
            </w:pPr>
          </w:p>
        </w:tc>
      </w:tr>
      <w:tr>
        <w:trPr>
          <w:trHeight w:val="185"/>
        </w:trPr>
        <w:tc>
          <w:tcPr>
            <w:tcW w:w="7480" w:type="dxa"/>
            <w:vAlign w:val="bottom"/>
          </w:tcPr>
          <w:p>
            <w:pPr>
              <w:ind w:left="3640"/>
              <w:spacing w:after="0"/>
              <w:rPr>
                <w:sz w:val="20"/>
                <w:szCs w:val="20"/>
                <w:color w:val="auto"/>
              </w:rPr>
            </w:pPr>
            <w:r>
              <w:rPr>
                <w:rFonts w:ascii="Arial" w:cs="Arial" w:eastAsia="Arial" w:hAnsi="Arial"/>
                <w:sz w:val="14"/>
                <w:szCs w:val="14"/>
                <w:b w:val="1"/>
                <w:bCs w:val="1"/>
                <w:color w:val="auto"/>
              </w:rPr>
              <w:t>​</w:t>
            </w: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2023</w:t>
            </w:r>
          </w:p>
        </w:tc>
        <w:tc>
          <w:tcPr>
            <w:tcW w:w="520" w:type="dxa"/>
            <w:vAlign w:val="bottom"/>
            <w:tcBorders>
              <w:bottom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2022</w:t>
            </w:r>
          </w:p>
        </w:tc>
        <w:tc>
          <w:tcPr>
            <w:tcW w:w="340" w:type="dxa"/>
            <w:vAlign w:val="bottom"/>
          </w:tcPr>
          <w:p>
            <w:pPr>
              <w:spacing w:after="0"/>
              <w:rPr>
                <w:sz w:val="16"/>
                <w:szCs w:val="16"/>
                <w:color w:val="auto"/>
              </w:rPr>
            </w:pPr>
          </w:p>
        </w:tc>
      </w:tr>
      <w:tr>
        <w:trPr>
          <w:trHeight w:val="237"/>
        </w:trPr>
        <w:tc>
          <w:tcPr>
            <w:tcW w:w="74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Balance sheet classification</w:t>
            </w:r>
          </w:p>
        </w:tc>
        <w:tc>
          <w:tcPr>
            <w:tcW w:w="102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2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r>
      <w:tr>
        <w:trPr>
          <w:trHeight w:val="237"/>
        </w:trPr>
        <w:tc>
          <w:tcPr>
            <w:tcW w:w="7480" w:type="dxa"/>
            <w:vAlign w:val="bottom"/>
          </w:tcPr>
          <w:p>
            <w:pPr>
              <w:ind w:left="20"/>
              <w:spacing w:after="0"/>
              <w:rPr>
                <w:sz w:val="20"/>
                <w:szCs w:val="20"/>
                <w:color w:val="auto"/>
              </w:rPr>
            </w:pPr>
            <w:r>
              <w:rPr>
                <w:rFonts w:ascii="Arial" w:cs="Arial" w:eastAsia="Arial" w:hAnsi="Arial"/>
                <w:sz w:val="18"/>
                <w:szCs w:val="18"/>
                <w:color w:val="auto"/>
              </w:rPr>
              <w:t>Inventories, net</w:t>
            </w:r>
          </w:p>
        </w:tc>
        <w:tc>
          <w:tcPr>
            <w:tcW w:w="1020" w:type="dxa"/>
            <w:vAlign w:val="bottom"/>
          </w:tcPr>
          <w:p>
            <w:pPr>
              <w:jc w:val="right"/>
              <w:ind w:right="839"/>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9,252</w:t>
            </w: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4,320</w:t>
            </w:r>
          </w:p>
        </w:tc>
        <w:tc>
          <w:tcPr>
            <w:tcW w:w="340" w:type="dxa"/>
            <w:vAlign w:val="bottom"/>
          </w:tcPr>
          <w:p>
            <w:pPr>
              <w:spacing w:after="0"/>
              <w:rPr>
                <w:sz w:val="20"/>
                <w:szCs w:val="20"/>
                <w:color w:val="auto"/>
              </w:rPr>
            </w:pPr>
          </w:p>
        </w:tc>
      </w:tr>
      <w:tr>
        <w:trPr>
          <w:trHeight w:val="243"/>
        </w:trPr>
        <w:tc>
          <w:tcPr>
            <w:tcW w:w="74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Non-current inventory and other assets</w:t>
            </w:r>
          </w:p>
        </w:tc>
        <w:tc>
          <w:tcPr>
            <w:tcW w:w="1020" w:type="dxa"/>
            <w:vAlign w:val="bottom"/>
            <w:tcBorders>
              <w:bottom w:val="single" w:sz="8" w:color="auto"/>
            </w:tcBorders>
            <w:shd w:val="clear" w:color="auto" w:fill="CFF0FC"/>
          </w:tcPr>
          <w:p>
            <w:pPr>
              <w:spacing w:after="0"/>
              <w:rPr>
                <w:sz w:val="21"/>
                <w:szCs w:val="21"/>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7"/>
              </w:rPr>
              <w:t>14,249</w:t>
            </w:r>
          </w:p>
        </w:tc>
        <w:tc>
          <w:tcPr>
            <w:tcW w:w="3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13,708</w:t>
            </w:r>
          </w:p>
        </w:tc>
        <w:tc>
          <w:tcPr>
            <w:tcW w:w="340" w:type="dxa"/>
            <w:vAlign w:val="bottom"/>
            <w:tcBorders>
              <w:bottom w:val="single" w:sz="8" w:color="CFF0FC"/>
            </w:tcBorders>
            <w:shd w:val="clear" w:color="auto" w:fill="CFF0FC"/>
          </w:tcPr>
          <w:p>
            <w:pPr>
              <w:spacing w:after="0"/>
              <w:rPr>
                <w:sz w:val="21"/>
                <w:szCs w:val="21"/>
                <w:color w:val="auto"/>
              </w:rPr>
            </w:pPr>
          </w:p>
        </w:tc>
      </w:tr>
      <w:tr>
        <w:trPr>
          <w:trHeight w:val="237"/>
        </w:trPr>
        <w:tc>
          <w:tcPr>
            <w:tcW w:w="7480" w:type="dxa"/>
            <w:vAlign w:val="bottom"/>
          </w:tcPr>
          <w:p>
            <w:pPr>
              <w:ind w:left="20"/>
              <w:spacing w:after="0"/>
              <w:rPr>
                <w:sz w:val="20"/>
                <w:szCs w:val="20"/>
                <w:color w:val="auto"/>
              </w:rPr>
            </w:pPr>
            <w:r>
              <w:rPr>
                <w:rFonts w:ascii="Arial" w:cs="Arial" w:eastAsia="Arial" w:hAnsi="Arial"/>
                <w:sz w:val="18"/>
                <w:szCs w:val="18"/>
                <w:color w:val="auto"/>
              </w:rPr>
              <w:t>Total</w:t>
            </w:r>
          </w:p>
        </w:tc>
        <w:tc>
          <w:tcPr>
            <w:tcW w:w="1020" w:type="dxa"/>
            <w:vAlign w:val="bottom"/>
          </w:tcPr>
          <w:p>
            <w:pPr>
              <w:jc w:val="right"/>
              <w:ind w:right="839"/>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87"/>
              </w:rPr>
              <w:t>23,501</w:t>
            </w: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18,028</w:t>
            </w:r>
          </w:p>
        </w:tc>
        <w:tc>
          <w:tcPr>
            <w:tcW w:w="340" w:type="dxa"/>
            <w:vAlign w:val="bottom"/>
          </w:tcPr>
          <w:p>
            <w:pPr>
              <w:spacing w:after="0"/>
              <w:rPr>
                <w:sz w:val="20"/>
                <w:szCs w:val="20"/>
                <w:color w:val="auto"/>
              </w:rPr>
            </w:pPr>
          </w:p>
        </w:tc>
      </w:tr>
      <w:tr>
        <w:trPr>
          <w:trHeight w:val="20"/>
        </w:trPr>
        <w:tc>
          <w:tcPr>
            <w:tcW w:w="74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5731510</wp:posOffset>
            </wp:positionH>
            <wp:positionV relativeFrom="paragraph">
              <wp:posOffset>-187960</wp:posOffset>
            </wp:positionV>
            <wp:extent cx="85725" cy="18859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6923405</wp:posOffset>
            </wp:positionH>
            <wp:positionV relativeFrom="paragraph">
              <wp:posOffset>-187960</wp:posOffset>
            </wp:positionV>
            <wp:extent cx="85725" cy="18859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85725" cy="188595"/>
                    </a:xfrm>
                    <a:prstGeom prst="rect">
                      <a:avLst/>
                    </a:prstGeom>
                    <a:noFill/>
                  </pic:spPr>
                </pic:pic>
              </a:graphicData>
            </a:graphic>
          </wp:anchor>
        </w:drawing>
      </w:r>
    </w:p>
    <w:p>
      <w:pPr>
        <w:spacing w:after="0" w:line="3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9. Accrued Expenses and Other Current Liabilities</w:t>
      </w:r>
    </w:p>
    <w:p>
      <w:pPr>
        <w:spacing w:after="0" w:line="239" w:lineRule="exact"/>
        <w:rPr>
          <w:sz w:val="20"/>
          <w:szCs w:val="20"/>
          <w:color w:val="auto"/>
        </w:rPr>
      </w:pPr>
    </w:p>
    <w:p>
      <w:pPr>
        <w:ind w:left="760"/>
        <w:spacing w:after="0"/>
        <w:rPr>
          <w:sz w:val="20"/>
          <w:szCs w:val="20"/>
          <w:color w:val="auto"/>
        </w:rPr>
      </w:pPr>
      <w:r>
        <w:rPr>
          <w:rFonts w:ascii="Arial" w:cs="Arial" w:eastAsia="Arial" w:hAnsi="Arial"/>
          <w:sz w:val="16"/>
          <w:szCs w:val="16"/>
          <w:color w:val="auto"/>
        </w:rPr>
        <w:t>At June 30, 2023 and December 31, 2022 accrued expenses and other current liabilities consisted of the following:</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4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June 30,</w:t>
            </w: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tcPr>
          <w:p>
            <w:pPr>
              <w:jc w:val="right"/>
              <w:ind w:right="414"/>
              <w:spacing w:after="0"/>
              <w:rPr>
                <w:sz w:val="20"/>
                <w:szCs w:val="20"/>
                <w:color w:val="auto"/>
              </w:rPr>
            </w:pPr>
            <w:r>
              <w:rPr>
                <w:rFonts w:ascii="Arial" w:cs="Arial" w:eastAsia="Arial" w:hAnsi="Arial"/>
                <w:sz w:val="14"/>
                <w:szCs w:val="14"/>
                <w:b w:val="1"/>
                <w:bCs w:val="1"/>
                <w:color w:val="auto"/>
              </w:rPr>
              <w:t>December 31,</w:t>
            </w:r>
          </w:p>
        </w:tc>
      </w:tr>
      <w:tr>
        <w:trPr>
          <w:trHeight w:val="185"/>
        </w:trPr>
        <w:tc>
          <w:tcPr>
            <w:tcW w:w="4640" w:type="dxa"/>
            <w:vAlign w:val="bottom"/>
          </w:tcPr>
          <w:p>
            <w:pPr>
              <w:ind w:left="3700"/>
              <w:spacing w:after="0"/>
              <w:rPr>
                <w:sz w:val="20"/>
                <w:szCs w:val="20"/>
                <w:color w:val="auto"/>
              </w:rPr>
            </w:pPr>
            <w:r>
              <w:rPr>
                <w:rFonts w:ascii="Arial" w:cs="Arial" w:eastAsia="Arial" w:hAnsi="Arial"/>
                <w:sz w:val="14"/>
                <w:szCs w:val="14"/>
                <w:b w:val="1"/>
                <w:bCs w:val="1"/>
                <w:color w:val="auto"/>
              </w:rPr>
              <w:t>​</w:t>
            </w:r>
          </w:p>
        </w:tc>
        <w:tc>
          <w:tcPr>
            <w:tcW w:w="4020" w:type="dxa"/>
            <w:vAlign w:val="bottom"/>
            <w:gridSpan w:val="2"/>
          </w:tcPr>
          <w:p>
            <w:pPr>
              <w:jc w:val="right"/>
              <w:ind w:right="36"/>
              <w:spacing w:after="0"/>
              <w:rPr>
                <w:sz w:val="20"/>
                <w:szCs w:val="20"/>
                <w:color w:val="auto"/>
              </w:rPr>
            </w:pPr>
            <w:r>
              <w:rPr>
                <w:rFonts w:ascii="Arial" w:cs="Arial" w:eastAsia="Arial" w:hAnsi="Arial"/>
                <w:sz w:val="14"/>
                <w:szCs w:val="14"/>
                <w:b w:val="1"/>
                <w:bCs w:val="1"/>
                <w:color w:val="auto"/>
              </w:rPr>
              <w:t>2023</w:t>
            </w: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tcPr>
          <w:p>
            <w:pPr>
              <w:jc w:val="right"/>
              <w:ind w:right="694"/>
              <w:spacing w:after="0"/>
              <w:rPr>
                <w:sz w:val="20"/>
                <w:szCs w:val="20"/>
                <w:color w:val="auto"/>
              </w:rPr>
            </w:pPr>
            <w:r>
              <w:rPr>
                <w:rFonts w:ascii="Arial" w:cs="Arial" w:eastAsia="Arial" w:hAnsi="Arial"/>
                <w:sz w:val="14"/>
                <w:szCs w:val="14"/>
                <w:b w:val="1"/>
                <w:bCs w:val="1"/>
                <w:color w:val="auto"/>
              </w:rPr>
              <w:t>2022</w:t>
            </w:r>
          </w:p>
        </w:tc>
      </w:tr>
      <w:tr>
        <w:trPr>
          <w:trHeight w:val="236"/>
        </w:trPr>
        <w:tc>
          <w:tcPr>
            <w:tcW w:w="4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Accrued research and development</w:t>
            </w:r>
          </w:p>
        </w:tc>
        <w:tc>
          <w:tcPr>
            <w:tcW w:w="2960" w:type="dxa"/>
            <w:vAlign w:val="bottom"/>
            <w:shd w:val="clear" w:color="auto" w:fill="CFF0FC"/>
          </w:tcPr>
          <w:p>
            <w:pPr>
              <w:spacing w:after="0"/>
              <w:rPr>
                <w:sz w:val="20"/>
                <w:szCs w:val="20"/>
                <w:color w:val="auto"/>
              </w:rPr>
            </w:pPr>
          </w:p>
        </w:tc>
        <w:tc>
          <w:tcPr>
            <w:tcW w:w="1060" w:type="dxa"/>
            <w:vAlign w:val="bottom"/>
            <w:tcBorders>
              <w:top w:val="single" w:sz="8" w:color="auto"/>
            </w:tcBorders>
            <w:shd w:val="clear" w:color="auto" w:fill="CFF0FC"/>
          </w:tcPr>
          <w:p>
            <w:pPr>
              <w:jc w:val="right"/>
              <w:ind w:right="856"/>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2,653</w:t>
            </w:r>
          </w:p>
        </w:tc>
        <w:tc>
          <w:tcPr>
            <w:tcW w:w="20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shd w:val="clear" w:color="auto" w:fill="CFF0FC"/>
          </w:tcPr>
          <w:p>
            <w:pPr>
              <w:jc w:val="right"/>
              <w:ind w:right="74"/>
              <w:spacing w:after="0"/>
              <w:rPr>
                <w:sz w:val="20"/>
                <w:szCs w:val="20"/>
                <w:color w:val="auto"/>
              </w:rPr>
            </w:pPr>
            <w:r>
              <w:rPr>
                <w:rFonts w:ascii="Arial" w:cs="Arial" w:eastAsia="Arial" w:hAnsi="Arial"/>
                <w:sz w:val="18"/>
                <w:szCs w:val="18"/>
                <w:color w:val="auto"/>
              </w:rPr>
              <w:t>4,714</w:t>
            </w:r>
          </w:p>
        </w:tc>
      </w:tr>
      <w:tr>
        <w:trPr>
          <w:trHeight w:val="237"/>
        </w:trPr>
        <w:tc>
          <w:tcPr>
            <w:tcW w:w="4640" w:type="dxa"/>
            <w:vAlign w:val="bottom"/>
          </w:tcPr>
          <w:p>
            <w:pPr>
              <w:ind w:left="20"/>
              <w:spacing w:after="0"/>
              <w:rPr>
                <w:sz w:val="20"/>
                <w:szCs w:val="20"/>
                <w:color w:val="auto"/>
              </w:rPr>
            </w:pPr>
            <w:r>
              <w:rPr>
                <w:rFonts w:ascii="Arial" w:cs="Arial" w:eastAsia="Arial" w:hAnsi="Arial"/>
                <w:sz w:val="18"/>
                <w:szCs w:val="18"/>
                <w:color w:val="auto"/>
              </w:rPr>
              <w:t>Accrued compensation</w:t>
            </w:r>
          </w:p>
        </w:tc>
        <w:tc>
          <w:tcPr>
            <w:tcW w:w="29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60" w:type="dxa"/>
            <w:vAlign w:val="bottom"/>
          </w:tcPr>
          <w:p>
            <w:pPr>
              <w:jc w:val="right"/>
              <w:ind w:right="50"/>
              <w:spacing w:after="0"/>
              <w:rPr>
                <w:sz w:val="20"/>
                <w:szCs w:val="20"/>
                <w:color w:val="auto"/>
              </w:rPr>
            </w:pPr>
            <w:r>
              <w:rPr>
                <w:rFonts w:ascii="Arial" w:cs="Arial" w:eastAsia="Arial" w:hAnsi="Arial"/>
                <w:sz w:val="18"/>
                <w:szCs w:val="18"/>
                <w:color w:val="auto"/>
              </w:rPr>
              <w:t>9,938</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right"/>
              <w:ind w:right="74"/>
              <w:spacing w:after="0"/>
              <w:rPr>
                <w:sz w:val="20"/>
                <w:szCs w:val="20"/>
                <w:color w:val="auto"/>
              </w:rPr>
            </w:pPr>
            <w:r>
              <w:rPr>
                <w:rFonts w:ascii="Arial" w:cs="Arial" w:eastAsia="Arial" w:hAnsi="Arial"/>
                <w:sz w:val="18"/>
                <w:szCs w:val="18"/>
                <w:color w:val="auto"/>
              </w:rPr>
              <w:t>11,284</w:t>
            </w:r>
          </w:p>
        </w:tc>
      </w:tr>
      <w:tr>
        <w:trPr>
          <w:trHeight w:val="249"/>
        </w:trPr>
        <w:tc>
          <w:tcPr>
            <w:tcW w:w="4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Accrued selling, general and administrative</w:t>
            </w:r>
          </w:p>
        </w:tc>
        <w:tc>
          <w:tcPr>
            <w:tcW w:w="296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6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7,124</w:t>
            </w:r>
          </w:p>
        </w:tc>
        <w:tc>
          <w:tcPr>
            <w:tcW w:w="2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80" w:type="dxa"/>
            <w:vAlign w:val="bottom"/>
            <w:shd w:val="clear" w:color="auto" w:fill="CFF0FC"/>
          </w:tcPr>
          <w:p>
            <w:pPr>
              <w:jc w:val="right"/>
              <w:ind w:right="74"/>
              <w:spacing w:after="0"/>
              <w:rPr>
                <w:sz w:val="20"/>
                <w:szCs w:val="20"/>
                <w:color w:val="auto"/>
              </w:rPr>
            </w:pPr>
            <w:r>
              <w:rPr>
                <w:rFonts w:ascii="Arial" w:cs="Arial" w:eastAsia="Arial" w:hAnsi="Arial"/>
                <w:sz w:val="18"/>
                <w:szCs w:val="18"/>
                <w:color w:val="auto"/>
              </w:rPr>
              <w:t>6,596</w:t>
            </w:r>
          </w:p>
        </w:tc>
      </w:tr>
      <w:tr>
        <w:trPr>
          <w:trHeight w:val="237"/>
        </w:trPr>
        <w:tc>
          <w:tcPr>
            <w:tcW w:w="4640" w:type="dxa"/>
            <w:vAlign w:val="bottom"/>
          </w:tcPr>
          <w:p>
            <w:pPr>
              <w:ind w:left="20"/>
              <w:spacing w:after="0"/>
              <w:rPr>
                <w:sz w:val="20"/>
                <w:szCs w:val="20"/>
                <w:color w:val="auto"/>
              </w:rPr>
            </w:pPr>
            <w:r>
              <w:rPr>
                <w:rFonts w:ascii="Arial" w:cs="Arial" w:eastAsia="Arial" w:hAnsi="Arial"/>
                <w:sz w:val="18"/>
                <w:szCs w:val="18"/>
                <w:color w:val="auto"/>
              </w:rPr>
              <w:t>Accrued sales discounts, rebates and allowances</w:t>
            </w:r>
          </w:p>
        </w:tc>
        <w:tc>
          <w:tcPr>
            <w:tcW w:w="29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60" w:type="dxa"/>
            <w:vAlign w:val="bottom"/>
          </w:tcPr>
          <w:p>
            <w:pPr>
              <w:jc w:val="right"/>
              <w:ind w:right="50"/>
              <w:spacing w:after="0"/>
              <w:rPr>
                <w:sz w:val="20"/>
                <w:szCs w:val="20"/>
                <w:color w:val="auto"/>
              </w:rPr>
            </w:pPr>
            <w:r>
              <w:rPr>
                <w:rFonts w:ascii="Arial" w:cs="Arial" w:eastAsia="Arial" w:hAnsi="Arial"/>
                <w:sz w:val="18"/>
                <w:szCs w:val="18"/>
                <w:color w:val="auto"/>
                <w:w w:val="90"/>
              </w:rPr>
              <w:t>36,034</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right"/>
              <w:ind w:right="74"/>
              <w:spacing w:after="0"/>
              <w:rPr>
                <w:sz w:val="20"/>
                <w:szCs w:val="20"/>
                <w:color w:val="auto"/>
              </w:rPr>
            </w:pPr>
            <w:r>
              <w:rPr>
                <w:rFonts w:ascii="Arial" w:cs="Arial" w:eastAsia="Arial" w:hAnsi="Arial"/>
                <w:sz w:val="18"/>
                <w:szCs w:val="18"/>
                <w:color w:val="auto"/>
              </w:rPr>
              <w:t>26,545</w:t>
            </w:r>
          </w:p>
        </w:tc>
      </w:tr>
      <w:tr>
        <w:trPr>
          <w:trHeight w:val="249"/>
        </w:trPr>
        <w:tc>
          <w:tcPr>
            <w:tcW w:w="4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Accrued royalties</w:t>
            </w:r>
          </w:p>
        </w:tc>
        <w:tc>
          <w:tcPr>
            <w:tcW w:w="296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6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8,129</w:t>
            </w:r>
          </w:p>
        </w:tc>
        <w:tc>
          <w:tcPr>
            <w:tcW w:w="2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80" w:type="dxa"/>
            <w:vAlign w:val="bottom"/>
            <w:shd w:val="clear" w:color="auto" w:fill="CFF0FC"/>
          </w:tcPr>
          <w:p>
            <w:pPr>
              <w:jc w:val="right"/>
              <w:ind w:right="74"/>
              <w:spacing w:after="0"/>
              <w:rPr>
                <w:sz w:val="20"/>
                <w:szCs w:val="20"/>
                <w:color w:val="auto"/>
              </w:rPr>
            </w:pPr>
            <w:r>
              <w:rPr>
                <w:rFonts w:ascii="Arial" w:cs="Arial" w:eastAsia="Arial" w:hAnsi="Arial"/>
                <w:sz w:val="18"/>
                <w:szCs w:val="18"/>
                <w:color w:val="auto"/>
              </w:rPr>
              <w:t>1,617</w:t>
            </w:r>
          </w:p>
        </w:tc>
      </w:tr>
      <w:tr>
        <w:trPr>
          <w:trHeight w:val="237"/>
        </w:trPr>
        <w:tc>
          <w:tcPr>
            <w:tcW w:w="4640" w:type="dxa"/>
            <w:vAlign w:val="bottom"/>
          </w:tcPr>
          <w:p>
            <w:pPr>
              <w:ind w:left="20"/>
              <w:spacing w:after="0"/>
              <w:rPr>
                <w:sz w:val="20"/>
                <w:szCs w:val="20"/>
                <w:color w:val="auto"/>
              </w:rPr>
            </w:pPr>
            <w:r>
              <w:rPr>
                <w:rFonts w:ascii="Arial" w:cs="Arial" w:eastAsia="Arial" w:hAnsi="Arial"/>
                <w:sz w:val="18"/>
                <w:szCs w:val="18"/>
                <w:color w:val="auto"/>
              </w:rPr>
              <w:t>Accrued interest</w:t>
            </w:r>
          </w:p>
        </w:tc>
        <w:tc>
          <w:tcPr>
            <w:tcW w:w="2960" w:type="dxa"/>
            <w:vAlign w:val="bottom"/>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1,446</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875</w:t>
            </w:r>
          </w:p>
        </w:tc>
      </w:tr>
      <w:tr>
        <w:trPr>
          <w:trHeight w:val="276"/>
        </w:trPr>
        <w:tc>
          <w:tcPr>
            <w:tcW w:w="46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w:t>
            </w:r>
          </w:p>
        </w:tc>
        <w:tc>
          <w:tcPr>
            <w:tcW w:w="2960" w:type="dxa"/>
            <w:vAlign w:val="bottom"/>
            <w:tcBorders>
              <w:bottom w:val="single" w:sz="8" w:color="CFF0FC"/>
            </w:tcBorders>
            <w:shd w:val="clear" w:color="auto" w:fill="CFF0FC"/>
          </w:tcPr>
          <w:p>
            <w:pPr>
              <w:spacing w:after="0"/>
              <w:rPr>
                <w:sz w:val="24"/>
                <w:szCs w:val="24"/>
                <w:color w:val="auto"/>
              </w:rPr>
            </w:pPr>
          </w:p>
        </w:tc>
        <w:tc>
          <w:tcPr>
            <w:tcW w:w="1060" w:type="dxa"/>
            <w:vAlign w:val="bottom"/>
            <w:tcBorders>
              <w:bottom w:val="single" w:sz="8" w:color="auto"/>
            </w:tcBorders>
            <w:shd w:val="clear" w:color="auto" w:fill="CFF0FC"/>
          </w:tcPr>
          <w:p>
            <w:pPr>
              <w:jc w:val="right"/>
              <w:ind w:right="856"/>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0"/>
              </w:rPr>
              <w:t>65,324</w:t>
            </w:r>
          </w:p>
        </w:tc>
        <w:tc>
          <w:tcPr>
            <w:tcW w:w="20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FF0FC"/>
          </w:tcPr>
          <w:p>
            <w:pPr>
              <w:jc w:val="right"/>
              <w:ind w:right="74"/>
              <w:spacing w:after="0"/>
              <w:rPr>
                <w:sz w:val="20"/>
                <w:szCs w:val="20"/>
                <w:color w:val="auto"/>
              </w:rPr>
            </w:pPr>
            <w:r>
              <w:rPr>
                <w:rFonts w:ascii="Arial" w:cs="Arial" w:eastAsia="Arial" w:hAnsi="Arial"/>
                <w:sz w:val="18"/>
                <w:szCs w:val="18"/>
                <w:color w:val="auto"/>
              </w:rPr>
              <w:t>51,631</w:t>
            </w:r>
          </w:p>
        </w:tc>
      </w:tr>
      <w:tr>
        <w:trPr>
          <w:trHeight w:val="635"/>
        </w:trPr>
        <w:tc>
          <w:tcPr>
            <w:tcW w:w="4640" w:type="dxa"/>
            <w:vAlign w:val="bottom"/>
          </w:tcPr>
          <w:p>
            <w:pPr>
              <w:spacing w:after="0"/>
              <w:rPr>
                <w:sz w:val="24"/>
                <w:szCs w:val="24"/>
                <w:color w:val="auto"/>
              </w:rPr>
            </w:pPr>
          </w:p>
        </w:tc>
        <w:tc>
          <w:tcPr>
            <w:tcW w:w="2960" w:type="dxa"/>
            <w:vAlign w:val="bottom"/>
          </w:tcPr>
          <w:p>
            <w:pPr>
              <w:jc w:val="right"/>
              <w:ind w:right="1799"/>
              <w:spacing w:after="0"/>
              <w:rPr>
                <w:sz w:val="20"/>
                <w:szCs w:val="20"/>
                <w:color w:val="auto"/>
              </w:rPr>
            </w:pPr>
            <w:r>
              <w:rPr>
                <w:rFonts w:ascii="Arial" w:cs="Arial" w:eastAsia="Arial" w:hAnsi="Arial"/>
                <w:sz w:val="18"/>
                <w:szCs w:val="18"/>
                <w:color w:val="auto"/>
              </w:rPr>
              <w:t>20</w:t>
            </w:r>
          </w:p>
        </w:tc>
        <w:tc>
          <w:tcPr>
            <w:tcW w:w="10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115"/>
        </w:trPr>
        <w:tc>
          <w:tcPr>
            <w:tcW w:w="4640" w:type="dxa"/>
            <w:vAlign w:val="bottom"/>
            <w:tcBorders>
              <w:bottom w:val="single" w:sz="8" w:color="9A9A9A"/>
            </w:tcBorders>
          </w:tcPr>
          <w:p>
            <w:pPr>
              <w:spacing w:after="0"/>
              <w:rPr>
                <w:sz w:val="10"/>
                <w:szCs w:val="10"/>
                <w:color w:val="auto"/>
              </w:rPr>
            </w:pPr>
          </w:p>
        </w:tc>
        <w:tc>
          <w:tcPr>
            <w:tcW w:w="296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5920105</wp:posOffset>
            </wp:positionH>
            <wp:positionV relativeFrom="paragraph">
              <wp:posOffset>-522605</wp:posOffset>
            </wp:positionV>
            <wp:extent cx="12890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-504825</wp:posOffset>
            </wp:positionV>
            <wp:extent cx="12890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0" w:name="page21"/>
    <w:bookmarkEnd w:id="20"/>
    <w:p>
      <w:pPr>
        <w:spacing w:after="0"/>
        <w:rPr>
          <w:sz w:val="20"/>
          <w:szCs w:val="20"/>
          <w:color w:val="auto"/>
        </w:rPr>
      </w:pPr>
      <w:r>
        <w:rPr>
          <w:rFonts w:ascii="Arial" w:cs="Arial" w:eastAsia="Arial" w:hAnsi="Arial"/>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3025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30250" cy="8255"/>
                    </a:xfrm>
                    <a:prstGeom prst="rect">
                      <a:avLst/>
                    </a:prstGeom>
                    <a:noFill/>
                  </pic:spPr>
                </pic:pic>
              </a:graphicData>
            </a:graphic>
          </wp:anchor>
        </w:drawing>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10. Loan and Security Agreement</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Hercules Capital, Inc.</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Fourth Amendment to the Loan Agreement</w:t>
      </w:r>
    </w:p>
    <w:p>
      <w:pPr>
        <w:spacing w:after="0" w:line="235" w:lineRule="exact"/>
        <w:rPr>
          <w:sz w:val="20"/>
          <w:szCs w:val="20"/>
          <w:color w:val="auto"/>
        </w:rPr>
      </w:pPr>
    </w:p>
    <w:p>
      <w:pPr>
        <w:ind w:right="140" w:firstLine="749"/>
        <w:spacing w:after="0" w:line="271" w:lineRule="auto"/>
        <w:rPr>
          <w:sz w:val="20"/>
          <w:szCs w:val="20"/>
          <w:color w:val="auto"/>
        </w:rPr>
      </w:pPr>
      <w:r>
        <w:rPr>
          <w:rFonts w:ascii="Arial" w:cs="Arial" w:eastAsia="Arial" w:hAnsi="Arial"/>
          <w:sz w:val="16"/>
          <w:szCs w:val="16"/>
          <w:color w:val="auto"/>
        </w:rPr>
        <w:t>On May 8, 2023, the Company entered into the Waiver and Fourth Amendment (the “Fourth Amendment”) to its Loan and Security Agreement, dated as of September 25, 2020 (as amended by that certain First Amendment to Loan and Security Agreement, dated as of October 14, 2021, as further amended by the Second Amendment to Loan and Security Agreement, dated as of March 27, 2022, and as further amended by the Third Amendment to Loan and Security Agreement, dated as of January 9, 2023) (the “Loan Agreement”) with Hercules Capital, Inc., a Maryland corporation (“Hercules”), in its capacity as administrative agent and collateral agent, and the other financial institutions or entities party thereto as lenders.</w:t>
      </w:r>
    </w:p>
    <w:p>
      <w:pPr>
        <w:spacing w:after="0" w:line="190" w:lineRule="exact"/>
        <w:rPr>
          <w:sz w:val="20"/>
          <w:szCs w:val="20"/>
          <w:color w:val="auto"/>
        </w:rPr>
      </w:pPr>
    </w:p>
    <w:p>
      <w:pPr>
        <w:ind w:firstLine="749"/>
        <w:spacing w:after="0" w:line="305" w:lineRule="auto"/>
        <w:rPr>
          <w:sz w:val="20"/>
          <w:szCs w:val="20"/>
          <w:color w:val="auto"/>
        </w:rPr>
      </w:pPr>
      <w:r>
        <w:rPr>
          <w:rFonts w:ascii="Arial" w:cs="Arial" w:eastAsia="Arial" w:hAnsi="Arial"/>
          <w:sz w:val="15"/>
          <w:szCs w:val="15"/>
          <w:color w:val="auto"/>
        </w:rPr>
        <w:t>The Fourth Amendment increased the amount of Cash (as defined in the Loan Agreement) that could be held by Axsome Malta Ltd. (“Axsome Malta”) outside of the United States from $3.0 million to $15.0 million for a 45-day period after the closing of the Fourth Amendment and to $10.0 million thereafter. The Fourth Amendment also waived any purported default with respect to the amount of cash held by the Malta Subsidiary prior to the date of the Fourth Amendment.</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Third Amendment to the Loan Agreement</w:t>
      </w:r>
    </w:p>
    <w:p>
      <w:pPr>
        <w:spacing w:after="0" w:line="235" w:lineRule="exact"/>
        <w:rPr>
          <w:sz w:val="20"/>
          <w:szCs w:val="20"/>
          <w:color w:val="auto"/>
        </w:rPr>
      </w:pPr>
    </w:p>
    <w:p>
      <w:pPr>
        <w:ind w:right="760" w:firstLine="749"/>
        <w:spacing w:after="0" w:line="293" w:lineRule="auto"/>
        <w:rPr>
          <w:sz w:val="20"/>
          <w:szCs w:val="20"/>
          <w:color w:val="auto"/>
        </w:rPr>
      </w:pPr>
      <w:r>
        <w:rPr>
          <w:rFonts w:ascii="Arial" w:cs="Arial" w:eastAsia="Arial" w:hAnsi="Arial"/>
          <w:sz w:val="16"/>
          <w:szCs w:val="16"/>
          <w:color w:val="auto"/>
        </w:rPr>
        <w:t>On January 9, 2023, the Company entered into a Third Amendment (the “Third Amendment”) to the Loan Agreement with Hercules, in its capacity as administrative agent and collateral agent, and the other financial institutions or entities party thereto as lenders.</w:t>
      </w:r>
    </w:p>
    <w:p>
      <w:pPr>
        <w:spacing w:after="0" w:line="172"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The Third Amendment amended the terms of the Loan Agreement to, among other things:</w:t>
      </w:r>
    </w:p>
    <w:p>
      <w:pPr>
        <w:spacing w:after="0" w:line="127" w:lineRule="exact"/>
        <w:rPr>
          <w:sz w:val="20"/>
          <w:szCs w:val="20"/>
          <w:color w:val="auto"/>
        </w:rPr>
      </w:pPr>
    </w:p>
    <w:p>
      <w:pPr>
        <w:ind w:left="1020" w:right="500" w:hanging="503"/>
        <w:spacing w:after="0" w:line="293" w:lineRule="auto"/>
        <w:tabs>
          <w:tab w:leader="none" w:pos="1020" w:val="left"/>
        </w:tabs>
        <w:numPr>
          <w:ilvl w:val="0"/>
          <w:numId w:val="3"/>
        </w:numPr>
        <w:rPr>
          <w:rFonts w:ascii="Arial" w:cs="Arial" w:eastAsia="Arial" w:hAnsi="Arial"/>
          <w:sz w:val="16"/>
          <w:szCs w:val="16"/>
          <w:color w:val="auto"/>
        </w:rPr>
      </w:pPr>
      <w:r>
        <w:rPr>
          <w:rFonts w:ascii="Arial" w:cs="Arial" w:eastAsia="Arial" w:hAnsi="Arial"/>
          <w:sz w:val="16"/>
          <w:szCs w:val="16"/>
          <w:color w:val="auto"/>
        </w:rPr>
        <w:t>Extend the maturity date to January 1, 2028, unless the Company meets certain revenue targets as described in the Loan Agreement, in which case the Company can extend the maturity date to January 1, 2029;</w:t>
      </w:r>
    </w:p>
    <w:p>
      <w:pPr>
        <w:spacing w:after="0" w:line="63" w:lineRule="exact"/>
        <w:rPr>
          <w:rFonts w:ascii="Arial" w:cs="Arial" w:eastAsia="Arial" w:hAnsi="Arial"/>
          <w:sz w:val="16"/>
          <w:szCs w:val="16"/>
          <w:color w:val="auto"/>
        </w:rPr>
      </w:pPr>
    </w:p>
    <w:p>
      <w:pPr>
        <w:ind w:left="1020" w:hanging="503"/>
        <w:spacing w:after="0"/>
        <w:tabs>
          <w:tab w:leader="none" w:pos="1020" w:val="left"/>
        </w:tabs>
        <w:numPr>
          <w:ilvl w:val="0"/>
          <w:numId w:val="3"/>
        </w:numPr>
        <w:rPr>
          <w:rFonts w:ascii="Arial" w:cs="Arial" w:eastAsia="Arial" w:hAnsi="Arial"/>
          <w:sz w:val="16"/>
          <w:szCs w:val="16"/>
          <w:color w:val="auto"/>
        </w:rPr>
      </w:pPr>
      <w:r>
        <w:rPr>
          <w:rFonts w:ascii="Arial" w:cs="Arial" w:eastAsia="Arial" w:hAnsi="Arial"/>
          <w:sz w:val="16"/>
          <w:szCs w:val="16"/>
          <w:color w:val="auto"/>
        </w:rPr>
        <w:t>Increase the aggregate principal amount under the Loan Agreement from $300.0 million to $350.0 million;</w:t>
      </w:r>
    </w:p>
    <w:p>
      <w:pPr>
        <w:spacing w:after="0" w:line="126" w:lineRule="exact"/>
        <w:rPr>
          <w:rFonts w:ascii="Arial" w:cs="Arial" w:eastAsia="Arial" w:hAnsi="Arial"/>
          <w:sz w:val="16"/>
          <w:szCs w:val="16"/>
          <w:color w:val="auto"/>
        </w:rPr>
      </w:pPr>
    </w:p>
    <w:p>
      <w:pPr>
        <w:ind w:left="1020" w:right="240" w:hanging="503"/>
        <w:spacing w:after="0" w:line="315" w:lineRule="auto"/>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color w:val="auto"/>
        </w:rPr>
        <w:t>Subject to the terms and conditions in the Loan Agreement, change the Term Loan Advance amounts and dates available under the Tranche 1 Advance (as defined in the Loan Agreement) through Tranche 5 Advance (as defined in the Loan Agreement), including increasing the Tranche 1 Advance from one tranche of $95.0 million to five sub-tranches of $95.0 million, $55.0 million, $30.0 million, $35.0 million and $35.0 million, respectively, changing the Tranche 2 Advance (as defined in the Loan Agreement) from three sub-tranches of $35.0 million, $35.0 million and $30,.0 million to one tranche of $25.0 million, changing the Tranche 3 Advance (as defined in the Loan Agreement) from two sub-tranches of $15.0 million and $5.0 million to one tranche of $75.0 million, and removing the Tranche 4 Advance (as defined in the Loan Agreement) and Tranche 5 Advance entirely;</w:t>
      </w:r>
    </w:p>
    <w:p>
      <w:pPr>
        <w:spacing w:after="0" w:line="55" w:lineRule="exact"/>
        <w:rPr>
          <w:rFonts w:ascii="Arial" w:cs="Arial" w:eastAsia="Arial" w:hAnsi="Arial"/>
          <w:sz w:val="14"/>
          <w:szCs w:val="14"/>
          <w:color w:val="auto"/>
        </w:rPr>
      </w:pPr>
    </w:p>
    <w:p>
      <w:pPr>
        <w:ind w:left="1020" w:hanging="503"/>
        <w:spacing w:after="0" w:line="328" w:lineRule="auto"/>
        <w:tabs>
          <w:tab w:leader="none" w:pos="1020" w:val="left"/>
        </w:tabs>
        <w:numPr>
          <w:ilvl w:val="0"/>
          <w:numId w:val="3"/>
        </w:numPr>
        <w:rPr>
          <w:rFonts w:ascii="Arial" w:cs="Arial" w:eastAsia="Arial" w:hAnsi="Arial"/>
          <w:sz w:val="15"/>
          <w:szCs w:val="15"/>
          <w:color w:val="auto"/>
        </w:rPr>
      </w:pPr>
      <w:r>
        <w:rPr>
          <w:rFonts w:ascii="Arial" w:cs="Arial" w:eastAsia="Arial" w:hAnsi="Arial"/>
          <w:sz w:val="15"/>
          <w:szCs w:val="15"/>
          <w:color w:val="auto"/>
        </w:rPr>
        <w:t>Revise the interest rate applicable to extensions of credit under the Loan Agreement to equal (a) if the prime rate is greater than or equal to 7.00%, the greater of either (i) the prime rate plus 2.20%, and (ii) 9.95%, but in no event greater than 10.70%, and (b) if the prime rate is less than 7.00%, 9.70%;</w:t>
      </w:r>
    </w:p>
    <w:p>
      <w:pPr>
        <w:spacing w:after="0" w:line="41" w:lineRule="exact"/>
        <w:rPr>
          <w:rFonts w:ascii="Arial" w:cs="Arial" w:eastAsia="Arial" w:hAnsi="Arial"/>
          <w:sz w:val="15"/>
          <w:szCs w:val="15"/>
          <w:color w:val="auto"/>
        </w:rPr>
      </w:pPr>
    </w:p>
    <w:p>
      <w:pPr>
        <w:ind w:left="1020" w:hanging="503"/>
        <w:spacing w:after="0"/>
        <w:tabs>
          <w:tab w:leader="none" w:pos="1020" w:val="left"/>
        </w:tabs>
        <w:numPr>
          <w:ilvl w:val="0"/>
          <w:numId w:val="3"/>
        </w:numPr>
        <w:rPr>
          <w:rFonts w:ascii="Arial" w:cs="Arial" w:eastAsia="Arial" w:hAnsi="Arial"/>
          <w:sz w:val="16"/>
          <w:szCs w:val="16"/>
          <w:color w:val="auto"/>
        </w:rPr>
      </w:pPr>
      <w:r>
        <w:rPr>
          <w:rFonts w:ascii="Arial" w:cs="Arial" w:eastAsia="Arial" w:hAnsi="Arial"/>
          <w:sz w:val="16"/>
          <w:szCs w:val="16"/>
          <w:color w:val="auto"/>
        </w:rPr>
        <w:t>Increase the minimum cash requirement of the Company to $30.0 million; and</w:t>
      </w:r>
    </w:p>
    <w:p>
      <w:pPr>
        <w:spacing w:after="0" w:line="126" w:lineRule="exact"/>
        <w:rPr>
          <w:rFonts w:ascii="Arial" w:cs="Arial" w:eastAsia="Arial" w:hAnsi="Arial"/>
          <w:sz w:val="16"/>
          <w:szCs w:val="16"/>
          <w:color w:val="auto"/>
        </w:rPr>
      </w:pPr>
    </w:p>
    <w:p>
      <w:pPr>
        <w:ind w:left="1020" w:right="80" w:hanging="503"/>
        <w:spacing w:after="0" w:line="278" w:lineRule="auto"/>
        <w:tabs>
          <w:tab w:leader="none" w:pos="1020" w:val="left"/>
        </w:tabs>
        <w:numPr>
          <w:ilvl w:val="0"/>
          <w:numId w:val="3"/>
        </w:numPr>
        <w:rPr>
          <w:rFonts w:ascii="Arial" w:cs="Arial" w:eastAsia="Arial" w:hAnsi="Arial"/>
          <w:sz w:val="16"/>
          <w:szCs w:val="16"/>
          <w:color w:val="auto"/>
        </w:rPr>
      </w:pPr>
      <w:r>
        <w:rPr>
          <w:rFonts w:ascii="Arial" w:cs="Arial" w:eastAsia="Arial" w:hAnsi="Arial"/>
          <w:sz w:val="16"/>
          <w:szCs w:val="16"/>
          <w:color w:val="auto"/>
        </w:rPr>
        <w:t>Require the Company to pay a facility fee equal to 0.75% of the amount of principal actually funded pursuant to the Tranche 1B Advance (as defined in the Loan Agreement), Tranche 1C Advance (as defined in the Loan Agreement), Tranche 1D Advance (as defined in the Loan Agreement), Tranche 1E Advance (as defined in the Loan Agreement), Tranche 2 Advance and Tranche 3 Advance.</w:t>
      </w:r>
    </w:p>
    <w:p>
      <w:pPr>
        <w:spacing w:after="0" w:line="184" w:lineRule="exact"/>
        <w:rPr>
          <w:sz w:val="20"/>
          <w:szCs w:val="20"/>
          <w:color w:val="auto"/>
        </w:rPr>
      </w:pPr>
    </w:p>
    <w:p>
      <w:pPr>
        <w:jc w:val="both"/>
        <w:ind w:right="100" w:firstLine="749"/>
        <w:spacing w:after="0" w:line="278" w:lineRule="auto"/>
        <w:rPr>
          <w:sz w:val="20"/>
          <w:szCs w:val="20"/>
          <w:color w:val="auto"/>
        </w:rPr>
      </w:pPr>
      <w:r>
        <w:rPr>
          <w:rFonts w:ascii="Arial" w:cs="Arial" w:eastAsia="Arial" w:hAnsi="Arial"/>
          <w:sz w:val="16"/>
          <w:szCs w:val="16"/>
          <w:color w:val="auto"/>
        </w:rPr>
        <w:t>On October 14, 2021, the Company entered into a First Amendment to the Loan and Security Agreement with Hercules. On March 27, 2022, in connection with the Acquisition (as described above), the Company entered into a Second Amendment to the Loan and Security Agreement (the “Second Amendment”) with Hercules. The Second Amendment closed on May 9, 2022 concurrently with the closing of the Acquisition.</w:t>
      </w:r>
    </w:p>
    <w:p>
      <w:pPr>
        <w:spacing w:after="0" w:line="184" w:lineRule="exact"/>
        <w:rPr>
          <w:sz w:val="20"/>
          <w:szCs w:val="20"/>
          <w:color w:val="auto"/>
        </w:rPr>
      </w:pPr>
    </w:p>
    <w:p>
      <w:pPr>
        <w:ind w:right="60" w:firstLine="749"/>
        <w:spacing w:after="0" w:line="297" w:lineRule="auto"/>
        <w:rPr>
          <w:sz w:val="20"/>
          <w:szCs w:val="20"/>
          <w:color w:val="auto"/>
        </w:rPr>
      </w:pPr>
      <w:r>
        <w:rPr>
          <w:rFonts w:ascii="Arial" w:cs="Arial" w:eastAsia="Arial" w:hAnsi="Arial"/>
          <w:sz w:val="15"/>
          <w:szCs w:val="15"/>
          <w:color w:val="auto"/>
        </w:rPr>
        <w:t>As collateral for the obligations, the Company has granted to Hercules a senior security interest in all of the Company’s right, title, and interest in, to and under all of the Company’s property, inclusive of intellectual property, which includes one of the Company’s existing license agreements (the “License Agreement”) with Antecip, an entity owned by Axsome’s Chief Executive Officer and Chairman of the Board, Herriot Tabuteau, M.D., subject to limited exceptions. Antecip consented to the collateral assignment of the License Agreement, among other things, under a direct agreement (the “Direct Agreement”) with the Company and Hercules.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1" w:name="page22"/>
    <w:bookmarkEnd w:id="21"/>
    <w:p>
      <w:pPr>
        <w:spacing w:after="0"/>
        <w:rPr>
          <w:sz w:val="20"/>
          <w:szCs w:val="20"/>
          <w:color w:val="auto"/>
        </w:rPr>
      </w:pPr>
      <w:r>
        <w:rPr>
          <w:rFonts w:ascii="Arial" w:cs="Arial" w:eastAsia="Arial" w:hAnsi="Arial"/>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3025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30250" cy="8255"/>
                    </a:xfrm>
                    <a:prstGeom prst="rect">
                      <a:avLst/>
                    </a:prstGeom>
                    <a:noFill/>
                  </pic:spPr>
                </pic:pic>
              </a:graphicData>
            </a:graphic>
          </wp:anchor>
        </w:drawing>
      </w:r>
    </w:p>
    <w:p>
      <w:pPr>
        <w:spacing w:after="0" w:line="215" w:lineRule="exact"/>
        <w:rPr>
          <w:sz w:val="20"/>
          <w:szCs w:val="20"/>
          <w:color w:val="auto"/>
        </w:rPr>
      </w:pPr>
    </w:p>
    <w:p>
      <w:pPr>
        <w:ind w:right="20" w:firstLine="749"/>
        <w:spacing w:after="0" w:line="271" w:lineRule="auto"/>
        <w:rPr>
          <w:sz w:val="20"/>
          <w:szCs w:val="20"/>
          <w:color w:val="auto"/>
        </w:rPr>
      </w:pPr>
      <w:r>
        <w:rPr>
          <w:rFonts w:ascii="Arial" w:cs="Arial" w:eastAsia="Arial" w:hAnsi="Arial"/>
          <w:sz w:val="16"/>
          <w:szCs w:val="16"/>
          <w:color w:val="auto"/>
        </w:rPr>
        <w:t>The Loan Agreement contains customary representations, warranties and covenants, including covenants by the Company limiting additional indebtedness, liens (including a negative pledge on intellectual property and other assets), guaranties, mergers and consolidations, substantial asset sales, investments and loans, certain corporate changes, transactions with affiliates and fundamental changes. At the initial closing, there were no applicable financial covenants contained in the Loan Agreement. Only after additional amounts are drawn down by the Company in the future, if the Company decides to do so, under the terms set forth in the Loan Agreement, there will be certain limited financial covenants that will apply, including:</w:t>
      </w:r>
    </w:p>
    <w:p>
      <w:pPr>
        <w:spacing w:after="0" w:line="82" w:lineRule="exact"/>
        <w:rPr>
          <w:sz w:val="20"/>
          <w:szCs w:val="20"/>
          <w:color w:val="auto"/>
        </w:rPr>
      </w:pPr>
    </w:p>
    <w:p>
      <w:pPr>
        <w:ind w:left="1020" w:right="20" w:hanging="503"/>
        <w:spacing w:after="0" w:line="273" w:lineRule="auto"/>
        <w:tabs>
          <w:tab w:leader="none" w:pos="1020" w:val="left"/>
        </w:tabs>
        <w:numPr>
          <w:ilvl w:val="0"/>
          <w:numId w:val="4"/>
        </w:numPr>
        <w:rPr>
          <w:rFonts w:ascii="Arial" w:cs="Arial" w:eastAsia="Arial" w:hAnsi="Arial"/>
          <w:sz w:val="16"/>
          <w:szCs w:val="16"/>
          <w:color w:val="auto"/>
        </w:rPr>
      </w:pPr>
      <w:r>
        <w:rPr>
          <w:rFonts w:ascii="Arial" w:cs="Arial" w:eastAsia="Arial" w:hAnsi="Arial"/>
          <w:sz w:val="16"/>
          <w:szCs w:val="16"/>
          <w:color w:val="auto"/>
        </w:rPr>
        <w:t>Effective upon closing of the Third Amendment of the Loan Agreement, the Company at all times thereafter must maintain cash in an account or accounts in which Hercules has a first priority security interest, in an aggregate amount greater than or equal to $30.0 million, plus the amount of the Company’s accounts payable under U.S. GAAP not paid after the 180th day following the invoice for such account payable (such amount, the “Qualified Cash A/P Amount”).</w:t>
      </w:r>
    </w:p>
    <w:p>
      <w:pPr>
        <w:spacing w:after="0" w:line="80" w:lineRule="exact"/>
        <w:rPr>
          <w:rFonts w:ascii="Arial" w:cs="Arial" w:eastAsia="Arial" w:hAnsi="Arial"/>
          <w:sz w:val="16"/>
          <w:szCs w:val="16"/>
          <w:color w:val="auto"/>
        </w:rPr>
      </w:pPr>
    </w:p>
    <w:p>
      <w:pPr>
        <w:ind w:left="1020" w:right="160" w:hanging="503"/>
        <w:spacing w:after="0" w:line="303" w:lineRule="auto"/>
        <w:tabs>
          <w:tab w:leader="none" w:pos="1020"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The Company must meet, beginning as of the reporting period ended June 30, 2023, any of the following conditions: (A) ensure that at all times its market capitalization exceeds $1.5 billion, and that it maintains cash in an account which Hercules has a first priority security interest in an amount not less than 50% of the sum of the outstanding principal amount of the Term Loan Advances (as defined in the Loan Agreement) </w:t>
      </w:r>
      <w:r>
        <w:rPr>
          <w:rFonts w:ascii="Arial" w:cs="Arial" w:eastAsia="Arial" w:hAnsi="Arial"/>
          <w:sz w:val="14"/>
          <w:szCs w:val="14"/>
          <w:i w:val="1"/>
          <w:iCs w:val="1"/>
          <w:color w:val="auto"/>
        </w:rPr>
        <w:t>plus</w:t>
      </w:r>
      <w:r>
        <w:rPr>
          <w:rFonts w:ascii="Arial" w:cs="Arial" w:eastAsia="Arial" w:hAnsi="Arial"/>
          <w:sz w:val="14"/>
          <w:szCs w:val="14"/>
          <w:color w:val="auto"/>
        </w:rPr>
        <w:t xml:space="preserve"> the Qualified Cash A/P Amount,</w:t>
      </w:r>
    </w:p>
    <w:p>
      <w:pPr>
        <w:spacing w:after="0" w:line="1" w:lineRule="exact"/>
        <w:rPr>
          <w:rFonts w:ascii="Arial" w:cs="Arial" w:eastAsia="Arial" w:hAnsi="Arial"/>
          <w:sz w:val="14"/>
          <w:szCs w:val="14"/>
          <w:color w:val="auto"/>
        </w:rPr>
      </w:pPr>
    </w:p>
    <w:p>
      <w:pPr>
        <w:ind w:left="1020" w:right="20"/>
        <w:spacing w:after="0" w:line="268" w:lineRule="auto"/>
        <w:rPr>
          <w:rFonts w:ascii="Arial" w:cs="Arial" w:eastAsia="Arial" w:hAnsi="Arial"/>
          <w:sz w:val="14"/>
          <w:szCs w:val="14"/>
          <w:color w:val="auto"/>
        </w:rPr>
      </w:pPr>
      <w:r>
        <w:rPr>
          <w:rFonts w:ascii="Arial" w:cs="Arial" w:eastAsia="Arial" w:hAnsi="Arial"/>
          <w:sz w:val="16"/>
          <w:szCs w:val="16"/>
          <w:color w:val="auto"/>
        </w:rPr>
        <w:t xml:space="preserve">(B) ensure that at all times that it maintains cash in an account which Hercules has a first priority security interest in an amount not less than 95% of the sum of the outstanding principal amount of the Term Loan Advances </w:t>
      </w:r>
      <w:r>
        <w:rPr>
          <w:rFonts w:ascii="Arial" w:cs="Arial" w:eastAsia="Arial" w:hAnsi="Arial"/>
          <w:sz w:val="16"/>
          <w:szCs w:val="16"/>
          <w:i w:val="1"/>
          <w:iCs w:val="1"/>
          <w:color w:val="auto"/>
        </w:rPr>
        <w:t>plus</w:t>
      </w:r>
      <w:r>
        <w:rPr>
          <w:rFonts w:ascii="Arial" w:cs="Arial" w:eastAsia="Arial" w:hAnsi="Arial"/>
          <w:sz w:val="16"/>
          <w:szCs w:val="16"/>
          <w:color w:val="auto"/>
        </w:rPr>
        <w:t xml:space="preserve"> the Qualified Cash A/P Amount, or (C) achieve at least 60% of the net product revenue per the board of directors approved forecast solely from the sale of AXS-05, AXS-07, and Sunosi (which may include royalty, profit sharing, or sales-based milestone revenue recognized in accordance with GAAP, but will not include any upfront or non-sales-based milestone payments under business development or licensing transactions), measured on a trailing six-month basis as of the date of the Company’s most recent quarterly financial statement, determined on a quarterly basis.</w:t>
      </w:r>
    </w:p>
    <w:p>
      <w:pPr>
        <w:spacing w:after="0" w:line="86" w:lineRule="exact"/>
        <w:rPr>
          <w:rFonts w:ascii="Arial" w:cs="Arial" w:eastAsia="Arial" w:hAnsi="Arial"/>
          <w:sz w:val="14"/>
          <w:szCs w:val="14"/>
          <w:color w:val="auto"/>
        </w:rPr>
      </w:pPr>
    </w:p>
    <w:p>
      <w:pPr>
        <w:ind w:left="1020" w:right="60" w:hanging="503"/>
        <w:spacing w:after="0" w:line="278" w:lineRule="auto"/>
        <w:tabs>
          <w:tab w:leader="none" w:pos="1020" w:val="left"/>
        </w:tabs>
        <w:numPr>
          <w:ilvl w:val="0"/>
          <w:numId w:val="4"/>
        </w:numPr>
        <w:rPr>
          <w:rFonts w:ascii="Arial" w:cs="Arial" w:eastAsia="Arial" w:hAnsi="Arial"/>
          <w:sz w:val="16"/>
          <w:szCs w:val="16"/>
          <w:color w:val="auto"/>
        </w:rPr>
      </w:pPr>
      <w:r>
        <w:rPr>
          <w:rFonts w:ascii="Arial" w:cs="Arial" w:eastAsia="Arial" w:hAnsi="Arial"/>
          <w:sz w:val="16"/>
          <w:szCs w:val="16"/>
          <w:color w:val="auto"/>
        </w:rPr>
        <w:t>Axsome Malta, a company organized under the laws of the Republic of Malta, shall not hold Cash (as defined in the Loan Agreement) outside of the United States in excess of $3.0 million in the aggregate at any time. This amount, however, was increased by the Fourth Amendment to $15.0 million for a 45-day period after the closing of the Fourth Amendment and to $10.0 million thereafter.</w:t>
      </w:r>
    </w:p>
    <w:p>
      <w:pPr>
        <w:spacing w:after="0" w:line="76" w:lineRule="exact"/>
        <w:rPr>
          <w:rFonts w:ascii="Arial" w:cs="Arial" w:eastAsia="Arial" w:hAnsi="Arial"/>
          <w:sz w:val="16"/>
          <w:szCs w:val="16"/>
          <w:color w:val="auto"/>
        </w:rPr>
      </w:pPr>
    </w:p>
    <w:p>
      <w:pPr>
        <w:ind w:left="1020" w:right="160" w:hanging="503"/>
        <w:spacing w:after="0" w:line="293" w:lineRule="auto"/>
        <w:tabs>
          <w:tab w:leader="none" w:pos="1020" w:val="left"/>
        </w:tabs>
        <w:numPr>
          <w:ilvl w:val="0"/>
          <w:numId w:val="4"/>
        </w:numPr>
        <w:rPr>
          <w:rFonts w:ascii="Arial" w:cs="Arial" w:eastAsia="Arial" w:hAnsi="Arial"/>
          <w:sz w:val="16"/>
          <w:szCs w:val="16"/>
          <w:color w:val="auto"/>
        </w:rPr>
      </w:pPr>
      <w:r>
        <w:rPr>
          <w:rFonts w:ascii="Arial" w:cs="Arial" w:eastAsia="Arial" w:hAnsi="Arial"/>
          <w:sz w:val="16"/>
          <w:szCs w:val="16"/>
          <w:color w:val="auto"/>
        </w:rPr>
        <w:t>Restrictions on the Company’s ability to incur additional indebtedness, pay dividends, encumber its intellectual property, or engage in certain fundamental business transactions, such as mergers or acquisitions of other businesses, with certain exceptions.</w:t>
      </w:r>
    </w:p>
    <w:p>
      <w:pPr>
        <w:spacing w:after="0" w:line="172" w:lineRule="exact"/>
        <w:rPr>
          <w:sz w:val="20"/>
          <w:szCs w:val="20"/>
          <w:color w:val="auto"/>
        </w:rPr>
      </w:pPr>
    </w:p>
    <w:p>
      <w:pPr>
        <w:ind w:right="60" w:firstLine="749"/>
        <w:spacing w:after="0" w:line="293" w:lineRule="auto"/>
        <w:rPr>
          <w:sz w:val="20"/>
          <w:szCs w:val="20"/>
          <w:color w:val="auto"/>
        </w:rPr>
      </w:pPr>
      <w:r>
        <w:rPr>
          <w:rFonts w:ascii="Arial" w:cs="Arial" w:eastAsia="Arial" w:hAnsi="Arial"/>
          <w:sz w:val="16"/>
          <w:szCs w:val="16"/>
          <w:color w:val="auto"/>
        </w:rPr>
        <w:t>The Company’s obligations under the Loan Agreement are subject to acceleration upon the occurrence of specified events of default, including payment default, insolvency and a material adverse change in the Borrower’s business, operations or financial or other condition.</w:t>
      </w:r>
    </w:p>
    <w:p>
      <w:pPr>
        <w:spacing w:after="0" w:line="172" w:lineRule="exact"/>
        <w:rPr>
          <w:sz w:val="20"/>
          <w:szCs w:val="20"/>
          <w:color w:val="auto"/>
        </w:rPr>
      </w:pPr>
    </w:p>
    <w:p>
      <w:pPr>
        <w:ind w:right="40" w:firstLine="749"/>
        <w:spacing w:after="0" w:line="305" w:lineRule="auto"/>
        <w:rPr>
          <w:sz w:val="20"/>
          <w:szCs w:val="20"/>
          <w:color w:val="auto"/>
        </w:rPr>
      </w:pPr>
      <w:r>
        <w:rPr>
          <w:rFonts w:ascii="Arial" w:cs="Arial" w:eastAsia="Arial" w:hAnsi="Arial"/>
          <w:sz w:val="15"/>
          <w:szCs w:val="15"/>
          <w:color w:val="auto"/>
        </w:rPr>
        <w:t xml:space="preserve">In addition, the Company is required to pay certain end of term charges, including (A) an initial end of term charge of $4.45 million and (B) a subsequent end of term charge of (i) 1.10% of the aggregate amount of all Tranche 1A Advances </w:t>
      </w:r>
      <w:r>
        <w:rPr>
          <w:rFonts w:ascii="Arial" w:cs="Arial" w:eastAsia="Arial" w:hAnsi="Arial"/>
          <w:sz w:val="15"/>
          <w:szCs w:val="15"/>
          <w:i w:val="1"/>
          <w:iCs w:val="1"/>
          <w:color w:val="auto"/>
        </w:rPr>
        <w:t>plus</w:t>
      </w:r>
      <w:r>
        <w:rPr>
          <w:rFonts w:ascii="Arial" w:cs="Arial" w:eastAsia="Arial" w:hAnsi="Arial"/>
          <w:sz w:val="15"/>
          <w:szCs w:val="15"/>
          <w:color w:val="auto"/>
        </w:rPr>
        <w:t xml:space="preserve"> (ii) 4.95% of the aggregate amount of all Term Loan Advances (other than Tranche 1A Advances) funded. The end of term charges are being accreted into interest expense using the effective interest rate method over the term of the loan.</w:t>
      </w:r>
    </w:p>
    <w:p>
      <w:pPr>
        <w:spacing w:after="0" w:line="166" w:lineRule="exact"/>
        <w:rPr>
          <w:sz w:val="20"/>
          <w:szCs w:val="20"/>
          <w:color w:val="auto"/>
        </w:rPr>
      </w:pPr>
    </w:p>
    <w:p>
      <w:pPr>
        <w:ind w:right="60" w:firstLine="749"/>
        <w:spacing w:after="0" w:line="278" w:lineRule="auto"/>
        <w:rPr>
          <w:sz w:val="20"/>
          <w:szCs w:val="20"/>
          <w:color w:val="auto"/>
        </w:rPr>
      </w:pPr>
      <w:r>
        <w:rPr>
          <w:rFonts w:ascii="Arial" w:cs="Arial" w:eastAsia="Arial" w:hAnsi="Arial"/>
          <w:sz w:val="16"/>
          <w:szCs w:val="16"/>
          <w:color w:val="auto"/>
        </w:rPr>
        <w:t>If the Maturity Extension Conditions (as defined in the Loan Agreement) are satisfied, the Company must pay an Extension End of Term Charge equal to 1.00% of the aggregate amount of all Term Loan Advances outstanding as of the date on which the Maturity Extension Conditions are satisfied, in addition to the end of term charges described above.</w:t>
      </w:r>
    </w:p>
    <w:p>
      <w:pPr>
        <w:spacing w:after="0" w:line="184" w:lineRule="exact"/>
        <w:rPr>
          <w:sz w:val="20"/>
          <w:szCs w:val="20"/>
          <w:color w:val="auto"/>
        </w:rPr>
      </w:pPr>
    </w:p>
    <w:p>
      <w:pPr>
        <w:jc w:val="both"/>
        <w:ind w:right="80" w:firstLine="749"/>
        <w:spacing w:after="0" w:line="305" w:lineRule="auto"/>
        <w:rPr>
          <w:sz w:val="20"/>
          <w:szCs w:val="20"/>
          <w:color w:val="auto"/>
        </w:rPr>
      </w:pPr>
      <w:r>
        <w:rPr>
          <w:rFonts w:ascii="Arial" w:cs="Arial" w:eastAsia="Arial" w:hAnsi="Arial"/>
          <w:sz w:val="15"/>
          <w:szCs w:val="15"/>
          <w:color w:val="auto"/>
        </w:rPr>
        <w:t>The Company may, at its option prepay the term loans in full or in part, subject to a prepayment penalty equal to (i) 2.0% of the principal amount prepaid if the prepayment occurs prior to February 1, 2024, (ii) 1.5% of the principal amount prepaid if the prepayment occurs on or after February 1, 2024 but prior to February 1, 2025, and (iii) 1.0% of the principal amount prepaid if the prepayment occurs on or after February 1, 2025 but prior to February 1, 2026.</w:t>
      </w:r>
    </w:p>
    <w:p>
      <w:pPr>
        <w:spacing w:after="0" w:line="152" w:lineRule="exact"/>
        <w:rPr>
          <w:sz w:val="20"/>
          <w:szCs w:val="20"/>
          <w:color w:val="auto"/>
        </w:rPr>
      </w:pPr>
    </w:p>
    <w:p>
      <w:pPr>
        <w:ind w:firstLine="749"/>
        <w:spacing w:after="0" w:line="271" w:lineRule="auto"/>
        <w:rPr>
          <w:sz w:val="20"/>
          <w:szCs w:val="20"/>
          <w:color w:val="auto"/>
        </w:rPr>
      </w:pPr>
      <w:r>
        <w:rPr>
          <w:rFonts w:ascii="Arial" w:cs="Arial" w:eastAsia="Arial" w:hAnsi="Arial"/>
          <w:sz w:val="16"/>
          <w:szCs w:val="16"/>
          <w:color w:val="auto"/>
        </w:rPr>
        <w:t xml:space="preserve">The Company evaluated whether the Third Amendment entered into in January 2023 represented a debt modification or extinguishment in accordance with ASC 470-50, </w:t>
      </w:r>
      <w:r>
        <w:rPr>
          <w:rFonts w:ascii="Arial" w:cs="Arial" w:eastAsia="Arial" w:hAnsi="Arial"/>
          <w:sz w:val="16"/>
          <w:szCs w:val="16"/>
          <w:i w:val="1"/>
          <w:iCs w:val="1"/>
          <w:color w:val="auto"/>
        </w:rPr>
        <w:t>Debt – Modifications and Extinguishments</w:t>
      </w:r>
      <w:r>
        <w:rPr>
          <w:rFonts w:ascii="Arial" w:cs="Arial" w:eastAsia="Arial" w:hAnsi="Arial"/>
          <w:sz w:val="16"/>
          <w:szCs w:val="16"/>
          <w:color w:val="auto"/>
        </w:rPr>
        <w:t>. As the present value of the cash flows under the terms of the Third Amendment is less than 10% different from the remaining cash flows under the terms of the Second Amendment, the Third Amendment was accounted for as a debt modification. The unamortized balance of debt discount costs incurred in connection with those loans and additional debt discount costs incurred in connection with entry into the Third Amendment are being amortized through maturity in January 2028 utilizing the effective interest rate method.</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 w:right="379" w:bottom="1440" w:gutter="0" w:footer="0" w:header="0"/>
        </w:sectPr>
      </w:pPr>
    </w:p>
    <w:bookmarkStart w:id="22" w:name="page23"/>
    <w:bookmarkEnd w:id="22"/>
    <w:p>
      <w:pPr>
        <w:spacing w:after="0"/>
        <w:rPr>
          <w:sz w:val="20"/>
          <w:szCs w:val="20"/>
          <w:color w:val="auto"/>
        </w:rPr>
      </w:pPr>
      <w:r>
        <w:rPr>
          <w:rFonts w:ascii="Arial" w:cs="Arial" w:eastAsia="Arial" w:hAnsi="Arial"/>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3025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30250" cy="8255"/>
                    </a:xfrm>
                    <a:prstGeom prst="rect">
                      <a:avLst/>
                    </a:prstGeom>
                    <a:noFill/>
                  </pic:spPr>
                </pic:pic>
              </a:graphicData>
            </a:graphic>
          </wp:anchor>
        </w:drawing>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Loan Interest Expense and Amortization</w:t>
      </w:r>
    </w:p>
    <w:p>
      <w:pPr>
        <w:spacing w:after="0" w:line="235" w:lineRule="exact"/>
        <w:rPr>
          <w:sz w:val="20"/>
          <w:szCs w:val="20"/>
          <w:color w:val="auto"/>
        </w:rPr>
      </w:pPr>
    </w:p>
    <w:p>
      <w:pPr>
        <w:ind w:left="760"/>
        <w:spacing w:after="0"/>
        <w:rPr>
          <w:sz w:val="20"/>
          <w:szCs w:val="20"/>
          <w:color w:val="auto"/>
        </w:rPr>
      </w:pPr>
      <w:r>
        <w:rPr>
          <w:rFonts w:ascii="Arial" w:cs="Arial" w:eastAsia="Arial" w:hAnsi="Arial"/>
          <w:sz w:val="15"/>
          <w:szCs w:val="15"/>
          <w:color w:val="auto"/>
        </w:rPr>
        <w:t>The interest expense, amortization expense for the final payment fee and debt discount related to the issuance costs and warrants for our debt is as follows: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40" w:type="dxa"/>
            <w:vAlign w:val="bottom"/>
            <w:gridSpan w:val="5"/>
          </w:tcPr>
          <w:p>
            <w:pPr>
              <w:jc w:val="right"/>
              <w:ind w:right="276"/>
              <w:spacing w:after="0"/>
              <w:rPr>
                <w:sz w:val="20"/>
                <w:szCs w:val="20"/>
                <w:color w:val="auto"/>
              </w:rPr>
            </w:pPr>
            <w:r>
              <w:rPr>
                <w:rFonts w:ascii="Arial" w:cs="Arial" w:eastAsia="Arial" w:hAnsi="Arial"/>
                <w:sz w:val="14"/>
                <w:szCs w:val="14"/>
                <w:b w:val="1"/>
                <w:bCs w:val="1"/>
                <w:color w:val="auto"/>
                <w:w w:val="98"/>
              </w:rPr>
              <w:t>Three Months Ended June 30,</w:t>
            </w:r>
          </w:p>
        </w:tc>
        <w:tc>
          <w:tcPr>
            <w:tcW w:w="300" w:type="dxa"/>
            <w:vAlign w:val="bottom"/>
          </w:tcPr>
          <w:p>
            <w:pPr>
              <w:spacing w:after="0"/>
              <w:rPr>
                <w:sz w:val="16"/>
                <w:szCs w:val="16"/>
                <w:color w:val="auto"/>
              </w:rPr>
            </w:pPr>
          </w:p>
        </w:tc>
        <w:tc>
          <w:tcPr>
            <w:tcW w:w="2720" w:type="dxa"/>
            <w:vAlign w:val="bottom"/>
            <w:gridSpan w:val="9"/>
          </w:tcPr>
          <w:p>
            <w:pPr>
              <w:jc w:val="right"/>
              <w:ind w:right="580"/>
              <w:spacing w:after="0"/>
              <w:rPr>
                <w:sz w:val="20"/>
                <w:szCs w:val="20"/>
                <w:color w:val="auto"/>
              </w:rPr>
            </w:pPr>
            <w:r>
              <w:rPr>
                <w:rFonts w:ascii="Arial" w:cs="Arial" w:eastAsia="Arial" w:hAnsi="Arial"/>
                <w:sz w:val="14"/>
                <w:szCs w:val="14"/>
                <w:b w:val="1"/>
                <w:bCs w:val="1"/>
                <w:color w:val="auto"/>
              </w:rPr>
              <w:t>Six Months Ended June 30,</w:t>
            </w:r>
          </w:p>
        </w:tc>
      </w:tr>
      <w:tr>
        <w:trPr>
          <w:trHeight w:val="169"/>
        </w:trPr>
        <w:tc>
          <w:tcPr>
            <w:tcW w:w="564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2023</w:t>
            </w:r>
          </w:p>
        </w:tc>
        <w:tc>
          <w:tcPr>
            <w:tcW w:w="300" w:type="dxa"/>
            <w:vAlign w:val="bottom"/>
            <w:tcBorders>
              <w:top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gridSpan w:val="2"/>
          </w:tcPr>
          <w:p>
            <w:pPr>
              <w:jc w:val="right"/>
              <w:ind w:right="336"/>
              <w:spacing w:after="0"/>
              <w:rPr>
                <w:sz w:val="20"/>
                <w:szCs w:val="20"/>
                <w:color w:val="auto"/>
              </w:rPr>
            </w:pPr>
            <w:r>
              <w:rPr>
                <w:rFonts w:ascii="Arial" w:cs="Arial" w:eastAsia="Arial" w:hAnsi="Arial"/>
                <w:sz w:val="14"/>
                <w:szCs w:val="14"/>
                <w:b w:val="1"/>
                <w:bCs w:val="1"/>
                <w:color w:val="auto"/>
              </w:rPr>
              <w:t>2022</w:t>
            </w:r>
          </w:p>
        </w:tc>
        <w:tc>
          <w:tcPr>
            <w:tcW w:w="300" w:type="dxa"/>
            <w:vAlign w:val="bottom"/>
          </w:tcPr>
          <w:p>
            <w:pPr>
              <w:spacing w:after="0"/>
              <w:rPr>
                <w:sz w:val="14"/>
                <w:szCs w:val="14"/>
                <w:color w:val="auto"/>
              </w:rPr>
            </w:pP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top w:val="single" w:sz="8" w:color="auto"/>
              <w:bottom w:val="single" w:sz="8" w:color="auto"/>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4"/>
                <w:szCs w:val="14"/>
                <w:color w:val="auto"/>
              </w:rPr>
            </w:pPr>
          </w:p>
        </w:tc>
      </w:tr>
      <w:tr>
        <w:trPr>
          <w:trHeight w:val="236"/>
        </w:trPr>
        <w:tc>
          <w:tcPr>
            <w:tcW w:w="5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Interest expense</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4,067</w:t>
            </w:r>
          </w:p>
        </w:tc>
        <w:tc>
          <w:tcPr>
            <w:tcW w:w="30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1,875</w:t>
            </w:r>
          </w:p>
        </w:tc>
        <w:tc>
          <w:tcPr>
            <w:tcW w:w="300" w:type="dxa"/>
            <w:vAlign w:val="bottom"/>
            <w:shd w:val="clear" w:color="auto" w:fill="CFF0FC"/>
          </w:tcPr>
          <w:p>
            <w:pPr>
              <w:spacing w:after="0"/>
              <w:rPr>
                <w:sz w:val="20"/>
                <w:szCs w:val="20"/>
                <w:color w:val="auto"/>
              </w:rPr>
            </w:pPr>
          </w:p>
        </w:tc>
        <w:tc>
          <w:tcPr>
            <w:tcW w:w="620" w:type="dxa"/>
            <w:vAlign w:val="bottom"/>
            <w:shd w:val="clear" w:color="auto" w:fill="CFF0FC"/>
          </w:tcPr>
          <w:p>
            <w:pPr>
              <w:jc w:val="right"/>
              <w:ind w:right="439"/>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FF0FC"/>
          </w:tcPr>
          <w:p>
            <w:pPr>
              <w:spacing w:after="0"/>
              <w:rPr>
                <w:sz w:val="20"/>
                <w:szCs w:val="20"/>
                <w:color w:val="auto"/>
              </w:rPr>
            </w:pPr>
          </w:p>
        </w:tc>
        <w:tc>
          <w:tcPr>
            <w:tcW w:w="4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w w:val="88"/>
              </w:rPr>
              <w:t>7,702</w:t>
            </w:r>
          </w:p>
        </w:tc>
        <w:tc>
          <w:tcPr>
            <w:tcW w:w="30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2,999</w:t>
            </w:r>
          </w:p>
        </w:tc>
        <w:tc>
          <w:tcPr>
            <w:tcW w:w="140" w:type="dxa"/>
            <w:vAlign w:val="bottom"/>
            <w:shd w:val="clear" w:color="auto" w:fill="CFF0FC"/>
          </w:tcPr>
          <w:p>
            <w:pPr>
              <w:spacing w:after="0"/>
              <w:rPr>
                <w:sz w:val="20"/>
                <w:szCs w:val="20"/>
                <w:color w:val="auto"/>
              </w:rPr>
            </w:pPr>
          </w:p>
        </w:tc>
      </w:tr>
      <w:tr>
        <w:trPr>
          <w:trHeight w:val="237"/>
        </w:trPr>
        <w:tc>
          <w:tcPr>
            <w:tcW w:w="5640" w:type="dxa"/>
            <w:vAlign w:val="bottom"/>
          </w:tcPr>
          <w:p>
            <w:pPr>
              <w:ind w:left="20"/>
              <w:spacing w:after="0"/>
              <w:rPr>
                <w:sz w:val="20"/>
                <w:szCs w:val="20"/>
                <w:color w:val="auto"/>
              </w:rPr>
            </w:pPr>
            <w:r>
              <w:rPr>
                <w:rFonts w:ascii="Arial" w:cs="Arial" w:eastAsia="Arial" w:hAnsi="Arial"/>
                <w:sz w:val="18"/>
                <w:szCs w:val="18"/>
                <w:color w:val="auto"/>
              </w:rPr>
              <w:t>Amortization of final payment fee</w:t>
            </w: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272</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160</w:t>
            </w: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gridSpan w:val="3"/>
          </w:tcPr>
          <w:p>
            <w:pPr>
              <w:jc w:val="right"/>
              <w:spacing w:after="0"/>
              <w:rPr>
                <w:sz w:val="20"/>
                <w:szCs w:val="20"/>
                <w:color w:val="auto"/>
              </w:rPr>
            </w:pPr>
            <w:r>
              <w:rPr>
                <w:rFonts w:ascii="Arial" w:cs="Arial" w:eastAsia="Arial" w:hAnsi="Arial"/>
                <w:sz w:val="18"/>
                <w:szCs w:val="18"/>
                <w:color w:val="auto"/>
              </w:rPr>
              <w:t>522</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258</w:t>
            </w:r>
          </w:p>
        </w:tc>
        <w:tc>
          <w:tcPr>
            <w:tcW w:w="140" w:type="dxa"/>
            <w:vAlign w:val="bottom"/>
          </w:tcPr>
          <w:p>
            <w:pPr>
              <w:spacing w:after="0"/>
              <w:rPr>
                <w:sz w:val="20"/>
                <w:szCs w:val="20"/>
                <w:color w:val="auto"/>
              </w:rPr>
            </w:pPr>
          </w:p>
        </w:tc>
      </w:tr>
      <w:tr>
        <w:trPr>
          <w:trHeight w:val="249"/>
        </w:trPr>
        <w:tc>
          <w:tcPr>
            <w:tcW w:w="5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Amortization of debt discount related issuance costs and warrants</w:t>
            </w: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637</w:t>
            </w:r>
          </w:p>
        </w:tc>
        <w:tc>
          <w:tcPr>
            <w:tcW w:w="3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299</w:t>
            </w:r>
          </w:p>
        </w:tc>
        <w:tc>
          <w:tcPr>
            <w:tcW w:w="30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4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971</w:t>
            </w:r>
          </w:p>
        </w:tc>
        <w:tc>
          <w:tcPr>
            <w:tcW w:w="3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425</w:t>
            </w:r>
          </w:p>
        </w:tc>
        <w:tc>
          <w:tcPr>
            <w:tcW w:w="140" w:type="dxa"/>
            <w:vAlign w:val="bottom"/>
            <w:shd w:val="clear" w:color="auto" w:fill="CFF0FC"/>
          </w:tcPr>
          <w:p>
            <w:pPr>
              <w:spacing w:after="0"/>
              <w:rPr>
                <w:sz w:val="21"/>
                <w:szCs w:val="21"/>
                <w:color w:val="auto"/>
              </w:rPr>
            </w:pPr>
          </w:p>
        </w:tc>
      </w:tr>
      <w:tr>
        <w:trPr>
          <w:trHeight w:val="413"/>
        </w:trPr>
        <w:tc>
          <w:tcPr>
            <w:tcW w:w="5880" w:type="dxa"/>
            <w:vAlign w:val="bottom"/>
            <w:gridSpan w:val="2"/>
          </w:tcPr>
          <w:p>
            <w:pPr>
              <w:ind w:left="760"/>
              <w:spacing w:after="0"/>
              <w:rPr>
                <w:sz w:val="20"/>
                <w:szCs w:val="20"/>
                <w:color w:val="auto"/>
              </w:rPr>
            </w:pPr>
            <w:r>
              <w:rPr>
                <w:rFonts w:ascii="Arial" w:cs="Arial" w:eastAsia="Arial" w:hAnsi="Arial"/>
                <w:sz w:val="16"/>
                <w:szCs w:val="16"/>
                <w:color w:val="auto"/>
                <w:w w:val="92"/>
              </w:rPr>
              <w:t>The outstanding debt and unamortized debt discount balances are as follows:</w:t>
            </w: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415"/>
        </w:trPr>
        <w:tc>
          <w:tcPr>
            <w:tcW w:w="5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2"/>
              </w:rPr>
              <w:t>June 30,</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8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rPr>
              <w:t>December 31,</w:t>
            </w:r>
          </w:p>
        </w:tc>
      </w:tr>
      <w:tr>
        <w:trPr>
          <w:trHeight w:val="185"/>
        </w:trPr>
        <w:tc>
          <w:tcPr>
            <w:tcW w:w="5640" w:type="dxa"/>
            <w:vAlign w:val="bottom"/>
          </w:tcPr>
          <w:p>
            <w:pPr>
              <w:ind w:left="370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tcPr>
          <w:p>
            <w:pPr>
              <w:jc w:val="right"/>
              <w:ind w:right="519"/>
              <w:spacing w:after="0"/>
              <w:rPr>
                <w:sz w:val="20"/>
                <w:szCs w:val="20"/>
                <w:color w:val="auto"/>
              </w:rPr>
            </w:pPr>
            <w:r>
              <w:rPr>
                <w:rFonts w:ascii="Arial" w:cs="Arial" w:eastAsia="Arial" w:hAnsi="Arial"/>
                <w:sz w:val="14"/>
                <w:szCs w:val="14"/>
                <w:b w:val="1"/>
                <w:bCs w:val="1"/>
                <w:color w:val="auto"/>
                <w:w w:val="96"/>
              </w:rPr>
              <w:t>2023</w:t>
            </w:r>
          </w:p>
        </w:tc>
        <w:tc>
          <w:tcPr>
            <w:tcW w:w="1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2022</w:t>
            </w:r>
          </w:p>
        </w:tc>
        <w:tc>
          <w:tcPr>
            <w:tcW w:w="140" w:type="dxa"/>
            <w:vAlign w:val="bottom"/>
            <w:tcBorders>
              <w:bottom w:val="single" w:sz="8" w:color="auto"/>
            </w:tcBorders>
          </w:tcPr>
          <w:p>
            <w:pPr>
              <w:spacing w:after="0"/>
              <w:rPr>
                <w:sz w:val="16"/>
                <w:szCs w:val="16"/>
                <w:color w:val="auto"/>
              </w:rPr>
            </w:pPr>
          </w:p>
        </w:tc>
      </w:tr>
      <w:tr>
        <w:trPr>
          <w:trHeight w:val="236"/>
        </w:trPr>
        <w:tc>
          <w:tcPr>
            <w:tcW w:w="5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Outstanding Debt</w:t>
            </w:r>
          </w:p>
        </w:tc>
        <w:tc>
          <w:tcPr>
            <w:tcW w:w="24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620" w:type="dxa"/>
            <w:vAlign w:val="bottom"/>
            <w:shd w:val="clear" w:color="auto" w:fill="CFF0FC"/>
          </w:tcPr>
          <w:p>
            <w:pPr>
              <w:jc w:val="right"/>
              <w:ind w:right="416"/>
              <w:spacing w:after="0"/>
              <w:rPr>
                <w:sz w:val="20"/>
                <w:szCs w:val="20"/>
                <w:color w:val="auto"/>
              </w:rPr>
            </w:pPr>
            <w:r>
              <w:rPr>
                <w:rFonts w:ascii="Arial" w:cs="Arial" w:eastAsia="Arial" w:hAnsi="Arial"/>
                <w:sz w:val="18"/>
                <w:szCs w:val="18"/>
                <w:color w:val="auto"/>
                <w:w w:val="99"/>
              </w:rPr>
              <w:t>$</w:t>
            </w:r>
          </w:p>
        </w:tc>
        <w:tc>
          <w:tcPr>
            <w:tcW w:w="10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180,000</w:t>
            </w:r>
          </w:p>
        </w:tc>
        <w:tc>
          <w:tcPr>
            <w:tcW w:w="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3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95,000</w:t>
            </w:r>
          </w:p>
        </w:tc>
        <w:tc>
          <w:tcPr>
            <w:tcW w:w="140" w:type="dxa"/>
            <w:vAlign w:val="bottom"/>
            <w:shd w:val="clear" w:color="auto" w:fill="CFF0FC"/>
          </w:tcPr>
          <w:p>
            <w:pPr>
              <w:spacing w:after="0"/>
              <w:rPr>
                <w:sz w:val="20"/>
                <w:szCs w:val="20"/>
                <w:color w:val="auto"/>
              </w:rPr>
            </w:pPr>
          </w:p>
        </w:tc>
      </w:tr>
      <w:tr>
        <w:trPr>
          <w:trHeight w:val="237"/>
        </w:trPr>
        <w:tc>
          <w:tcPr>
            <w:tcW w:w="5640" w:type="dxa"/>
            <w:vAlign w:val="bottom"/>
          </w:tcPr>
          <w:p>
            <w:pPr>
              <w:ind w:left="200"/>
              <w:spacing w:after="0"/>
              <w:rPr>
                <w:sz w:val="20"/>
                <w:szCs w:val="20"/>
                <w:color w:val="auto"/>
              </w:rPr>
            </w:pPr>
            <w:r>
              <w:rPr>
                <w:rFonts w:ascii="Arial" w:cs="Arial" w:eastAsia="Arial" w:hAnsi="Arial"/>
                <w:sz w:val="18"/>
                <w:szCs w:val="18"/>
                <w:color w:val="auto"/>
              </w:rPr>
              <w:t>Add: accreted liability of final payment fee</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1,934</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1,363</w:t>
            </w:r>
          </w:p>
        </w:tc>
        <w:tc>
          <w:tcPr>
            <w:tcW w:w="140" w:type="dxa"/>
            <w:vAlign w:val="bottom"/>
          </w:tcPr>
          <w:p>
            <w:pPr>
              <w:spacing w:after="0"/>
              <w:rPr>
                <w:sz w:val="20"/>
                <w:szCs w:val="20"/>
                <w:color w:val="auto"/>
              </w:rPr>
            </w:pPr>
          </w:p>
        </w:tc>
      </w:tr>
      <w:tr>
        <w:trPr>
          <w:trHeight w:val="249"/>
        </w:trPr>
        <w:tc>
          <w:tcPr>
            <w:tcW w:w="56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Less: unamortized debt discount, long-term</w:t>
            </w: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110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(5,114 )</w:t>
            </w:r>
          </w:p>
        </w:tc>
        <w:tc>
          <w:tcPr>
            <w:tcW w:w="2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(2,104 )</w:t>
            </w:r>
          </w:p>
        </w:tc>
      </w:tr>
      <w:tr>
        <w:trPr>
          <w:trHeight w:val="237"/>
        </w:trPr>
        <w:tc>
          <w:tcPr>
            <w:tcW w:w="5640" w:type="dxa"/>
            <w:vAlign w:val="bottom"/>
          </w:tcPr>
          <w:p>
            <w:pPr>
              <w:ind w:left="200"/>
              <w:spacing w:after="0"/>
              <w:rPr>
                <w:sz w:val="20"/>
                <w:szCs w:val="20"/>
                <w:color w:val="auto"/>
              </w:rPr>
            </w:pPr>
            <w:r>
              <w:rPr>
                <w:rFonts w:ascii="Arial" w:cs="Arial" w:eastAsia="Arial" w:hAnsi="Arial"/>
                <w:sz w:val="18"/>
                <w:szCs w:val="18"/>
                <w:color w:val="auto"/>
              </w:rPr>
              <w:t>Less: current portion of long-term debt</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76"/>
        </w:trPr>
        <w:tc>
          <w:tcPr>
            <w:tcW w:w="56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Loan payable, long-term</w:t>
            </w:r>
          </w:p>
        </w:tc>
        <w:tc>
          <w:tcPr>
            <w:tcW w:w="240" w:type="dxa"/>
            <w:vAlign w:val="bottom"/>
            <w:tcBorders>
              <w:bottom w:val="single" w:sz="8" w:color="CFF0FC"/>
            </w:tcBorders>
            <w:shd w:val="clear" w:color="auto" w:fill="CFF0FC"/>
          </w:tcPr>
          <w:p>
            <w:pPr>
              <w:spacing w:after="0"/>
              <w:rPr>
                <w:sz w:val="24"/>
                <w:szCs w:val="24"/>
                <w:color w:val="auto"/>
              </w:rPr>
            </w:pPr>
          </w:p>
        </w:tc>
        <w:tc>
          <w:tcPr>
            <w:tcW w:w="90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CFF0FC"/>
            </w:tcBorders>
            <w:shd w:val="clear" w:color="auto" w:fill="CFF0FC"/>
          </w:tcPr>
          <w:p>
            <w:pPr>
              <w:spacing w:after="0"/>
              <w:rPr>
                <w:sz w:val="24"/>
                <w:szCs w:val="24"/>
                <w:color w:val="auto"/>
              </w:rPr>
            </w:pPr>
          </w:p>
        </w:tc>
        <w:tc>
          <w:tcPr>
            <w:tcW w:w="620" w:type="dxa"/>
            <w:vAlign w:val="bottom"/>
            <w:tcBorders>
              <w:bottom w:val="single" w:sz="8" w:color="auto"/>
            </w:tcBorders>
            <w:shd w:val="clear" w:color="auto" w:fill="CFF0FC"/>
          </w:tcPr>
          <w:p>
            <w:pPr>
              <w:jc w:val="right"/>
              <w:ind w:right="416"/>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176,820</w:t>
            </w:r>
          </w:p>
        </w:tc>
        <w:tc>
          <w:tcPr>
            <w:tcW w:w="80" w:type="dxa"/>
            <w:vAlign w:val="bottom"/>
            <w:tcBorders>
              <w:bottom w:val="single" w:sz="8" w:color="auto"/>
            </w:tcBorders>
            <w:shd w:val="clear" w:color="auto" w:fill="CFF0FC"/>
          </w:tcPr>
          <w:p>
            <w:pPr>
              <w:spacing w:after="0"/>
              <w:rPr>
                <w:sz w:val="24"/>
                <w:szCs w:val="24"/>
                <w:color w:val="auto"/>
              </w:rPr>
            </w:pPr>
          </w:p>
        </w:tc>
        <w:tc>
          <w:tcPr>
            <w:tcW w:w="20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300" w:type="dxa"/>
            <w:vAlign w:val="bottom"/>
            <w:tcBorders>
              <w:bottom w:val="single" w:sz="8" w:color="auto"/>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spacing w:after="0"/>
              <w:rPr>
                <w:sz w:val="24"/>
                <w:szCs w:val="24"/>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94,259</w:t>
            </w:r>
          </w:p>
        </w:tc>
        <w:tc>
          <w:tcPr>
            <w:tcW w:w="140" w:type="dxa"/>
            <w:vAlign w:val="bottom"/>
            <w:tcBorders>
              <w:bottom w:val="single" w:sz="8" w:color="auto"/>
            </w:tcBorders>
            <w:shd w:val="clear" w:color="auto" w:fill="CFF0FC"/>
          </w:tcPr>
          <w:p>
            <w:pPr>
              <w:spacing w:after="0"/>
              <w:rPr>
                <w:sz w:val="24"/>
                <w:szCs w:val="24"/>
                <w:color w:val="auto"/>
              </w:rPr>
            </w:pPr>
          </w:p>
        </w:tc>
      </w:tr>
      <w:tr>
        <w:trPr>
          <w:trHeight w:val="642"/>
        </w:trPr>
        <w:tc>
          <w:tcPr>
            <w:tcW w:w="6780" w:type="dxa"/>
            <w:vAlign w:val="bottom"/>
            <w:gridSpan w:val="3"/>
          </w:tcPr>
          <w:p>
            <w:pPr>
              <w:ind w:left="760"/>
              <w:spacing w:after="0"/>
              <w:rPr>
                <w:sz w:val="20"/>
                <w:szCs w:val="20"/>
                <w:color w:val="auto"/>
              </w:rPr>
            </w:pPr>
            <w:r>
              <w:rPr>
                <w:rFonts w:ascii="Arial" w:cs="Arial" w:eastAsia="Arial" w:hAnsi="Arial"/>
                <w:sz w:val="16"/>
                <w:szCs w:val="16"/>
                <w:color w:val="auto"/>
                <w:w w:val="95"/>
              </w:rPr>
              <w:t>Scheduled Principal Payments on Outstanding Debt, as of June 30, 2023, are as follows:</w:t>
            </w: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76"/>
        </w:trPr>
        <w:tc>
          <w:tcPr>
            <w:tcW w:w="5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gridSpan w:val="2"/>
          </w:tcPr>
          <w:p>
            <w:pPr>
              <w:spacing w:after="0"/>
              <w:rPr>
                <w:sz w:val="24"/>
                <w:szCs w:val="24"/>
                <w:color w:val="auto"/>
              </w:rPr>
            </w:pPr>
          </w:p>
        </w:tc>
      </w:tr>
      <w:tr>
        <w:trPr>
          <w:trHeight w:val="243"/>
        </w:trPr>
        <w:tc>
          <w:tcPr>
            <w:tcW w:w="5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2023</w:t>
            </w: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r>
      <w:tr>
        <w:trPr>
          <w:trHeight w:val="237"/>
        </w:trPr>
        <w:tc>
          <w:tcPr>
            <w:tcW w:w="5640" w:type="dxa"/>
            <w:vAlign w:val="bottom"/>
          </w:tcPr>
          <w:p>
            <w:pPr>
              <w:ind w:left="20"/>
              <w:spacing w:after="0"/>
              <w:rPr>
                <w:sz w:val="20"/>
                <w:szCs w:val="20"/>
                <w:color w:val="auto"/>
              </w:rPr>
            </w:pPr>
            <w:r>
              <w:rPr>
                <w:rFonts w:ascii="Arial" w:cs="Arial" w:eastAsia="Arial" w:hAnsi="Arial"/>
                <w:sz w:val="18"/>
                <w:szCs w:val="18"/>
                <w:color w:val="auto"/>
              </w:rPr>
              <w:t>2024</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49"/>
        </w:trPr>
        <w:tc>
          <w:tcPr>
            <w:tcW w:w="5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2025</w:t>
            </w: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r>
      <w:tr>
        <w:trPr>
          <w:trHeight w:val="237"/>
        </w:trPr>
        <w:tc>
          <w:tcPr>
            <w:tcW w:w="5640" w:type="dxa"/>
            <w:vAlign w:val="bottom"/>
          </w:tcPr>
          <w:p>
            <w:pPr>
              <w:ind w:left="20"/>
              <w:spacing w:after="0"/>
              <w:rPr>
                <w:sz w:val="20"/>
                <w:szCs w:val="20"/>
                <w:color w:val="auto"/>
              </w:rPr>
            </w:pPr>
            <w:r>
              <w:rPr>
                <w:rFonts w:ascii="Arial" w:cs="Arial" w:eastAsia="Arial" w:hAnsi="Arial"/>
                <w:sz w:val="18"/>
                <w:szCs w:val="18"/>
                <w:color w:val="auto"/>
              </w:rPr>
              <w:t>2026</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49"/>
        </w:trPr>
        <w:tc>
          <w:tcPr>
            <w:tcW w:w="5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2027</w:t>
            </w: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r>
      <w:tr>
        <w:trPr>
          <w:trHeight w:val="237"/>
        </w:trPr>
        <w:tc>
          <w:tcPr>
            <w:tcW w:w="564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180,000</w:t>
            </w:r>
          </w:p>
        </w:tc>
        <w:tc>
          <w:tcPr>
            <w:tcW w:w="140" w:type="dxa"/>
            <w:vAlign w:val="bottom"/>
            <w:tcBorders>
              <w:bottom w:val="single" w:sz="8" w:color="auto"/>
            </w:tcBorders>
          </w:tcPr>
          <w:p>
            <w:pPr>
              <w:spacing w:after="0"/>
              <w:rPr>
                <w:sz w:val="20"/>
                <w:szCs w:val="20"/>
                <w:color w:val="auto"/>
              </w:rPr>
            </w:pPr>
          </w:p>
        </w:tc>
      </w:tr>
      <w:tr>
        <w:trPr>
          <w:trHeight w:val="276"/>
        </w:trPr>
        <w:tc>
          <w:tcPr>
            <w:tcW w:w="56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principal payments outstanding</w:t>
            </w:r>
          </w:p>
        </w:tc>
        <w:tc>
          <w:tcPr>
            <w:tcW w:w="240" w:type="dxa"/>
            <w:vAlign w:val="bottom"/>
            <w:tcBorders>
              <w:bottom w:val="single" w:sz="8" w:color="CFF0FC"/>
            </w:tcBorders>
            <w:shd w:val="clear" w:color="auto" w:fill="CFF0FC"/>
          </w:tcPr>
          <w:p>
            <w:pPr>
              <w:spacing w:after="0"/>
              <w:rPr>
                <w:sz w:val="24"/>
                <w:szCs w:val="24"/>
                <w:color w:val="auto"/>
              </w:rPr>
            </w:pPr>
          </w:p>
        </w:tc>
        <w:tc>
          <w:tcPr>
            <w:tcW w:w="90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CFF0FC"/>
            </w:tcBorders>
            <w:shd w:val="clear" w:color="auto" w:fill="CFF0FC"/>
          </w:tcPr>
          <w:p>
            <w:pPr>
              <w:spacing w:after="0"/>
              <w:rPr>
                <w:sz w:val="24"/>
                <w:szCs w:val="24"/>
                <w:color w:val="auto"/>
              </w:rPr>
            </w:pPr>
          </w:p>
        </w:tc>
        <w:tc>
          <w:tcPr>
            <w:tcW w:w="620" w:type="dxa"/>
            <w:vAlign w:val="bottom"/>
            <w:tcBorders>
              <w:bottom w:val="single" w:sz="8" w:color="CFF0FC"/>
            </w:tcBorders>
            <w:shd w:val="clear" w:color="auto" w:fill="CFF0FC"/>
          </w:tcPr>
          <w:p>
            <w:pPr>
              <w:spacing w:after="0"/>
              <w:rPr>
                <w:sz w:val="24"/>
                <w:szCs w:val="24"/>
                <w:color w:val="auto"/>
              </w:rPr>
            </w:pPr>
          </w:p>
        </w:tc>
        <w:tc>
          <w:tcPr>
            <w:tcW w:w="920" w:type="dxa"/>
            <w:vAlign w:val="bottom"/>
            <w:tcBorders>
              <w:bottom w:val="single" w:sz="8" w:color="CFF0FC"/>
            </w:tcBorders>
            <w:gridSpan w:val="2"/>
            <w:shd w:val="clear" w:color="auto" w:fill="CFF0FC"/>
          </w:tcPr>
          <w:p>
            <w:pPr>
              <w:spacing w:after="0"/>
              <w:rPr>
                <w:sz w:val="24"/>
                <w:szCs w:val="24"/>
                <w:color w:val="auto"/>
              </w:rPr>
            </w:pPr>
          </w:p>
        </w:tc>
        <w:tc>
          <w:tcPr>
            <w:tcW w:w="18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auto"/>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spacing w:after="0"/>
              <w:rPr>
                <w:sz w:val="24"/>
                <w:szCs w:val="24"/>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180,000</w:t>
            </w:r>
          </w:p>
        </w:tc>
        <w:tc>
          <w:tcPr>
            <w:tcW w:w="140" w:type="dxa"/>
            <w:vAlign w:val="bottom"/>
            <w:tcBorders>
              <w:bottom w:val="single" w:sz="8" w:color="auto"/>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5920105</wp:posOffset>
            </wp:positionH>
            <wp:positionV relativeFrom="paragraph">
              <wp:posOffset>-1731010</wp:posOffset>
            </wp:positionV>
            <wp:extent cx="12890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-1713865</wp:posOffset>
            </wp:positionV>
            <wp:extent cx="12890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8905" cy="8890"/>
                    </a:xfrm>
                    <a:prstGeom prst="rect">
                      <a:avLst/>
                    </a:prstGeom>
                    <a:noFill/>
                  </pic:spPr>
                </pic:pic>
              </a:graphicData>
            </a:graphic>
          </wp:anchor>
        </w:drawing>
      </w:r>
    </w:p>
    <w:p>
      <w:pPr>
        <w:spacing w:after="0" w:line="213" w:lineRule="exact"/>
        <w:rPr>
          <w:sz w:val="20"/>
          <w:szCs w:val="20"/>
          <w:color w:val="auto"/>
        </w:rPr>
      </w:pPr>
    </w:p>
    <w:p>
      <w:pPr>
        <w:ind w:right="520" w:firstLine="749"/>
        <w:spacing w:after="0" w:line="434" w:lineRule="auto"/>
        <w:rPr>
          <w:sz w:val="20"/>
          <w:szCs w:val="20"/>
          <w:color w:val="auto"/>
        </w:rPr>
      </w:pPr>
      <w:r>
        <w:rPr>
          <w:rFonts w:ascii="Arial" w:cs="Arial" w:eastAsia="Arial" w:hAnsi="Arial"/>
          <w:sz w:val="16"/>
          <w:szCs w:val="16"/>
          <w:color w:val="auto"/>
        </w:rPr>
        <w:t xml:space="preserve">The Company was in compliance with all covenants and requirements of its financing arrangements as of and during the six months ended June 30, 2023. </w:t>
      </w:r>
      <w:r>
        <w:rPr>
          <w:rFonts w:ascii="Arial" w:cs="Arial" w:eastAsia="Arial" w:hAnsi="Arial"/>
          <w:sz w:val="16"/>
          <w:szCs w:val="16"/>
          <w:b w:val="1"/>
          <w:bCs w:val="1"/>
          <w:color w:val="auto"/>
        </w:rPr>
        <w:t>Note 11. Commitments and Contingencies</w:t>
      </w:r>
    </w:p>
    <w:p>
      <w:pPr>
        <w:spacing w:after="0" w:line="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Operating Leases</w:t>
      </w:r>
    </w:p>
    <w:p>
      <w:pPr>
        <w:spacing w:after="0" w:line="239" w:lineRule="exact"/>
        <w:rPr>
          <w:sz w:val="20"/>
          <w:szCs w:val="20"/>
          <w:color w:val="auto"/>
        </w:rPr>
      </w:pPr>
    </w:p>
    <w:p>
      <w:pPr>
        <w:ind w:right="120" w:firstLine="749"/>
        <w:spacing w:after="0" w:line="269" w:lineRule="auto"/>
        <w:rPr>
          <w:sz w:val="20"/>
          <w:szCs w:val="20"/>
          <w:color w:val="auto"/>
        </w:rPr>
      </w:pPr>
      <w:r>
        <w:rPr>
          <w:rFonts w:ascii="Arial" w:cs="Arial" w:eastAsia="Arial" w:hAnsi="Arial"/>
          <w:sz w:val="16"/>
          <w:szCs w:val="16"/>
          <w:color w:val="auto"/>
        </w:rPr>
        <w:t>In April 2023, the Company entered into a ten-year agreement to sublease office space at One World Trade Center. However, based on the Company's past experience and current expectation for administrative office needs, the Company determined the lease term to be five years. As of June 30, 2023, the remaining lease term for the Company's operating lease was 4.8 years with a discount rate of 12.0%. The interest rate implicit in lease contracts is typically not readily determinable and as such, the Company uses its incremental borrowing rate based on the information available at the lease commencement date, which represents an internally developed rate that would be incurred to borrow, on a collateralized basis, over a similar term, an amount equal to the lease payments in a similar economic environment. The lease at 22 Cortlandt Street expired in April 2023.</w:t>
      </w:r>
    </w:p>
    <w:p>
      <w:pPr>
        <w:spacing w:after="0" w:line="194" w:lineRule="exact"/>
        <w:rPr>
          <w:sz w:val="20"/>
          <w:szCs w:val="20"/>
          <w:color w:val="auto"/>
        </w:rPr>
      </w:pPr>
    </w:p>
    <w:p>
      <w:pPr>
        <w:ind w:left="760"/>
        <w:spacing w:after="0"/>
        <w:rPr>
          <w:sz w:val="20"/>
          <w:szCs w:val="20"/>
          <w:color w:val="auto"/>
        </w:rPr>
      </w:pPr>
      <w:r>
        <w:rPr>
          <w:rFonts w:ascii="Arial" w:cs="Arial" w:eastAsia="Arial" w:hAnsi="Arial"/>
          <w:sz w:val="16"/>
          <w:szCs w:val="16"/>
          <w:color w:val="auto"/>
        </w:rPr>
        <w:t>For the three and six months ended June 30, 2023 and 2022, the Company had the following operating lease expense:</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64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right"/>
              <w:ind w:right="319"/>
              <w:spacing w:after="0"/>
              <w:rPr>
                <w:sz w:val="20"/>
                <w:szCs w:val="20"/>
                <w:color w:val="auto"/>
              </w:rPr>
            </w:pPr>
            <w:r>
              <w:rPr>
                <w:rFonts w:ascii="Arial" w:cs="Arial" w:eastAsia="Arial" w:hAnsi="Arial"/>
                <w:sz w:val="14"/>
                <w:szCs w:val="14"/>
                <w:b w:val="1"/>
                <w:bCs w:val="1"/>
                <w:color w:val="auto"/>
              </w:rPr>
              <w:t>Three Months Ended June 30,</w:t>
            </w:r>
          </w:p>
        </w:tc>
        <w:tc>
          <w:tcPr>
            <w:tcW w:w="260" w:type="dxa"/>
            <w:vAlign w:val="bottom"/>
          </w:tcPr>
          <w:p>
            <w:pPr>
              <w:spacing w:after="0"/>
              <w:rPr>
                <w:sz w:val="16"/>
                <w:szCs w:val="16"/>
                <w:color w:val="auto"/>
              </w:rPr>
            </w:pPr>
          </w:p>
        </w:tc>
        <w:tc>
          <w:tcPr>
            <w:tcW w:w="2740" w:type="dxa"/>
            <w:vAlign w:val="bottom"/>
            <w:tcBorders>
              <w:bottom w:val="single" w:sz="8" w:color="auto"/>
            </w:tcBorders>
            <w:gridSpan w:val="3"/>
          </w:tcPr>
          <w:p>
            <w:pPr>
              <w:jc w:val="right"/>
              <w:ind w:right="520"/>
              <w:spacing w:after="0"/>
              <w:rPr>
                <w:sz w:val="20"/>
                <w:szCs w:val="20"/>
                <w:color w:val="auto"/>
              </w:rPr>
            </w:pPr>
            <w:r>
              <w:rPr>
                <w:rFonts w:ascii="Arial" w:cs="Arial" w:eastAsia="Arial" w:hAnsi="Arial"/>
                <w:sz w:val="14"/>
                <w:szCs w:val="14"/>
                <w:b w:val="1"/>
                <w:bCs w:val="1"/>
                <w:color w:val="auto"/>
              </w:rPr>
              <w:t>Six Months Ended June 30,</w:t>
            </w:r>
          </w:p>
        </w:tc>
        <w:tc>
          <w:tcPr>
            <w:tcW w:w="300" w:type="dxa"/>
            <w:vAlign w:val="bottom"/>
          </w:tcPr>
          <w:p>
            <w:pPr>
              <w:spacing w:after="0"/>
              <w:rPr>
                <w:sz w:val="16"/>
                <w:szCs w:val="16"/>
                <w:color w:val="auto"/>
              </w:rPr>
            </w:pPr>
          </w:p>
        </w:tc>
      </w:tr>
      <w:tr>
        <w:trPr>
          <w:trHeight w:val="169"/>
        </w:trPr>
        <w:tc>
          <w:tcPr>
            <w:tcW w:w="2640" w:type="dxa"/>
            <w:vAlign w:val="bottom"/>
          </w:tcPr>
          <w:p>
            <w:pPr>
              <w:spacing w:after="0"/>
              <w:rPr>
                <w:sz w:val="14"/>
                <w:szCs w:val="14"/>
                <w:color w:val="auto"/>
              </w:rPr>
            </w:pPr>
          </w:p>
        </w:tc>
        <w:tc>
          <w:tcPr>
            <w:tcW w:w="26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Statement of Operations Location</w:t>
            </w:r>
          </w:p>
        </w:tc>
        <w:tc>
          <w:tcPr>
            <w:tcW w:w="180" w:type="dxa"/>
            <w:vAlign w:val="bottom"/>
          </w:tcPr>
          <w:p>
            <w:pPr>
              <w:spacing w:after="0"/>
              <w:rPr>
                <w:sz w:val="14"/>
                <w:szCs w:val="14"/>
                <w:color w:val="auto"/>
              </w:rPr>
            </w:pPr>
          </w:p>
        </w:tc>
        <w:tc>
          <w:tcPr>
            <w:tcW w:w="1020" w:type="dxa"/>
            <w:vAlign w:val="bottom"/>
          </w:tcPr>
          <w:p>
            <w:pPr>
              <w:jc w:val="right"/>
              <w:ind w:right="379"/>
              <w:spacing w:after="0"/>
              <w:rPr>
                <w:sz w:val="20"/>
                <w:szCs w:val="20"/>
                <w:color w:val="auto"/>
              </w:rPr>
            </w:pPr>
            <w:r>
              <w:rPr>
                <w:rFonts w:ascii="Arial" w:cs="Arial" w:eastAsia="Arial" w:hAnsi="Arial"/>
                <w:sz w:val="14"/>
                <w:szCs w:val="14"/>
                <w:b w:val="1"/>
                <w:bCs w:val="1"/>
                <w:color w:val="auto"/>
              </w:rPr>
              <w:t>2023</w:t>
            </w: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ind w:right="359"/>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4"/>
                <w:szCs w:val="14"/>
                <w:color w:val="auto"/>
              </w:rPr>
            </w:pPr>
          </w:p>
        </w:tc>
        <w:tc>
          <w:tcPr>
            <w:tcW w:w="1240" w:type="dxa"/>
            <w:vAlign w:val="bottom"/>
          </w:tcPr>
          <w:p>
            <w:pPr>
              <w:jc w:val="right"/>
              <w:ind w:right="408"/>
              <w:spacing w:after="0"/>
              <w:rPr>
                <w:sz w:val="20"/>
                <w:szCs w:val="20"/>
                <w:color w:val="auto"/>
              </w:rPr>
            </w:pPr>
            <w:r>
              <w:rPr>
                <w:rFonts w:ascii="Arial" w:cs="Arial" w:eastAsia="Arial" w:hAnsi="Arial"/>
                <w:sz w:val="14"/>
                <w:szCs w:val="14"/>
                <w:b w:val="1"/>
                <w:bCs w:val="1"/>
                <w:color w:val="auto"/>
              </w:rPr>
              <w:t>2023</w:t>
            </w:r>
          </w:p>
        </w:tc>
        <w:tc>
          <w:tcPr>
            <w:tcW w:w="15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2022</w:t>
            </w:r>
          </w:p>
        </w:tc>
        <w:tc>
          <w:tcPr>
            <w:tcW w:w="300" w:type="dxa"/>
            <w:vAlign w:val="bottom"/>
          </w:tcPr>
          <w:p>
            <w:pPr>
              <w:spacing w:after="0"/>
              <w:rPr>
                <w:sz w:val="14"/>
                <w:szCs w:val="14"/>
                <w:color w:val="auto"/>
              </w:rPr>
            </w:pPr>
          </w:p>
        </w:tc>
      </w:tr>
      <w:tr>
        <w:trPr>
          <w:trHeight w:val="209"/>
        </w:trPr>
        <w:tc>
          <w:tcPr>
            <w:tcW w:w="2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operating lease expense</w:t>
            </w:r>
          </w:p>
        </w:tc>
        <w:tc>
          <w:tcPr>
            <w:tcW w:w="2480" w:type="dxa"/>
            <w:vAlign w:val="bottom"/>
            <w:tcBorders>
              <w:top w:val="single" w:sz="8" w:color="auto"/>
            </w:tcBorders>
            <w:shd w:val="clear" w:color="auto" w:fill="CFF0FC"/>
          </w:tcPr>
          <w:p>
            <w:pPr>
              <w:ind w:left="500"/>
              <w:spacing w:after="0"/>
              <w:rPr>
                <w:sz w:val="20"/>
                <w:szCs w:val="20"/>
                <w:color w:val="auto"/>
              </w:rPr>
            </w:pPr>
            <w:r>
              <w:rPr>
                <w:rFonts w:ascii="Arial" w:cs="Arial" w:eastAsia="Arial" w:hAnsi="Arial"/>
                <w:sz w:val="18"/>
                <w:szCs w:val="18"/>
                <w:color w:val="auto"/>
              </w:rPr>
              <w:t>Selling, general and</w:t>
            </w:r>
          </w:p>
        </w:tc>
        <w:tc>
          <w:tcPr>
            <w:tcW w:w="16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4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40" w:type="dxa"/>
            <w:vAlign w:val="bottom"/>
            <w:tcBorders>
              <w:top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r>
      <w:tr>
        <w:trPr>
          <w:trHeight w:val="244"/>
        </w:trPr>
        <w:tc>
          <w:tcPr>
            <w:tcW w:w="2640" w:type="dxa"/>
            <w:vAlign w:val="bottom"/>
            <w:shd w:val="clear" w:color="auto" w:fill="CFF0FC"/>
          </w:tcPr>
          <w:p>
            <w:pPr>
              <w:spacing w:after="0"/>
              <w:rPr>
                <w:sz w:val="21"/>
                <w:szCs w:val="21"/>
                <w:color w:val="auto"/>
              </w:rPr>
            </w:pPr>
          </w:p>
        </w:tc>
        <w:tc>
          <w:tcPr>
            <w:tcW w:w="2640" w:type="dxa"/>
            <w:vAlign w:val="bottom"/>
            <w:gridSpan w:val="2"/>
            <w:shd w:val="clear" w:color="auto" w:fill="CFF0FC"/>
          </w:tcPr>
          <w:p>
            <w:pPr>
              <w:jc w:val="center"/>
              <w:ind w:right="160"/>
              <w:spacing w:after="0"/>
              <w:rPr>
                <w:sz w:val="20"/>
                <w:szCs w:val="20"/>
                <w:color w:val="auto"/>
              </w:rPr>
            </w:pPr>
            <w:r>
              <w:rPr>
                <w:rFonts w:ascii="Arial" w:cs="Arial" w:eastAsia="Arial" w:hAnsi="Arial"/>
                <w:sz w:val="18"/>
                <w:szCs w:val="18"/>
                <w:color w:val="auto"/>
                <w:w w:val="93"/>
              </w:rPr>
              <w:t>administrative</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689</w:t>
            </w:r>
          </w:p>
        </w:tc>
        <w:tc>
          <w:tcPr>
            <w:tcW w:w="5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291</w:t>
            </w:r>
          </w:p>
        </w:tc>
        <w:tc>
          <w:tcPr>
            <w:tcW w:w="15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1,007</w:t>
            </w:r>
          </w:p>
        </w:tc>
        <w:tc>
          <w:tcPr>
            <w:tcW w:w="15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582</w:t>
            </w:r>
          </w:p>
        </w:tc>
        <w:tc>
          <w:tcPr>
            <w:tcW w:w="300" w:type="dxa"/>
            <w:vAlign w:val="bottom"/>
            <w:shd w:val="clear" w:color="auto" w:fill="CFF0FC"/>
          </w:tcPr>
          <w:p>
            <w:pPr>
              <w:spacing w:after="0"/>
              <w:rPr>
                <w:sz w:val="21"/>
                <w:szCs w:val="21"/>
                <w:color w:val="auto"/>
              </w:rPr>
            </w:pPr>
          </w:p>
        </w:tc>
      </w:tr>
      <w:tr>
        <w:trPr>
          <w:trHeight w:val="648"/>
        </w:trPr>
        <w:tc>
          <w:tcPr>
            <w:tcW w:w="264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jc w:val="right"/>
              <w:ind w:right="679"/>
              <w:spacing w:after="0"/>
              <w:rPr>
                <w:sz w:val="20"/>
                <w:szCs w:val="20"/>
                <w:color w:val="auto"/>
              </w:rPr>
            </w:pPr>
            <w:r>
              <w:rPr>
                <w:rFonts w:ascii="Arial" w:cs="Arial" w:eastAsia="Arial" w:hAnsi="Arial"/>
                <w:sz w:val="18"/>
                <w:szCs w:val="18"/>
                <w:color w:val="auto"/>
              </w:rPr>
              <w:t>23</w:t>
            </w: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101"/>
        </w:trPr>
        <w:tc>
          <w:tcPr>
            <w:tcW w:w="2640" w:type="dxa"/>
            <w:vAlign w:val="bottom"/>
            <w:tcBorders>
              <w:bottom w:val="single" w:sz="8" w:color="9A9A9A"/>
            </w:tcBorders>
          </w:tcPr>
          <w:p>
            <w:pPr>
              <w:spacing w:after="0"/>
              <w:rPr>
                <w:sz w:val="8"/>
                <w:szCs w:val="8"/>
                <w:color w:val="auto"/>
              </w:rPr>
            </w:pPr>
          </w:p>
        </w:tc>
        <w:tc>
          <w:tcPr>
            <w:tcW w:w="248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24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24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184"/>
        </w:trPr>
        <w:tc>
          <w:tcPr>
            <w:tcW w:w="1160" w:type="dxa"/>
            <w:vAlign w:val="bottom"/>
            <w:tcBorders>
              <w:bottom w:val="single" w:sz="8" w:color="0563C1"/>
            </w:tcBorders>
          </w:tcPr>
          <w:p>
            <w:pPr>
              <w:spacing w:after="0"/>
              <w:rPr>
                <w:sz w:val="20"/>
                <w:szCs w:val="20"/>
                <w:color w:val="auto"/>
              </w:rPr>
            </w:pPr>
            <w:r>
              <w:rPr>
                <w:rFonts w:ascii="Arial" w:cs="Arial" w:eastAsia="Arial" w:hAnsi="Arial"/>
                <w:sz w:val="16"/>
                <w:szCs w:val="16"/>
                <w:color w:val="0563C1"/>
                <w:w w:val="90"/>
              </w:rPr>
              <w:t>Table of Contents</w:t>
            </w:r>
          </w:p>
        </w:tc>
        <w:tc>
          <w:tcPr>
            <w:tcW w:w="79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433"/>
        </w:trPr>
        <w:tc>
          <w:tcPr>
            <w:tcW w:w="9140" w:type="dxa"/>
            <w:vAlign w:val="bottom"/>
            <w:gridSpan w:val="2"/>
          </w:tcPr>
          <w:p>
            <w:pPr>
              <w:ind w:left="760"/>
              <w:spacing w:after="0"/>
              <w:rPr>
                <w:sz w:val="20"/>
                <w:szCs w:val="20"/>
                <w:color w:val="auto"/>
              </w:rPr>
            </w:pPr>
            <w:r>
              <w:rPr>
                <w:rFonts w:ascii="Arial" w:cs="Arial" w:eastAsia="Arial" w:hAnsi="Arial"/>
                <w:sz w:val="16"/>
                <w:szCs w:val="16"/>
                <w:color w:val="auto"/>
              </w:rPr>
              <w:t>Future minimum lease payments of the Company’s operating leases as of June 30, 2023 were as follows:</w:t>
            </w:r>
          </w:p>
        </w:tc>
        <w:tc>
          <w:tcPr>
            <w:tcW w:w="7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76"/>
        </w:trPr>
        <w:tc>
          <w:tcPr>
            <w:tcW w:w="1160" w:type="dxa"/>
            <w:vAlign w:val="bottom"/>
          </w:tcPr>
          <w:p>
            <w:pPr>
              <w:spacing w:after="0"/>
              <w:rPr>
                <w:sz w:val="24"/>
                <w:szCs w:val="24"/>
                <w:color w:val="auto"/>
              </w:rPr>
            </w:pPr>
          </w:p>
        </w:tc>
        <w:tc>
          <w:tcPr>
            <w:tcW w:w="79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43"/>
        </w:trPr>
        <w:tc>
          <w:tcPr>
            <w:tcW w:w="116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2023</w:t>
            </w:r>
          </w:p>
        </w:tc>
        <w:tc>
          <w:tcPr>
            <w:tcW w:w="7980" w:type="dxa"/>
            <w:vAlign w:val="bottom"/>
            <w:shd w:val="clear" w:color="auto" w:fill="CFF0FC"/>
          </w:tcPr>
          <w:p>
            <w:pPr>
              <w:spacing w:after="0"/>
              <w:rPr>
                <w:sz w:val="21"/>
                <w:szCs w:val="21"/>
                <w:color w:val="auto"/>
              </w:rPr>
            </w:pPr>
          </w:p>
        </w:tc>
        <w:tc>
          <w:tcPr>
            <w:tcW w:w="780" w:type="dxa"/>
            <w:vAlign w:val="bottom"/>
            <w:shd w:val="clear" w:color="auto" w:fill="CFF0FC"/>
          </w:tcPr>
          <w:p>
            <w:pPr>
              <w:jc w:val="right"/>
              <w:ind w:right="57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w:t>
            </w:r>
          </w:p>
        </w:tc>
        <w:tc>
          <w:tcPr>
            <w:tcW w:w="140" w:type="dxa"/>
            <w:vAlign w:val="bottom"/>
            <w:shd w:val="clear" w:color="auto" w:fill="CFF0FC"/>
          </w:tcPr>
          <w:p>
            <w:pPr>
              <w:spacing w:after="0"/>
              <w:rPr>
                <w:sz w:val="21"/>
                <w:szCs w:val="21"/>
                <w:color w:val="auto"/>
              </w:rPr>
            </w:pPr>
          </w:p>
        </w:tc>
      </w:tr>
      <w:tr>
        <w:trPr>
          <w:trHeight w:val="237"/>
        </w:trPr>
        <w:tc>
          <w:tcPr>
            <w:tcW w:w="1160" w:type="dxa"/>
            <w:vAlign w:val="bottom"/>
          </w:tcPr>
          <w:p>
            <w:pPr>
              <w:ind w:left="20"/>
              <w:spacing w:after="0"/>
              <w:rPr>
                <w:sz w:val="20"/>
                <w:szCs w:val="20"/>
                <w:color w:val="auto"/>
              </w:rPr>
            </w:pPr>
            <w:r>
              <w:rPr>
                <w:rFonts w:ascii="Arial" w:cs="Arial" w:eastAsia="Arial" w:hAnsi="Arial"/>
                <w:sz w:val="18"/>
                <w:szCs w:val="18"/>
                <w:color w:val="auto"/>
              </w:rPr>
              <w:t>2024</w:t>
            </w:r>
          </w:p>
        </w:tc>
        <w:tc>
          <w:tcPr>
            <w:tcW w:w="79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720</w:t>
            </w:r>
          </w:p>
        </w:tc>
        <w:tc>
          <w:tcPr>
            <w:tcW w:w="140" w:type="dxa"/>
            <w:vAlign w:val="bottom"/>
          </w:tcPr>
          <w:p>
            <w:pPr>
              <w:spacing w:after="0"/>
              <w:rPr>
                <w:sz w:val="20"/>
                <w:szCs w:val="20"/>
                <w:color w:val="auto"/>
              </w:rPr>
            </w:pPr>
          </w:p>
        </w:tc>
      </w:tr>
      <w:tr>
        <w:trPr>
          <w:trHeight w:val="249"/>
        </w:trPr>
        <w:tc>
          <w:tcPr>
            <w:tcW w:w="116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2025</w:t>
            </w:r>
          </w:p>
        </w:tc>
        <w:tc>
          <w:tcPr>
            <w:tcW w:w="798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2,452</w:t>
            </w:r>
          </w:p>
        </w:tc>
        <w:tc>
          <w:tcPr>
            <w:tcW w:w="140" w:type="dxa"/>
            <w:vAlign w:val="bottom"/>
            <w:shd w:val="clear" w:color="auto" w:fill="CFF0FC"/>
          </w:tcPr>
          <w:p>
            <w:pPr>
              <w:spacing w:after="0"/>
              <w:rPr>
                <w:sz w:val="21"/>
                <w:szCs w:val="21"/>
                <w:color w:val="auto"/>
              </w:rPr>
            </w:pPr>
          </w:p>
        </w:tc>
      </w:tr>
      <w:tr>
        <w:trPr>
          <w:trHeight w:val="237"/>
        </w:trPr>
        <w:tc>
          <w:tcPr>
            <w:tcW w:w="1160" w:type="dxa"/>
            <w:vAlign w:val="bottom"/>
          </w:tcPr>
          <w:p>
            <w:pPr>
              <w:ind w:left="20"/>
              <w:spacing w:after="0"/>
              <w:rPr>
                <w:sz w:val="20"/>
                <w:szCs w:val="20"/>
                <w:color w:val="auto"/>
              </w:rPr>
            </w:pPr>
            <w:r>
              <w:rPr>
                <w:rFonts w:ascii="Arial" w:cs="Arial" w:eastAsia="Arial" w:hAnsi="Arial"/>
                <w:sz w:val="18"/>
                <w:szCs w:val="18"/>
                <w:color w:val="auto"/>
              </w:rPr>
              <w:t>2026</w:t>
            </w:r>
          </w:p>
        </w:tc>
        <w:tc>
          <w:tcPr>
            <w:tcW w:w="79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2,521</w:t>
            </w:r>
          </w:p>
        </w:tc>
        <w:tc>
          <w:tcPr>
            <w:tcW w:w="140" w:type="dxa"/>
            <w:vAlign w:val="bottom"/>
          </w:tcPr>
          <w:p>
            <w:pPr>
              <w:spacing w:after="0"/>
              <w:rPr>
                <w:sz w:val="20"/>
                <w:szCs w:val="20"/>
                <w:color w:val="auto"/>
              </w:rPr>
            </w:pPr>
          </w:p>
        </w:tc>
      </w:tr>
      <w:tr>
        <w:trPr>
          <w:trHeight w:val="249"/>
        </w:trPr>
        <w:tc>
          <w:tcPr>
            <w:tcW w:w="116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2027</w:t>
            </w:r>
          </w:p>
        </w:tc>
        <w:tc>
          <w:tcPr>
            <w:tcW w:w="798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2,521</w:t>
            </w:r>
          </w:p>
        </w:tc>
        <w:tc>
          <w:tcPr>
            <w:tcW w:w="140" w:type="dxa"/>
            <w:vAlign w:val="bottom"/>
            <w:shd w:val="clear" w:color="auto" w:fill="CFF0FC"/>
          </w:tcPr>
          <w:p>
            <w:pPr>
              <w:spacing w:after="0"/>
              <w:rPr>
                <w:sz w:val="21"/>
                <w:szCs w:val="21"/>
                <w:color w:val="auto"/>
              </w:rPr>
            </w:pPr>
          </w:p>
        </w:tc>
      </w:tr>
      <w:tr>
        <w:trPr>
          <w:trHeight w:val="237"/>
        </w:trPr>
        <w:tc>
          <w:tcPr>
            <w:tcW w:w="9140" w:type="dxa"/>
            <w:vAlign w:val="bottom"/>
            <w:gridSpan w:val="2"/>
          </w:tcPr>
          <w:p>
            <w:pPr>
              <w:ind w:left="20"/>
              <w:spacing w:after="0"/>
              <w:rPr>
                <w:sz w:val="20"/>
                <w:szCs w:val="20"/>
                <w:color w:val="auto"/>
              </w:rPr>
            </w:pPr>
            <w:r>
              <w:rPr>
                <w:rFonts w:ascii="Arial" w:cs="Arial" w:eastAsia="Arial" w:hAnsi="Arial"/>
                <w:sz w:val="18"/>
                <w:szCs w:val="18"/>
                <w:color w:val="auto"/>
              </w:rPr>
              <w:t>Thereafter</w:t>
            </w:r>
          </w:p>
        </w:tc>
        <w:tc>
          <w:tcPr>
            <w:tcW w:w="7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3,204</w:t>
            </w:r>
          </w:p>
        </w:tc>
        <w:tc>
          <w:tcPr>
            <w:tcW w:w="140" w:type="dxa"/>
            <w:vAlign w:val="bottom"/>
          </w:tcPr>
          <w:p>
            <w:pPr>
              <w:spacing w:after="0"/>
              <w:rPr>
                <w:sz w:val="20"/>
                <w:szCs w:val="20"/>
                <w:color w:val="auto"/>
              </w:rPr>
            </w:pPr>
          </w:p>
        </w:tc>
      </w:tr>
      <w:tr>
        <w:trPr>
          <w:trHeight w:val="249"/>
        </w:trPr>
        <w:tc>
          <w:tcPr>
            <w:tcW w:w="914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Total lease payments</w:t>
            </w:r>
          </w:p>
        </w:tc>
        <w:tc>
          <w:tcPr>
            <w:tcW w:w="78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11,559</w:t>
            </w:r>
          </w:p>
        </w:tc>
        <w:tc>
          <w:tcPr>
            <w:tcW w:w="140" w:type="dxa"/>
            <w:vAlign w:val="bottom"/>
            <w:shd w:val="clear" w:color="auto" w:fill="CFF0FC"/>
          </w:tcPr>
          <w:p>
            <w:pPr>
              <w:spacing w:after="0"/>
              <w:rPr>
                <w:sz w:val="21"/>
                <w:szCs w:val="21"/>
                <w:color w:val="auto"/>
              </w:rPr>
            </w:pPr>
          </w:p>
        </w:tc>
      </w:tr>
      <w:tr>
        <w:trPr>
          <w:trHeight w:val="237"/>
        </w:trPr>
        <w:tc>
          <w:tcPr>
            <w:tcW w:w="9140" w:type="dxa"/>
            <w:vAlign w:val="bottom"/>
            <w:gridSpan w:val="2"/>
          </w:tcPr>
          <w:p>
            <w:pPr>
              <w:ind w:left="20"/>
              <w:spacing w:after="0"/>
              <w:rPr>
                <w:sz w:val="20"/>
                <w:szCs w:val="20"/>
                <w:color w:val="auto"/>
              </w:rPr>
            </w:pPr>
            <w:r>
              <w:rPr>
                <w:rFonts w:ascii="Arial" w:cs="Arial" w:eastAsia="Arial" w:hAnsi="Arial"/>
                <w:sz w:val="18"/>
                <w:szCs w:val="18"/>
                <w:color w:val="auto"/>
              </w:rPr>
              <w:t>Less imputed interest</w:t>
            </w:r>
          </w:p>
        </w:tc>
        <w:tc>
          <w:tcPr>
            <w:tcW w:w="780" w:type="dxa"/>
            <w:vAlign w:val="bottom"/>
          </w:tcPr>
          <w:p>
            <w:pPr>
              <w:spacing w:after="0"/>
              <w:rPr>
                <w:sz w:val="20"/>
                <w:szCs w:val="20"/>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(3,669 )</w:t>
            </w:r>
          </w:p>
        </w:tc>
      </w:tr>
      <w:tr>
        <w:trPr>
          <w:trHeight w:val="277"/>
        </w:trPr>
        <w:tc>
          <w:tcPr>
            <w:tcW w:w="9140" w:type="dxa"/>
            <w:vAlign w:val="bottom"/>
            <w:tcBorders>
              <w:bottom w:val="single" w:sz="8" w:color="CFF0FC"/>
            </w:tcBorders>
            <w:gridSpan w:val="2"/>
            <w:shd w:val="clear" w:color="auto" w:fill="CFF0FC"/>
          </w:tcPr>
          <w:p>
            <w:pPr>
              <w:ind w:left="120"/>
              <w:spacing w:after="0"/>
              <w:rPr>
                <w:sz w:val="20"/>
                <w:szCs w:val="20"/>
                <w:color w:val="auto"/>
              </w:rPr>
            </w:pPr>
            <w:r>
              <w:rPr>
                <w:rFonts w:ascii="Arial" w:cs="Arial" w:eastAsia="Arial" w:hAnsi="Arial"/>
                <w:sz w:val="18"/>
                <w:szCs w:val="18"/>
                <w:color w:val="auto"/>
              </w:rPr>
              <w:t>Present value of operating lease liabilities</w:t>
            </w:r>
          </w:p>
        </w:tc>
        <w:tc>
          <w:tcPr>
            <w:tcW w:w="780" w:type="dxa"/>
            <w:vAlign w:val="bottom"/>
            <w:tcBorders>
              <w:top w:val="single" w:sz="8" w:color="auto"/>
              <w:bottom w:val="single" w:sz="8" w:color="auto"/>
            </w:tcBorders>
            <w:shd w:val="clear" w:color="auto" w:fill="CFF0FC"/>
          </w:tcPr>
          <w:p>
            <w:pPr>
              <w:jc w:val="right"/>
              <w:ind w:right="5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7,890</w:t>
            </w:r>
          </w:p>
        </w:tc>
        <w:tc>
          <w:tcPr>
            <w:tcW w:w="14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7051675</wp:posOffset>
            </wp:positionH>
            <wp:positionV relativeFrom="paragraph">
              <wp:posOffset>-25400</wp:posOffset>
            </wp:positionV>
            <wp:extent cx="8572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-7620</wp:posOffset>
            </wp:positionV>
            <wp:extent cx="8572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12. Net Loss per Common Share</w:t>
      </w:r>
    </w:p>
    <w:p>
      <w:pPr>
        <w:spacing w:after="0" w:line="131"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The following table sets forth the computation of basic and diluted net loss per common share (in thousands, except share and per share amounts):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500" w:type="dxa"/>
            <w:vAlign w:val="bottom"/>
            <w:gridSpan w:val="4"/>
          </w:tcPr>
          <w:p>
            <w:pPr>
              <w:jc w:val="right"/>
              <w:ind w:right="695"/>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500" w:type="dxa"/>
            <w:vAlign w:val="bottom"/>
            <w:gridSpan w:val="4"/>
          </w:tcPr>
          <w:p>
            <w:pPr>
              <w:jc w:val="right"/>
              <w:ind w:right="775"/>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85"/>
        </w:trPr>
        <w:tc>
          <w:tcPr>
            <w:tcW w:w="56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rPr>
              <w:t>June 30,</w:t>
            </w:r>
          </w:p>
        </w:tc>
        <w:tc>
          <w:tcPr>
            <w:tcW w:w="106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rPr>
              <w:t>June 30,</w:t>
            </w: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6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2023</w:t>
            </w: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2023</w:t>
            </w: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37"/>
        </w:trPr>
        <w:tc>
          <w:tcPr>
            <w:tcW w:w="5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Basic and diluted net loss per common share:</w:t>
            </w:r>
          </w:p>
        </w:tc>
        <w:tc>
          <w:tcPr>
            <w:tcW w:w="22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640" w:type="dxa"/>
            <w:vAlign w:val="bottom"/>
          </w:tcPr>
          <w:p>
            <w:pPr>
              <w:ind w:left="20"/>
              <w:spacing w:after="0"/>
              <w:rPr>
                <w:sz w:val="20"/>
                <w:szCs w:val="20"/>
                <w:color w:val="auto"/>
              </w:rPr>
            </w:pPr>
            <w:r>
              <w:rPr>
                <w:rFonts w:ascii="Arial" w:cs="Arial" w:eastAsia="Arial" w:hAnsi="Arial"/>
                <w:sz w:val="18"/>
                <w:szCs w:val="18"/>
                <w:color w:val="auto"/>
              </w:rPr>
              <w:t>Net loss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(67,170 )</w:t>
            </w: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(41,438 )</w:t>
            </w: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(78,388 )</w:t>
            </w: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(81,071 )</w:t>
            </w:r>
          </w:p>
        </w:tc>
        <w:tc>
          <w:tcPr>
            <w:tcW w:w="0" w:type="dxa"/>
            <w:vAlign w:val="bottom"/>
          </w:tcPr>
          <w:p>
            <w:pPr>
              <w:spacing w:after="0"/>
              <w:rPr>
                <w:sz w:val="1"/>
                <w:szCs w:val="1"/>
                <w:color w:val="auto"/>
              </w:rPr>
            </w:pPr>
          </w:p>
        </w:tc>
      </w:tr>
      <w:tr>
        <w:trPr>
          <w:trHeight w:val="221"/>
        </w:trPr>
        <w:tc>
          <w:tcPr>
            <w:tcW w:w="5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Weighted average common shares outstanding—basic</w:t>
            </w:r>
          </w:p>
        </w:tc>
        <w:tc>
          <w:tcPr>
            <w:tcW w:w="220" w:type="dxa"/>
            <w:vAlign w:val="bottom"/>
            <w:shd w:val="clear" w:color="auto" w:fill="CFF0FC"/>
          </w:tcPr>
          <w:p>
            <w:pPr>
              <w:spacing w:after="0"/>
              <w:rPr>
                <w:sz w:val="19"/>
                <w:szCs w:val="19"/>
                <w:color w:val="auto"/>
              </w:rPr>
            </w:pPr>
          </w:p>
        </w:tc>
        <w:tc>
          <w:tcPr>
            <w:tcW w:w="1060" w:type="dxa"/>
            <w:vAlign w:val="bottom"/>
            <w:vMerge w:val="restart"/>
            <w:shd w:val="clear" w:color="auto" w:fill="CFF0FC"/>
          </w:tcPr>
          <w:p>
            <w:pPr>
              <w:jc w:val="right"/>
              <w:ind w:right="59"/>
              <w:spacing w:after="0"/>
              <w:rPr>
                <w:sz w:val="20"/>
                <w:szCs w:val="20"/>
                <w:color w:val="auto"/>
              </w:rPr>
            </w:pPr>
            <w:r>
              <w:rPr>
                <w:rFonts w:ascii="Arial" w:cs="Arial" w:eastAsia="Arial" w:hAnsi="Arial"/>
                <w:sz w:val="18"/>
                <w:szCs w:val="18"/>
                <w:color w:val="auto"/>
                <w:w w:val="99"/>
              </w:rPr>
              <w:t>43,669,820</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60" w:type="dxa"/>
            <w:vAlign w:val="bottom"/>
            <w:vMerge w:val="restart"/>
            <w:shd w:val="clear" w:color="auto" w:fill="CFF0FC"/>
          </w:tcPr>
          <w:p>
            <w:pPr>
              <w:jc w:val="right"/>
              <w:ind w:right="55"/>
              <w:spacing w:after="0"/>
              <w:rPr>
                <w:sz w:val="20"/>
                <w:szCs w:val="20"/>
                <w:color w:val="auto"/>
              </w:rPr>
            </w:pPr>
            <w:r>
              <w:rPr>
                <w:rFonts w:ascii="Arial" w:cs="Arial" w:eastAsia="Arial" w:hAnsi="Arial"/>
                <w:sz w:val="18"/>
                <w:szCs w:val="18"/>
                <w:color w:val="auto"/>
                <w:w w:val="99"/>
              </w:rPr>
              <w:t>39,081,100</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60" w:type="dxa"/>
            <w:vAlign w:val="bottom"/>
            <w:vMerge w:val="restart"/>
            <w:shd w:val="clear" w:color="auto" w:fill="CFF0FC"/>
          </w:tcPr>
          <w:p>
            <w:pPr>
              <w:jc w:val="right"/>
              <w:ind w:right="59"/>
              <w:spacing w:after="0"/>
              <w:rPr>
                <w:sz w:val="20"/>
                <w:szCs w:val="20"/>
                <w:color w:val="auto"/>
              </w:rPr>
            </w:pPr>
            <w:r>
              <w:rPr>
                <w:rFonts w:ascii="Arial" w:cs="Arial" w:eastAsia="Arial" w:hAnsi="Arial"/>
                <w:sz w:val="18"/>
                <w:szCs w:val="18"/>
                <w:color w:val="auto"/>
                <w:w w:val="99"/>
              </w:rPr>
              <w:t>43,597,131</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60" w:type="dxa"/>
            <w:vAlign w:val="bottom"/>
            <w:vMerge w:val="restart"/>
            <w:shd w:val="clear" w:color="auto" w:fill="CFF0FC"/>
          </w:tcPr>
          <w:p>
            <w:pPr>
              <w:jc w:val="right"/>
              <w:ind w:right="55"/>
              <w:spacing w:after="0"/>
              <w:rPr>
                <w:sz w:val="20"/>
                <w:szCs w:val="20"/>
                <w:color w:val="auto"/>
              </w:rPr>
            </w:pPr>
            <w:r>
              <w:rPr>
                <w:rFonts w:ascii="Arial" w:cs="Arial" w:eastAsia="Arial" w:hAnsi="Arial"/>
                <w:sz w:val="18"/>
                <w:szCs w:val="18"/>
                <w:color w:val="auto"/>
                <w:w w:val="99"/>
              </w:rPr>
              <w:t>38,704,227</w:t>
            </w:r>
          </w:p>
        </w:tc>
        <w:tc>
          <w:tcPr>
            <w:tcW w:w="0" w:type="dxa"/>
            <w:vAlign w:val="bottom"/>
          </w:tcPr>
          <w:p>
            <w:pPr>
              <w:spacing w:after="0"/>
              <w:rPr>
                <w:sz w:val="1"/>
                <w:szCs w:val="1"/>
                <w:color w:val="auto"/>
              </w:rPr>
            </w:pPr>
          </w:p>
        </w:tc>
      </w:tr>
      <w:tr>
        <w:trPr>
          <w:trHeight w:val="230"/>
        </w:trPr>
        <w:tc>
          <w:tcPr>
            <w:tcW w:w="5640" w:type="dxa"/>
            <w:vAlign w:val="bottom"/>
            <w:tcBorders>
              <w:bottom w:val="single" w:sz="8" w:color="CFF0FC"/>
            </w:tcBorders>
            <w:shd w:val="clear" w:color="auto" w:fill="CFF0FC"/>
          </w:tcPr>
          <w:p>
            <w:pPr>
              <w:ind w:left="160"/>
              <w:spacing w:after="0"/>
              <w:rPr>
                <w:sz w:val="20"/>
                <w:szCs w:val="20"/>
                <w:color w:val="auto"/>
              </w:rPr>
            </w:pPr>
            <w:r>
              <w:rPr>
                <w:rFonts w:ascii="Arial" w:cs="Arial" w:eastAsia="Arial" w:hAnsi="Arial"/>
                <w:sz w:val="18"/>
                <w:szCs w:val="18"/>
                <w:color w:val="auto"/>
              </w:rPr>
              <w:t>and diluted</w:t>
            </w:r>
          </w:p>
        </w:tc>
        <w:tc>
          <w:tcPr>
            <w:tcW w:w="220" w:type="dxa"/>
            <w:vAlign w:val="bottom"/>
            <w:tcBorders>
              <w:bottom w:val="single" w:sz="8" w:color="auto"/>
            </w:tcBorders>
            <w:shd w:val="clear" w:color="auto" w:fill="CFF0FC"/>
          </w:tcPr>
          <w:p>
            <w:pPr>
              <w:spacing w:after="0"/>
              <w:rPr>
                <w:sz w:val="20"/>
                <w:szCs w:val="20"/>
                <w:color w:val="auto"/>
              </w:rPr>
            </w:pPr>
          </w:p>
        </w:tc>
        <w:tc>
          <w:tcPr>
            <w:tcW w:w="1060" w:type="dxa"/>
            <w:vAlign w:val="bottom"/>
            <w:tcBorders>
              <w:bottom w:val="single" w:sz="8" w:color="auto"/>
            </w:tcBorders>
            <w:vMerge w:val="continue"/>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1060" w:type="dxa"/>
            <w:vAlign w:val="bottom"/>
            <w:tcBorders>
              <w:bottom w:val="single" w:sz="8" w:color="auto"/>
            </w:tcBorders>
            <w:vMerge w:val="continue"/>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1060" w:type="dxa"/>
            <w:vAlign w:val="bottom"/>
            <w:tcBorders>
              <w:bottom w:val="single" w:sz="8" w:color="auto"/>
            </w:tcBorders>
            <w:vMerge w:val="continue"/>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1060" w:type="dxa"/>
            <w:vAlign w:val="bottom"/>
            <w:tcBorders>
              <w:bottom w:val="single" w:sz="8" w:color="auto"/>
            </w:tcBorders>
            <w:vMerge w:val="continue"/>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640" w:type="dxa"/>
            <w:vAlign w:val="bottom"/>
          </w:tcPr>
          <w:p>
            <w:pPr>
              <w:ind w:left="20"/>
              <w:spacing w:after="0"/>
              <w:rPr>
                <w:sz w:val="20"/>
                <w:szCs w:val="20"/>
                <w:color w:val="auto"/>
              </w:rPr>
            </w:pPr>
            <w:r>
              <w:rPr>
                <w:rFonts w:ascii="Arial" w:cs="Arial" w:eastAsia="Arial" w:hAnsi="Arial"/>
                <w:sz w:val="18"/>
                <w:szCs w:val="18"/>
                <w:color w:val="auto"/>
              </w:rPr>
              <w:t>Net loss per common share—basic and diluted</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(1.54 )</w:t>
            </w: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(1.06 )</w:t>
            </w: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(1.80 )</w:t>
            </w: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(2.09 )</w:t>
            </w: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4394200</wp:posOffset>
            </wp:positionH>
            <wp:positionV relativeFrom="paragraph">
              <wp:posOffset>-187960</wp:posOffset>
            </wp:positionV>
            <wp:extent cx="102870" cy="18859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02870" cy="18859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-187960</wp:posOffset>
            </wp:positionV>
            <wp:extent cx="102870" cy="18859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02870" cy="18859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-187960</wp:posOffset>
            </wp:positionV>
            <wp:extent cx="102870" cy="18859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02870" cy="188595"/>
                    </a:xfrm>
                    <a:prstGeom prst="rect">
                      <a:avLst/>
                    </a:prstGeom>
                    <a:noFill/>
                  </pic:spPr>
                </pic:pic>
              </a:graphicData>
            </a:graphic>
          </wp:anchor>
        </w:drawing>
      </w:r>
    </w:p>
    <w:p>
      <w:pPr>
        <w:spacing w:after="0" w:line="213" w:lineRule="exact"/>
        <w:rPr>
          <w:sz w:val="20"/>
          <w:szCs w:val="20"/>
          <w:color w:val="auto"/>
        </w:rPr>
      </w:pPr>
    </w:p>
    <w:p>
      <w:pPr>
        <w:jc w:val="both"/>
        <w:ind w:right="40" w:firstLine="749"/>
        <w:spacing w:after="0" w:line="293" w:lineRule="auto"/>
        <w:rPr>
          <w:sz w:val="20"/>
          <w:szCs w:val="20"/>
          <w:color w:val="auto"/>
        </w:rPr>
      </w:pPr>
      <w:r>
        <w:rPr>
          <w:rFonts w:ascii="Arial" w:cs="Arial" w:eastAsia="Arial" w:hAnsi="Arial"/>
          <w:sz w:val="16"/>
          <w:szCs w:val="16"/>
          <w:color w:val="auto"/>
        </w:rPr>
        <w:t>The following potentially dilutive securities outstanding at June 30, 2023 and 2022 have been excluded from the computation of diluted weighted average shares outstanding, as they would be anti-dilutive:</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600" w:type="dxa"/>
            <w:vAlign w:val="bottom"/>
          </w:tcPr>
          <w:p>
            <w:pPr>
              <w:spacing w:after="0"/>
              <w:rPr>
                <w:sz w:val="16"/>
                <w:szCs w:val="16"/>
                <w:color w:val="auto"/>
              </w:rPr>
            </w:pPr>
          </w:p>
        </w:tc>
        <w:tc>
          <w:tcPr>
            <w:tcW w:w="2280" w:type="dxa"/>
            <w:vAlign w:val="bottom"/>
            <w:tcBorders>
              <w:bottom w:val="single" w:sz="8" w:color="auto"/>
            </w:tcBorders>
            <w:gridSpan w:val="3"/>
          </w:tcPr>
          <w:p>
            <w:pPr>
              <w:ind w:left="1500"/>
              <w:spacing w:after="0"/>
              <w:rPr>
                <w:sz w:val="20"/>
                <w:szCs w:val="20"/>
                <w:color w:val="auto"/>
              </w:rPr>
            </w:pPr>
            <w:r>
              <w:rPr>
                <w:rFonts w:ascii="Arial" w:cs="Arial" w:eastAsia="Arial" w:hAnsi="Arial"/>
                <w:sz w:val="14"/>
                <w:szCs w:val="14"/>
                <w:b w:val="1"/>
                <w:bCs w:val="1"/>
                <w:color w:val="auto"/>
              </w:rPr>
              <w:t>June 30,</w:t>
            </w:r>
          </w:p>
        </w:tc>
        <w:tc>
          <w:tcPr>
            <w:tcW w:w="1360" w:type="dxa"/>
            <w:vAlign w:val="bottom"/>
            <w:tcBorders>
              <w:bottom w:val="single" w:sz="8" w:color="auto"/>
            </w:tcBorders>
          </w:tcPr>
          <w:p>
            <w:pPr>
              <w:spacing w:after="0"/>
              <w:rPr>
                <w:sz w:val="16"/>
                <w:szCs w:val="16"/>
                <w:color w:val="auto"/>
              </w:rPr>
            </w:pPr>
          </w:p>
        </w:tc>
      </w:tr>
      <w:tr>
        <w:trPr>
          <w:trHeight w:val="169"/>
        </w:trPr>
        <w:tc>
          <w:tcPr>
            <w:tcW w:w="7600" w:type="dxa"/>
            <w:vAlign w:val="bottom"/>
          </w:tcPr>
          <w:p>
            <w:pPr>
              <w:spacing w:after="0"/>
              <w:rPr>
                <w:sz w:val="14"/>
                <w:szCs w:val="14"/>
                <w:color w:val="auto"/>
              </w:rPr>
            </w:pPr>
          </w:p>
        </w:tc>
        <w:tc>
          <w:tcPr>
            <w:tcW w:w="1720" w:type="dxa"/>
            <w:vAlign w:val="bottom"/>
            <w:tcBorders>
              <w:bottom w:val="single" w:sz="8" w:color="auto"/>
            </w:tcBorders>
          </w:tcPr>
          <w:p>
            <w:pPr>
              <w:jc w:val="right"/>
              <w:ind w:right="696"/>
              <w:spacing w:after="0"/>
              <w:rPr>
                <w:sz w:val="20"/>
                <w:szCs w:val="20"/>
                <w:color w:val="auto"/>
              </w:rPr>
            </w:pPr>
            <w:r>
              <w:rPr>
                <w:rFonts w:ascii="Arial" w:cs="Arial" w:eastAsia="Arial" w:hAnsi="Arial"/>
                <w:sz w:val="14"/>
                <w:szCs w:val="14"/>
                <w:b w:val="1"/>
                <w:bCs w:val="1"/>
                <w:color w:val="auto"/>
              </w:rPr>
              <w:t>2023</w:t>
            </w:r>
          </w:p>
        </w:tc>
        <w:tc>
          <w:tcPr>
            <w:tcW w:w="2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694"/>
              <w:spacing w:after="0"/>
              <w:rPr>
                <w:sz w:val="20"/>
                <w:szCs w:val="20"/>
                <w:color w:val="auto"/>
              </w:rPr>
            </w:pPr>
            <w:r>
              <w:rPr>
                <w:rFonts w:ascii="Arial" w:cs="Arial" w:eastAsia="Arial" w:hAnsi="Arial"/>
                <w:sz w:val="14"/>
                <w:szCs w:val="14"/>
                <w:b w:val="1"/>
                <w:bCs w:val="1"/>
                <w:color w:val="auto"/>
              </w:rPr>
              <w:t>2022</w:t>
            </w:r>
          </w:p>
        </w:tc>
      </w:tr>
      <w:tr>
        <w:trPr>
          <w:trHeight w:val="237"/>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Stock options</w:t>
            </w:r>
          </w:p>
        </w:tc>
        <w:tc>
          <w:tcPr>
            <w:tcW w:w="1720" w:type="dxa"/>
            <w:vAlign w:val="bottom"/>
            <w:shd w:val="clear" w:color="auto" w:fill="CFF0FC"/>
          </w:tcPr>
          <w:p>
            <w:pPr>
              <w:jc w:val="right"/>
              <w:ind w:right="56"/>
              <w:spacing w:after="0"/>
              <w:rPr>
                <w:sz w:val="20"/>
                <w:szCs w:val="20"/>
                <w:color w:val="auto"/>
              </w:rPr>
            </w:pPr>
            <w:r>
              <w:rPr>
                <w:rFonts w:ascii="Arial" w:cs="Arial" w:eastAsia="Arial" w:hAnsi="Arial"/>
                <w:sz w:val="18"/>
                <w:szCs w:val="18"/>
                <w:color w:val="auto"/>
              </w:rPr>
              <w:t>7,930,579</w:t>
            </w:r>
          </w:p>
        </w:tc>
        <w:tc>
          <w:tcPr>
            <w:tcW w:w="20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360" w:type="dxa"/>
            <w:vAlign w:val="bottom"/>
            <w:shd w:val="clear" w:color="auto" w:fill="CFF0FC"/>
          </w:tcPr>
          <w:p>
            <w:pPr>
              <w:jc w:val="right"/>
              <w:ind w:right="74"/>
              <w:spacing w:after="0"/>
              <w:rPr>
                <w:sz w:val="20"/>
                <w:szCs w:val="20"/>
                <w:color w:val="auto"/>
              </w:rPr>
            </w:pPr>
            <w:r>
              <w:rPr>
                <w:rFonts w:ascii="Arial" w:cs="Arial" w:eastAsia="Arial" w:hAnsi="Arial"/>
                <w:sz w:val="18"/>
                <w:szCs w:val="18"/>
                <w:color w:val="auto"/>
              </w:rPr>
              <w:t>6,522,561</w:t>
            </w:r>
          </w:p>
        </w:tc>
      </w:tr>
      <w:tr>
        <w:trPr>
          <w:trHeight w:val="237"/>
        </w:trPr>
        <w:tc>
          <w:tcPr>
            <w:tcW w:w="7600" w:type="dxa"/>
            <w:vAlign w:val="bottom"/>
          </w:tcPr>
          <w:p>
            <w:pPr>
              <w:ind w:left="20"/>
              <w:spacing w:after="0"/>
              <w:rPr>
                <w:sz w:val="20"/>
                <w:szCs w:val="20"/>
                <w:color w:val="auto"/>
              </w:rPr>
            </w:pPr>
            <w:r>
              <w:rPr>
                <w:rFonts w:ascii="Arial" w:cs="Arial" w:eastAsia="Arial" w:hAnsi="Arial"/>
                <w:sz w:val="18"/>
                <w:szCs w:val="18"/>
                <w:color w:val="auto"/>
              </w:rPr>
              <w:t>Restricted stock units</w:t>
            </w:r>
          </w:p>
        </w:tc>
        <w:tc>
          <w:tcPr>
            <w:tcW w:w="1720" w:type="dxa"/>
            <w:vAlign w:val="bottom"/>
          </w:tcPr>
          <w:p>
            <w:pPr>
              <w:jc w:val="right"/>
              <w:ind w:right="56"/>
              <w:spacing w:after="0"/>
              <w:rPr>
                <w:sz w:val="20"/>
                <w:szCs w:val="20"/>
                <w:color w:val="auto"/>
              </w:rPr>
            </w:pPr>
            <w:r>
              <w:rPr>
                <w:rFonts w:ascii="Arial" w:cs="Arial" w:eastAsia="Arial" w:hAnsi="Arial"/>
                <w:sz w:val="18"/>
                <w:szCs w:val="18"/>
                <w:color w:val="auto"/>
              </w:rPr>
              <w:t>776,708</w:t>
            </w: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60" w:type="dxa"/>
            <w:vAlign w:val="bottom"/>
          </w:tcPr>
          <w:p>
            <w:pPr>
              <w:jc w:val="right"/>
              <w:ind w:right="74"/>
              <w:spacing w:after="0"/>
              <w:rPr>
                <w:sz w:val="20"/>
                <w:szCs w:val="20"/>
                <w:color w:val="auto"/>
              </w:rPr>
            </w:pPr>
            <w:r>
              <w:rPr>
                <w:rFonts w:ascii="Arial" w:cs="Arial" w:eastAsia="Arial" w:hAnsi="Arial"/>
                <w:sz w:val="18"/>
                <w:szCs w:val="18"/>
                <w:color w:val="auto"/>
              </w:rPr>
              <w:t>713,311</w:t>
            </w:r>
          </w:p>
        </w:tc>
      </w:tr>
      <w:tr>
        <w:trPr>
          <w:trHeight w:val="243"/>
        </w:trPr>
        <w:tc>
          <w:tcPr>
            <w:tcW w:w="76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Warrants</w:t>
            </w:r>
          </w:p>
        </w:tc>
        <w:tc>
          <w:tcPr>
            <w:tcW w:w="1720" w:type="dxa"/>
            <w:vAlign w:val="bottom"/>
            <w:tcBorders>
              <w:bottom w:val="single" w:sz="8" w:color="auto"/>
            </w:tcBorders>
            <w:shd w:val="clear" w:color="auto" w:fill="CFF0FC"/>
          </w:tcPr>
          <w:p>
            <w:pPr>
              <w:jc w:val="right"/>
              <w:ind w:right="56"/>
              <w:spacing w:after="0"/>
              <w:rPr>
                <w:sz w:val="20"/>
                <w:szCs w:val="20"/>
                <w:color w:val="auto"/>
              </w:rPr>
            </w:pPr>
            <w:r>
              <w:rPr>
                <w:rFonts w:ascii="Arial" w:cs="Arial" w:eastAsia="Arial" w:hAnsi="Arial"/>
                <w:sz w:val="18"/>
                <w:szCs w:val="18"/>
                <w:color w:val="auto"/>
              </w:rPr>
              <w:t>79,220</w:t>
            </w:r>
          </w:p>
        </w:tc>
        <w:tc>
          <w:tcPr>
            <w:tcW w:w="20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ind w:right="74"/>
              <w:spacing w:after="0"/>
              <w:rPr>
                <w:sz w:val="20"/>
                <w:szCs w:val="20"/>
                <w:color w:val="auto"/>
              </w:rPr>
            </w:pPr>
            <w:r>
              <w:rPr>
                <w:rFonts w:ascii="Arial" w:cs="Arial" w:eastAsia="Arial" w:hAnsi="Arial"/>
                <w:sz w:val="18"/>
                <w:szCs w:val="18"/>
                <w:color w:val="auto"/>
              </w:rPr>
              <w:t>50,796</w:t>
            </w:r>
          </w:p>
        </w:tc>
      </w:tr>
      <w:tr>
        <w:trPr>
          <w:trHeight w:val="237"/>
        </w:trPr>
        <w:tc>
          <w:tcPr>
            <w:tcW w:w="7600" w:type="dxa"/>
            <w:vAlign w:val="bottom"/>
          </w:tcPr>
          <w:p>
            <w:pPr>
              <w:ind w:left="20"/>
              <w:spacing w:after="0"/>
              <w:rPr>
                <w:sz w:val="20"/>
                <w:szCs w:val="20"/>
                <w:color w:val="auto"/>
              </w:rPr>
            </w:pPr>
            <w:r>
              <w:rPr>
                <w:rFonts w:ascii="Arial" w:cs="Arial" w:eastAsia="Arial" w:hAnsi="Arial"/>
                <w:sz w:val="18"/>
                <w:szCs w:val="18"/>
                <w:color w:val="auto"/>
              </w:rPr>
              <w:t>Total</w:t>
            </w:r>
          </w:p>
        </w:tc>
        <w:tc>
          <w:tcPr>
            <w:tcW w:w="172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color w:val="auto"/>
              </w:rPr>
              <w:t>8,786,507</w:t>
            </w:r>
          </w:p>
        </w:tc>
        <w:tc>
          <w:tcPr>
            <w:tcW w:w="2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7,286,668</w:t>
            </w:r>
          </w:p>
        </w:tc>
      </w:tr>
      <w:tr>
        <w:trPr>
          <w:trHeight w:val="20"/>
        </w:trPr>
        <w:tc>
          <w:tcPr>
            <w:tcW w:w="760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5920105</wp:posOffset>
            </wp:positionH>
            <wp:positionV relativeFrom="paragraph">
              <wp:posOffset>-187960</wp:posOffset>
            </wp:positionV>
            <wp:extent cx="128905" cy="18859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8905" cy="18859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13. Stockholders’ Equity</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Public Offerings</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At-the-Market Offerings</w:t>
      </w:r>
    </w:p>
    <w:p>
      <w:pPr>
        <w:spacing w:after="0" w:line="235" w:lineRule="exact"/>
        <w:rPr>
          <w:sz w:val="20"/>
          <w:szCs w:val="20"/>
          <w:color w:val="auto"/>
        </w:rPr>
      </w:pPr>
    </w:p>
    <w:p>
      <w:pPr>
        <w:ind w:right="60" w:firstLine="749"/>
        <w:spacing w:after="0" w:line="269" w:lineRule="auto"/>
        <w:rPr>
          <w:sz w:val="20"/>
          <w:szCs w:val="20"/>
          <w:color w:val="auto"/>
        </w:rPr>
      </w:pPr>
      <w:r>
        <w:rPr>
          <w:rFonts w:ascii="Arial" w:cs="Arial" w:eastAsia="Arial" w:hAnsi="Arial"/>
          <w:sz w:val="16"/>
          <w:szCs w:val="16"/>
          <w:color w:val="auto"/>
        </w:rPr>
        <w:t>In December 2019, the Company entered into a sales agreement (the “December 2019 Sales Agreement”) with SVB Securities LLC (now known as Leerink Partners LLC) (“Leerink”), pursuant to which the Company may sell up to $80 million in shares of the Company’s common stock from time to time through Leerink, acting as the Company’s sales agent, in one or more at-the-market offerings utilizing an automatic shelf registration statement (the “2019 Shelf Registration Statement”) the Company filed with the SEC on December 5, 2019 for the issuance of common stock, preferred stock, warrants, rights, debt securities and units. Leerink is entitled to receive a commission of 3.0% of the gross proceeds for any shares sold under the December 2019 Sales Agreement. The December 2019 Sales Agreement was replaced by the March 2022 Sales Agreement (see below).</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4" w:name="page25"/>
    <w:bookmarkEnd w:id="24"/>
    <w:p>
      <w:pPr>
        <w:spacing w:after="0"/>
        <w:rPr>
          <w:sz w:val="20"/>
          <w:szCs w:val="20"/>
          <w:color w:val="auto"/>
        </w:rPr>
      </w:pPr>
      <w:r>
        <w:rPr>
          <w:rFonts w:ascii="Arial" w:cs="Arial" w:eastAsia="Arial" w:hAnsi="Arial"/>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3025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30250" cy="8255"/>
                    </a:xfrm>
                    <a:prstGeom prst="rect">
                      <a:avLst/>
                    </a:prstGeom>
                    <a:noFill/>
                  </pic:spPr>
                </pic:pic>
              </a:graphicData>
            </a:graphic>
          </wp:anchor>
        </w:drawing>
      </w:r>
    </w:p>
    <w:p>
      <w:pPr>
        <w:spacing w:after="0" w:line="215" w:lineRule="exact"/>
        <w:rPr>
          <w:sz w:val="20"/>
          <w:szCs w:val="20"/>
          <w:color w:val="auto"/>
        </w:rPr>
      </w:pPr>
    </w:p>
    <w:p>
      <w:pPr>
        <w:ind w:right="140" w:firstLine="749"/>
        <w:spacing w:after="0" w:line="293" w:lineRule="auto"/>
        <w:rPr>
          <w:sz w:val="20"/>
          <w:szCs w:val="20"/>
          <w:color w:val="auto"/>
        </w:rPr>
      </w:pPr>
      <w:r>
        <w:rPr>
          <w:rFonts w:ascii="Arial" w:cs="Arial" w:eastAsia="Arial" w:hAnsi="Arial"/>
          <w:sz w:val="15"/>
          <w:szCs w:val="15"/>
          <w:color w:val="auto"/>
        </w:rPr>
        <w:t>In March 2022, the Company entered into a sales agreement (the “March 2022 Sales Agreement”) with Leerink, pursuant to which the Company may sell up to $200 million in shares of the Company’s common stock from time to time through Leerink, acting as the Company’s sales agent, in one or more at-the-market offerings utilizing the 2019 Shelf Registration Statement. Leerink is entitled to receive a commission of up to 3.0% of the gross proceeds for any shares sold under the March 2022 Sales Agreement. The March 2022 Sales Agreement supersedes the December 2019 Sales Agreement, dated December 5, 2019, by and between the Company and Leerink. The Company exhausted sales of its shares of the Company’s common stock under its prior at-the-market offering program.</w:t>
      </w:r>
    </w:p>
    <w:p>
      <w:pPr>
        <w:spacing w:after="0" w:line="176" w:lineRule="exact"/>
        <w:rPr>
          <w:sz w:val="20"/>
          <w:szCs w:val="20"/>
          <w:color w:val="auto"/>
        </w:rPr>
      </w:pPr>
    </w:p>
    <w:p>
      <w:pPr>
        <w:ind w:left="760"/>
        <w:spacing w:after="0"/>
        <w:rPr>
          <w:sz w:val="20"/>
          <w:szCs w:val="20"/>
          <w:color w:val="auto"/>
        </w:rPr>
      </w:pPr>
      <w:r>
        <w:rPr>
          <w:rFonts w:ascii="Arial" w:cs="Arial" w:eastAsia="Arial" w:hAnsi="Arial"/>
          <w:sz w:val="15"/>
          <w:szCs w:val="15"/>
          <w:color w:val="auto"/>
        </w:rPr>
        <w:t>In August 2022, the Company filed a prospectus supplement to the 2019 Shelf Registration Statement for the issuance and sale, if any, of up to an additional</w:t>
      </w:r>
    </w:p>
    <w:p>
      <w:pPr>
        <w:spacing w:after="0" w:line="34" w:lineRule="exact"/>
        <w:rPr>
          <w:sz w:val="20"/>
          <w:szCs w:val="20"/>
          <w:color w:val="auto"/>
        </w:rPr>
      </w:pPr>
    </w:p>
    <w:p>
      <w:pPr>
        <w:spacing w:after="0"/>
        <w:rPr>
          <w:sz w:val="20"/>
          <w:szCs w:val="20"/>
          <w:color w:val="auto"/>
        </w:rPr>
      </w:pPr>
      <w:r>
        <w:rPr>
          <w:rFonts w:ascii="Arial" w:cs="Arial" w:eastAsia="Arial" w:hAnsi="Arial"/>
          <w:sz w:val="14"/>
          <w:szCs w:val="14"/>
          <w:color w:val="auto"/>
        </w:rPr>
        <w:t>$250 million in shares of the Company’s common stock. The Company will pay Leerink a commission of up to 3.0% of the gross sales proceeds of any shares sold through</w:t>
      </w:r>
    </w:p>
    <w:p>
      <w:pPr>
        <w:spacing w:after="0" w:line="42" w:lineRule="exact"/>
        <w:rPr>
          <w:sz w:val="20"/>
          <w:szCs w:val="20"/>
          <w:color w:val="auto"/>
        </w:rPr>
      </w:pPr>
    </w:p>
    <w:p>
      <w:pPr>
        <w:spacing w:after="0"/>
        <w:rPr>
          <w:sz w:val="20"/>
          <w:szCs w:val="20"/>
          <w:color w:val="auto"/>
        </w:rPr>
      </w:pPr>
      <w:r>
        <w:rPr>
          <w:rFonts w:ascii="Arial" w:cs="Arial" w:eastAsia="Arial" w:hAnsi="Arial"/>
          <w:sz w:val="16"/>
          <w:szCs w:val="16"/>
          <w:color w:val="auto"/>
        </w:rPr>
        <w:t>Leerink, acting as sales agent, under the March 2022 Sales Agreement.</w:t>
      </w:r>
    </w:p>
    <w:p>
      <w:pPr>
        <w:spacing w:after="0" w:line="231" w:lineRule="exact"/>
        <w:rPr>
          <w:sz w:val="20"/>
          <w:szCs w:val="20"/>
          <w:color w:val="auto"/>
        </w:rPr>
      </w:pPr>
    </w:p>
    <w:p>
      <w:pPr>
        <w:ind w:right="40" w:firstLine="749"/>
        <w:spacing w:after="0" w:line="273" w:lineRule="auto"/>
        <w:rPr>
          <w:sz w:val="20"/>
          <w:szCs w:val="20"/>
          <w:color w:val="auto"/>
        </w:rPr>
      </w:pPr>
      <w:r>
        <w:rPr>
          <w:rFonts w:ascii="Arial" w:cs="Arial" w:eastAsia="Arial" w:hAnsi="Arial"/>
          <w:sz w:val="16"/>
          <w:szCs w:val="16"/>
          <w:color w:val="auto"/>
        </w:rPr>
        <w:t>In December 2022, in connection with the 2022 Shelf Registration Statement (as defined below), the Company filed a new sales agreement prospectus to replace the prior prospectus supplement filed in August 2022 associated with the expired 2019 Shelf Registration Statement. The new sales agreement prospectus covered the issuance and sale by the Company of up to the same $250 million of the Company’s common stock that may be issued and sold from time to time through Leerink, as the Company’s sales agent, under the March 2022 Sales Agreement.</w:t>
      </w:r>
    </w:p>
    <w:p>
      <w:pPr>
        <w:spacing w:after="0" w:line="189"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The Company did not utilize the March 2022 Sales Agreement with Leerink during the six months ended June 30, 2023.</w:t>
      </w:r>
    </w:p>
    <w:p>
      <w:pPr>
        <w:spacing w:after="0" w:line="235" w:lineRule="exact"/>
        <w:rPr>
          <w:sz w:val="20"/>
          <w:szCs w:val="20"/>
          <w:color w:val="auto"/>
        </w:rPr>
      </w:pPr>
    </w:p>
    <w:p>
      <w:pPr>
        <w:ind w:right="40" w:firstLine="749"/>
        <w:spacing w:after="0" w:line="293" w:lineRule="auto"/>
        <w:rPr>
          <w:sz w:val="20"/>
          <w:szCs w:val="20"/>
          <w:color w:val="auto"/>
        </w:rPr>
      </w:pPr>
      <w:r>
        <w:rPr>
          <w:rFonts w:ascii="Arial" w:cs="Arial" w:eastAsia="Arial" w:hAnsi="Arial"/>
          <w:sz w:val="16"/>
          <w:szCs w:val="16"/>
          <w:color w:val="auto"/>
        </w:rPr>
        <w:t>The holders of shares of common stock are entitled to one vote for each share of common stock held at all meetings of stockholders and written actions in lieu of meetings. The holders of shares of common stock are entitled to receive dividends, if and when declared by the board of directors.</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June 2023 Public Offering</w:t>
      </w:r>
    </w:p>
    <w:p>
      <w:pPr>
        <w:spacing w:after="0" w:line="235" w:lineRule="exact"/>
        <w:rPr>
          <w:sz w:val="20"/>
          <w:szCs w:val="20"/>
          <w:color w:val="auto"/>
        </w:rPr>
      </w:pPr>
    </w:p>
    <w:p>
      <w:pPr>
        <w:ind w:right="140" w:firstLine="749"/>
        <w:spacing w:after="0" w:line="271" w:lineRule="auto"/>
        <w:rPr>
          <w:sz w:val="20"/>
          <w:szCs w:val="20"/>
          <w:color w:val="auto"/>
        </w:rPr>
      </w:pPr>
      <w:r>
        <w:rPr>
          <w:rFonts w:ascii="Arial" w:cs="Arial" w:eastAsia="Arial" w:hAnsi="Arial"/>
          <w:sz w:val="16"/>
          <w:szCs w:val="16"/>
          <w:color w:val="auto"/>
        </w:rPr>
        <w:t>In June 2023, the Company completed an underwritten public offering of its common stock (the “June 2023 Public Offering”). The Company sold 3.0 million shares of its common stock at a public offering price of $75.00 per share. The net proceeds were $211.3 million, net of underwriting discounts and commissions of $13.5 million and other offering costs of $0.2 million. Additionally, in connection with this public offering, in July 2023, the underwriters fully exercised their option to purchase 450,000 additional shares of the Company's common stock at a public offering price of $75.00 per share. The net proceeds from the exercise of the option were $31.7 million, net of underwriting discounts and commissions of $2.0 million and other minimal offering costs.</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Shelf Registration Statement</w:t>
      </w:r>
    </w:p>
    <w:p>
      <w:pPr>
        <w:spacing w:after="0" w:line="239" w:lineRule="exact"/>
        <w:rPr>
          <w:sz w:val="20"/>
          <w:szCs w:val="20"/>
          <w:color w:val="auto"/>
        </w:rPr>
      </w:pPr>
    </w:p>
    <w:p>
      <w:pPr>
        <w:ind w:right="340" w:firstLine="749"/>
        <w:spacing w:after="0" w:line="305" w:lineRule="auto"/>
        <w:rPr>
          <w:sz w:val="20"/>
          <w:szCs w:val="20"/>
          <w:color w:val="auto"/>
        </w:rPr>
      </w:pPr>
      <w:r>
        <w:rPr>
          <w:rFonts w:ascii="Arial" w:cs="Arial" w:eastAsia="Arial" w:hAnsi="Arial"/>
          <w:sz w:val="15"/>
          <w:szCs w:val="15"/>
          <w:color w:val="auto"/>
        </w:rPr>
        <w:t>On December 2, 2022, the Company filed an automatic shelf registration statement (“2022 Shelf Registration Statement”) with the SEC for the issuance of common stock, preferred stock, warrants, rights, debt securities and units. It became effective upon filing with the SEC and is currently the Company’s only active shelf registration. Through the date of this report, the Company has not issued common stock pursuant to such shelf registration statement.</w:t>
      </w:r>
    </w:p>
    <w:p>
      <w:pPr>
        <w:spacing w:after="0" w:line="166" w:lineRule="exact"/>
        <w:rPr>
          <w:sz w:val="20"/>
          <w:szCs w:val="20"/>
          <w:color w:val="auto"/>
        </w:rPr>
      </w:pPr>
    </w:p>
    <w:p>
      <w:pPr>
        <w:ind w:right="160" w:firstLine="749"/>
        <w:spacing w:after="0" w:line="273" w:lineRule="auto"/>
        <w:rPr>
          <w:sz w:val="20"/>
          <w:szCs w:val="20"/>
          <w:color w:val="auto"/>
        </w:rPr>
      </w:pPr>
      <w:r>
        <w:rPr>
          <w:rFonts w:ascii="Arial" w:cs="Arial" w:eastAsia="Arial" w:hAnsi="Arial"/>
          <w:sz w:val="16"/>
          <w:szCs w:val="16"/>
          <w:color w:val="auto"/>
        </w:rPr>
        <w:t>Under SEC rules, the 2022 Shelf Registration Statement allows for the potential future offer and sale by the Company, from time to time, in one or more public offerings of an indeterminate amount of the Company’s common stock, preferred stock, debt securities, and units at indeterminate prices. At the time any of the securities covered by the 2022 Shelf Registration Statement are offered for sale, a prospectus supplement will be prepared and filed with the SEC containing specific information about the terms of any such offering.</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Equity Incentive Plans</w:t>
      </w:r>
    </w:p>
    <w:p>
      <w:pPr>
        <w:spacing w:after="0" w:line="239" w:lineRule="exact"/>
        <w:rPr>
          <w:sz w:val="20"/>
          <w:szCs w:val="20"/>
          <w:color w:val="auto"/>
        </w:rPr>
      </w:pPr>
    </w:p>
    <w:p>
      <w:pPr>
        <w:ind w:firstLine="749"/>
        <w:spacing w:after="0" w:line="293" w:lineRule="auto"/>
        <w:rPr>
          <w:sz w:val="20"/>
          <w:szCs w:val="20"/>
          <w:color w:val="auto"/>
        </w:rPr>
      </w:pPr>
      <w:r>
        <w:rPr>
          <w:rFonts w:ascii="Arial" w:cs="Arial" w:eastAsia="Arial" w:hAnsi="Arial"/>
          <w:sz w:val="16"/>
          <w:szCs w:val="16"/>
          <w:color w:val="auto"/>
        </w:rPr>
        <w:t>There were 2,916,940 shares available for the issuance of stock options or stock-based awards under the Company’s 2015 Omnibus Incentive Compensation Plan at June 30, 2023.</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5" w:name="page26"/>
    <w:bookmarkEnd w:id="25"/>
    <w:p>
      <w:pPr>
        <w:spacing w:after="0"/>
        <w:rPr>
          <w:sz w:val="20"/>
          <w:szCs w:val="20"/>
          <w:color w:val="auto"/>
        </w:rPr>
      </w:pPr>
      <w:r>
        <w:rPr>
          <w:rFonts w:ascii="Arial" w:cs="Arial" w:eastAsia="Arial" w:hAnsi="Arial"/>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3025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30250" cy="8255"/>
                    </a:xfrm>
                    <a:prstGeom prst="rect">
                      <a:avLst/>
                    </a:prstGeom>
                    <a:noFill/>
                  </pic:spPr>
                </pic:pic>
              </a:graphicData>
            </a:graphic>
          </wp:anchor>
        </w:drawing>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Stock Options</w:t>
      </w:r>
    </w:p>
    <w:p>
      <w:pPr>
        <w:spacing w:after="0" w:line="239"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The following table sets forth the stock option activity for the six months ended June 30, 2023:</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vMerge w:val="restart"/>
          </w:tcPr>
          <w:p>
            <w:pPr>
              <w:jc w:val="center"/>
              <w:ind w:right="195"/>
              <w:spacing w:after="0"/>
              <w:rPr>
                <w:sz w:val="20"/>
                <w:szCs w:val="20"/>
                <w:color w:val="auto"/>
              </w:rPr>
            </w:pPr>
            <w:r>
              <w:rPr>
                <w:rFonts w:ascii="Arial" w:cs="Arial" w:eastAsia="Arial" w:hAnsi="Arial"/>
                <w:sz w:val="14"/>
                <w:szCs w:val="14"/>
                <w:b w:val="1"/>
                <w:bCs w:val="1"/>
                <w:color w:val="auto"/>
                <w:w w:val="91"/>
              </w:rPr>
              <w:t>Weighted​</w:t>
            </w:r>
          </w:p>
        </w:tc>
        <w:tc>
          <w:tcPr>
            <w:tcW w:w="120" w:type="dxa"/>
            <w:vAlign w:val="bottom"/>
          </w:tcPr>
          <w:p>
            <w:pPr>
              <w:spacing w:after="0"/>
              <w:rPr>
                <w:sz w:val="14"/>
                <w:szCs w:val="14"/>
                <w:color w:val="auto"/>
              </w:rPr>
            </w:pPr>
          </w:p>
        </w:tc>
        <w:tc>
          <w:tcPr>
            <w:tcW w:w="1340" w:type="dxa"/>
            <w:vAlign w:val="bottom"/>
          </w:tcPr>
          <w:p>
            <w:pPr>
              <w:jc w:val="center"/>
              <w:ind w:right="40"/>
              <w:spacing w:after="0"/>
              <w:rPr>
                <w:sz w:val="20"/>
                <w:szCs w:val="20"/>
                <w:color w:val="auto"/>
              </w:rPr>
            </w:pPr>
            <w:r>
              <w:rPr>
                <w:rFonts w:ascii="Arial" w:cs="Arial" w:eastAsia="Arial" w:hAnsi="Arial"/>
                <w:sz w:val="14"/>
                <w:szCs w:val="14"/>
                <w:b w:val="1"/>
                <w:bCs w:val="1"/>
                <w:color w:val="auto"/>
                <w:w w:val="91"/>
              </w:rPr>
              <w:t>Weighted</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vMerge w:val="restart"/>
          </w:tcPr>
          <w:p>
            <w:pPr>
              <w:jc w:val="center"/>
              <w:ind w:right="239"/>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8"/>
        </w:trPr>
        <w:tc>
          <w:tcPr>
            <w:tcW w:w="5580" w:type="dxa"/>
            <w:vAlign w:val="bottom"/>
          </w:tcPr>
          <w:p>
            <w:pPr>
              <w:spacing w:after="0"/>
              <w:rPr>
                <w:sz w:val="12"/>
                <w:szCs w:val="12"/>
                <w:color w:val="auto"/>
              </w:rPr>
            </w:pPr>
          </w:p>
        </w:tc>
        <w:tc>
          <w:tcPr>
            <w:tcW w:w="134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​Number</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average</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58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jc w:val="center"/>
              <w:ind w:right="175"/>
              <w:spacing w:after="0" w:line="149" w:lineRule="exact"/>
              <w:rPr>
                <w:sz w:val="20"/>
                <w:szCs w:val="20"/>
                <w:color w:val="auto"/>
              </w:rPr>
            </w:pPr>
            <w:r>
              <w:rPr>
                <w:rFonts w:ascii="Arial" w:cs="Arial" w:eastAsia="Arial" w:hAnsi="Arial"/>
                <w:sz w:val="14"/>
                <w:szCs w:val="14"/>
                <w:b w:val="1"/>
                <w:bCs w:val="1"/>
                <w:color w:val="auto"/>
                <w:w w:val="90"/>
              </w:rPr>
              <w:t>average</w:t>
            </w:r>
          </w:p>
        </w:tc>
        <w:tc>
          <w:tcPr>
            <w:tcW w:w="120" w:type="dxa"/>
            <w:vAlign w:val="bottom"/>
          </w:tcPr>
          <w:p>
            <w:pPr>
              <w:spacing w:after="0"/>
              <w:rPr>
                <w:sz w:val="12"/>
                <w:szCs w:val="12"/>
                <w:color w:val="auto"/>
              </w:rPr>
            </w:pPr>
          </w:p>
        </w:tc>
        <w:tc>
          <w:tcPr>
            <w:tcW w:w="1340" w:type="dxa"/>
            <w:vAlign w:val="bottom"/>
          </w:tcPr>
          <w:p>
            <w:pPr>
              <w:jc w:val="center"/>
              <w:ind w:right="40"/>
              <w:spacing w:after="0" w:line="149" w:lineRule="exact"/>
              <w:rPr>
                <w:sz w:val="20"/>
                <w:szCs w:val="20"/>
                <w:color w:val="auto"/>
              </w:rPr>
            </w:pPr>
            <w:r>
              <w:rPr>
                <w:rFonts w:ascii="Arial" w:cs="Arial" w:eastAsia="Arial" w:hAnsi="Arial"/>
                <w:sz w:val="14"/>
                <w:szCs w:val="14"/>
                <w:b w:val="1"/>
                <w:bCs w:val="1"/>
                <w:color w:val="auto"/>
                <w:w w:val="92"/>
              </w:rPr>
              <w:t>contractual</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tcPr>
          <w:p>
            <w:pPr>
              <w:jc w:val="center"/>
              <w:ind w:right="239"/>
              <w:spacing w:after="0" w:line="149" w:lineRule="exact"/>
              <w:rPr>
                <w:sz w:val="20"/>
                <w:szCs w:val="20"/>
                <w:color w:val="auto"/>
              </w:rPr>
            </w:pPr>
            <w:r>
              <w:rPr>
                <w:rFonts w:ascii="Arial" w:cs="Arial" w:eastAsia="Arial" w:hAnsi="Arial"/>
                <w:sz w:val="14"/>
                <w:szCs w:val="14"/>
                <w:b w:val="1"/>
                <w:bCs w:val="1"/>
                <w:color w:val="auto"/>
                <w:w w:val="91"/>
              </w:rPr>
              <w:t>intrinsic</w:t>
            </w:r>
          </w:p>
        </w:tc>
        <w:tc>
          <w:tcPr>
            <w:tcW w:w="0" w:type="dxa"/>
            <w:vAlign w:val="bottom"/>
          </w:tcPr>
          <w:p>
            <w:pPr>
              <w:spacing w:after="0"/>
              <w:rPr>
                <w:sz w:val="1"/>
                <w:szCs w:val="1"/>
                <w:color w:val="auto"/>
              </w:rPr>
            </w:pPr>
          </w:p>
        </w:tc>
      </w:tr>
      <w:tr>
        <w:trPr>
          <w:trHeight w:val="185"/>
        </w:trPr>
        <w:tc>
          <w:tcPr>
            <w:tcW w:w="5580" w:type="dxa"/>
            <w:vAlign w:val="bottom"/>
          </w:tcPr>
          <w:p>
            <w:pPr>
              <w:spacing w:after="0"/>
              <w:rPr>
                <w:sz w:val="16"/>
                <w:szCs w:val="16"/>
                <w:color w:val="auto"/>
              </w:rPr>
            </w:pPr>
          </w:p>
        </w:tc>
        <w:tc>
          <w:tcPr>
            <w:tcW w:w="134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of shares</w:t>
            </w:r>
          </w:p>
        </w:tc>
        <w:tc>
          <w:tcPr>
            <w:tcW w:w="1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75"/>
              <w:spacing w:after="0"/>
              <w:rPr>
                <w:sz w:val="20"/>
                <w:szCs w:val="20"/>
                <w:color w:val="auto"/>
              </w:rPr>
            </w:pPr>
            <w:r>
              <w:rPr>
                <w:rFonts w:ascii="Arial" w:cs="Arial" w:eastAsia="Arial" w:hAnsi="Arial"/>
                <w:sz w:val="14"/>
                <w:szCs w:val="14"/>
                <w:b w:val="1"/>
                <w:bCs w:val="1"/>
                <w:color w:val="auto"/>
                <w:w w:val="89"/>
              </w:rPr>
              <w:t>exercise price</w:t>
            </w:r>
          </w:p>
        </w:tc>
        <w:tc>
          <w:tcPr>
            <w:tcW w:w="120" w:type="dxa"/>
            <w:vAlign w:val="bottom"/>
          </w:tcPr>
          <w:p>
            <w:pPr>
              <w:spacing w:after="0"/>
              <w:rPr>
                <w:sz w:val="16"/>
                <w:szCs w:val="16"/>
                <w:color w:val="auto"/>
              </w:rPr>
            </w:pPr>
          </w:p>
        </w:tc>
        <w:tc>
          <w:tcPr>
            <w:tcW w:w="134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w w:val="98"/>
              </w:rPr>
              <w:t>term</w:t>
            </w:r>
          </w:p>
        </w:tc>
        <w:tc>
          <w:tcPr>
            <w:tcW w:w="1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239"/>
              <w:spacing w:after="0"/>
              <w:rPr>
                <w:sz w:val="20"/>
                <w:szCs w:val="20"/>
                <w:color w:val="auto"/>
              </w:rPr>
            </w:pPr>
            <w:r>
              <w:rPr>
                <w:rFonts w:ascii="Arial" w:cs="Arial" w:eastAsia="Arial" w:hAnsi="Arial"/>
                <w:sz w:val="14"/>
                <w:szCs w:val="14"/>
                <w:b w:val="1"/>
                <w:bCs w:val="1"/>
                <w:color w:val="auto"/>
                <w:w w:val="94"/>
              </w:rPr>
              <w:t>value</w:t>
            </w:r>
          </w:p>
        </w:tc>
        <w:tc>
          <w:tcPr>
            <w:tcW w:w="0" w:type="dxa"/>
            <w:vAlign w:val="bottom"/>
          </w:tcPr>
          <w:p>
            <w:pPr>
              <w:spacing w:after="0"/>
              <w:rPr>
                <w:sz w:val="1"/>
                <w:szCs w:val="1"/>
                <w:color w:val="auto"/>
              </w:rPr>
            </w:pPr>
          </w:p>
        </w:tc>
      </w:tr>
      <w:tr>
        <w:trPr>
          <w:trHeight w:val="236"/>
        </w:trPr>
        <w:tc>
          <w:tcPr>
            <w:tcW w:w="5580" w:type="dxa"/>
            <w:vAlign w:val="bottom"/>
            <w:shd w:val="clear" w:color="auto" w:fill="CFF0FC"/>
          </w:tcPr>
          <w:p>
            <w:pPr>
              <w:ind w:left="20"/>
              <w:spacing w:after="0"/>
              <w:rPr>
                <w:sz w:val="20"/>
                <w:szCs w:val="20"/>
                <w:color w:val="auto"/>
              </w:rPr>
            </w:pPr>
            <w:r>
              <w:rPr>
                <w:rFonts w:ascii="Arial" w:cs="Arial" w:eastAsia="Arial" w:hAnsi="Arial"/>
                <w:sz w:val="18"/>
                <w:szCs w:val="18"/>
                <w:color w:val="auto"/>
              </w:rPr>
              <w:t>Outstanding at December 31, 2022</w:t>
            </w:r>
          </w:p>
        </w:tc>
        <w:tc>
          <w:tcPr>
            <w:tcW w:w="134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6,617,728</w:t>
            </w: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ind w:right="75"/>
              <w:spacing w:after="0"/>
              <w:rPr>
                <w:sz w:val="20"/>
                <w:szCs w:val="20"/>
                <w:color w:val="auto"/>
              </w:rPr>
            </w:pPr>
            <w:r>
              <w:rPr>
                <w:rFonts w:ascii="Arial" w:cs="Arial" w:eastAsia="Arial" w:hAnsi="Arial"/>
                <w:sz w:val="18"/>
                <w:szCs w:val="18"/>
                <w:color w:val="auto"/>
              </w:rPr>
              <w:t>31.80</w:t>
            </w:r>
          </w:p>
        </w:tc>
        <w:tc>
          <w:tcPr>
            <w:tcW w:w="12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580" w:type="dxa"/>
            <w:vAlign w:val="bottom"/>
          </w:tcPr>
          <w:p>
            <w:pPr>
              <w:ind w:left="200"/>
              <w:spacing w:after="0"/>
              <w:rPr>
                <w:sz w:val="20"/>
                <w:szCs w:val="20"/>
                <w:color w:val="auto"/>
              </w:rPr>
            </w:pPr>
            <w:r>
              <w:rPr>
                <w:rFonts w:ascii="Arial" w:cs="Arial" w:eastAsia="Arial" w:hAnsi="Arial"/>
                <w:sz w:val="18"/>
                <w:szCs w:val="18"/>
                <w:color w:val="auto"/>
              </w:rPr>
              <w:t>Granted</w:t>
            </w:r>
          </w:p>
        </w:tc>
        <w:tc>
          <w:tcPr>
            <w:tcW w:w="1340" w:type="dxa"/>
            <w:vAlign w:val="bottom"/>
          </w:tcPr>
          <w:p>
            <w:pPr>
              <w:jc w:val="right"/>
              <w:ind w:right="54"/>
              <w:spacing w:after="0"/>
              <w:rPr>
                <w:sz w:val="20"/>
                <w:szCs w:val="20"/>
                <w:color w:val="auto"/>
              </w:rPr>
            </w:pPr>
            <w:r>
              <w:rPr>
                <w:rFonts w:ascii="Arial" w:cs="Arial" w:eastAsia="Arial" w:hAnsi="Arial"/>
                <w:sz w:val="18"/>
                <w:szCs w:val="18"/>
                <w:color w:val="auto"/>
              </w:rPr>
              <w:t>1,738,908</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ind w:right="75"/>
              <w:spacing w:after="0"/>
              <w:rPr>
                <w:sz w:val="20"/>
                <w:szCs w:val="20"/>
                <w:color w:val="auto"/>
              </w:rPr>
            </w:pPr>
            <w:r>
              <w:rPr>
                <w:rFonts w:ascii="Arial" w:cs="Arial" w:eastAsia="Arial" w:hAnsi="Arial"/>
                <w:sz w:val="18"/>
                <w:szCs w:val="18"/>
                <w:color w:val="auto"/>
              </w:rPr>
              <w:t>66.28</w:t>
            </w: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5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Exercised</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(198,874 )</w:t>
            </w:r>
          </w:p>
        </w:tc>
        <w:tc>
          <w:tcPr>
            <w:tcW w:w="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40" w:type="dxa"/>
            <w:vAlign w:val="bottom"/>
            <w:shd w:val="clear" w:color="auto" w:fill="CFF0FC"/>
          </w:tcPr>
          <w:p>
            <w:pPr>
              <w:jc w:val="right"/>
              <w:ind w:right="75"/>
              <w:spacing w:after="0"/>
              <w:rPr>
                <w:sz w:val="20"/>
                <w:szCs w:val="20"/>
                <w:color w:val="auto"/>
              </w:rPr>
            </w:pPr>
            <w:r>
              <w:rPr>
                <w:rFonts w:ascii="Arial" w:cs="Arial" w:eastAsia="Arial" w:hAnsi="Arial"/>
                <w:sz w:val="18"/>
                <w:szCs w:val="18"/>
                <w:color w:val="auto"/>
              </w:rPr>
              <w:t>34.87</w:t>
            </w:r>
          </w:p>
        </w:tc>
        <w:tc>
          <w:tcPr>
            <w:tcW w:w="12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580" w:type="dxa"/>
            <w:vAlign w:val="bottom"/>
            <w:tcBorders>
              <w:bottom w:val="single" w:sz="8" w:color="CFF0FC"/>
            </w:tcBorders>
          </w:tcPr>
          <w:p>
            <w:pPr>
              <w:ind w:left="200"/>
              <w:spacing w:after="0"/>
              <w:rPr>
                <w:sz w:val="20"/>
                <w:szCs w:val="20"/>
                <w:color w:val="auto"/>
              </w:rPr>
            </w:pPr>
            <w:r>
              <w:rPr>
                <w:rFonts w:ascii="Arial" w:cs="Arial" w:eastAsia="Arial" w:hAnsi="Arial"/>
                <w:sz w:val="18"/>
                <w:szCs w:val="18"/>
                <w:color w:val="auto"/>
              </w:rPr>
              <w:t>Forfeited</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(227,183 )</w:t>
            </w:r>
          </w:p>
        </w:tc>
        <w:tc>
          <w:tcPr>
            <w:tcW w:w="160" w:type="dxa"/>
            <w:vAlign w:val="bottom"/>
            <w:tcBorders>
              <w:bottom w:val="single" w:sz="8" w:color="CFF0FC"/>
            </w:tcBorders>
          </w:tcPr>
          <w:p>
            <w:pPr>
              <w:spacing w:after="0"/>
              <w:rPr>
                <w:sz w:val="20"/>
                <w:szCs w:val="20"/>
                <w:color w:val="auto"/>
              </w:rPr>
            </w:pPr>
          </w:p>
        </w:tc>
        <w:tc>
          <w:tcPr>
            <w:tcW w:w="120" w:type="dxa"/>
            <w:vAlign w:val="bottom"/>
            <w:tcBorders>
              <w:bottom w:val="single" w:sz="8" w:color="CFF0FC"/>
            </w:tcBorders>
          </w:tcPr>
          <w:p>
            <w:pPr>
              <w:spacing w:after="0"/>
              <w:rPr>
                <w:sz w:val="20"/>
                <w:szCs w:val="20"/>
                <w:color w:val="auto"/>
              </w:rPr>
            </w:pPr>
          </w:p>
        </w:tc>
        <w:tc>
          <w:tcPr>
            <w:tcW w:w="1140" w:type="dxa"/>
            <w:vAlign w:val="bottom"/>
            <w:tcBorders>
              <w:bottom w:val="single" w:sz="8" w:color="CFF0FC"/>
            </w:tcBorders>
          </w:tcPr>
          <w:p>
            <w:pPr>
              <w:jc w:val="right"/>
              <w:ind w:right="75"/>
              <w:spacing w:after="0"/>
              <w:rPr>
                <w:sz w:val="20"/>
                <w:szCs w:val="20"/>
                <w:color w:val="auto"/>
              </w:rPr>
            </w:pPr>
            <w:r>
              <w:rPr>
                <w:rFonts w:ascii="Arial" w:cs="Arial" w:eastAsia="Arial" w:hAnsi="Arial"/>
                <w:sz w:val="18"/>
                <w:szCs w:val="18"/>
                <w:color w:val="auto"/>
              </w:rPr>
              <w:t>50.45</w:t>
            </w:r>
          </w:p>
        </w:tc>
        <w:tc>
          <w:tcPr>
            <w:tcW w:w="120" w:type="dxa"/>
            <w:vAlign w:val="bottom"/>
            <w:tcBorders>
              <w:bottom w:val="single" w:sz="8" w:color="CFF0FC"/>
            </w:tcBorders>
          </w:tcPr>
          <w:p>
            <w:pPr>
              <w:spacing w:after="0"/>
              <w:rPr>
                <w:sz w:val="20"/>
                <w:szCs w:val="20"/>
                <w:color w:val="auto"/>
              </w:rPr>
            </w:pPr>
          </w:p>
        </w:tc>
        <w:tc>
          <w:tcPr>
            <w:tcW w:w="1340" w:type="dxa"/>
            <w:vAlign w:val="bottom"/>
            <w:tcBorders>
              <w:bottom w:val="single" w:sz="8" w:color="CFF0FC"/>
            </w:tcBorders>
          </w:tcPr>
          <w:p>
            <w:pPr>
              <w:spacing w:after="0"/>
              <w:rPr>
                <w:sz w:val="20"/>
                <w:szCs w:val="20"/>
                <w:color w:val="auto"/>
              </w:rPr>
            </w:pPr>
          </w:p>
        </w:tc>
        <w:tc>
          <w:tcPr>
            <w:tcW w:w="160" w:type="dxa"/>
            <w:vAlign w:val="bottom"/>
            <w:tcBorders>
              <w:bottom w:val="single" w:sz="8" w:color="CFF0FC"/>
            </w:tcBorders>
          </w:tcPr>
          <w:p>
            <w:pPr>
              <w:spacing w:after="0"/>
              <w:rPr>
                <w:sz w:val="20"/>
                <w:szCs w:val="20"/>
                <w:color w:val="auto"/>
              </w:rPr>
            </w:pPr>
          </w:p>
        </w:tc>
        <w:tc>
          <w:tcPr>
            <w:tcW w:w="180" w:type="dxa"/>
            <w:vAlign w:val="bottom"/>
            <w:tcBorders>
              <w:bottom w:val="single" w:sz="8" w:color="CFF0FC"/>
            </w:tcBorders>
          </w:tcPr>
          <w:p>
            <w:pPr>
              <w:spacing w:after="0"/>
              <w:rPr>
                <w:sz w:val="20"/>
                <w:szCs w:val="20"/>
                <w:color w:val="auto"/>
              </w:rPr>
            </w:pPr>
          </w:p>
        </w:tc>
        <w:tc>
          <w:tcPr>
            <w:tcW w:w="1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55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Outstanding at June 30, 2023</w:t>
            </w:r>
          </w:p>
        </w:tc>
        <w:tc>
          <w:tcPr>
            <w:tcW w:w="1340" w:type="dxa"/>
            <w:vAlign w:val="bottom"/>
            <w:tcBorders>
              <w:bottom w:val="single" w:sz="8" w:color="auto"/>
            </w:tcBorders>
            <w:shd w:val="clear" w:color="auto" w:fill="CFF0FC"/>
          </w:tcPr>
          <w:p>
            <w:pPr>
              <w:jc w:val="right"/>
              <w:ind w:right="54"/>
              <w:spacing w:after="0"/>
              <w:rPr>
                <w:sz w:val="20"/>
                <w:szCs w:val="20"/>
                <w:color w:val="auto"/>
              </w:rPr>
            </w:pPr>
            <w:r>
              <w:rPr>
                <w:rFonts w:ascii="Arial" w:cs="Arial" w:eastAsia="Arial" w:hAnsi="Arial"/>
                <w:sz w:val="18"/>
                <w:szCs w:val="18"/>
                <w:color w:val="auto"/>
              </w:rPr>
              <w:t>7,930,579</w:t>
            </w:r>
          </w:p>
        </w:tc>
        <w:tc>
          <w:tcPr>
            <w:tcW w:w="16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ind w:right="75"/>
              <w:spacing w:after="0"/>
              <w:rPr>
                <w:sz w:val="20"/>
                <w:szCs w:val="20"/>
                <w:color w:val="auto"/>
              </w:rPr>
            </w:pPr>
            <w:r>
              <w:rPr>
                <w:rFonts w:ascii="Arial" w:cs="Arial" w:eastAsia="Arial" w:hAnsi="Arial"/>
                <w:sz w:val="18"/>
                <w:szCs w:val="18"/>
                <w:color w:val="auto"/>
              </w:rPr>
              <w:t>38.75</w:t>
            </w:r>
          </w:p>
        </w:tc>
        <w:tc>
          <w:tcPr>
            <w:tcW w:w="120" w:type="dxa"/>
            <w:vAlign w:val="bottom"/>
            <w:tcBorders>
              <w:bottom w:val="single" w:sz="8" w:color="CFF0FC"/>
            </w:tcBorders>
            <w:shd w:val="clear" w:color="auto" w:fill="CFF0FC"/>
          </w:tcPr>
          <w:p>
            <w:pPr>
              <w:spacing w:after="0"/>
              <w:rPr>
                <w:sz w:val="24"/>
                <w:szCs w:val="24"/>
                <w:color w:val="auto"/>
              </w:rPr>
            </w:pPr>
          </w:p>
        </w:tc>
        <w:tc>
          <w:tcPr>
            <w:tcW w:w="1340" w:type="dxa"/>
            <w:vAlign w:val="bottom"/>
            <w:tcBorders>
              <w:bottom w:val="single" w:sz="8" w:color="auto"/>
            </w:tcBorders>
            <w:shd w:val="clear" w:color="auto" w:fill="CFF0FC"/>
          </w:tcPr>
          <w:p>
            <w:pPr>
              <w:jc w:val="right"/>
              <w:ind w:right="60"/>
              <w:spacing w:after="0"/>
              <w:rPr>
                <w:sz w:val="20"/>
                <w:szCs w:val="20"/>
                <w:color w:val="auto"/>
              </w:rPr>
            </w:pPr>
            <w:r>
              <w:rPr>
                <w:rFonts w:ascii="Arial" w:cs="Arial" w:eastAsia="Arial" w:hAnsi="Arial"/>
                <w:sz w:val="18"/>
                <w:szCs w:val="18"/>
                <w:color w:val="auto"/>
              </w:rPr>
              <w:t>7.4</w:t>
            </w:r>
          </w:p>
        </w:tc>
        <w:tc>
          <w:tcPr>
            <w:tcW w:w="16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8"/>
                <w:szCs w:val="18"/>
                <w:color w:val="auto"/>
              </w:rPr>
              <w:t>264,781</w:t>
            </w:r>
          </w:p>
        </w:tc>
        <w:tc>
          <w:tcPr>
            <w:tcW w:w="0" w:type="dxa"/>
            <w:vAlign w:val="bottom"/>
          </w:tcPr>
          <w:p>
            <w:pPr>
              <w:spacing w:after="0"/>
              <w:rPr>
                <w:sz w:val="1"/>
                <w:szCs w:val="1"/>
                <w:color w:val="auto"/>
              </w:rPr>
            </w:pPr>
          </w:p>
        </w:tc>
      </w:tr>
      <w:tr>
        <w:trPr>
          <w:trHeight w:val="224"/>
        </w:trPr>
        <w:tc>
          <w:tcPr>
            <w:tcW w:w="5580" w:type="dxa"/>
            <w:vAlign w:val="bottom"/>
          </w:tcPr>
          <w:p>
            <w:pPr>
              <w:ind w:left="20"/>
              <w:spacing w:after="0"/>
              <w:rPr>
                <w:sz w:val="20"/>
                <w:szCs w:val="20"/>
                <w:color w:val="auto"/>
              </w:rPr>
            </w:pPr>
            <w:r>
              <w:rPr>
                <w:rFonts w:ascii="Arial" w:cs="Arial" w:eastAsia="Arial" w:hAnsi="Arial"/>
                <w:sz w:val="18"/>
                <w:szCs w:val="18"/>
                <w:color w:val="auto"/>
              </w:rPr>
              <w:t>Vested and expected to vest at June 30, 2023</w:t>
            </w:r>
          </w:p>
        </w:tc>
        <w:tc>
          <w:tcPr>
            <w:tcW w:w="134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7,930,579</w:t>
            </w:r>
          </w:p>
        </w:tc>
        <w:tc>
          <w:tcPr>
            <w:tcW w:w="16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ind w:right="75"/>
              <w:spacing w:after="0"/>
              <w:rPr>
                <w:sz w:val="20"/>
                <w:szCs w:val="20"/>
                <w:color w:val="auto"/>
              </w:rPr>
            </w:pPr>
            <w:r>
              <w:rPr>
                <w:rFonts w:ascii="Arial" w:cs="Arial" w:eastAsia="Arial" w:hAnsi="Arial"/>
                <w:sz w:val="18"/>
                <w:szCs w:val="18"/>
                <w:color w:val="auto"/>
              </w:rPr>
              <w:t>38.75</w:t>
            </w:r>
          </w:p>
        </w:tc>
        <w:tc>
          <w:tcPr>
            <w:tcW w:w="120" w:type="dxa"/>
            <w:vAlign w:val="bottom"/>
          </w:tcPr>
          <w:p>
            <w:pPr>
              <w:spacing w:after="0"/>
              <w:rPr>
                <w:sz w:val="19"/>
                <w:szCs w:val="19"/>
                <w:color w:val="auto"/>
              </w:rPr>
            </w:pPr>
          </w:p>
        </w:tc>
        <w:tc>
          <w:tcPr>
            <w:tcW w:w="1340" w:type="dxa"/>
            <w:vAlign w:val="bottom"/>
            <w:tcBorders>
              <w:bottom w:val="single" w:sz="8" w:color="auto"/>
            </w:tcBorders>
          </w:tcPr>
          <w:p>
            <w:pPr>
              <w:jc w:val="right"/>
              <w:ind w:right="60"/>
              <w:spacing w:after="0"/>
              <w:rPr>
                <w:sz w:val="20"/>
                <w:szCs w:val="20"/>
                <w:color w:val="auto"/>
              </w:rPr>
            </w:pPr>
            <w:r>
              <w:rPr>
                <w:rFonts w:ascii="Arial" w:cs="Arial" w:eastAsia="Arial" w:hAnsi="Arial"/>
                <w:sz w:val="18"/>
                <w:szCs w:val="18"/>
                <w:color w:val="auto"/>
              </w:rPr>
              <w:t>7.4</w:t>
            </w:r>
          </w:p>
        </w:tc>
        <w:tc>
          <w:tcPr>
            <w:tcW w:w="16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ind w:right="59"/>
              <w:spacing w:after="0"/>
              <w:rPr>
                <w:sz w:val="20"/>
                <w:szCs w:val="20"/>
                <w:color w:val="auto"/>
              </w:rPr>
            </w:pPr>
            <w:r>
              <w:rPr>
                <w:rFonts w:ascii="Arial" w:cs="Arial" w:eastAsia="Arial" w:hAnsi="Arial"/>
                <w:sz w:val="18"/>
                <w:szCs w:val="18"/>
                <w:color w:val="auto"/>
              </w:rPr>
              <w:t>264,781</w:t>
            </w: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5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Exercisable at June 30, 2023</w:t>
            </w:r>
          </w:p>
        </w:tc>
        <w:tc>
          <w:tcPr>
            <w:tcW w:w="1340" w:type="dxa"/>
            <w:vAlign w:val="bottom"/>
            <w:tcBorders>
              <w:top w:val="single" w:sz="8" w:color="auto"/>
              <w:bottom w:val="single" w:sz="8" w:color="auto"/>
            </w:tcBorders>
            <w:shd w:val="clear" w:color="auto" w:fill="CFF0FC"/>
          </w:tcPr>
          <w:p>
            <w:pPr>
              <w:jc w:val="right"/>
              <w:ind w:right="54"/>
              <w:spacing w:after="0"/>
              <w:rPr>
                <w:sz w:val="20"/>
                <w:szCs w:val="20"/>
                <w:color w:val="auto"/>
              </w:rPr>
            </w:pPr>
            <w:r>
              <w:rPr>
                <w:rFonts w:ascii="Arial" w:cs="Arial" w:eastAsia="Arial" w:hAnsi="Arial"/>
                <w:sz w:val="18"/>
                <w:szCs w:val="18"/>
                <w:color w:val="auto"/>
              </w:rPr>
              <w:t>3,939,866</w:t>
            </w:r>
          </w:p>
        </w:tc>
        <w:tc>
          <w:tcPr>
            <w:tcW w:w="16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FF0FC"/>
          </w:tcPr>
          <w:p>
            <w:pPr>
              <w:jc w:val="right"/>
              <w:ind w:right="75"/>
              <w:spacing w:after="0"/>
              <w:rPr>
                <w:sz w:val="20"/>
                <w:szCs w:val="20"/>
                <w:color w:val="auto"/>
              </w:rPr>
            </w:pPr>
            <w:r>
              <w:rPr>
                <w:rFonts w:ascii="Arial" w:cs="Arial" w:eastAsia="Arial" w:hAnsi="Arial"/>
                <w:sz w:val="18"/>
                <w:szCs w:val="18"/>
                <w:color w:val="auto"/>
              </w:rPr>
              <w:t>24.25</w:t>
            </w:r>
          </w:p>
        </w:tc>
        <w:tc>
          <w:tcPr>
            <w:tcW w:w="120" w:type="dxa"/>
            <w:vAlign w:val="bottom"/>
            <w:tcBorders>
              <w:bottom w:val="single" w:sz="8" w:color="CFF0FC"/>
            </w:tcBorders>
            <w:shd w:val="clear" w:color="auto" w:fill="CFF0FC"/>
          </w:tcPr>
          <w:p>
            <w:pPr>
              <w:spacing w:after="0"/>
              <w:rPr>
                <w:sz w:val="22"/>
                <w:szCs w:val="22"/>
                <w:color w:val="auto"/>
              </w:rPr>
            </w:pPr>
          </w:p>
        </w:tc>
        <w:tc>
          <w:tcPr>
            <w:tcW w:w="1340" w:type="dxa"/>
            <w:vAlign w:val="bottom"/>
            <w:tcBorders>
              <w:top w:val="single" w:sz="8" w:color="auto"/>
              <w:bottom w:val="single" w:sz="8" w:color="auto"/>
            </w:tcBorders>
            <w:shd w:val="clear" w:color="auto" w:fill="CFF0FC"/>
          </w:tcPr>
          <w:p>
            <w:pPr>
              <w:jc w:val="right"/>
              <w:ind w:right="60"/>
              <w:spacing w:after="0"/>
              <w:rPr>
                <w:sz w:val="20"/>
                <w:szCs w:val="20"/>
                <w:color w:val="auto"/>
              </w:rPr>
            </w:pPr>
            <w:r>
              <w:rPr>
                <w:rFonts w:ascii="Arial" w:cs="Arial" w:eastAsia="Arial" w:hAnsi="Arial"/>
                <w:sz w:val="18"/>
                <w:szCs w:val="18"/>
                <w:color w:val="auto"/>
              </w:rPr>
              <w:t>5.7</w:t>
            </w:r>
          </w:p>
        </w:tc>
        <w:tc>
          <w:tcPr>
            <w:tcW w:w="16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FF0FC"/>
          </w:tcPr>
          <w:p>
            <w:pPr>
              <w:jc w:val="right"/>
              <w:ind w:right="59"/>
              <w:spacing w:after="0"/>
              <w:rPr>
                <w:sz w:val="20"/>
                <w:szCs w:val="20"/>
                <w:color w:val="auto"/>
              </w:rPr>
            </w:pPr>
            <w:r>
              <w:rPr>
                <w:rFonts w:ascii="Arial" w:cs="Arial" w:eastAsia="Arial" w:hAnsi="Arial"/>
                <w:sz w:val="18"/>
                <w:szCs w:val="18"/>
                <w:color w:val="auto"/>
              </w:rPr>
              <w:t>188,573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4394200</wp:posOffset>
            </wp:positionH>
            <wp:positionV relativeFrom="paragraph">
              <wp:posOffset>-548005</wp:posOffset>
            </wp:positionV>
            <wp:extent cx="1929130" cy="3689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929130" cy="36893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-25400</wp:posOffset>
            </wp:positionV>
            <wp:extent cx="10287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-7620</wp:posOffset>
            </wp:positionV>
            <wp:extent cx="10287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-25400</wp:posOffset>
            </wp:positionV>
            <wp:extent cx="7747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-7620</wp:posOffset>
            </wp:positionV>
            <wp:extent cx="7747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-25400</wp:posOffset>
            </wp:positionV>
            <wp:extent cx="9461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-7620</wp:posOffset>
            </wp:positionV>
            <wp:extent cx="9461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94615" cy="8255"/>
                    </a:xfrm>
                    <a:prstGeom prst="rect">
                      <a:avLst/>
                    </a:prstGeom>
                    <a:noFill/>
                  </pic:spPr>
                </pic:pic>
              </a:graphicData>
            </a:graphic>
          </wp:anchor>
        </w:drawing>
      </w:r>
    </w:p>
    <w:p>
      <w:pPr>
        <w:spacing w:after="0" w:line="213" w:lineRule="exact"/>
        <w:rPr>
          <w:sz w:val="20"/>
          <w:szCs w:val="20"/>
          <w:color w:val="auto"/>
        </w:rPr>
      </w:pPr>
    </w:p>
    <w:p>
      <w:pPr>
        <w:ind w:right="20" w:firstLine="749"/>
        <w:spacing w:after="0" w:line="289" w:lineRule="auto"/>
        <w:rPr>
          <w:sz w:val="20"/>
          <w:szCs w:val="20"/>
          <w:color w:val="auto"/>
        </w:rPr>
      </w:pPr>
      <w:r>
        <w:rPr>
          <w:rFonts w:ascii="Arial" w:cs="Arial" w:eastAsia="Arial" w:hAnsi="Arial"/>
          <w:sz w:val="15"/>
          <w:szCs w:val="15"/>
          <w:color w:val="auto"/>
        </w:rPr>
        <w:t>The fair value of each stock option grant is estimated on the date of grant using the Black-Scholes option pricing model. The expected term of the Company’s stock options has been determined utilizing the “simplified” method as described in the SEC’s Staff Accounting Bulletin No. 107 relating to stock-based compensation. The simplified method was chosen because the Company has limited historical option exercise experience due to its short operating history. The risk-free interest rate is based on the U.S. Treasury yield in effect at the time of grant for a period approximately equal to the expected term of the award. Expected dividend yield is based on the fact that the Company has never paid cash dividends and does not expect to pay any cash dividends in the foreseeable future. In prior years, expected volatility is based on historical volatilities of similar entities within the Company’s industry which were commensurate with the Company’s expected term assumption. Starting in 2023, the expected volatility was estimated based on historical volatility information of the Company since the Company's initial public offering in 2015.</w:t>
      </w:r>
    </w:p>
    <w:p>
      <w:pPr>
        <w:spacing w:after="0" w:line="180" w:lineRule="exact"/>
        <w:rPr>
          <w:sz w:val="20"/>
          <w:szCs w:val="20"/>
          <w:color w:val="auto"/>
        </w:rPr>
      </w:pPr>
    </w:p>
    <w:p>
      <w:pPr>
        <w:ind w:left="760"/>
        <w:spacing w:after="0"/>
        <w:rPr>
          <w:sz w:val="20"/>
          <w:szCs w:val="20"/>
          <w:color w:val="auto"/>
        </w:rPr>
      </w:pPr>
      <w:r>
        <w:rPr>
          <w:rFonts w:ascii="Arial" w:cs="Arial" w:eastAsia="Arial" w:hAnsi="Arial"/>
          <w:sz w:val="15"/>
          <w:szCs w:val="15"/>
          <w:color w:val="auto"/>
        </w:rPr>
        <w:t>The weighted average grant date fair value of options granted was $52.18 per option for the six months ended June 30, 2023. As of June 30, 2023, there was</w:t>
      </w:r>
    </w:p>
    <w:p>
      <w:pPr>
        <w:spacing w:after="0" w:line="34" w:lineRule="exact"/>
        <w:rPr>
          <w:sz w:val="20"/>
          <w:szCs w:val="20"/>
          <w:color w:val="auto"/>
        </w:rPr>
      </w:pPr>
    </w:p>
    <w:p>
      <w:pPr>
        <w:spacing w:after="0"/>
        <w:rPr>
          <w:sz w:val="20"/>
          <w:szCs w:val="20"/>
          <w:color w:val="auto"/>
        </w:rPr>
      </w:pPr>
      <w:r>
        <w:rPr>
          <w:rFonts w:ascii="Arial" w:cs="Arial" w:eastAsia="Arial" w:hAnsi="Arial"/>
          <w:sz w:val="14"/>
          <w:szCs w:val="14"/>
          <w:color w:val="auto"/>
        </w:rPr>
        <w:t>$153.3 million of total unrecognized compensation cost related to non-vested stock options which is expected to be recognized over a weighted average period of 3.0 years.</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These amounts do not include 6,169 options outstanding as of June 30, 2023, which are performance-based and vest upon the achievement of certain corporate milestones.</w:t>
      </w:r>
    </w:p>
    <w:p>
      <w:pPr>
        <w:spacing w:after="0" w:line="42"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Stock</w:t>
      </w:r>
      <w:r>
        <w:rPr>
          <w:rFonts w:ascii="MS PGothic" w:cs="MS PGothic" w:eastAsia="MS PGothic" w:hAnsi="MS PGothic"/>
          <w:sz w:val="16"/>
          <w:szCs w:val="16"/>
          <w:color w:val="auto"/>
        </w:rPr>
        <w:t>‑</w:t>
      </w:r>
      <w:r>
        <w:rPr>
          <w:rFonts w:ascii="Arial" w:cs="Arial" w:eastAsia="Arial" w:hAnsi="Arial"/>
          <w:sz w:val="16"/>
          <w:szCs w:val="16"/>
          <w:color w:val="auto"/>
        </w:rPr>
        <w:t>based compensation will be measured and recorded if and when it is probable that the milestone will occur.</w:t>
      </w: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Restricted Stock Units</w:t>
      </w:r>
    </w:p>
    <w:p>
      <w:pPr>
        <w:spacing w:after="0" w:line="239" w:lineRule="exact"/>
        <w:rPr>
          <w:sz w:val="20"/>
          <w:szCs w:val="20"/>
          <w:color w:val="auto"/>
        </w:rPr>
      </w:pPr>
    </w:p>
    <w:p>
      <w:pPr>
        <w:ind w:right="80" w:firstLine="749"/>
        <w:spacing w:after="0" w:line="278" w:lineRule="auto"/>
        <w:rPr>
          <w:sz w:val="20"/>
          <w:szCs w:val="20"/>
          <w:color w:val="auto"/>
        </w:rPr>
      </w:pPr>
      <w:r>
        <w:rPr>
          <w:rFonts w:ascii="Arial" w:cs="Arial" w:eastAsia="Arial" w:hAnsi="Arial"/>
          <w:sz w:val="16"/>
          <w:szCs w:val="16"/>
          <w:color w:val="auto"/>
        </w:rPr>
        <w:t>The fair value of RSUs is determined on the date of the grant based on the market price of its shares of common stock as of that date. The fair value of the RSUs is recognized as an expense ratably over the vesting period of four years. As of June 30, 2023, total compensation cost not yet recognized related to unvested RSUs was $27.4 million, which is expected to be recognized over a weighted-average period of 2.9 years.</w:t>
      </w:r>
    </w:p>
    <w:p>
      <w:pPr>
        <w:sectPr>
          <w:pgSz w:w="11900" w:h="16838" w:orient="portrait"/>
          <w:cols w:equalWidth="0" w:num="1">
            <w:col w:w="11240"/>
          </w:cols>
          <w:pgMar w:left="320" w:top="130" w:right="339" w:bottom="1440" w:gutter="0" w:footer="0" w:header="0"/>
        </w:sectPr>
      </w:pPr>
    </w:p>
    <w:p>
      <w:pPr>
        <w:spacing w:after="0" w:line="184" w:lineRule="exact"/>
        <w:rPr>
          <w:sz w:val="20"/>
          <w:szCs w:val="20"/>
          <w:color w:val="auto"/>
        </w:rPr>
      </w:pPr>
    </w:p>
    <w:p>
      <w:pPr>
        <w:jc w:val="right"/>
        <w:ind w:right="980"/>
        <w:spacing w:after="0"/>
        <w:rPr>
          <w:sz w:val="20"/>
          <w:szCs w:val="20"/>
          <w:color w:val="auto"/>
        </w:rPr>
      </w:pPr>
      <w:r>
        <w:rPr>
          <w:rFonts w:ascii="Arial" w:cs="Arial" w:eastAsia="Arial" w:hAnsi="Arial"/>
          <w:sz w:val="16"/>
          <w:szCs w:val="16"/>
          <w:color w:val="auto"/>
        </w:rPr>
        <w:t>The following table sets forth the RSU activity for the six months ended June 30, 2023:</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3720"/>
        <w:spacing w:after="0"/>
        <w:rPr>
          <w:sz w:val="20"/>
          <w:szCs w:val="20"/>
          <w:color w:val="auto"/>
        </w:rPr>
      </w:pP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32320" cy="15430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5" w:lineRule="exact"/>
        <w:rPr>
          <w:sz w:val="20"/>
          <w:szCs w:val="20"/>
          <w:color w:val="auto"/>
        </w:rPr>
      </w:pPr>
    </w:p>
    <w:p>
      <w:pPr>
        <w:ind w:left="20"/>
        <w:spacing w:after="0"/>
        <w:rPr>
          <w:sz w:val="20"/>
          <w:szCs w:val="20"/>
          <w:color w:val="auto"/>
        </w:rPr>
      </w:pPr>
      <w:r>
        <w:rPr>
          <w:rFonts w:ascii="Arial" w:cs="Arial" w:eastAsia="Arial" w:hAnsi="Arial"/>
          <w:sz w:val="18"/>
          <w:szCs w:val="18"/>
          <w:color w:val="auto"/>
        </w:rPr>
        <w:t>Outstanding at December 31, 2022</w:t>
      </w:r>
    </w:p>
    <w:p>
      <w:pPr>
        <w:spacing w:after="0" w:line="3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Granted</w:t>
      </w:r>
    </w:p>
    <w:p>
      <w:pPr>
        <w:spacing w:after="0" w:line="3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5430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Forfeited</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Outstanding at June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8034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Number</w:t>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wp:posOffset>
            </wp:positionH>
            <wp:positionV relativeFrom="paragraph">
              <wp:posOffset>5080</wp:posOffset>
            </wp:positionV>
            <wp:extent cx="108902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089025" cy="8255"/>
                    </a:xfrm>
                    <a:prstGeom prst="rect">
                      <a:avLst/>
                    </a:prstGeom>
                    <a:noFill/>
                  </pic:spPr>
                </pic:pic>
              </a:graphicData>
            </a:graphic>
          </wp:anchor>
        </w:drawing>
      </w:r>
    </w:p>
    <w:p>
      <w:pPr>
        <w:ind w:left="460"/>
        <w:spacing w:after="0"/>
        <w:rPr>
          <w:sz w:val="20"/>
          <w:szCs w:val="20"/>
          <w:color w:val="auto"/>
        </w:rPr>
      </w:pPr>
      <w:r>
        <w:rPr>
          <w:rFonts w:ascii="Arial" w:cs="Arial" w:eastAsia="Arial" w:hAnsi="Arial"/>
          <w:sz w:val="18"/>
          <w:szCs w:val="18"/>
          <w:color w:val="auto"/>
        </w:rPr>
        <w:t>686,375</w:t>
      </w:r>
    </w:p>
    <w:p>
      <w:pPr>
        <w:spacing w:after="0" w:line="3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278,250</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(165,386 )</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(22,531 )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wp:posOffset>
            </wp:positionH>
            <wp:positionV relativeFrom="paragraph">
              <wp:posOffset>23495</wp:posOffset>
            </wp:positionV>
            <wp:extent cx="108902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089025" cy="8255"/>
                    </a:xfrm>
                    <a:prstGeom prst="rect">
                      <a:avLst/>
                    </a:prstGeom>
                    <a:noFill/>
                  </pic:spPr>
                </pic:pic>
              </a:graphicData>
            </a:graphic>
          </wp:anchor>
        </w:drawing>
      </w:r>
    </w:p>
    <w:p>
      <w:pPr>
        <w:spacing w:after="0" w:line="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776,708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480"/>
        <w:spacing w:after="0"/>
        <w:rPr>
          <w:sz w:val="20"/>
          <w:szCs w:val="20"/>
          <w:color w:val="auto"/>
        </w:rPr>
      </w:pPr>
      <w:r>
        <w:rPr>
          <w:rFonts w:ascii="Arial" w:cs="Arial" w:eastAsia="Arial" w:hAnsi="Arial"/>
          <w:sz w:val="14"/>
          <w:szCs w:val="14"/>
          <w:b w:val="1"/>
          <w:bCs w:val="1"/>
          <w:color w:val="auto"/>
        </w:rPr>
        <w:t>Weighted</w:t>
      </w:r>
    </w:p>
    <w:p>
      <w:pPr>
        <w:ind w:left="540"/>
        <w:spacing w:after="0" w:line="226" w:lineRule="auto"/>
        <w:rPr>
          <w:sz w:val="20"/>
          <w:szCs w:val="20"/>
          <w:color w:val="auto"/>
        </w:rPr>
      </w:pPr>
      <w:r>
        <w:rPr>
          <w:rFonts w:ascii="Arial" w:cs="Arial" w:eastAsia="Arial" w:hAnsi="Arial"/>
          <w:sz w:val="14"/>
          <w:szCs w:val="14"/>
          <w:b w:val="1"/>
          <w:bCs w:val="1"/>
          <w:color w:val="auto"/>
        </w:rPr>
        <w:t>average</w:t>
      </w:r>
    </w:p>
    <w:p>
      <w:pPr>
        <w:ind w:left="460"/>
        <w:spacing w:after="0" w:line="221" w:lineRule="auto"/>
        <w:rPr>
          <w:sz w:val="20"/>
          <w:szCs w:val="20"/>
          <w:color w:val="auto"/>
        </w:rPr>
      </w:pPr>
      <w:r>
        <w:rPr>
          <w:rFonts w:ascii="Arial" w:cs="Arial" w:eastAsia="Arial" w:hAnsi="Arial"/>
          <w:sz w:val="14"/>
          <w:szCs w:val="14"/>
          <w:b w:val="1"/>
          <w:bCs w:val="1"/>
          <w:color w:val="auto"/>
        </w:rPr>
        <w:t>grant date</w:t>
      </w:r>
    </w:p>
    <w:p>
      <w:pPr>
        <w:spacing w:after="0" w:line="1" w:lineRule="exact"/>
        <w:rPr>
          <w:sz w:val="20"/>
          <w:szCs w:val="20"/>
          <w:color w:val="auto"/>
        </w:rPr>
      </w:pPr>
    </w:p>
    <w:p>
      <w:pPr>
        <w:ind w:left="480"/>
        <w:spacing w:after="0"/>
        <w:rPr>
          <w:sz w:val="20"/>
          <w:szCs w:val="20"/>
          <w:color w:val="auto"/>
        </w:rPr>
      </w:pPr>
      <w:r>
        <w:rPr>
          <w:rFonts w:ascii="Arial" w:cs="Arial" w:eastAsia="Arial" w:hAnsi="Arial"/>
          <w:sz w:val="14"/>
          <w:szCs w:val="14"/>
          <w:b w:val="1"/>
          <w:bCs w:val="1"/>
          <w:color w:val="auto"/>
        </w:rPr>
        <w:t>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5080</wp:posOffset>
            </wp:positionV>
            <wp:extent cx="108902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089025" cy="8255"/>
                    </a:xfrm>
                    <a:prstGeom prst="rect">
                      <a:avLst/>
                    </a:prstGeom>
                    <a:noFill/>
                  </pic:spPr>
                </pic:pic>
              </a:graphicData>
            </a:graphic>
          </wp:anchor>
        </w:drawing>
      </w:r>
    </w:p>
    <w:p>
      <w:pPr>
        <w:ind w:left="1140" w:hanging="1139"/>
        <w:spacing w:after="0"/>
        <w:tabs>
          <w:tab w:leader="none" w:pos="1140" w:val="left"/>
        </w:tabs>
        <w:numPr>
          <w:ilvl w:val="0"/>
          <w:numId w:val="5"/>
        </w:numPr>
        <w:rPr>
          <w:rFonts w:ascii="Arial" w:cs="Arial" w:eastAsia="Arial" w:hAnsi="Arial"/>
          <w:sz w:val="15"/>
          <w:szCs w:val="15"/>
          <w:color w:val="auto"/>
        </w:rPr>
      </w:pPr>
      <w:r>
        <w:rPr>
          <w:rFonts w:ascii="Arial" w:cs="Arial" w:eastAsia="Arial" w:hAnsi="Arial"/>
          <w:sz w:val="15"/>
          <w:szCs w:val="15"/>
          <w:color w:val="auto"/>
        </w:rPr>
        <w:t>31.80</w:t>
      </w:r>
    </w:p>
    <w:p>
      <w:pPr>
        <w:spacing w:after="0" w:line="70" w:lineRule="exact"/>
        <w:rPr>
          <w:rFonts w:ascii="Arial" w:cs="Arial" w:eastAsia="Arial" w:hAnsi="Arial"/>
          <w:sz w:val="15"/>
          <w:szCs w:val="15"/>
          <w:color w:val="auto"/>
        </w:rPr>
      </w:pPr>
    </w:p>
    <w:p>
      <w:pPr>
        <w:ind w:left="1140"/>
        <w:spacing w:after="0"/>
        <w:rPr>
          <w:rFonts w:ascii="Arial" w:cs="Arial" w:eastAsia="Arial" w:hAnsi="Arial"/>
          <w:sz w:val="15"/>
          <w:szCs w:val="15"/>
          <w:color w:val="auto"/>
        </w:rPr>
      </w:pPr>
      <w:r>
        <w:rPr>
          <w:rFonts w:ascii="Arial" w:cs="Arial" w:eastAsia="Arial" w:hAnsi="Arial"/>
          <w:sz w:val="15"/>
          <w:szCs w:val="15"/>
          <w:color w:val="auto"/>
        </w:rPr>
        <w:t>54.84</w:t>
      </w:r>
    </w:p>
    <w:p>
      <w:pPr>
        <w:spacing w:after="0" w:line="70" w:lineRule="exact"/>
        <w:rPr>
          <w:rFonts w:ascii="Arial" w:cs="Arial" w:eastAsia="Arial" w:hAnsi="Arial"/>
          <w:sz w:val="15"/>
          <w:szCs w:val="15"/>
          <w:color w:val="auto"/>
        </w:rPr>
      </w:pPr>
    </w:p>
    <w:p>
      <w:pPr>
        <w:ind w:left="1140"/>
        <w:spacing w:after="0"/>
        <w:rPr>
          <w:rFonts w:ascii="Arial" w:cs="Arial" w:eastAsia="Arial" w:hAnsi="Arial"/>
          <w:sz w:val="15"/>
          <w:szCs w:val="15"/>
          <w:color w:val="auto"/>
        </w:rPr>
      </w:pPr>
      <w:r>
        <w:rPr>
          <w:rFonts w:ascii="Arial" w:cs="Arial" w:eastAsia="Arial" w:hAnsi="Arial"/>
          <w:sz w:val="15"/>
          <w:szCs w:val="15"/>
          <w:color w:val="auto"/>
        </w:rPr>
        <w:t>30.15</w:t>
      </w:r>
    </w:p>
    <w:p>
      <w:pPr>
        <w:spacing w:after="0" w:line="84" w:lineRule="exact"/>
        <w:rPr>
          <w:sz w:val="20"/>
          <w:szCs w:val="20"/>
          <w:color w:val="auto"/>
        </w:rPr>
      </w:pPr>
    </w:p>
    <w:p>
      <w:pPr>
        <w:jc w:val="right"/>
        <w:ind w:right="160"/>
        <w:spacing w:after="0"/>
        <w:rPr>
          <w:sz w:val="20"/>
          <w:szCs w:val="20"/>
          <w:color w:val="auto"/>
        </w:rPr>
      </w:pPr>
      <w:r>
        <w:rPr>
          <w:rFonts w:ascii="Arial" w:cs="Arial" w:eastAsia="Arial" w:hAnsi="Arial"/>
          <w:sz w:val="18"/>
          <w:szCs w:val="18"/>
          <w:color w:val="auto"/>
        </w:rPr>
        <w:t>46.14</w:t>
      </w:r>
    </w:p>
    <w:p>
      <w:pPr>
        <w:spacing w:after="0" w:line="36" w:lineRule="exact"/>
        <w:rPr>
          <w:sz w:val="20"/>
          <w:szCs w:val="20"/>
          <w:color w:val="auto"/>
        </w:rPr>
      </w:pPr>
    </w:p>
    <w:p>
      <w:pPr>
        <w:ind w:left="1140" w:hanging="1139"/>
        <w:spacing w:after="0"/>
        <w:tabs>
          <w:tab w:leader="none" w:pos="1140" w:val="left"/>
        </w:tabs>
        <w:numPr>
          <w:ilvl w:val="0"/>
          <w:numId w:val="6"/>
        </w:numPr>
        <w:rPr>
          <w:rFonts w:ascii="Arial" w:cs="Arial" w:eastAsia="Arial" w:hAnsi="Arial"/>
          <w:sz w:val="15"/>
          <w:szCs w:val="15"/>
          <w:color w:val="auto"/>
        </w:rPr>
      </w:pPr>
      <w:r>
        <w:rPr>
          <w:rFonts w:ascii="Arial" w:cs="Arial" w:eastAsia="Arial" w:hAnsi="Arial"/>
          <w:sz w:val="15"/>
          <w:szCs w:val="15"/>
          <w:color w:val="auto"/>
        </w:rPr>
        <w:t>39.99</w:t>
      </w:r>
    </w:p>
    <w:p>
      <w:pPr>
        <w:spacing w:after="0" w:line="234" w:lineRule="exact"/>
        <w:rPr>
          <w:sz w:val="20"/>
          <w:szCs w:val="20"/>
          <w:color w:val="auto"/>
        </w:rPr>
      </w:pPr>
    </w:p>
    <w:p>
      <w:pPr>
        <w:sectPr>
          <w:pgSz w:w="11900" w:h="16838" w:orient="portrait"/>
          <w:cols w:equalWidth="0" w:num="3">
            <w:col w:w="7400" w:space="720"/>
            <w:col w:w="1140" w:space="280"/>
            <w:col w:w="1700"/>
          </w:cols>
          <w:pgMar w:left="320" w:top="130" w:right="339" w:bottom="1440" w:gutter="0" w:footer="0" w:header="0"/>
          <w:type w:val="continuous"/>
        </w:sect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26" w:name="page27"/>
    <w:bookmarkEnd w:id="26"/>
    <w:p>
      <w:pPr>
        <w:spacing w:after="0"/>
        <w:rPr>
          <w:sz w:val="20"/>
          <w:szCs w:val="20"/>
          <w:color w:val="auto"/>
        </w:rPr>
      </w:pPr>
      <w:r>
        <w:rPr>
          <w:rFonts w:ascii="Arial" w:cs="Arial" w:eastAsia="Arial" w:hAnsi="Arial"/>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3025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30250" cy="8255"/>
                    </a:xfrm>
                    <a:prstGeom prst="rect">
                      <a:avLst/>
                    </a:prstGeom>
                    <a:noFill/>
                  </pic:spPr>
                </pic:pic>
              </a:graphicData>
            </a:graphic>
          </wp:anchor>
        </w:drawing>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Employee Stock Purchase Plan</w:t>
      </w:r>
    </w:p>
    <w:p>
      <w:pPr>
        <w:spacing w:after="0" w:line="239" w:lineRule="exact"/>
        <w:rPr>
          <w:sz w:val="20"/>
          <w:szCs w:val="20"/>
          <w:color w:val="auto"/>
        </w:rPr>
      </w:pPr>
    </w:p>
    <w:p>
      <w:pPr>
        <w:ind w:right="60" w:firstLine="749"/>
        <w:spacing w:after="0" w:line="297" w:lineRule="auto"/>
        <w:rPr>
          <w:sz w:val="20"/>
          <w:szCs w:val="20"/>
          <w:color w:val="auto"/>
        </w:rPr>
      </w:pPr>
      <w:r>
        <w:rPr>
          <w:rFonts w:ascii="Arial" w:cs="Arial" w:eastAsia="Arial" w:hAnsi="Arial"/>
          <w:sz w:val="15"/>
          <w:szCs w:val="15"/>
          <w:color w:val="auto"/>
        </w:rPr>
        <w:t>The Company’s 2023 Employee Stock Purchase Plan (the “ESPP”) allows employees to purchase shares of the Company’s common stock. The purchase price is equal to 85% of the lower of the closing price of the Company’s common stock on (1) the first day of the offering period or (2) the last day of the offering period. The Company commenced the first offering pursuant to the ESPP on June 1, 2023, and such offering will end on May 31, 2024. During the three and six months ended June 30, 2023, no shares of common stock were purchased pursuant to the ESPP, and $0.2 million of expense was recorded for the same period.</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Stock-based Compensation Expense</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5"/>
          <w:szCs w:val="15"/>
          <w:color w:val="auto"/>
        </w:rPr>
        <w:t>A summary of the allocation of the Company’s stock-based compensation expense for the three and six months ended June 30, 2023 and 2022 is as follows:</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640" w:type="dxa"/>
            <w:vAlign w:val="bottom"/>
          </w:tcPr>
          <w:p>
            <w:pPr>
              <w:ind w:left="2740"/>
              <w:spacing w:after="0"/>
              <w:rPr>
                <w:sz w:val="20"/>
                <w:szCs w:val="20"/>
                <w:color w:val="auto"/>
              </w:rPr>
            </w:pPr>
            <w:r>
              <w:rPr>
                <w:rFonts w:ascii="Arial" w:cs="Arial" w:eastAsia="Arial" w:hAnsi="Arial"/>
                <w:sz w:val="14"/>
                <w:szCs w:val="14"/>
                <w:b w:val="1"/>
                <w:bCs w:val="1"/>
                <w:color w:val="auto"/>
              </w:rPr>
              <w:t>​</w:t>
            </w:r>
          </w:p>
        </w:tc>
        <w:tc>
          <w:tcPr>
            <w:tcW w:w="24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right"/>
              <w:ind w:right="415"/>
              <w:spacing w:after="0"/>
              <w:rPr>
                <w:sz w:val="20"/>
                <w:szCs w:val="20"/>
                <w:color w:val="auto"/>
              </w:rPr>
            </w:pPr>
            <w:r>
              <w:rPr>
                <w:rFonts w:ascii="Arial" w:cs="Arial" w:eastAsia="Arial" w:hAnsi="Arial"/>
                <w:sz w:val="14"/>
                <w:szCs w:val="14"/>
                <w:b w:val="1"/>
                <w:bCs w:val="1"/>
                <w:color w:val="auto"/>
                <w:w w:val="98"/>
              </w:rPr>
              <w:t>Three Months Ended June 30,</w:t>
            </w:r>
          </w:p>
        </w:tc>
        <w:tc>
          <w:tcPr>
            <w:tcW w:w="1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495"/>
              <w:spacing w:after="0"/>
              <w:rPr>
                <w:sz w:val="20"/>
                <w:szCs w:val="20"/>
                <w:color w:val="auto"/>
              </w:rPr>
            </w:pPr>
            <w:r>
              <w:rPr>
                <w:rFonts w:ascii="Arial" w:cs="Arial" w:eastAsia="Arial" w:hAnsi="Arial"/>
                <w:sz w:val="14"/>
                <w:szCs w:val="14"/>
                <w:b w:val="1"/>
                <w:bCs w:val="1"/>
                <w:color w:val="auto"/>
              </w:rPr>
              <w:t>Six Months Ended June 30,</w:t>
            </w:r>
          </w:p>
        </w:tc>
      </w:tr>
      <w:tr>
        <w:trPr>
          <w:trHeight w:val="169"/>
        </w:trPr>
        <w:tc>
          <w:tcPr>
            <w:tcW w:w="5640" w:type="dxa"/>
            <w:vAlign w:val="bottom"/>
          </w:tcPr>
          <w:p>
            <w:pPr>
              <w:ind w:left="2740"/>
              <w:spacing w:after="0"/>
              <w:rPr>
                <w:sz w:val="20"/>
                <w:szCs w:val="20"/>
                <w:color w:val="auto"/>
              </w:rPr>
            </w:pPr>
            <w:r>
              <w:rPr>
                <w:rFonts w:ascii="Arial" w:cs="Arial" w:eastAsia="Arial" w:hAnsi="Arial"/>
                <w:sz w:val="14"/>
                <w:szCs w:val="14"/>
                <w:b w:val="1"/>
                <w:bCs w:val="1"/>
                <w:color w:val="auto"/>
              </w:rPr>
              <w:t>​</w:t>
            </w:r>
          </w:p>
        </w:tc>
        <w:tc>
          <w:tcPr>
            <w:tcW w:w="2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2023</w:t>
            </w:r>
          </w:p>
        </w:tc>
        <w:tc>
          <w:tcPr>
            <w:tcW w:w="1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2023</w:t>
            </w:r>
          </w:p>
        </w:tc>
        <w:tc>
          <w:tcPr>
            <w:tcW w:w="1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2022</w:t>
            </w:r>
          </w:p>
        </w:tc>
      </w:tr>
      <w:tr>
        <w:trPr>
          <w:trHeight w:val="237"/>
        </w:trPr>
        <w:tc>
          <w:tcPr>
            <w:tcW w:w="5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Research and development</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ind w:right="57"/>
              <w:spacing w:after="0"/>
              <w:rPr>
                <w:sz w:val="20"/>
                <w:szCs w:val="20"/>
                <w:color w:val="auto"/>
              </w:rPr>
            </w:pPr>
            <w:r>
              <w:rPr>
                <w:rFonts w:ascii="Arial" w:cs="Arial" w:eastAsia="Arial" w:hAnsi="Arial"/>
                <w:sz w:val="18"/>
                <w:szCs w:val="18"/>
                <w:color w:val="auto"/>
              </w:rPr>
              <w:t>3,238</w:t>
            </w:r>
          </w:p>
        </w:tc>
        <w:tc>
          <w:tcPr>
            <w:tcW w:w="16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rPr>
              <w:t>2,680</w:t>
            </w:r>
          </w:p>
        </w:tc>
        <w:tc>
          <w:tcPr>
            <w:tcW w:w="16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ind w:right="57"/>
              <w:spacing w:after="0"/>
              <w:rPr>
                <w:sz w:val="20"/>
                <w:szCs w:val="20"/>
                <w:color w:val="auto"/>
              </w:rPr>
            </w:pPr>
            <w:r>
              <w:rPr>
                <w:rFonts w:ascii="Arial" w:cs="Arial" w:eastAsia="Arial" w:hAnsi="Arial"/>
                <w:sz w:val="18"/>
                <w:szCs w:val="18"/>
                <w:color w:val="auto"/>
              </w:rPr>
              <w:t>5,652</w:t>
            </w:r>
          </w:p>
        </w:tc>
        <w:tc>
          <w:tcPr>
            <w:tcW w:w="16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rPr>
              <w:t>4,489</w:t>
            </w:r>
          </w:p>
        </w:tc>
      </w:tr>
      <w:tr>
        <w:trPr>
          <w:trHeight w:val="237"/>
        </w:trPr>
        <w:tc>
          <w:tcPr>
            <w:tcW w:w="5640" w:type="dxa"/>
            <w:vAlign w:val="bottom"/>
          </w:tcPr>
          <w:p>
            <w:pPr>
              <w:ind w:left="20"/>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57"/>
              <w:spacing w:after="0"/>
              <w:rPr>
                <w:sz w:val="20"/>
                <w:szCs w:val="20"/>
                <w:color w:val="auto"/>
              </w:rPr>
            </w:pPr>
            <w:r>
              <w:rPr>
                <w:rFonts w:ascii="Arial" w:cs="Arial" w:eastAsia="Arial" w:hAnsi="Arial"/>
                <w:sz w:val="18"/>
                <w:szCs w:val="18"/>
                <w:color w:val="auto"/>
              </w:rPr>
              <w:t>12,684</w:t>
            </w:r>
          </w:p>
        </w:tc>
        <w:tc>
          <w:tcPr>
            <w:tcW w:w="1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7,482</w:t>
            </w:r>
          </w:p>
        </w:tc>
        <w:tc>
          <w:tcPr>
            <w:tcW w:w="1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57"/>
              <w:spacing w:after="0"/>
              <w:rPr>
                <w:sz w:val="20"/>
                <w:szCs w:val="20"/>
                <w:color w:val="auto"/>
              </w:rPr>
            </w:pPr>
            <w:r>
              <w:rPr>
                <w:rFonts w:ascii="Arial" w:cs="Arial" w:eastAsia="Arial" w:hAnsi="Arial"/>
                <w:sz w:val="18"/>
                <w:szCs w:val="18"/>
                <w:color w:val="auto"/>
              </w:rPr>
              <w:t>23,213</w:t>
            </w:r>
          </w:p>
        </w:tc>
        <w:tc>
          <w:tcPr>
            <w:tcW w:w="1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13,271</w:t>
            </w:r>
          </w:p>
        </w:tc>
      </w:tr>
      <w:tr>
        <w:trPr>
          <w:trHeight w:val="276"/>
        </w:trPr>
        <w:tc>
          <w:tcPr>
            <w:tcW w:w="56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ind w:right="57"/>
              <w:spacing w:after="0"/>
              <w:rPr>
                <w:sz w:val="20"/>
                <w:szCs w:val="20"/>
                <w:color w:val="auto"/>
              </w:rPr>
            </w:pPr>
            <w:r>
              <w:rPr>
                <w:rFonts w:ascii="Arial" w:cs="Arial" w:eastAsia="Arial" w:hAnsi="Arial"/>
                <w:sz w:val="18"/>
                <w:szCs w:val="18"/>
                <w:color w:val="auto"/>
              </w:rPr>
              <w:t>15,922</w:t>
            </w:r>
          </w:p>
        </w:tc>
        <w:tc>
          <w:tcPr>
            <w:tcW w:w="16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ind w:right="55"/>
              <w:spacing w:after="0"/>
              <w:rPr>
                <w:sz w:val="20"/>
                <w:szCs w:val="20"/>
                <w:color w:val="auto"/>
              </w:rPr>
            </w:pPr>
            <w:r>
              <w:rPr>
                <w:rFonts w:ascii="Arial" w:cs="Arial" w:eastAsia="Arial" w:hAnsi="Arial"/>
                <w:sz w:val="18"/>
                <w:szCs w:val="18"/>
                <w:color w:val="auto"/>
              </w:rPr>
              <w:t>10,162</w:t>
            </w:r>
          </w:p>
        </w:tc>
        <w:tc>
          <w:tcPr>
            <w:tcW w:w="16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ind w:right="57"/>
              <w:spacing w:after="0"/>
              <w:rPr>
                <w:sz w:val="20"/>
                <w:szCs w:val="20"/>
                <w:color w:val="auto"/>
              </w:rPr>
            </w:pPr>
            <w:r>
              <w:rPr>
                <w:rFonts w:ascii="Arial" w:cs="Arial" w:eastAsia="Arial" w:hAnsi="Arial"/>
                <w:sz w:val="18"/>
                <w:szCs w:val="18"/>
                <w:color w:val="auto"/>
              </w:rPr>
              <w:t>28,865</w:t>
            </w:r>
          </w:p>
        </w:tc>
        <w:tc>
          <w:tcPr>
            <w:tcW w:w="16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ind w:right="55"/>
              <w:spacing w:after="0"/>
              <w:rPr>
                <w:sz w:val="20"/>
                <w:szCs w:val="20"/>
                <w:color w:val="auto"/>
              </w:rPr>
            </w:pPr>
            <w:r>
              <w:rPr>
                <w:rFonts w:ascii="Arial" w:cs="Arial" w:eastAsia="Arial" w:hAnsi="Arial"/>
                <w:sz w:val="18"/>
                <w:szCs w:val="18"/>
                <w:color w:val="auto"/>
              </w:rPr>
              <w:t>17,760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4394200</wp:posOffset>
            </wp:positionH>
            <wp:positionV relativeFrom="paragraph">
              <wp:posOffset>-24765</wp:posOffset>
            </wp:positionV>
            <wp:extent cx="10287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-7620</wp:posOffset>
            </wp:positionV>
            <wp:extent cx="10287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-24765</wp:posOffset>
            </wp:positionV>
            <wp:extent cx="10287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-7620</wp:posOffset>
            </wp:positionV>
            <wp:extent cx="10287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-24765</wp:posOffset>
            </wp:positionV>
            <wp:extent cx="10287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-7620</wp:posOffset>
            </wp:positionV>
            <wp:extent cx="10287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Warrants</w:t>
      </w:r>
    </w:p>
    <w:p>
      <w:pPr>
        <w:spacing w:after="0" w:line="239"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The following table summarizes warrant activity for the six months ended June 30, 2023:</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04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80" w:type="dxa"/>
            <w:vAlign w:val="bottom"/>
          </w:tcPr>
          <w:p>
            <w:pPr>
              <w:jc w:val="center"/>
              <w:ind w:right="298"/>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75"/>
        </w:trPr>
        <w:tc>
          <w:tcPr>
            <w:tcW w:w="404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80" w:type="dxa"/>
            <w:vAlign w:val="bottom"/>
          </w:tcPr>
          <w:p>
            <w:pPr>
              <w:jc w:val="center"/>
              <w:ind w:right="278"/>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85"/>
        </w:trPr>
        <w:tc>
          <w:tcPr>
            <w:tcW w:w="4040" w:type="dxa"/>
            <w:vAlign w:val="bottom"/>
          </w:tcPr>
          <w:p>
            <w:pPr>
              <w:spacing w:after="0"/>
              <w:rPr>
                <w:sz w:val="16"/>
                <w:szCs w:val="16"/>
                <w:color w:val="auto"/>
              </w:rPr>
            </w:pPr>
          </w:p>
        </w:tc>
        <w:tc>
          <w:tcPr>
            <w:tcW w:w="3560" w:type="dxa"/>
            <w:vAlign w:val="bottom"/>
          </w:tcPr>
          <w:p>
            <w:pPr>
              <w:spacing w:after="0"/>
              <w:rPr>
                <w:sz w:val="16"/>
                <w:szCs w:val="16"/>
                <w:color w:val="auto"/>
              </w:rPr>
            </w:pPr>
          </w:p>
        </w:tc>
        <w:tc>
          <w:tcPr>
            <w:tcW w:w="172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Warrants</w:t>
            </w:r>
          </w:p>
        </w:tc>
        <w:tc>
          <w:tcPr>
            <w:tcW w:w="2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center"/>
              <w:ind w:right="278"/>
              <w:spacing w:after="0"/>
              <w:rPr>
                <w:sz w:val="20"/>
                <w:szCs w:val="20"/>
                <w:color w:val="auto"/>
              </w:rPr>
            </w:pPr>
            <w:r>
              <w:rPr>
                <w:rFonts w:ascii="Arial" w:cs="Arial" w:eastAsia="Arial" w:hAnsi="Arial"/>
                <w:sz w:val="14"/>
                <w:szCs w:val="14"/>
                <w:b w:val="1"/>
                <w:bCs w:val="1"/>
                <w:color w:val="auto"/>
                <w:w w:val="89"/>
              </w:rPr>
              <w:t>exercise price</w:t>
            </w:r>
          </w:p>
        </w:tc>
        <w:tc>
          <w:tcPr>
            <w:tcW w:w="0" w:type="dxa"/>
            <w:vAlign w:val="bottom"/>
          </w:tcPr>
          <w:p>
            <w:pPr>
              <w:spacing w:after="0"/>
              <w:rPr>
                <w:sz w:val="1"/>
                <w:szCs w:val="1"/>
                <w:color w:val="auto"/>
              </w:rPr>
            </w:pPr>
          </w:p>
        </w:tc>
      </w:tr>
      <w:tr>
        <w:trPr>
          <w:trHeight w:val="237"/>
        </w:trPr>
        <w:tc>
          <w:tcPr>
            <w:tcW w:w="4040" w:type="dxa"/>
            <w:vAlign w:val="bottom"/>
            <w:shd w:val="clear" w:color="auto" w:fill="CFF0FC"/>
          </w:tcPr>
          <w:p>
            <w:pPr>
              <w:ind w:left="20"/>
              <w:spacing w:after="0"/>
              <w:rPr>
                <w:sz w:val="20"/>
                <w:szCs w:val="20"/>
                <w:color w:val="auto"/>
              </w:rPr>
            </w:pPr>
            <w:r>
              <w:rPr>
                <w:rFonts w:ascii="Arial" w:cs="Arial" w:eastAsia="Arial" w:hAnsi="Arial"/>
                <w:sz w:val="18"/>
                <w:szCs w:val="18"/>
                <w:color w:val="auto"/>
              </w:rPr>
              <w:t>Outstanding at December 31, 2022</w:t>
            </w:r>
          </w:p>
        </w:tc>
        <w:tc>
          <w:tcPr>
            <w:tcW w:w="3560" w:type="dxa"/>
            <w:vAlign w:val="bottom"/>
            <w:shd w:val="clear" w:color="auto" w:fill="CFF0FC"/>
          </w:tcPr>
          <w:p>
            <w:pPr>
              <w:spacing w:after="0"/>
              <w:rPr>
                <w:sz w:val="20"/>
                <w:szCs w:val="20"/>
                <w:color w:val="auto"/>
              </w:rPr>
            </w:pPr>
          </w:p>
        </w:tc>
        <w:tc>
          <w:tcPr>
            <w:tcW w:w="1720" w:type="dxa"/>
            <w:vAlign w:val="bottom"/>
            <w:shd w:val="clear" w:color="auto" w:fill="CFF0FC"/>
          </w:tcPr>
          <w:p>
            <w:pPr>
              <w:jc w:val="right"/>
              <w:ind w:right="56"/>
              <w:spacing w:after="0"/>
              <w:rPr>
                <w:sz w:val="20"/>
                <w:szCs w:val="20"/>
                <w:color w:val="auto"/>
              </w:rPr>
            </w:pPr>
            <w:r>
              <w:rPr>
                <w:rFonts w:ascii="Arial" w:cs="Arial" w:eastAsia="Arial" w:hAnsi="Arial"/>
                <w:sz w:val="18"/>
                <w:szCs w:val="18"/>
                <w:color w:val="auto"/>
              </w:rPr>
              <w:t>50,796</w:t>
            </w:r>
          </w:p>
        </w:tc>
        <w:tc>
          <w:tcPr>
            <w:tcW w:w="20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FF0FC"/>
          </w:tcPr>
          <w:p>
            <w:pPr>
              <w:jc w:val="right"/>
              <w:ind w:right="78"/>
              <w:spacing w:after="0"/>
              <w:rPr>
                <w:sz w:val="20"/>
                <w:szCs w:val="20"/>
                <w:color w:val="auto"/>
              </w:rPr>
            </w:pPr>
            <w:r>
              <w:rPr>
                <w:rFonts w:ascii="Arial" w:cs="Arial" w:eastAsia="Arial" w:hAnsi="Arial"/>
                <w:sz w:val="18"/>
                <w:szCs w:val="18"/>
                <w:color w:val="auto"/>
              </w:rPr>
              <w:t>46.75</w:t>
            </w:r>
          </w:p>
        </w:tc>
        <w:tc>
          <w:tcPr>
            <w:tcW w:w="0" w:type="dxa"/>
            <w:vAlign w:val="bottom"/>
          </w:tcPr>
          <w:p>
            <w:pPr>
              <w:spacing w:after="0"/>
              <w:rPr>
                <w:sz w:val="1"/>
                <w:szCs w:val="1"/>
                <w:color w:val="auto"/>
              </w:rPr>
            </w:pPr>
          </w:p>
        </w:tc>
      </w:tr>
      <w:tr>
        <w:trPr>
          <w:trHeight w:val="237"/>
        </w:trPr>
        <w:tc>
          <w:tcPr>
            <w:tcW w:w="4040" w:type="dxa"/>
            <w:vAlign w:val="bottom"/>
          </w:tcPr>
          <w:p>
            <w:pPr>
              <w:ind w:left="200"/>
              <w:spacing w:after="0"/>
              <w:rPr>
                <w:sz w:val="20"/>
                <w:szCs w:val="20"/>
                <w:color w:val="auto"/>
              </w:rPr>
            </w:pPr>
            <w:r>
              <w:rPr>
                <w:rFonts w:ascii="Arial" w:cs="Arial" w:eastAsia="Arial" w:hAnsi="Arial"/>
                <w:sz w:val="18"/>
                <w:szCs w:val="18"/>
                <w:color w:val="auto"/>
              </w:rPr>
              <w:t>Issued</w:t>
            </w:r>
          </w:p>
        </w:tc>
        <w:tc>
          <w:tcPr>
            <w:tcW w:w="5280" w:type="dxa"/>
            <w:vAlign w:val="bottom"/>
            <w:gridSpan w:val="2"/>
          </w:tcPr>
          <w:p>
            <w:pPr>
              <w:jc w:val="right"/>
              <w:ind w:right="56"/>
              <w:spacing w:after="0"/>
              <w:rPr>
                <w:sz w:val="20"/>
                <w:szCs w:val="20"/>
                <w:color w:val="auto"/>
              </w:rPr>
            </w:pPr>
            <w:r>
              <w:rPr>
                <w:rFonts w:ascii="Arial" w:cs="Arial" w:eastAsia="Arial" w:hAnsi="Arial"/>
                <w:sz w:val="18"/>
                <w:szCs w:val="18"/>
                <w:color w:val="auto"/>
              </w:rPr>
              <w:t>28,424</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right"/>
              <w:ind w:right="78"/>
              <w:spacing w:after="0"/>
              <w:rPr>
                <w:sz w:val="20"/>
                <w:szCs w:val="20"/>
                <w:color w:val="auto"/>
              </w:rPr>
            </w:pPr>
            <w:r>
              <w:rPr>
                <w:rFonts w:ascii="Arial" w:cs="Arial" w:eastAsia="Arial" w:hAnsi="Arial"/>
                <w:sz w:val="18"/>
                <w:szCs w:val="18"/>
                <w:color w:val="auto"/>
              </w:rPr>
              <w:t>74.75</w:t>
            </w:r>
          </w:p>
        </w:tc>
        <w:tc>
          <w:tcPr>
            <w:tcW w:w="0" w:type="dxa"/>
            <w:vAlign w:val="bottom"/>
          </w:tcPr>
          <w:p>
            <w:pPr>
              <w:spacing w:after="0"/>
              <w:rPr>
                <w:sz w:val="1"/>
                <w:szCs w:val="1"/>
                <w:color w:val="auto"/>
              </w:rPr>
            </w:pPr>
          </w:p>
        </w:tc>
      </w:tr>
      <w:tr>
        <w:trPr>
          <w:trHeight w:val="249"/>
        </w:trPr>
        <w:tc>
          <w:tcPr>
            <w:tcW w:w="40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Exercised</w:t>
            </w:r>
          </w:p>
        </w:tc>
        <w:tc>
          <w:tcPr>
            <w:tcW w:w="3560" w:type="dxa"/>
            <w:vAlign w:val="bottom"/>
            <w:tcBorders>
              <w:bottom w:val="single" w:sz="8" w:color="CFF0FC"/>
            </w:tcBorders>
            <w:shd w:val="clear" w:color="auto" w:fill="CFF0FC"/>
          </w:tcPr>
          <w:p>
            <w:pPr>
              <w:spacing w:after="0"/>
              <w:rPr>
                <w:sz w:val="21"/>
                <w:szCs w:val="21"/>
                <w:color w:val="auto"/>
              </w:rPr>
            </w:pPr>
          </w:p>
        </w:tc>
        <w:tc>
          <w:tcPr>
            <w:tcW w:w="1720" w:type="dxa"/>
            <w:vAlign w:val="bottom"/>
            <w:tcBorders>
              <w:bottom w:val="single" w:sz="8" w:color="auto"/>
            </w:tcBorders>
            <w:shd w:val="clear" w:color="auto" w:fill="CFF0FC"/>
          </w:tcPr>
          <w:p>
            <w:pPr>
              <w:jc w:val="right"/>
              <w:ind w:right="56"/>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480" w:type="dxa"/>
            <w:vAlign w:val="bottom"/>
            <w:tcBorders>
              <w:bottom w:val="single" w:sz="8" w:color="CFF0FC"/>
            </w:tcBorders>
            <w:shd w:val="clear" w:color="auto" w:fill="CFF0FC"/>
          </w:tcPr>
          <w:p>
            <w:pPr>
              <w:jc w:val="right"/>
              <w:ind w:right="7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040" w:type="dxa"/>
            <w:vAlign w:val="bottom"/>
          </w:tcPr>
          <w:p>
            <w:pPr>
              <w:ind w:left="20"/>
              <w:spacing w:after="0"/>
              <w:rPr>
                <w:sz w:val="20"/>
                <w:szCs w:val="20"/>
                <w:color w:val="auto"/>
              </w:rPr>
            </w:pPr>
            <w:r>
              <w:rPr>
                <w:rFonts w:ascii="Arial" w:cs="Arial" w:eastAsia="Arial" w:hAnsi="Arial"/>
                <w:sz w:val="18"/>
                <w:szCs w:val="18"/>
                <w:color w:val="auto"/>
              </w:rPr>
              <w:t>Outstanding at June 30, 2023</w:t>
            </w:r>
          </w:p>
        </w:tc>
        <w:tc>
          <w:tcPr>
            <w:tcW w:w="5280" w:type="dxa"/>
            <w:vAlign w:val="bottom"/>
            <w:gridSpan w:val="2"/>
          </w:tcPr>
          <w:p>
            <w:pPr>
              <w:jc w:val="right"/>
              <w:ind w:right="56"/>
              <w:spacing w:after="0"/>
              <w:rPr>
                <w:sz w:val="20"/>
                <w:szCs w:val="20"/>
                <w:color w:val="auto"/>
              </w:rPr>
            </w:pPr>
            <w:r>
              <w:rPr>
                <w:rFonts w:ascii="Arial" w:cs="Arial" w:eastAsia="Arial" w:hAnsi="Arial"/>
                <w:sz w:val="18"/>
                <w:szCs w:val="18"/>
                <w:color w:val="auto"/>
              </w:rPr>
              <w:t>79,220</w:t>
            </w:r>
          </w:p>
        </w:tc>
        <w:tc>
          <w:tcPr>
            <w:tcW w:w="4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78"/>
              <w:spacing w:after="0"/>
              <w:rPr>
                <w:sz w:val="20"/>
                <w:szCs w:val="20"/>
                <w:color w:val="auto"/>
              </w:rPr>
            </w:pPr>
            <w:r>
              <w:rPr>
                <w:rFonts w:ascii="Arial" w:cs="Arial" w:eastAsia="Arial" w:hAnsi="Arial"/>
                <w:sz w:val="18"/>
                <w:szCs w:val="18"/>
                <w:color w:val="auto"/>
              </w:rPr>
              <w:t>56.80</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3560" w:type="dxa"/>
            <w:vAlign w:val="bottom"/>
            <w:vMerge w:val="restart"/>
          </w:tcPr>
          <w:p>
            <w:pPr>
              <w:jc w:val="right"/>
              <w:ind w:right="1790"/>
              <w:spacing w:after="0"/>
              <w:rPr>
                <w:sz w:val="20"/>
                <w:szCs w:val="20"/>
                <w:color w:val="auto"/>
              </w:rPr>
            </w:pPr>
            <w:r>
              <w:rPr>
                <w:rFonts w:ascii="Arial" w:cs="Arial" w:eastAsia="Arial" w:hAnsi="Arial"/>
                <w:sz w:val="18"/>
                <w:szCs w:val="18"/>
                <w:color w:val="auto"/>
              </w:rPr>
              <w:t>27</w:t>
            </w:r>
          </w:p>
        </w:tc>
        <w:tc>
          <w:tcPr>
            <w:tcW w:w="1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4040" w:type="dxa"/>
            <w:vAlign w:val="bottom"/>
          </w:tcPr>
          <w:p>
            <w:pPr>
              <w:spacing w:after="0"/>
              <w:rPr>
                <w:sz w:val="24"/>
                <w:szCs w:val="24"/>
                <w:color w:val="auto"/>
              </w:rPr>
            </w:pPr>
          </w:p>
        </w:tc>
        <w:tc>
          <w:tcPr>
            <w:tcW w:w="3560" w:type="dxa"/>
            <w:vAlign w:val="bottom"/>
            <w:vMerge w:val="continue"/>
          </w:tcPr>
          <w:p>
            <w:pPr>
              <w:spacing w:after="0"/>
              <w:rPr>
                <w:sz w:val="24"/>
                <w:szCs w:val="24"/>
                <w:color w:val="auto"/>
              </w:rPr>
            </w:pPr>
          </w:p>
        </w:tc>
        <w:tc>
          <w:tcPr>
            <w:tcW w:w="1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40" w:type="dxa"/>
            <w:vAlign w:val="bottom"/>
            <w:tcBorders>
              <w:bottom w:val="single" w:sz="8" w:color="9A9A9A"/>
            </w:tcBorders>
          </w:tcPr>
          <w:p>
            <w:pPr>
              <w:spacing w:after="0"/>
              <w:rPr>
                <w:sz w:val="10"/>
                <w:szCs w:val="10"/>
                <w:color w:val="auto"/>
              </w:rPr>
            </w:pPr>
          </w:p>
        </w:tc>
        <w:tc>
          <w:tcPr>
            <w:tcW w:w="3560" w:type="dxa"/>
            <w:vAlign w:val="bottom"/>
            <w:tcBorders>
              <w:bottom w:val="single" w:sz="8" w:color="9A9A9A"/>
            </w:tcBorders>
          </w:tcPr>
          <w:p>
            <w:pPr>
              <w:spacing w:after="0"/>
              <w:rPr>
                <w:sz w:val="10"/>
                <w:szCs w:val="10"/>
                <w:color w:val="auto"/>
              </w:rPr>
            </w:pPr>
          </w:p>
        </w:tc>
        <w:tc>
          <w:tcPr>
            <w:tcW w:w="17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5920105</wp:posOffset>
            </wp:positionH>
            <wp:positionV relativeFrom="paragraph">
              <wp:posOffset>-685165</wp:posOffset>
            </wp:positionV>
            <wp:extent cx="128905" cy="18859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28905" cy="18859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7" w:name="page28"/>
    <w:bookmarkEnd w:id="27"/>
    <w:p>
      <w:pPr>
        <w:spacing w:after="0"/>
        <w:rPr>
          <w:sz w:val="20"/>
          <w:szCs w:val="20"/>
          <w:color w:val="auto"/>
        </w:rPr>
      </w:pPr>
      <w:r>
        <w:rPr>
          <w:rFonts w:ascii="Arial" w:cs="Arial" w:eastAsia="Arial" w:hAnsi="Arial"/>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3025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3025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Outstanding Warrants</w:t>
      </w:r>
    </w:p>
    <w:p>
      <w:pPr>
        <w:spacing w:after="0" w:line="235" w:lineRule="exact"/>
        <w:rPr>
          <w:sz w:val="20"/>
          <w:szCs w:val="20"/>
          <w:color w:val="auto"/>
        </w:rPr>
      </w:pPr>
    </w:p>
    <w:p>
      <w:pPr>
        <w:ind w:right="40" w:firstLine="749"/>
        <w:spacing w:after="0" w:line="291" w:lineRule="auto"/>
        <w:rPr>
          <w:sz w:val="20"/>
          <w:szCs w:val="20"/>
          <w:color w:val="auto"/>
        </w:rPr>
      </w:pPr>
      <w:r>
        <w:rPr>
          <w:rFonts w:ascii="Arial" w:cs="Arial" w:eastAsia="Arial" w:hAnsi="Arial"/>
          <w:sz w:val="15"/>
          <w:szCs w:val="15"/>
          <w:color w:val="auto"/>
        </w:rPr>
        <w:t>In connection with the entry into the Third Amendment, Hercules received warrants to purchase an aggregate 18,724 shares of the Company’s common stock at an exercise price of $55.01 per share, and in connection with the draw down of Tranche 1C of the Third Amendment to the Loan and Security Agreement, Hercules received warrants to purchase 9,700 shares of the Company's common stock at an exercise price of $77.31 per share (collectively, the “2023 warrants”). In connection with the entry into the Second Amendment, Hercules received warrants to purchase an aggregate 35,255 shares of the Company’s common stock at an exercise price of $31.91 per share (“2022 warrants”), and in connection with the first advance of the 2020 Term Loan, Hercules received warrants to purchase an aggregate 15,541 shares of the Company’s common stock at an exercise price of $80.43 per share (“2020 warrants”).</w:t>
      </w:r>
    </w:p>
    <w:p>
      <w:pPr>
        <w:spacing w:after="0" w:line="176" w:lineRule="exact"/>
        <w:rPr>
          <w:sz w:val="20"/>
          <w:szCs w:val="20"/>
          <w:color w:val="auto"/>
        </w:rPr>
      </w:pPr>
    </w:p>
    <w:p>
      <w:pPr>
        <w:ind w:right="40" w:firstLine="749"/>
        <w:spacing w:after="0" w:line="269" w:lineRule="auto"/>
        <w:rPr>
          <w:sz w:val="20"/>
          <w:szCs w:val="20"/>
          <w:color w:val="auto"/>
        </w:rPr>
      </w:pPr>
      <w:r>
        <w:rPr>
          <w:rFonts w:ascii="Arial" w:cs="Arial" w:eastAsia="Arial" w:hAnsi="Arial"/>
          <w:sz w:val="16"/>
          <w:szCs w:val="16"/>
          <w:color w:val="auto"/>
        </w:rPr>
        <w:t>The 2023 warrants, 2022 warrants and 2020 warrants were priced using the volume weighted average price of the Company’s common stock over the ten-day trading period immediately preceding the initial closing, subject to certain limited adjustments as specified in the warrant. The warrants are exercisable for seven years from the date of issuance. The warrants were classified as a component of stockholders’ equity. The relative fair value of the warrants of approximately $1.6 million for the 2023 warrants, $0.8 million for the 2022 warrants, and $0.9 million for the 2020 warrants at the time of issuance, which was determined using the Black-Scholes option-pricing model, was recorded as additional paid-in capital and reduced the carrying value of the debt. The discount on the debt is being amortized to interest expense over the term of the debt utilizing the effective interest rate method.</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14. License Agreements</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License Agreement with Pharmanovia</w:t>
      </w:r>
    </w:p>
    <w:p>
      <w:pPr>
        <w:spacing w:after="0" w:line="235" w:lineRule="exact"/>
        <w:rPr>
          <w:sz w:val="20"/>
          <w:szCs w:val="20"/>
          <w:color w:val="auto"/>
        </w:rPr>
      </w:pPr>
    </w:p>
    <w:p>
      <w:pPr>
        <w:ind w:right="20" w:firstLine="749"/>
        <w:spacing w:after="0" w:line="291" w:lineRule="auto"/>
        <w:rPr>
          <w:sz w:val="20"/>
          <w:szCs w:val="20"/>
          <w:color w:val="auto"/>
        </w:rPr>
      </w:pPr>
      <w:r>
        <w:rPr>
          <w:rFonts w:ascii="Arial" w:cs="Arial" w:eastAsia="Arial" w:hAnsi="Arial"/>
          <w:sz w:val="15"/>
          <w:szCs w:val="15"/>
          <w:color w:val="auto"/>
        </w:rPr>
        <w:t>In February 2023, Axsome Malta, a Malta limited company and a wholly-owned subsidiary of the Company, entered into an exclusive license agreement with Pharmanovia (the “Pharmanovia License Agreement”) to commercialize and further develop Sunosi in Europe and certain countries in the Middle East and North Africa (the “Territory”). Under the terms of the Pharmanovia License Agreement, the Company retains its existing interest in the Sunosi intellectual property and licenses those rights in the Territory to Pharmanovia. Pharmanovia is solely responsible for the clinical development and commercialization in the Territory. The Company will continue to manufacture Sunosi and provide product supply to Pharmanovia for an indefinite period of time and the Company will recognize revenue as a component of product sales, net, when performance obligation criteria are met as per the product supply agreement.</w:t>
      </w:r>
    </w:p>
    <w:p>
      <w:pPr>
        <w:spacing w:after="0" w:line="176" w:lineRule="exact"/>
        <w:rPr>
          <w:sz w:val="20"/>
          <w:szCs w:val="20"/>
          <w:color w:val="auto"/>
        </w:rPr>
      </w:pPr>
    </w:p>
    <w:p>
      <w:pPr>
        <w:ind w:right="260" w:firstLine="749"/>
        <w:spacing w:after="0" w:line="278" w:lineRule="auto"/>
        <w:rPr>
          <w:sz w:val="20"/>
          <w:szCs w:val="20"/>
          <w:color w:val="auto"/>
        </w:rPr>
      </w:pPr>
      <w:r>
        <w:rPr>
          <w:rFonts w:ascii="Arial" w:cs="Arial" w:eastAsia="Arial" w:hAnsi="Arial"/>
          <w:sz w:val="16"/>
          <w:szCs w:val="16"/>
          <w:color w:val="auto"/>
        </w:rPr>
        <w:t>In consideration for entering the Pharmanovia License Agreement, the Company received a non-refundable upfront payment of €62.0 million ($65.7 million). The Company also will receive a royalty percentage in the mid-twenties on Sunosi net sales in the Territory, and is eligible to receive sales-based milestone payments totaling up to €94.5 million.</w:t>
      </w:r>
    </w:p>
    <w:p>
      <w:pPr>
        <w:spacing w:after="0" w:line="184" w:lineRule="exact"/>
        <w:rPr>
          <w:sz w:val="20"/>
          <w:szCs w:val="20"/>
          <w:color w:val="auto"/>
        </w:rPr>
      </w:pPr>
    </w:p>
    <w:p>
      <w:pPr>
        <w:ind w:firstLine="789"/>
        <w:spacing w:after="0" w:line="287" w:lineRule="auto"/>
        <w:rPr>
          <w:sz w:val="20"/>
          <w:szCs w:val="20"/>
          <w:color w:val="auto"/>
        </w:rPr>
      </w:pPr>
      <w:r>
        <w:rPr>
          <w:rFonts w:ascii="Arial" w:cs="Arial" w:eastAsia="Arial" w:hAnsi="Arial"/>
          <w:sz w:val="15"/>
          <w:szCs w:val="15"/>
          <w:color w:val="auto"/>
        </w:rPr>
        <w:t>The Company evaluated the Pharmanovia License Agreement under ASC 606 and concluded that Pharmanovia represents a customer in the transaction. The initial transaction price consisted of the non-refundable upfront payment, which was recognized as License Revenue in the first quarter of 2023 as the requirements for revenue recognition under ASC 606 were met. The remaining forms of consideration are variable because they are dependent on the achievement of sales-based or other milestones. The Company evaluated the constraint on variable consideration and concluded that the milestone payments are dependent on regulatory approvals and actions of third parties, and thus are highly susceptible to factors outside the Company’s influence. Therefore, at contract inception, the milestones are not included in the transaction price as it is not probable that a significant reversal of revenue would not occur. Sales-based milestones will be recognized as revenue in the period when the related sales threshold is met. All other milestones will be recognized as revenue immediately in the period the underlying milestone is achieved. Any consideration related to sales-based royalties will be recognized when the related sales occur. For the three and six months ended June 30, 2023, the Company recognized royalty revenue of $0.7 million and $1.0 million, respectively, related to Pharmanovia sales of Sunosi.</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Exclusive License Agreement with Pfizer</w:t>
      </w:r>
    </w:p>
    <w:p>
      <w:pPr>
        <w:spacing w:after="0" w:line="235" w:lineRule="exact"/>
        <w:rPr>
          <w:sz w:val="20"/>
          <w:szCs w:val="20"/>
          <w:color w:val="auto"/>
        </w:rPr>
      </w:pPr>
    </w:p>
    <w:p>
      <w:pPr>
        <w:ind w:right="100" w:firstLine="749"/>
        <w:spacing w:after="0" w:line="273" w:lineRule="auto"/>
        <w:rPr>
          <w:sz w:val="20"/>
          <w:szCs w:val="20"/>
          <w:color w:val="auto"/>
        </w:rPr>
      </w:pPr>
      <w:r>
        <w:rPr>
          <w:rFonts w:ascii="Arial" w:cs="Arial" w:eastAsia="Arial" w:hAnsi="Arial"/>
          <w:sz w:val="16"/>
          <w:szCs w:val="16"/>
          <w:color w:val="auto"/>
        </w:rPr>
        <w:t>In January 2020, the Company entered into an exclusive license agreement with Pfizer Inc. (“Pfizer”) for Pfizer’s clinical and nonclinical data, and intellectual property for reboxetine, the active pharmaceutical ingredient in AXS-12 which the Company is developing for the treatment of narcolepsy. The agreement also provides the Company exclusive rights to develop and commercialize esreboxetine, a new late-stage product candidate referred to as AXS-14, in the U.S. for the treatment of fibromyalgia.</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8" w:name="page29"/>
    <w:bookmarkEnd w:id="28"/>
    <w:p>
      <w:pPr>
        <w:spacing w:after="0"/>
        <w:rPr>
          <w:sz w:val="20"/>
          <w:szCs w:val="20"/>
          <w:color w:val="auto"/>
        </w:rPr>
      </w:pPr>
      <w:r>
        <w:rPr>
          <w:rFonts w:ascii="Arial" w:cs="Arial" w:eastAsia="Arial" w:hAnsi="Arial"/>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3025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30250" cy="8255"/>
                    </a:xfrm>
                    <a:prstGeom prst="rect">
                      <a:avLst/>
                    </a:prstGeom>
                    <a:noFill/>
                  </pic:spPr>
                </pic:pic>
              </a:graphicData>
            </a:graphic>
          </wp:anchor>
        </w:drawing>
      </w:r>
    </w:p>
    <w:p>
      <w:pPr>
        <w:spacing w:after="0" w:line="215" w:lineRule="exact"/>
        <w:rPr>
          <w:sz w:val="20"/>
          <w:szCs w:val="20"/>
          <w:color w:val="auto"/>
        </w:rPr>
      </w:pPr>
    </w:p>
    <w:p>
      <w:pPr>
        <w:ind w:right="80" w:firstLine="749"/>
        <w:spacing w:after="0" w:line="293" w:lineRule="auto"/>
        <w:rPr>
          <w:sz w:val="20"/>
          <w:szCs w:val="20"/>
          <w:color w:val="auto"/>
        </w:rPr>
      </w:pPr>
      <w:r>
        <w:rPr>
          <w:rFonts w:ascii="Arial" w:cs="Arial" w:eastAsia="Arial" w:hAnsi="Arial"/>
          <w:sz w:val="15"/>
          <w:szCs w:val="15"/>
          <w:color w:val="auto"/>
        </w:rPr>
        <w:t>Under the terms of the agreement, Pfizer received 82,019 shares of the Company’s common stock having a stated value of $8.0 million, based on the average closing price of the Company’s common stock for the ten prior trading days of $97.54, in consideration for the license and rights and also received an upfront cash payment of $3.0 million. The Company determined that the fair value of each share of common stock granted to Pfizer on the closing date of January 9, 2020 was $87.24, based on the closing price of the Company’s stock on that date. As a result, the fair value of the stock issued was $7.2 million and therefore, the total research and development expense recognized was $10.2 million related to the Pfizer license agreement during the year ended 2020.</w:t>
      </w:r>
    </w:p>
    <w:p>
      <w:pPr>
        <w:spacing w:after="0" w:line="176" w:lineRule="exact"/>
        <w:rPr>
          <w:sz w:val="20"/>
          <w:szCs w:val="20"/>
          <w:color w:val="auto"/>
        </w:rPr>
      </w:pPr>
    </w:p>
    <w:p>
      <w:pPr>
        <w:jc w:val="both"/>
        <w:ind w:right="320" w:firstLine="749"/>
        <w:spacing w:after="0" w:line="278" w:lineRule="auto"/>
        <w:rPr>
          <w:sz w:val="20"/>
          <w:szCs w:val="20"/>
          <w:color w:val="auto"/>
        </w:rPr>
      </w:pPr>
      <w:r>
        <w:rPr>
          <w:rFonts w:ascii="Arial" w:cs="Arial" w:eastAsia="Arial" w:hAnsi="Arial"/>
          <w:sz w:val="16"/>
          <w:szCs w:val="16"/>
          <w:color w:val="auto"/>
        </w:rPr>
        <w:t>Pfizer can also receive up to $323 million in regulatory and sales milestones, and tiered mid-single to low double-digit royalties on future sales related to the licensed products. Pfizer will also have a right of first negotiation on any potential future strategic transactions involving AXS-12 and AXS-14. During the three and six months ended June 30, 2023 and 2022, no milestone payments or royalties were paid to Pfizer by the Company.</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Exclusive License Agreements with Antecip</w:t>
      </w:r>
    </w:p>
    <w:p>
      <w:pPr>
        <w:spacing w:after="0" w:line="235" w:lineRule="exact"/>
        <w:rPr>
          <w:sz w:val="20"/>
          <w:szCs w:val="20"/>
          <w:color w:val="auto"/>
        </w:rPr>
      </w:pPr>
    </w:p>
    <w:p>
      <w:pPr>
        <w:ind w:right="20" w:firstLine="749"/>
        <w:spacing w:after="0" w:line="285" w:lineRule="auto"/>
        <w:rPr>
          <w:sz w:val="20"/>
          <w:szCs w:val="20"/>
          <w:color w:val="auto"/>
        </w:rPr>
      </w:pPr>
      <w:r>
        <w:rPr>
          <w:rFonts w:ascii="Arial" w:cs="Arial" w:eastAsia="Arial" w:hAnsi="Arial"/>
          <w:sz w:val="15"/>
          <w:szCs w:val="15"/>
          <w:color w:val="auto"/>
        </w:rPr>
        <w:t>In 2012, the Company entered into three exclusive license agreements with Antecip, an entity owed by the Company's Chief Executive Officer and Chairman of the Board, Herriot Tabuteau, M.D., in which it was granted exclusive licenses to develop, manufacture, and commercialize Antecip’s patents and applications related to the development of AXS-02, AXS-05, and AXS-04, anywhere in the world for human therapeutic, veterinary, and diagnostic use. Pursuant to the agreements, the Company is required to use commercially reasonable efforts to develop, obtain regulatory approval for and commercialize AXS-02, AXS-05, and AXS-04. Under the terms of the agreements, the Company is required to pay to Antecip a royalty equal to 4.5% for AXS-02, 3.0% for AXS-05, and 1.5% for AXS-04, of net sales of products containing the licensed technology by the Company, its affiliates, or permitted sublicensees. These royalty payments are subject to reduction by an amount up to 50.0% of any required payments to third parties. Unless earlier terminated by a party for cause or by the Company for convenience, the agreements shall remain in effect on a product-by-product and country-by-country basis until the later to occur of (i) the applicable product is no longer covered by a valid claim in that country or (ii) 10 years from the first commercial sale of the applicable product in that country. Upon expiration of the agreements with respect to a product in a country, the Company’s license grant for that product in that country will become a fully paid-up, royalty-free, perpetual non-exclusive license. If Antecip terminates any of the agreements for cause, or if the Company exercises its right to terminate any of the agreements for convenience, the rights granted to the Company under such terminated agreement will revert to Antecip. The Company began recording royalty payments to Antecip along with the initiation of sales of Auvelity in the fourth quarter of 2022. For the six months ended June 30, 2023, the Company recorded an accrued expense of $1.5 million for royalty payments to Antecip, which is equal to 3.0% of net sales of Auvelity. This is considered to be a related party transaction.</w:t>
      </w:r>
    </w:p>
    <w:p>
      <w:pPr>
        <w:spacing w:after="0" w:line="75" w:lineRule="exact"/>
        <w:rPr>
          <w:sz w:val="20"/>
          <w:szCs w:val="20"/>
          <w:color w:val="auto"/>
        </w:rPr>
      </w:pPr>
    </w:p>
    <w:p>
      <w:pPr>
        <w:ind w:right="340" w:firstLine="749"/>
        <w:spacing w:after="0" w:line="266" w:lineRule="auto"/>
        <w:rPr>
          <w:sz w:val="20"/>
          <w:szCs w:val="20"/>
          <w:color w:val="auto"/>
        </w:rPr>
      </w:pPr>
      <w:r>
        <w:rPr>
          <w:rFonts w:ascii="Arial" w:cs="Arial" w:eastAsia="Arial" w:hAnsi="Arial"/>
          <w:sz w:val="16"/>
          <w:szCs w:val="16"/>
          <w:color w:val="auto"/>
        </w:rPr>
        <w:t>In connection with the 2020 Term Loan, the Company entered into the Direct Agreement with Antecip pursuant to which Antecip consented to the collateral assignment of the License Agreement to Hercules, among other things.</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15. Royalty Agreements</w:t>
      </w:r>
    </w:p>
    <w:p>
      <w:pPr>
        <w:spacing w:after="0" w:line="231" w:lineRule="exact"/>
        <w:rPr>
          <w:sz w:val="20"/>
          <w:szCs w:val="20"/>
          <w:color w:val="auto"/>
        </w:rPr>
      </w:pPr>
    </w:p>
    <w:p>
      <w:pPr>
        <w:ind w:firstLine="749"/>
        <w:spacing w:after="0" w:line="273" w:lineRule="auto"/>
        <w:rPr>
          <w:sz w:val="20"/>
          <w:szCs w:val="20"/>
          <w:color w:val="auto"/>
        </w:rPr>
      </w:pPr>
      <w:r>
        <w:rPr>
          <w:rFonts w:ascii="Arial" w:cs="Arial" w:eastAsia="Arial" w:hAnsi="Arial"/>
          <w:sz w:val="16"/>
          <w:szCs w:val="16"/>
          <w:color w:val="auto"/>
        </w:rPr>
        <w:t>Pursuant to the Purchase Agreement, the Company agreed to make non-refundable, non-creditable royalty payments to Jazz equal to a (A) high-single digit royalty for any Current Indication (as defined in the Purchase Agreement), or (B) mid-single digit royalty for any Future Indication (as defined in the Purchase Agreement), of Net Sales (as defined in the Purchase Agreement) in the U.S. Territory (as defined in the Purchase Agreement) made during the applicable Royalty Term (as defined in the Purchase Agreement). There are no royalty payments due to Jazz for Net Sales outside of the U.S. Territory.</w:t>
      </w:r>
    </w:p>
    <w:p>
      <w:pPr>
        <w:spacing w:after="0" w:line="189" w:lineRule="exact"/>
        <w:rPr>
          <w:sz w:val="20"/>
          <w:szCs w:val="20"/>
          <w:color w:val="auto"/>
        </w:rPr>
      </w:pPr>
    </w:p>
    <w:p>
      <w:pPr>
        <w:jc w:val="both"/>
        <w:ind w:right="140" w:firstLine="749"/>
        <w:spacing w:after="0" w:line="273" w:lineRule="auto"/>
        <w:rPr>
          <w:sz w:val="20"/>
          <w:szCs w:val="20"/>
          <w:color w:val="auto"/>
        </w:rPr>
      </w:pPr>
      <w:r>
        <w:rPr>
          <w:rFonts w:ascii="Arial" w:cs="Arial" w:eastAsia="Arial" w:hAnsi="Arial"/>
          <w:sz w:val="16"/>
          <w:szCs w:val="16"/>
          <w:color w:val="auto"/>
        </w:rPr>
        <w:t>At the initial closing, the Company assumed all of the commitments of Jazz to SK and Aerial. SK is the originator of the Product and retains rights in 12 Asian markets, including China, Korea, and Japan. In 2014, Jazz acquired from Aerial worldwide rights to Sunosi excluding those Asian markets stated previously. The assumed commitments to SK and Aerial include single-digit tiered royalties based on the Company’s sales of Sunosi, and additionally, the Company is committed to pay up to $165 million based on revenue milestones and $1 million based on development milestones.</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29" w:name="page30"/>
    <w:bookmarkEnd w:id="29"/>
    <w:p>
      <w:pPr>
        <w:spacing w:after="0"/>
        <w:rPr>
          <w:sz w:val="20"/>
          <w:szCs w:val="20"/>
          <w:color w:val="auto"/>
        </w:rPr>
      </w:pPr>
      <w:r>
        <w:rPr>
          <w:rFonts w:ascii="Arial" w:cs="Arial" w:eastAsia="Arial" w:hAnsi="Arial"/>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3025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30250" cy="8255"/>
                    </a:xfrm>
                    <a:prstGeom prst="rect">
                      <a:avLst/>
                    </a:prstGeom>
                    <a:noFill/>
                  </pic:spPr>
                </pic:pic>
              </a:graphicData>
            </a:graphic>
          </wp:anchor>
        </w:drawing>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16. Income Taxes</w:t>
      </w:r>
    </w:p>
    <w:p>
      <w:pPr>
        <w:spacing w:after="0" w:line="239"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The table below presents the Company's loss before income taxes and effective tax rates for all periods presented: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700" w:type="dxa"/>
            <w:vAlign w:val="bottom"/>
          </w:tcPr>
          <w:p>
            <w:pPr>
              <w:ind w:left="278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6"/>
                <w:szCs w:val="16"/>
                <w:color w:val="auto"/>
              </w:rPr>
            </w:pPr>
          </w:p>
        </w:tc>
        <w:tc>
          <w:tcPr>
            <w:tcW w:w="2080" w:type="dxa"/>
            <w:vAlign w:val="bottom"/>
            <w:gridSpan w:val="3"/>
          </w:tcPr>
          <w:p>
            <w:pPr>
              <w:jc w:val="right"/>
              <w:spacing w:after="0"/>
              <w:rPr>
                <w:sz w:val="20"/>
                <w:szCs w:val="20"/>
                <w:color w:val="auto"/>
              </w:rPr>
            </w:pPr>
            <w:r>
              <w:rPr>
                <w:rFonts w:ascii="Arial" w:cs="Arial" w:eastAsia="Arial" w:hAnsi="Arial"/>
                <w:sz w:val="14"/>
                <w:szCs w:val="14"/>
                <w:b w:val="1"/>
                <w:bCs w:val="1"/>
                <w:color w:val="auto"/>
                <w:w w:val="99"/>
              </w:rPr>
              <w:t>Three Months Ended June 30,</w:t>
            </w: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40" w:type="dxa"/>
            <w:vAlign w:val="bottom"/>
            <w:gridSpan w:val="6"/>
          </w:tcPr>
          <w:p>
            <w:pPr>
              <w:ind w:left="18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69"/>
        </w:trPr>
        <w:tc>
          <w:tcPr>
            <w:tcW w:w="5700" w:type="dxa"/>
            <w:vAlign w:val="bottom"/>
          </w:tcPr>
          <w:p>
            <w:pPr>
              <w:ind w:left="2780"/>
              <w:spacing w:after="0"/>
              <w:rPr>
                <w:sz w:val="20"/>
                <w:szCs w:val="20"/>
                <w:color w:val="auto"/>
              </w:rPr>
            </w:pPr>
            <w:r>
              <w:rPr>
                <w:rFonts w:ascii="Arial" w:cs="Arial" w:eastAsia="Arial" w:hAnsi="Arial"/>
                <w:sz w:val="14"/>
                <w:szCs w:val="14"/>
                <w:b w:val="1"/>
                <w:bCs w:val="1"/>
                <w:color w:val="auto"/>
              </w:rPr>
              <w:t>​</w:t>
            </w:r>
          </w:p>
        </w:tc>
        <w:tc>
          <w:tcPr>
            <w:tcW w:w="22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2023</w:t>
            </w:r>
          </w:p>
        </w:tc>
        <w:tc>
          <w:tcPr>
            <w:tcW w:w="280" w:type="dxa"/>
            <w:vAlign w:val="bottom"/>
            <w:tcBorders>
              <w:top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rPr>
              <w:t>2022</w:t>
            </w:r>
          </w:p>
        </w:tc>
        <w:tc>
          <w:tcPr>
            <w:tcW w:w="300" w:type="dxa"/>
            <w:vAlign w:val="bottom"/>
            <w:tcBorders>
              <w:top w:val="single" w:sz="8" w:color="auto"/>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2023</w:t>
            </w:r>
          </w:p>
        </w:tc>
        <w:tc>
          <w:tcPr>
            <w:tcW w:w="300" w:type="dxa"/>
            <w:vAlign w:val="bottom"/>
            <w:tcBorders>
              <w:top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5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Loss before income taxes</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(67,787</w:t>
            </w:r>
          </w:p>
        </w:tc>
        <w:tc>
          <w:tcPr>
            <w:tcW w:w="280" w:type="dxa"/>
            <w:vAlign w:val="bottom"/>
            <w:shd w:val="clear" w:color="auto" w:fill="CFF0FC"/>
          </w:tcPr>
          <w:p>
            <w:pPr>
              <w:jc w:val="right"/>
              <w:ind w:right="141"/>
              <w:spacing w:after="0"/>
              <w:rPr>
                <w:sz w:val="20"/>
                <w:szCs w:val="20"/>
                <w:color w:val="auto"/>
              </w:rPr>
            </w:pPr>
            <w:r>
              <w:rPr>
                <w:rFonts w:ascii="Arial" w:cs="Arial" w:eastAsia="Arial" w:hAnsi="Arial"/>
                <w:sz w:val="16"/>
                <w:szCs w:val="16"/>
                <w:color w:val="auto"/>
                <w:w w:val="74"/>
              </w:rPr>
              <w:t>)</w:t>
            </w:r>
          </w:p>
        </w:tc>
        <w:tc>
          <w:tcPr>
            <w:tcW w:w="940" w:type="dxa"/>
            <w:vAlign w:val="bottom"/>
            <w:shd w:val="clear" w:color="auto" w:fill="CFF0FC"/>
          </w:tcPr>
          <w:p>
            <w:pPr>
              <w:jc w:val="right"/>
              <w:ind w:right="759"/>
              <w:spacing w:after="0"/>
              <w:rPr>
                <w:sz w:val="20"/>
                <w:szCs w:val="20"/>
                <w:color w:val="auto"/>
              </w:rPr>
            </w:pPr>
            <w:r>
              <w:rPr>
                <w:rFonts w:ascii="Arial" w:cs="Arial" w:eastAsia="Arial" w:hAnsi="Arial"/>
                <w:sz w:val="18"/>
                <w:szCs w:val="18"/>
                <w:color w:val="auto"/>
                <w:w w:val="79"/>
              </w:rPr>
              <w:t>$</w:t>
            </w:r>
          </w:p>
        </w:tc>
        <w:tc>
          <w:tcPr>
            <w:tcW w:w="300" w:type="dxa"/>
            <w:vAlign w:val="bottom"/>
            <w:shd w:val="clear" w:color="auto" w:fill="CFF0FC"/>
          </w:tcPr>
          <w:p>
            <w:pPr>
              <w:ind w:left="100"/>
              <w:spacing w:after="0"/>
              <w:rPr>
                <w:sz w:val="20"/>
                <w:szCs w:val="20"/>
                <w:color w:val="auto"/>
              </w:rPr>
            </w:pPr>
            <w:r>
              <w:rPr>
                <w:rFonts w:ascii="Arial" w:cs="Arial" w:eastAsia="Arial" w:hAnsi="Arial"/>
                <w:sz w:val="18"/>
                <w:szCs w:val="18"/>
                <w:color w:val="auto"/>
                <w:w w:val="99"/>
              </w:rPr>
              <w:t>—</w:t>
            </w:r>
          </w:p>
        </w:tc>
        <w:tc>
          <w:tcPr>
            <w:tcW w:w="28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(76,425</w:t>
            </w:r>
          </w:p>
        </w:tc>
        <w:tc>
          <w:tcPr>
            <w:tcW w:w="30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ind w:left="760"/>
              <w:spacing w:after="0"/>
              <w:rPr>
                <w:sz w:val="20"/>
                <w:szCs w:val="20"/>
                <w:color w:val="auto"/>
              </w:rPr>
            </w:pPr>
            <w:r>
              <w:rPr>
                <w:rFonts w:ascii="Arial" w:cs="Arial" w:eastAsia="Arial" w:hAnsi="Arial"/>
                <w:sz w:val="18"/>
                <w:szCs w:val="18"/>
                <w:color w:val="auto"/>
                <w:w w:val="88"/>
              </w:rPr>
              <w:t>—</w:t>
            </w:r>
          </w:p>
        </w:tc>
        <w:tc>
          <w:tcPr>
            <w:tcW w:w="14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700" w:type="dxa"/>
            <w:vAlign w:val="bottom"/>
          </w:tcPr>
          <w:p>
            <w:pPr>
              <w:ind w:left="20"/>
              <w:spacing w:after="0"/>
              <w:rPr>
                <w:sz w:val="20"/>
                <w:szCs w:val="20"/>
                <w:color w:val="auto"/>
              </w:rPr>
            </w:pPr>
            <w:r>
              <w:rPr>
                <w:rFonts w:ascii="Arial" w:cs="Arial" w:eastAsia="Arial" w:hAnsi="Arial"/>
                <w:sz w:val="18"/>
                <w:szCs w:val="18"/>
                <w:color w:val="auto"/>
              </w:rPr>
              <w:t>Income tax benefit (expense)</w:t>
            </w: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617</w:t>
            </w: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00" w:type="dxa"/>
            <w:vAlign w:val="bottom"/>
          </w:tcPr>
          <w:p>
            <w:pPr>
              <w:ind w:left="100"/>
              <w:spacing w:after="0"/>
              <w:rPr>
                <w:sz w:val="20"/>
                <w:szCs w:val="20"/>
                <w:color w:val="auto"/>
              </w:rPr>
            </w:pPr>
            <w:r>
              <w:rPr>
                <w:rFonts w:ascii="Arial" w:cs="Arial" w:eastAsia="Arial" w:hAnsi="Arial"/>
                <w:sz w:val="18"/>
                <w:szCs w:val="18"/>
                <w:color w:val="auto"/>
                <w:w w:val="99"/>
              </w:rPr>
              <w:t>—</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gridSpan w:val="2"/>
          </w:tcPr>
          <w:p>
            <w:pPr>
              <w:jc w:val="right"/>
              <w:ind w:right="130"/>
              <w:spacing w:after="0"/>
              <w:rPr>
                <w:sz w:val="20"/>
                <w:szCs w:val="20"/>
                <w:color w:val="auto"/>
              </w:rPr>
            </w:pPr>
            <w:r>
              <w:rPr>
                <w:rFonts w:ascii="Arial" w:cs="Arial" w:eastAsia="Arial" w:hAnsi="Arial"/>
                <w:sz w:val="18"/>
                <w:szCs w:val="18"/>
                <w:color w:val="auto"/>
              </w:rPr>
              <w:t>(1,963 )</w:t>
            </w:r>
          </w:p>
        </w:tc>
        <w:tc>
          <w:tcPr>
            <w:tcW w:w="280" w:type="dxa"/>
            <w:vAlign w:val="bottom"/>
          </w:tcPr>
          <w:p>
            <w:pPr>
              <w:spacing w:after="0"/>
              <w:rPr>
                <w:sz w:val="20"/>
                <w:szCs w:val="20"/>
                <w:color w:val="auto"/>
              </w:rPr>
            </w:pPr>
          </w:p>
        </w:tc>
        <w:tc>
          <w:tcPr>
            <w:tcW w:w="108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57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3"/>
        </w:trPr>
        <w:tc>
          <w:tcPr>
            <w:tcW w:w="5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Effective tax rate</w:t>
            </w:r>
          </w:p>
        </w:tc>
        <w:tc>
          <w:tcPr>
            <w:tcW w:w="220" w:type="dxa"/>
            <w:vAlign w:val="bottom"/>
            <w:shd w:val="clear" w:color="auto" w:fill="CFF0FC"/>
          </w:tcPr>
          <w:p>
            <w:pPr>
              <w:spacing w:after="0"/>
              <w:rPr>
                <w:sz w:val="24"/>
                <w:szCs w:val="24"/>
                <w:color w:val="auto"/>
              </w:rPr>
            </w:pPr>
          </w:p>
        </w:tc>
        <w:tc>
          <w:tcPr>
            <w:tcW w:w="1140" w:type="dxa"/>
            <w:vAlign w:val="bottom"/>
            <w:gridSpan w:val="2"/>
            <w:shd w:val="clear" w:color="auto" w:fill="CFF0FC"/>
          </w:tcPr>
          <w:p>
            <w:pPr>
              <w:jc w:val="right"/>
              <w:ind w:right="1"/>
              <w:spacing w:after="0"/>
              <w:rPr>
                <w:sz w:val="20"/>
                <w:szCs w:val="20"/>
                <w:color w:val="auto"/>
              </w:rPr>
            </w:pPr>
            <w:r>
              <w:rPr>
                <w:rFonts w:ascii="Arial" w:cs="Arial" w:eastAsia="Arial" w:hAnsi="Arial"/>
                <w:sz w:val="18"/>
                <w:szCs w:val="18"/>
                <w:color w:val="auto"/>
              </w:rPr>
              <w:t>(0.9 )%</w:t>
            </w:r>
          </w:p>
        </w:tc>
        <w:tc>
          <w:tcPr>
            <w:tcW w:w="940" w:type="dxa"/>
            <w:vAlign w:val="bottom"/>
            <w:shd w:val="clear" w:color="auto" w:fill="CFF0FC"/>
          </w:tcPr>
          <w:p>
            <w:pPr>
              <w:spacing w:after="0"/>
              <w:rPr>
                <w:sz w:val="24"/>
                <w:szCs w:val="24"/>
                <w:color w:val="auto"/>
              </w:rPr>
            </w:pPr>
          </w:p>
        </w:tc>
        <w:tc>
          <w:tcPr>
            <w:tcW w:w="300" w:type="dxa"/>
            <w:vAlign w:val="bottom"/>
            <w:shd w:val="clear" w:color="auto" w:fill="CFF0FC"/>
          </w:tcPr>
          <w:p>
            <w:pPr>
              <w:ind w:left="100"/>
              <w:spacing w:after="0"/>
              <w:rPr>
                <w:sz w:val="20"/>
                <w:szCs w:val="20"/>
                <w:color w:val="auto"/>
              </w:rPr>
            </w:pPr>
            <w:r>
              <w:rPr>
                <w:rFonts w:ascii="Arial" w:cs="Arial" w:eastAsia="Arial" w:hAnsi="Arial"/>
                <w:sz w:val="20"/>
                <w:szCs w:val="20"/>
                <w:color w:val="auto"/>
                <w:w w:val="89"/>
              </w:rPr>
              <w:t>—</w:t>
            </w:r>
          </w:p>
        </w:tc>
        <w:tc>
          <w:tcPr>
            <w:tcW w:w="280" w:type="dxa"/>
            <w:vAlign w:val="bottom"/>
            <w:shd w:val="clear" w:color="auto" w:fill="CFF0FC"/>
          </w:tcPr>
          <w:p>
            <w:pPr>
              <w:jc w:val="right"/>
              <w:ind w:right="47"/>
              <w:spacing w:after="0"/>
              <w:rPr>
                <w:sz w:val="20"/>
                <w:szCs w:val="20"/>
                <w:color w:val="auto"/>
              </w:rPr>
            </w:pPr>
            <w:r>
              <w:rPr>
                <w:rFonts w:ascii="Arial" w:cs="Arial" w:eastAsia="Arial" w:hAnsi="Arial"/>
                <w:sz w:val="19"/>
                <w:szCs w:val="19"/>
                <w:color w:val="auto"/>
                <w:w w:val="70"/>
              </w:rPr>
              <w:t>%</w:t>
            </w:r>
          </w:p>
        </w:tc>
        <w:tc>
          <w:tcPr>
            <w:tcW w:w="240" w:type="dxa"/>
            <w:vAlign w:val="bottom"/>
            <w:shd w:val="clear" w:color="auto" w:fill="CFF0FC"/>
          </w:tcPr>
          <w:p>
            <w:pPr>
              <w:spacing w:after="0"/>
              <w:rPr>
                <w:sz w:val="24"/>
                <w:szCs w:val="24"/>
                <w:color w:val="auto"/>
              </w:rPr>
            </w:pPr>
          </w:p>
        </w:tc>
        <w:tc>
          <w:tcPr>
            <w:tcW w:w="106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2.6 %</w:t>
            </w:r>
          </w:p>
        </w:tc>
        <w:tc>
          <w:tcPr>
            <w:tcW w:w="280" w:type="dxa"/>
            <w:vAlign w:val="bottom"/>
            <w:shd w:val="clear" w:color="auto" w:fill="CFF0FC"/>
          </w:tcPr>
          <w:p>
            <w:pPr>
              <w:spacing w:after="0"/>
              <w:rPr>
                <w:sz w:val="24"/>
                <w:szCs w:val="24"/>
                <w:color w:val="auto"/>
              </w:rPr>
            </w:pPr>
          </w:p>
        </w:tc>
        <w:tc>
          <w:tcPr>
            <w:tcW w:w="940" w:type="dxa"/>
            <w:vAlign w:val="bottom"/>
            <w:shd w:val="clear" w:color="auto" w:fill="CFF0FC"/>
          </w:tcPr>
          <w:p>
            <w:pPr>
              <w:ind w:left="760"/>
              <w:spacing w:after="0"/>
              <w:rPr>
                <w:sz w:val="20"/>
                <w:szCs w:val="20"/>
                <w:color w:val="auto"/>
              </w:rPr>
            </w:pPr>
            <w:r>
              <w:rPr>
                <w:rFonts w:ascii="Arial" w:cs="Arial" w:eastAsia="Arial" w:hAnsi="Arial"/>
                <w:sz w:val="20"/>
                <w:szCs w:val="20"/>
                <w:color w:val="auto"/>
                <w:w w:val="79"/>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9"/>
                <w:szCs w:val="19"/>
                <w:color w:val="auto"/>
                <w:w w:val="70"/>
              </w:rPr>
              <w:t>%</w:t>
            </w:r>
          </w:p>
        </w:tc>
        <w:tc>
          <w:tcPr>
            <w:tcW w:w="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7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-25400</wp:posOffset>
            </wp:positionV>
            <wp:extent cx="8572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-7620</wp:posOffset>
            </wp:positionV>
            <wp:extent cx="8572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-25400</wp:posOffset>
            </wp:positionV>
            <wp:extent cx="7747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-7620</wp:posOffset>
            </wp:positionV>
            <wp:extent cx="7747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-25400</wp:posOffset>
            </wp:positionV>
            <wp:extent cx="8572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-7620</wp:posOffset>
            </wp:positionV>
            <wp:extent cx="8572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-25400</wp:posOffset>
            </wp:positionV>
            <wp:extent cx="8572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-7620</wp:posOffset>
            </wp:positionV>
            <wp:extent cx="8572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86" w:lineRule="exact"/>
        <w:rPr>
          <w:sz w:val="20"/>
          <w:szCs w:val="20"/>
          <w:color w:val="auto"/>
        </w:rPr>
      </w:pPr>
    </w:p>
    <w:p>
      <w:pPr>
        <w:ind w:right="20" w:firstLine="749"/>
        <w:spacing w:after="0" w:line="315" w:lineRule="auto"/>
        <w:rPr>
          <w:sz w:val="20"/>
          <w:szCs w:val="20"/>
          <w:color w:val="auto"/>
        </w:rPr>
      </w:pPr>
      <w:r>
        <w:rPr>
          <w:rFonts w:ascii="Arial" w:cs="Arial" w:eastAsia="Arial" w:hAnsi="Arial"/>
          <w:sz w:val="14"/>
          <w:szCs w:val="14"/>
          <w:color w:val="auto"/>
        </w:rPr>
        <w:t>The Company is subject to income taxes in the United States and foreign jurisdictions in which the Company does business. These foreign jurisdictions have statutory tax rates different from those in the United States. Accordingly, the Company's effective tax rates will vary depending on the relative proportion of foreign to United States income, the utilization of net operating loss and tax credit carry forwards, changes in geographic mix of income and expense, and changes in management’s assessment of matters such as the ability to realize deferred tax assets, and changes in tax laws. The Company regularly assesses the likelihood of adverse outcomes resulting from the examination of the Company's tax returns by the Internal Revenue Service, or IRS, and other tax authorities to determine the adequacy of our income tax reserves and expense. Should actual events or results differ from the Company's current expectations, charges or credits to our income tax expense may become necessary.</w:t>
      </w:r>
    </w:p>
    <w:p>
      <w:pPr>
        <w:spacing w:after="0" w:line="163" w:lineRule="exact"/>
        <w:rPr>
          <w:sz w:val="20"/>
          <w:szCs w:val="20"/>
          <w:color w:val="auto"/>
        </w:rPr>
      </w:pPr>
    </w:p>
    <w:p>
      <w:pPr>
        <w:ind w:right="100" w:firstLine="749"/>
        <w:spacing w:after="0" w:line="293" w:lineRule="auto"/>
        <w:rPr>
          <w:sz w:val="20"/>
          <w:szCs w:val="20"/>
          <w:color w:val="auto"/>
        </w:rPr>
      </w:pPr>
      <w:r>
        <w:rPr>
          <w:rFonts w:ascii="Arial" w:cs="Arial" w:eastAsia="Arial" w:hAnsi="Arial"/>
          <w:sz w:val="16"/>
          <w:szCs w:val="16"/>
          <w:color w:val="auto"/>
        </w:rPr>
        <w:t>The Company recorded a tax benefit of $0.6 million for the three months ended June 30, 2023 and tax expense of $2.0 million for the six months ended June 30, 2023 on income earned in foreign jurisdictions in relation to the license revenue recognized from the license agreement with Pharmanovia.</w:t>
      </w:r>
    </w:p>
    <w:p>
      <w:pPr>
        <w:spacing w:after="0" w:line="172" w:lineRule="exact"/>
        <w:rPr>
          <w:sz w:val="20"/>
          <w:szCs w:val="20"/>
          <w:color w:val="auto"/>
        </w:rPr>
      </w:pPr>
    </w:p>
    <w:p>
      <w:pPr>
        <w:ind w:right="80" w:firstLine="749"/>
        <w:spacing w:after="0" w:line="293" w:lineRule="auto"/>
        <w:rPr>
          <w:sz w:val="20"/>
          <w:szCs w:val="20"/>
          <w:color w:val="auto"/>
        </w:rPr>
      </w:pPr>
      <w:r>
        <w:rPr>
          <w:rFonts w:ascii="Arial" w:cs="Arial" w:eastAsia="Arial" w:hAnsi="Arial"/>
          <w:sz w:val="16"/>
          <w:szCs w:val="16"/>
          <w:color w:val="auto"/>
        </w:rPr>
        <w:t>The Company did not have any unrecognized tax benefits as of June 30, 2023 related to uncertain tax positions that would impact the effective income tax rate if recognized.</w:t>
      </w:r>
    </w:p>
    <w:p>
      <w:pPr>
        <w:spacing w:after="0" w:line="16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30" w:right="319" w:bottom="1440" w:gutter="0" w:footer="0" w:header="0"/>
        </w:sectPr>
      </w:pPr>
    </w:p>
    <w:bookmarkStart w:id="30" w:name="page31"/>
    <w:bookmarkEnd w:id="30"/>
    <w:p>
      <w:pPr>
        <w:spacing w:after="0"/>
        <w:rPr>
          <w:sz w:val="20"/>
          <w:szCs w:val="20"/>
          <w:color w:val="auto"/>
        </w:rPr>
      </w:pPr>
      <w:r>
        <w:rPr>
          <w:rFonts w:ascii="Arial" w:cs="Arial" w:eastAsia="Arial" w:hAnsi="Arial"/>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3025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30250" cy="8255"/>
                    </a:xfrm>
                    <a:prstGeom prst="rect">
                      <a:avLst/>
                    </a:prstGeom>
                    <a:noFill/>
                  </pic:spPr>
                </pic:pic>
              </a:graphicData>
            </a:graphic>
          </wp:anchor>
        </w:drawing>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 MANAGEMENT’S DISCUSSION AND ANALYSIS OF FINANCIAL CONDITION AND RESULTS OF OPERATIONS</w:t>
      </w:r>
    </w:p>
    <w:p>
      <w:pPr>
        <w:spacing w:after="0" w:line="239" w:lineRule="exact"/>
        <w:rPr>
          <w:sz w:val="20"/>
          <w:szCs w:val="20"/>
          <w:color w:val="auto"/>
        </w:rPr>
      </w:pPr>
    </w:p>
    <w:p>
      <w:pPr>
        <w:ind w:right="20" w:firstLine="749"/>
        <w:spacing w:after="0" w:line="297" w:lineRule="auto"/>
        <w:rPr>
          <w:sz w:val="20"/>
          <w:szCs w:val="20"/>
          <w:color w:val="auto"/>
        </w:rPr>
      </w:pPr>
      <w:r>
        <w:rPr>
          <w:rFonts w:ascii="Arial" w:cs="Arial" w:eastAsia="Arial" w:hAnsi="Arial"/>
          <w:sz w:val="15"/>
          <w:szCs w:val="15"/>
          <w:i w:val="1"/>
          <w:iCs w:val="1"/>
          <w:color w:val="auto"/>
        </w:rPr>
        <w:t>The following discussion and analysis contains forward-looking statements about our plans and expectations of what may happen in the future. Forward-looking statements are based on a number of assumptions and estimates that are inherently subject to significant risks and uncertainties, and our results could differ materially from the results anticipated by our forward-looking statements as a result of many known or unknown factors, including, but not limited to, those factors discussed in “Risk Factors.” See also the “Cautionary Note Regarding Forward-Looking Statements” set forth at the beginning of this report.</w:t>
      </w:r>
    </w:p>
    <w:p>
      <w:pPr>
        <w:spacing w:after="0" w:line="172" w:lineRule="exact"/>
        <w:rPr>
          <w:sz w:val="20"/>
          <w:szCs w:val="20"/>
          <w:color w:val="auto"/>
        </w:rPr>
      </w:pPr>
    </w:p>
    <w:p>
      <w:pPr>
        <w:ind w:right="20" w:firstLine="749"/>
        <w:spacing w:after="0" w:line="305" w:lineRule="auto"/>
        <w:rPr>
          <w:sz w:val="20"/>
          <w:szCs w:val="20"/>
          <w:color w:val="auto"/>
        </w:rPr>
      </w:pPr>
      <w:r>
        <w:rPr>
          <w:rFonts w:ascii="Arial" w:cs="Arial" w:eastAsia="Arial" w:hAnsi="Arial"/>
          <w:sz w:val="15"/>
          <w:szCs w:val="15"/>
          <w:i w:val="1"/>
          <w:iCs w:val="1"/>
          <w:color w:val="auto"/>
        </w:rPr>
        <w:t xml:space="preserve">You should read the following discussion and analysis in conjunction with the unaudited interim consolidated financial statements, and the related footnotes thereto, appearing elsewhere in this report, and in conjunction with management’s discussion and analysis and the audited consolidated financial statements included in our Annual Report on Form 10-K for the year ended December 31, 2022 </w:t>
      </w:r>
      <w:r>
        <w:rPr>
          <w:rFonts w:ascii="Arial" w:cs="Arial" w:eastAsia="Arial" w:hAnsi="Arial"/>
          <w:sz w:val="15"/>
          <w:szCs w:val="15"/>
          <w:color w:val="auto"/>
        </w:rPr>
        <w:t>which wa</w:t>
      </w:r>
      <w:r>
        <w:rPr>
          <w:rFonts w:ascii="Arial" w:cs="Arial" w:eastAsia="Arial" w:hAnsi="Arial"/>
          <w:sz w:val="15"/>
          <w:szCs w:val="15"/>
          <w:i w:val="1"/>
          <w:iCs w:val="1"/>
          <w:color w:val="auto"/>
        </w:rPr>
        <w:t>s filed with the Securities and Exchange Commission, or SEC, on February 28, 2023</w:t>
      </w:r>
      <w:r>
        <w:rPr>
          <w:rFonts w:ascii="Arial" w:cs="Arial" w:eastAsia="Arial" w:hAnsi="Arial"/>
          <w:sz w:val="15"/>
          <w:szCs w:val="15"/>
          <w:color w:val="auto"/>
        </w:rPr>
        <w:t>.</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Overview</w:t>
      </w:r>
    </w:p>
    <w:p>
      <w:pPr>
        <w:spacing w:after="0" w:line="131" w:lineRule="exact"/>
        <w:rPr>
          <w:sz w:val="20"/>
          <w:szCs w:val="20"/>
          <w:color w:val="auto"/>
        </w:rPr>
      </w:pPr>
    </w:p>
    <w:p>
      <w:pPr>
        <w:ind w:firstLine="749"/>
        <w:spacing w:after="0" w:line="278" w:lineRule="auto"/>
        <w:rPr>
          <w:sz w:val="20"/>
          <w:szCs w:val="20"/>
          <w:color w:val="auto"/>
        </w:rPr>
      </w:pPr>
      <w:r>
        <w:rPr>
          <w:rFonts w:ascii="Arial" w:cs="Arial" w:eastAsia="Arial" w:hAnsi="Arial"/>
          <w:sz w:val="16"/>
          <w:szCs w:val="16"/>
          <w:color w:val="auto"/>
        </w:rPr>
        <w:t>We are a commercial-stage biopharmaceutical company developing and delivering novel therapies for central nervous system, or CNS, conditions that have limited treatment options. By focusing on this therapeutic area, we are addressing significant and growing markets where current treatment options are limited or inadequate. Our portfolio primarily consists of two commercial products and the development programs described below.</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Commercial Products</w:t>
      </w:r>
    </w:p>
    <w:p>
      <w:pPr>
        <w:spacing w:after="0" w:line="127" w:lineRule="exact"/>
        <w:rPr>
          <w:sz w:val="20"/>
          <w:szCs w:val="20"/>
          <w:color w:val="auto"/>
        </w:rPr>
      </w:pPr>
    </w:p>
    <w:p>
      <w:pPr>
        <w:ind w:left="1020" w:right="80" w:hanging="503"/>
        <w:spacing w:after="0" w:line="278" w:lineRule="auto"/>
        <w:tabs>
          <w:tab w:leader="none" w:pos="1020" w:val="left"/>
        </w:tabs>
        <w:numPr>
          <w:ilvl w:val="0"/>
          <w:numId w:val="7"/>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 xml:space="preserve">Auvelity®. </w:t>
      </w:r>
      <w:r>
        <w:rPr>
          <w:rFonts w:ascii="Arial" w:cs="Arial" w:eastAsia="Arial" w:hAnsi="Arial"/>
          <w:sz w:val="16"/>
          <w:szCs w:val="16"/>
          <w:color w:val="auto"/>
        </w:rPr>
        <w:t>Auvelity (dextromethorphan-bupropion) is a novel, oral, N-methyl-D-aspartate (NMDA) receptor antagonist with multimodal activity indicated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 the treatment of major depressive disorder, also known as MDD. Auvelity was developed by the Company and approved by the U.S. Food and Drug Administration, or the FDA, for the treatment of MDD in August 2022.</w:t>
      </w:r>
    </w:p>
    <w:p>
      <w:pPr>
        <w:spacing w:after="0" w:line="76" w:lineRule="exact"/>
        <w:rPr>
          <w:rFonts w:ascii="Arial" w:cs="Arial" w:eastAsia="Arial" w:hAnsi="Arial"/>
          <w:sz w:val="16"/>
          <w:szCs w:val="16"/>
          <w:b w:val="1"/>
          <w:bCs w:val="1"/>
          <w:i w:val="1"/>
          <w:iCs w:val="1"/>
          <w:color w:val="auto"/>
        </w:rPr>
      </w:pPr>
    </w:p>
    <w:p>
      <w:pPr>
        <w:ind w:left="1020" w:right="20" w:hanging="503"/>
        <w:spacing w:after="0" w:line="291" w:lineRule="auto"/>
        <w:tabs>
          <w:tab w:leader="none" w:pos="1020" w:val="left"/>
        </w:tabs>
        <w:numPr>
          <w:ilvl w:val="0"/>
          <w:numId w:val="7"/>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 xml:space="preserve">Sunosi®. </w:t>
      </w:r>
      <w:r>
        <w:rPr>
          <w:rFonts w:ascii="Arial" w:cs="Arial" w:eastAsia="Arial" w:hAnsi="Arial"/>
          <w:sz w:val="15"/>
          <w:szCs w:val="15"/>
          <w:color w:val="auto"/>
        </w:rPr>
        <w:t>Sunosi (solriamfetol) is a novel, oral medication indicated to the treatment of excessive daytime sleepiness, also known as EDS, in patients with</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narcolepsy or obstructive sleep apnea. Sunosi was approved for the treatment of EDS in the United States in 2019 and by the European Commission in 2020. We acquired the U.S. rights to Sunosi from Jazz Pharmaceuticals plc, or Jazz, in May 2022 and worldwide ex-U.S. rights (excluding certain Asian markets) from Jazz in November 2022. We have been commercializing Sunosi since we completed these acquisitions. SK Biopharmaceuticals Co. Ltd., is the originator of Sunosi and retains rights in 12 Asian markets, including China, Korea, and Japan. In February 2023, we announced a licensing transaction with Pharmanovia to market Sunosi in Europe and certain countries in the Middle East / North Africa.</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Development Programs</w:t>
      </w:r>
    </w:p>
    <w:p>
      <w:pPr>
        <w:spacing w:after="0" w:line="127" w:lineRule="exact"/>
        <w:rPr>
          <w:sz w:val="20"/>
          <w:szCs w:val="20"/>
          <w:color w:val="auto"/>
        </w:rPr>
      </w:pPr>
    </w:p>
    <w:p>
      <w:pPr>
        <w:ind w:right="60" w:firstLine="749"/>
        <w:spacing w:after="0" w:line="268" w:lineRule="auto"/>
        <w:rPr>
          <w:sz w:val="20"/>
          <w:szCs w:val="20"/>
          <w:color w:val="auto"/>
        </w:rPr>
      </w:pPr>
      <w:r>
        <w:rPr>
          <w:rFonts w:ascii="Arial" w:cs="Arial" w:eastAsia="Arial" w:hAnsi="Arial"/>
          <w:sz w:val="16"/>
          <w:szCs w:val="16"/>
          <w:color w:val="auto"/>
        </w:rPr>
        <w:t>When used in programs for further development, we refer to the proprietary dextromethorphan-bupropion combination contained in Auvelity as “AXS-05.” AXS-05 is a novel, oral, investigational NMDA receptor antagonist with multimodal activity under development for the treatment of Alzheimer’s disease agitation, or AD agitation, and smoking cessation. AXS-05 utilizes a proprietary combination and dose of dextromethorphan and bupropion, and Axsome’s metabolic inhibition technology, to modulate the delivery of the components. We have completed a Phase 2/3 trial of AXS-05 in AD agitation, which we refer to as the ADVANCE-1 trial. AXS-05 achieved the primary endpoint in the ADVANCE-1 trial. We have also completed the ACCORD trial, a Phase 3, double blind, placebo-controlled, randomized withdrawal trial in patients with AD agitation, and we are conducting an open-label long-term safety study in AD agitation. We are currently conducting the ADVANCE-2 trial, another Phase 3, double blind, placebo-controlled, randomized withdrawal trial in patients with AD agitation. A positive Phase 2 trial for the use of AXS-05 in smoking cessation has been completed under a research collaboration with Duke University.</w:t>
      </w:r>
    </w:p>
    <w:p>
      <w:pPr>
        <w:spacing w:after="0" w:line="84" w:lineRule="exact"/>
        <w:rPr>
          <w:sz w:val="20"/>
          <w:szCs w:val="20"/>
          <w:color w:val="auto"/>
        </w:rPr>
      </w:pPr>
    </w:p>
    <w:p>
      <w:pPr>
        <w:ind w:firstLine="749"/>
        <w:spacing w:after="0" w:line="269" w:lineRule="auto"/>
        <w:rPr>
          <w:sz w:val="20"/>
          <w:szCs w:val="20"/>
          <w:color w:val="auto"/>
        </w:rPr>
      </w:pPr>
      <w:r>
        <w:rPr>
          <w:rFonts w:ascii="Arial" w:cs="Arial" w:eastAsia="Arial" w:hAnsi="Arial"/>
          <w:sz w:val="16"/>
          <w:szCs w:val="16"/>
          <w:color w:val="auto"/>
        </w:rPr>
        <w:t>AXS-07 is a novel, oral, rapidly absorbed, multi-mechanistic, investigational medicine under development for the acute treatment of migraine. AXS-07 consists of MoSEIC™, or Molecular Solubility Enhanced Inclusion Complex, meloxicam and rizatriptan. We have completed two Phase 3 trials of AXS-07 for the acute treatment of migraine, which we refer to as the MOMENTUM and INTERCEPT trials. AXS-07 achieved the co-primary endpoints in both the MOMENTUM and INTERCEPT trials. We have also completed an open-label, long-term, safety study of AXS-07 in patients with migraine known as the MOVEMENT trial. In the MOVEMENT trial, administration of AXS-07 resulted in rapid, and substantial relief of migraine pain and associated symptoms and was well tolerated with long term dosing. We submitted an NDA for AXS-07 in 2021, which was accepted, and received a complete response letter, or CRL, from the FDA in April 2022. The principal reasons given in the CRL relate to chemistry, manufacturing, and controls, or CMC considerations.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31" w:name="page32"/>
    <w:bookmarkEnd w:id="31"/>
    <w:p>
      <w:pPr>
        <w:spacing w:after="0"/>
        <w:rPr>
          <w:sz w:val="20"/>
          <w:szCs w:val="20"/>
          <w:color w:val="auto"/>
        </w:rPr>
      </w:pPr>
      <w:r>
        <w:rPr>
          <w:rFonts w:ascii="Arial" w:cs="Arial" w:eastAsia="Arial" w:hAnsi="Arial"/>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3025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30250" cy="8255"/>
                    </a:xfrm>
                    <a:prstGeom prst="rect">
                      <a:avLst/>
                    </a:prstGeom>
                    <a:noFill/>
                  </pic:spPr>
                </pic:pic>
              </a:graphicData>
            </a:graphic>
          </wp:anchor>
        </w:drawing>
      </w:r>
    </w:p>
    <w:p>
      <w:pPr>
        <w:spacing w:after="0" w:line="174" w:lineRule="exact"/>
        <w:rPr>
          <w:sz w:val="20"/>
          <w:szCs w:val="20"/>
          <w:color w:val="auto"/>
        </w:rPr>
      </w:pPr>
    </w:p>
    <w:p>
      <w:pPr>
        <w:ind w:firstLine="749"/>
        <w:spacing w:after="0" w:line="273" w:lineRule="auto"/>
        <w:rPr>
          <w:sz w:val="20"/>
          <w:szCs w:val="20"/>
          <w:color w:val="auto"/>
        </w:rPr>
      </w:pPr>
      <w:r>
        <w:rPr>
          <w:rFonts w:ascii="Arial" w:cs="Arial" w:eastAsia="Arial" w:hAnsi="Arial"/>
          <w:sz w:val="16"/>
          <w:szCs w:val="16"/>
          <w:color w:val="auto"/>
        </w:rPr>
        <w:t>AXS-12, reboxetine, is a novel, oral, investigational medicine in development for the treatment of cataplexy in narcolepsy. AXS-12 is a highly selective and potent norepinephrine reuptake inhibitor. AXS-12 has been granted FDA Orphan Drug Designation for the treatment of narcolepsy. We have completed a Phase 2 trial with AXS-12, which we refer to as the CONCERT study. We are currently conducting a randomized, placebo-controlled Phase 3 trial with AXS-12 in narcolepsy, which we refer to as the SYMPHONY study, and one open-label long-term safety extension study.</w:t>
      </w:r>
    </w:p>
    <w:p>
      <w:pPr>
        <w:spacing w:after="0" w:line="81" w:lineRule="exact"/>
        <w:rPr>
          <w:sz w:val="20"/>
          <w:szCs w:val="20"/>
          <w:color w:val="auto"/>
        </w:rPr>
      </w:pPr>
    </w:p>
    <w:p>
      <w:pPr>
        <w:jc w:val="both"/>
        <w:ind w:right="340" w:firstLine="749"/>
        <w:spacing w:after="0" w:line="278" w:lineRule="auto"/>
        <w:rPr>
          <w:sz w:val="20"/>
          <w:szCs w:val="20"/>
          <w:color w:val="auto"/>
        </w:rPr>
      </w:pPr>
      <w:r>
        <w:rPr>
          <w:rFonts w:ascii="Arial" w:cs="Arial" w:eastAsia="Arial" w:hAnsi="Arial"/>
          <w:sz w:val="16"/>
          <w:szCs w:val="16"/>
          <w:color w:val="auto"/>
        </w:rPr>
        <w:t>AXS-14, esreboxetine, is a novel, oral, investigational medicine in development for the treatment of fibromyalgia. AXS-14 is a highly selective and potent norepinephrine reuptake inhibitor. Esreboxetine, the SS-enantiomer of reboxetine, is more potent and selective than racemic reboxetine. We have in-licensed data from Pfizer Inc., or Pfizer, that includes a completed Phase 2 trial and Phase 3 trial in fibromyalgia, both of which were positive.</w:t>
      </w:r>
    </w:p>
    <w:p>
      <w:pPr>
        <w:spacing w:after="0" w:line="76" w:lineRule="exact"/>
        <w:rPr>
          <w:sz w:val="20"/>
          <w:szCs w:val="20"/>
          <w:color w:val="auto"/>
        </w:rPr>
      </w:pPr>
    </w:p>
    <w:p>
      <w:pPr>
        <w:ind w:right="140" w:firstLine="749"/>
        <w:spacing w:after="0" w:line="293" w:lineRule="auto"/>
        <w:rPr>
          <w:sz w:val="20"/>
          <w:szCs w:val="20"/>
          <w:color w:val="auto"/>
        </w:rPr>
      </w:pPr>
      <w:r>
        <w:rPr>
          <w:rFonts w:ascii="Arial" w:cs="Arial" w:eastAsia="Arial" w:hAnsi="Arial"/>
          <w:sz w:val="16"/>
          <w:szCs w:val="16"/>
          <w:color w:val="auto"/>
        </w:rPr>
        <w:t>Solriamfetol is the active ingredient in Sunosi. It is an oral, dual-acting dopamine and norepinephrine reuptake inhibitor and TAAR1 agonist. In July 2023, we initiated a Phase 3 trial of solriamfetol in adults with attention-deficit/hyperactivity disorder, or ADHD.</w:t>
      </w:r>
    </w:p>
    <w:p>
      <w:pPr>
        <w:spacing w:after="0" w:line="64" w:lineRule="exact"/>
        <w:rPr>
          <w:sz w:val="20"/>
          <w:szCs w:val="20"/>
          <w:color w:val="auto"/>
        </w:rPr>
      </w:pPr>
    </w:p>
    <w:p>
      <w:pPr>
        <w:ind w:firstLine="749"/>
        <w:spacing w:after="0" w:line="278" w:lineRule="auto"/>
        <w:rPr>
          <w:sz w:val="20"/>
          <w:szCs w:val="20"/>
          <w:color w:val="auto"/>
        </w:rPr>
      </w:pPr>
      <w:r>
        <w:rPr>
          <w:rFonts w:ascii="Arial" w:cs="Arial" w:eastAsia="Arial" w:hAnsi="Arial"/>
          <w:sz w:val="16"/>
          <w:szCs w:val="16"/>
          <w:color w:val="auto"/>
        </w:rPr>
        <w:t>Additionally, we are currently evaluating other product candidates, which we intend to develop for CNS disorders. We aim to become a fully integrated biopharmaceutical company that develops and commercializes differentiated therapies that increase available treatment options and improve the lives of patients living with CNS disorders.</w:t>
      </w:r>
    </w:p>
    <w:p>
      <w:pPr>
        <w:spacing w:after="0" w:line="184" w:lineRule="exact"/>
        <w:rPr>
          <w:sz w:val="20"/>
          <w:szCs w:val="20"/>
          <w:color w:val="auto"/>
        </w:rPr>
      </w:pPr>
    </w:p>
    <w:p>
      <w:pPr>
        <w:ind w:right="180" w:firstLine="749"/>
        <w:spacing w:after="0" w:line="273" w:lineRule="auto"/>
        <w:rPr>
          <w:sz w:val="20"/>
          <w:szCs w:val="20"/>
          <w:color w:val="auto"/>
        </w:rPr>
      </w:pPr>
      <w:r>
        <w:rPr>
          <w:rFonts w:ascii="Arial" w:cs="Arial" w:eastAsia="Arial" w:hAnsi="Arial"/>
          <w:sz w:val="16"/>
          <w:szCs w:val="16"/>
          <w:color w:val="auto"/>
        </w:rPr>
        <w:t>Since our incorporation in January 2012, our operations to date have included organizing and staffing our company, business planning, raising capital, developing our compounds, engaging in other discovery and preclinical activities and commencing the commercialization of Sunosi and Auvelity. We have raised capital through proceeds from sales of our common stock and warrants to purchase shares of our common stock to equity investors, debt borrowings, and sales of Auvelity and Sunosi. For a further discussion, see the section entitled “Liquidity and Capital Resources” below.</w:t>
      </w:r>
    </w:p>
    <w:p>
      <w:pPr>
        <w:spacing w:after="0" w:line="189" w:lineRule="exact"/>
        <w:rPr>
          <w:sz w:val="20"/>
          <w:szCs w:val="20"/>
          <w:color w:val="auto"/>
        </w:rPr>
      </w:pPr>
    </w:p>
    <w:p>
      <w:pPr>
        <w:ind w:right="340" w:firstLine="749"/>
        <w:spacing w:after="0" w:line="293" w:lineRule="auto"/>
        <w:rPr>
          <w:sz w:val="20"/>
          <w:szCs w:val="20"/>
          <w:color w:val="auto"/>
        </w:rPr>
      </w:pPr>
      <w:r>
        <w:rPr>
          <w:rFonts w:ascii="Arial" w:cs="Arial" w:eastAsia="Arial" w:hAnsi="Arial"/>
          <w:sz w:val="16"/>
          <w:szCs w:val="16"/>
          <w:color w:val="auto"/>
        </w:rPr>
        <w:t>Our ability to become profitable depends on our ability to generate revenue. We have recently begun commercial sales of Sunosi and Auvelity, but we have limited experience with commercializing these products.</w:t>
      </w:r>
    </w:p>
    <w:p>
      <w:pPr>
        <w:spacing w:after="0" w:line="172" w:lineRule="exact"/>
        <w:rPr>
          <w:sz w:val="20"/>
          <w:szCs w:val="20"/>
          <w:color w:val="auto"/>
        </w:rPr>
      </w:pPr>
    </w:p>
    <w:p>
      <w:pPr>
        <w:ind w:right="120" w:firstLine="749"/>
        <w:spacing w:after="0" w:line="286" w:lineRule="auto"/>
        <w:rPr>
          <w:sz w:val="20"/>
          <w:szCs w:val="20"/>
          <w:color w:val="auto"/>
        </w:rPr>
      </w:pPr>
      <w:r>
        <w:rPr>
          <w:rFonts w:ascii="Arial" w:cs="Arial" w:eastAsia="Arial" w:hAnsi="Arial"/>
          <w:sz w:val="15"/>
          <w:szCs w:val="15"/>
          <w:color w:val="auto"/>
        </w:rPr>
        <w:t>We have incurred significant operating expenses and net losses since inception. We incurred net losses of $78.4 million and $81.1 million for the six months ended June 30, 2023 and 2022, respectively. Our accumulated deficit as of June 30, 2023 was $674.7 million, and we expect to incur significant expenses and increasing operating losses for the foreseeable future. We expect to incur commercialization expenses for Sunosi and Auvelity as we look to continue to support the growth of both products. We expect to continue to incur expenses in connection with the development of our product candidates, including with respect to conducting clinical trials and seeking regulatory approval for our current product candidates and any other product candidates that we develop or in-license and advance to clinical development. As we continue to seek regulatory approval for our product candidates, we expect to incur significant expenses in order to continue to create an infrastructure and support market readiness for the commercialization of our product candidates, including manufacturing, sales, marketing, and distribution functions. Further, we have incurred and will continue to incur additional costs associated with operating as a public company. Accordingly, we may need additional financing to support our continuing operations. We may seek to fund our operations through public and/or private equity, debt financings or other sources. Adequate additional financing may not be available to us on acceptable terms, or at all. Our failure to raise capital as and when needed would have a negative impact on our financial condition and our ability to pursue our business strategy. We will need to generate significant revenue to achieve profitability, and we may never do so.</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Year to Date and Recent Developments</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Auvelity</w:t>
      </w:r>
    </w:p>
    <w:p>
      <w:pPr>
        <w:spacing w:after="0" w:line="127" w:lineRule="exact"/>
        <w:rPr>
          <w:sz w:val="20"/>
          <w:szCs w:val="20"/>
          <w:color w:val="auto"/>
        </w:rPr>
      </w:pPr>
    </w:p>
    <w:p>
      <w:pPr>
        <w:ind w:right="200" w:firstLine="749"/>
        <w:spacing w:after="0" w:line="273" w:lineRule="auto"/>
        <w:rPr>
          <w:sz w:val="20"/>
          <w:szCs w:val="20"/>
          <w:color w:val="auto"/>
        </w:rPr>
      </w:pPr>
      <w:r>
        <w:rPr>
          <w:rFonts w:ascii="Arial" w:cs="Arial" w:eastAsia="Arial" w:hAnsi="Arial"/>
          <w:sz w:val="16"/>
          <w:szCs w:val="16"/>
          <w:color w:val="auto"/>
        </w:rPr>
        <w:t>In February 2023, we received a Paragraph IV Certification Notice Letter from Teva Pharmaceuticals, Inc., or Teva, providing notification to us that Teva has submitted an Abbreviated New Drug Application, or ANDA, to the FDA seeking approval to manufacture, use, or sell a generic version of Auvelity® (dextromethorphan HBr-bupropion HCl). On March 24, 2023, we commenced a patent infringement action against Teva in the United States District Court for the District of New Jersey relating to its Abbreviated New Drug Application.</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Sunosi</w:t>
      </w:r>
    </w:p>
    <w:p>
      <w:pPr>
        <w:spacing w:after="0" w:line="127" w:lineRule="exact"/>
        <w:rPr>
          <w:sz w:val="20"/>
          <w:szCs w:val="20"/>
          <w:color w:val="auto"/>
        </w:rPr>
      </w:pPr>
    </w:p>
    <w:p>
      <w:pPr>
        <w:ind w:right="100" w:firstLine="749"/>
        <w:spacing w:after="0" w:line="293" w:lineRule="auto"/>
        <w:rPr>
          <w:sz w:val="20"/>
          <w:szCs w:val="20"/>
          <w:color w:val="auto"/>
        </w:rPr>
      </w:pPr>
      <w:r>
        <w:rPr>
          <w:rFonts w:ascii="Arial" w:cs="Arial" w:eastAsia="Arial" w:hAnsi="Arial"/>
          <w:sz w:val="16"/>
          <w:szCs w:val="16"/>
          <w:color w:val="auto"/>
        </w:rPr>
        <w:t>In February 2023, we entered into a license agreement with Atnahs Pharma UK Limited, or the Pharmanovia License Agreement, to expand commercialization and further develop Sunosi® (solriamfetol) in Europe and certain countries in the Middle East and North Africa.</w:t>
      </w:r>
    </w:p>
    <w:p>
      <w:pPr>
        <w:spacing w:after="0" w:line="64" w:lineRule="exact"/>
        <w:rPr>
          <w:sz w:val="20"/>
          <w:szCs w:val="20"/>
          <w:color w:val="auto"/>
        </w:rPr>
      </w:pPr>
    </w:p>
    <w:p>
      <w:pPr>
        <w:ind w:right="360" w:firstLine="749"/>
        <w:spacing w:after="0" w:line="328" w:lineRule="auto"/>
        <w:rPr>
          <w:sz w:val="20"/>
          <w:szCs w:val="20"/>
          <w:color w:val="auto"/>
        </w:rPr>
      </w:pPr>
      <w:r>
        <w:rPr>
          <w:rFonts w:ascii="Arial" w:cs="Arial" w:eastAsia="Arial" w:hAnsi="Arial"/>
          <w:sz w:val="15"/>
          <w:szCs w:val="15"/>
          <w:color w:val="auto"/>
        </w:rPr>
        <w:t>In August 2023, we received a Paragraph IV Certification Notice Letter from Hikma Pharmaceuticals USA Inc., or Hikma, providing notification to us that Hikma has submitted an ANDA to the FDA seeking approval to manufacture, use, or sell a generic version of Sunosi® (solriamfetol hydrochloride).</w:t>
      </w:r>
    </w:p>
    <w:p>
      <w:pPr>
        <w:spacing w:after="0" w:line="14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30" w:right="419" w:bottom="1440" w:gutter="0" w:footer="0" w:header="0"/>
        </w:sectPr>
      </w:pPr>
    </w:p>
    <w:bookmarkStart w:id="32" w:name="page33"/>
    <w:bookmarkEnd w:id="32"/>
    <w:p>
      <w:pPr>
        <w:spacing w:after="0"/>
        <w:rPr>
          <w:sz w:val="20"/>
          <w:szCs w:val="20"/>
          <w:color w:val="auto"/>
        </w:rPr>
      </w:pPr>
      <w:r>
        <w:rPr>
          <w:rFonts w:ascii="Arial" w:cs="Arial" w:eastAsia="Arial" w:hAnsi="Arial"/>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3025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30250" cy="8255"/>
                    </a:xfrm>
                    <a:prstGeom prst="rect">
                      <a:avLst/>
                    </a:prstGeom>
                    <a:noFill/>
                  </pic:spPr>
                </pic:pic>
              </a:graphicData>
            </a:graphic>
          </wp:anchor>
        </w:drawing>
      </w:r>
    </w:p>
    <w:p>
      <w:pPr>
        <w:spacing w:after="0" w:line="37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Corporate</w:t>
      </w:r>
    </w:p>
    <w:p>
      <w:pPr>
        <w:spacing w:after="0" w:line="127" w:lineRule="exact"/>
        <w:rPr>
          <w:sz w:val="20"/>
          <w:szCs w:val="20"/>
          <w:color w:val="auto"/>
        </w:rPr>
      </w:pPr>
    </w:p>
    <w:p>
      <w:pPr>
        <w:ind w:right="40" w:firstLine="749"/>
        <w:spacing w:after="0" w:line="293" w:lineRule="auto"/>
        <w:rPr>
          <w:sz w:val="20"/>
          <w:szCs w:val="20"/>
          <w:color w:val="auto"/>
        </w:rPr>
      </w:pPr>
      <w:r>
        <w:rPr>
          <w:rFonts w:ascii="Arial" w:cs="Arial" w:eastAsia="Arial" w:hAnsi="Arial"/>
          <w:sz w:val="16"/>
          <w:szCs w:val="16"/>
          <w:color w:val="auto"/>
        </w:rPr>
        <w:t>In February 2023, we entered into a sublease with Advance Magazine Publishers d/b/a Conde Nast for the entirety of the twenty-second floor of One Word Trade Center in New York, NY. This space is utilized by the Company for its corporate and executive offices.</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Financial</w:t>
      </w:r>
    </w:p>
    <w:p>
      <w:pPr>
        <w:spacing w:after="0" w:line="208" w:lineRule="exact"/>
        <w:rPr>
          <w:sz w:val="20"/>
          <w:szCs w:val="20"/>
          <w:color w:val="auto"/>
        </w:rPr>
      </w:pPr>
    </w:p>
    <w:p>
      <w:pPr>
        <w:ind w:right="140" w:firstLine="749"/>
        <w:spacing w:after="0" w:line="271" w:lineRule="auto"/>
        <w:rPr>
          <w:sz w:val="20"/>
          <w:szCs w:val="20"/>
          <w:color w:val="auto"/>
        </w:rPr>
      </w:pPr>
      <w:r>
        <w:rPr>
          <w:rFonts w:ascii="Arial" w:cs="Arial" w:eastAsia="Arial" w:hAnsi="Arial"/>
          <w:sz w:val="16"/>
          <w:szCs w:val="16"/>
          <w:color w:val="auto"/>
        </w:rPr>
        <w:t>In January 2023, we entered into a Third Amendment to Loan and Security Agreement, or the Third Amendment, with Hercules Capital, Inc, or Hercules, in its capacity as administrative agent and collateral agent, and the other financial institutions or entities party thereto as lenders. The Third Amendment amends the terms of that certain Loan and Security Agreement, dated as of September 25, 2020 (as amended by that certain First Amendment to Loan and Security Agreement, dated as of October 14, 2021, and as further amended by the Second Amendment to Loan and Security Agreement, dated as of March 27, 2022), or the Loan Agreement, by and among the Company, Hercules and the lenders party thereto.</w:t>
      </w:r>
    </w:p>
    <w:p>
      <w:pPr>
        <w:spacing w:after="0" w:line="149" w:lineRule="exact"/>
        <w:rPr>
          <w:sz w:val="20"/>
          <w:szCs w:val="20"/>
          <w:color w:val="auto"/>
        </w:rPr>
      </w:pPr>
    </w:p>
    <w:p>
      <w:pPr>
        <w:ind w:right="40" w:firstLine="749"/>
        <w:spacing w:after="0" w:line="269" w:lineRule="auto"/>
        <w:rPr>
          <w:sz w:val="20"/>
          <w:szCs w:val="20"/>
          <w:color w:val="auto"/>
        </w:rPr>
      </w:pPr>
      <w:r>
        <w:rPr>
          <w:rFonts w:ascii="Arial" w:cs="Arial" w:eastAsia="Arial" w:hAnsi="Arial"/>
          <w:sz w:val="16"/>
          <w:szCs w:val="16"/>
          <w:color w:val="auto"/>
        </w:rPr>
        <w:t>In March 2023, Silicon Valley Bank (SVB) and Signature Bank were closed and taken over by the Federal Deposit Insurance Corporation (FDIC), which created significant market disruption and uncertainty with respect to the financial condition of a number of banking institutions in the U.S., in particular those with exposure to certain types of depositors and large portfolios of investment securities. At the time of these closures, we had approximately $4.0 million in cash in deposit accounts at SVB. Other Company funds were held at Citibank and on the Company’s behalf by a third-party financial institution and invested in U.S. government securities. On March 12, 2023, the U.S. Department of the Treasury announced that the FDIC will fully protect all SVB depositors. The Company has not suffered any losses in connection with the failure of SVB or any other financial institution.</w:t>
      </w:r>
    </w:p>
    <w:p>
      <w:pPr>
        <w:spacing w:after="0" w:line="153" w:lineRule="exact"/>
        <w:rPr>
          <w:sz w:val="20"/>
          <w:szCs w:val="20"/>
          <w:color w:val="auto"/>
        </w:rPr>
      </w:pPr>
    </w:p>
    <w:p>
      <w:pPr>
        <w:ind w:right="80" w:firstLine="749"/>
        <w:spacing w:after="0" w:line="324" w:lineRule="auto"/>
        <w:rPr>
          <w:sz w:val="20"/>
          <w:szCs w:val="20"/>
          <w:color w:val="auto"/>
        </w:rPr>
      </w:pPr>
      <w:r>
        <w:rPr>
          <w:rFonts w:ascii="Arial" w:cs="Arial" w:eastAsia="Arial" w:hAnsi="Arial"/>
          <w:sz w:val="14"/>
          <w:szCs w:val="14"/>
          <w:color w:val="auto"/>
        </w:rPr>
        <w:t>In May 2023, we entered into a Waiver and Fourth Amendment to Loan and Security Agreement, or the Fourth Amendment, with Hercules, in its capacity as administrative agent and collateral agent, and the other financial institutions or entities party thereto as lenders. The Fourth Amendment amends the terms of the Loan Agreement (as amended by that certain First Amendment to Loan and Security Agreement, dated as of October 14, 2021, as further amended by the Second Amendment to Loan and Security Agreement, dated as of March 27, 2022, and as further amended by the Third Amendment to Loan and Security Agreement, dated as of January 9, 2023).</w:t>
      </w:r>
    </w:p>
    <w:p>
      <w:pPr>
        <w:spacing w:after="0" w:line="130" w:lineRule="exact"/>
        <w:rPr>
          <w:sz w:val="20"/>
          <w:szCs w:val="20"/>
          <w:color w:val="auto"/>
        </w:rPr>
      </w:pPr>
    </w:p>
    <w:p>
      <w:pPr>
        <w:ind w:right="20" w:firstLine="749"/>
        <w:spacing w:after="0" w:line="269" w:lineRule="auto"/>
        <w:rPr>
          <w:sz w:val="20"/>
          <w:szCs w:val="20"/>
          <w:color w:val="auto"/>
        </w:rPr>
      </w:pPr>
      <w:r>
        <w:rPr>
          <w:rFonts w:ascii="Arial" w:cs="Arial" w:eastAsia="Arial" w:hAnsi="Arial"/>
          <w:sz w:val="16"/>
          <w:szCs w:val="16"/>
          <w:color w:val="auto"/>
        </w:rPr>
        <w:t>In June 2023, we completed a public offering of 3,000,000 shares of common stock at the public offering price of $75.00 per share. The aggregate gross proceeds to us, before deducting underwriting discounts and commissions and offering expenses, were $225.0 million. Additionally, in connection with this public offering, in July 2023, the underwriters fully exercised their option to purchase 450,000 additional shares of the Company's common stock at a public offering price of $75.00 per share. The aggregate gross proceeds to us, before deducting underwriting discounts and commissions and offering expenses, were $33.75 million. We intend to use the proceeds from these offerings to advance our late-stage pipeline, including funding existing and potential new clinical programs, products, and product candidates, to expand commercialization efforts, and for other general corporate purposes.</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Financial Overview</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Revenue</w:t>
      </w:r>
    </w:p>
    <w:p>
      <w:pPr>
        <w:spacing w:after="0" w:line="235" w:lineRule="exact"/>
        <w:rPr>
          <w:sz w:val="20"/>
          <w:szCs w:val="20"/>
          <w:color w:val="auto"/>
        </w:rPr>
      </w:pPr>
    </w:p>
    <w:p>
      <w:pPr>
        <w:ind w:left="760"/>
        <w:spacing w:after="0"/>
        <w:rPr>
          <w:sz w:val="20"/>
          <w:szCs w:val="20"/>
          <w:color w:val="auto"/>
        </w:rPr>
      </w:pPr>
      <w:r>
        <w:rPr>
          <w:rFonts w:ascii="Arial" w:cs="Arial" w:eastAsia="Arial" w:hAnsi="Arial"/>
          <w:sz w:val="16"/>
          <w:szCs w:val="16"/>
          <w:color w:val="auto"/>
        </w:rPr>
        <w:t>We generated $46.0 million and $74.6 million in net revenue from product sales in the three and six months ended June 30, 2023, respectively.</w:t>
      </w:r>
    </w:p>
    <w:p>
      <w:pPr>
        <w:spacing w:after="0" w:line="235" w:lineRule="exact"/>
        <w:rPr>
          <w:sz w:val="20"/>
          <w:szCs w:val="20"/>
          <w:color w:val="auto"/>
        </w:rPr>
      </w:pPr>
    </w:p>
    <w:p>
      <w:pPr>
        <w:ind w:right="60" w:firstLine="749"/>
        <w:spacing w:after="0" w:line="271" w:lineRule="auto"/>
        <w:rPr>
          <w:sz w:val="20"/>
          <w:szCs w:val="20"/>
          <w:color w:val="auto"/>
        </w:rPr>
      </w:pPr>
      <w:r>
        <w:rPr>
          <w:rFonts w:ascii="Arial" w:cs="Arial" w:eastAsia="Arial" w:hAnsi="Arial"/>
          <w:sz w:val="16"/>
          <w:szCs w:val="16"/>
          <w:color w:val="auto"/>
        </w:rPr>
        <w:t>We expect that Sunosi and Auvelity revenues are likely to fluctuate based on demand quarter to quarter. We will not generate revenue from other products unless and until we successfully develop, obtain regulatory approval of, and commercialize one of our current or future product candidates. We have incurred significant operating losses since inception. If we fail to complete the development of our product candidates in a timely manner or obtain regulatory approval for them, our ability to generate future revenue from such product candidates, and our results of operations and financial position, would be materially and adversely affected. If we enter into licensing or collaboration arrangements, such agreements may generate revenue in the future.</w:t>
      </w:r>
    </w:p>
    <w:p>
      <w:pPr>
        <w:spacing w:after="0" w:line="190" w:lineRule="exact"/>
        <w:rPr>
          <w:sz w:val="20"/>
          <w:szCs w:val="20"/>
          <w:color w:val="auto"/>
        </w:rPr>
      </w:pPr>
    </w:p>
    <w:p>
      <w:pPr>
        <w:ind w:left="760"/>
        <w:spacing w:after="0"/>
        <w:rPr>
          <w:sz w:val="20"/>
          <w:szCs w:val="20"/>
          <w:color w:val="auto"/>
        </w:rPr>
      </w:pPr>
      <w:r>
        <w:rPr>
          <w:rFonts w:ascii="Arial" w:cs="Arial" w:eastAsia="Arial" w:hAnsi="Arial"/>
          <w:sz w:val="14"/>
          <w:szCs w:val="14"/>
          <w:color w:val="auto"/>
        </w:rPr>
        <w:t>Additionally, in the first quarter of 2023, we recorded license revenue of $65.7 million related to the Pharmanovia License Agreement. See below for more detail.</w:t>
      </w: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3" w:name="page34"/>
    <w:bookmarkEnd w:id="33"/>
    <w:p>
      <w:pPr>
        <w:spacing w:after="0"/>
        <w:rPr>
          <w:sz w:val="20"/>
          <w:szCs w:val="20"/>
          <w:color w:val="auto"/>
        </w:rPr>
      </w:pPr>
      <w:r>
        <w:rPr>
          <w:rFonts w:ascii="Arial" w:cs="Arial" w:eastAsia="Arial" w:hAnsi="Arial"/>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3025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3025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License Agreement with Pharmanovia</w:t>
      </w:r>
    </w:p>
    <w:p>
      <w:pPr>
        <w:spacing w:after="0" w:line="235" w:lineRule="exact"/>
        <w:rPr>
          <w:sz w:val="20"/>
          <w:szCs w:val="20"/>
          <w:color w:val="auto"/>
        </w:rPr>
      </w:pPr>
    </w:p>
    <w:p>
      <w:pPr>
        <w:ind w:right="140" w:firstLine="749"/>
        <w:spacing w:after="0" w:line="278" w:lineRule="auto"/>
        <w:rPr>
          <w:sz w:val="20"/>
          <w:szCs w:val="20"/>
          <w:color w:val="auto"/>
        </w:rPr>
      </w:pPr>
      <w:r>
        <w:rPr>
          <w:rFonts w:ascii="Arial" w:cs="Arial" w:eastAsia="Arial" w:hAnsi="Arial"/>
          <w:sz w:val="16"/>
          <w:szCs w:val="16"/>
          <w:color w:val="auto"/>
        </w:rPr>
        <w:t>In February 2023, we entered into the Pharmanovia License Agreement to commercialize and further develop Sunosi® in Europe and certain countries in the Middle East and North Africa, or the Territory. Pharmanovia is a UK-based global lifecycle management healthcare company that focuses on four core therapeutic areas – Oncology, Endocrinology, Neurology and Cardiovascular.</w:t>
      </w:r>
    </w:p>
    <w:p>
      <w:pPr>
        <w:spacing w:after="0" w:line="184" w:lineRule="exact"/>
        <w:rPr>
          <w:sz w:val="20"/>
          <w:szCs w:val="20"/>
          <w:color w:val="auto"/>
        </w:rPr>
      </w:pPr>
    </w:p>
    <w:p>
      <w:pPr>
        <w:ind w:right="280" w:firstLine="749"/>
        <w:spacing w:after="0" w:line="273" w:lineRule="auto"/>
        <w:rPr>
          <w:sz w:val="20"/>
          <w:szCs w:val="20"/>
          <w:color w:val="auto"/>
        </w:rPr>
      </w:pPr>
      <w:r>
        <w:rPr>
          <w:rFonts w:ascii="Arial" w:cs="Arial" w:eastAsia="Arial" w:hAnsi="Arial"/>
          <w:sz w:val="16"/>
          <w:szCs w:val="16"/>
          <w:color w:val="auto"/>
        </w:rPr>
        <w:t>We received an upfront payment of €62.0 million ($65.7 million) during the first quarter of 2023 and are eligible to receive sales-based and other milestones totaling up to €94.5 million. We will receive a royalty percentage in the mid-twenties on net sales of the Licensed Products (as defined in the Pharmanovia License Agreement) in the Territory. For the three and six months ended June 30, 2023, we recognized royalty revenue of $0.7 million and $1.0 million, respectively, related to Pharmanovia’s sales of Sunosi.</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Cost of revenue</w:t>
      </w:r>
    </w:p>
    <w:p>
      <w:pPr>
        <w:spacing w:after="0" w:line="208" w:lineRule="exact"/>
        <w:rPr>
          <w:sz w:val="20"/>
          <w:szCs w:val="20"/>
          <w:color w:val="auto"/>
        </w:rPr>
      </w:pPr>
    </w:p>
    <w:p>
      <w:pPr>
        <w:ind w:right="440" w:firstLine="749"/>
        <w:spacing w:after="0" w:line="293" w:lineRule="auto"/>
        <w:rPr>
          <w:sz w:val="20"/>
          <w:szCs w:val="20"/>
          <w:color w:val="auto"/>
        </w:rPr>
      </w:pPr>
      <w:r>
        <w:rPr>
          <w:rFonts w:ascii="Arial" w:cs="Arial" w:eastAsia="Arial" w:hAnsi="Arial"/>
          <w:sz w:val="16"/>
          <w:szCs w:val="16"/>
          <w:color w:val="auto"/>
        </w:rPr>
        <w:t>Cost of revenue includes direct costs of formulating, manufacturing and packaging drug product, overhead costs consisting of labor, customs, stock-based compensation, shipping, outside inventory management, royalty expense, and other miscellaneous operating costs.</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Research and Development Expenses</w:t>
      </w:r>
    </w:p>
    <w:p>
      <w:pPr>
        <w:spacing w:after="0" w:line="235" w:lineRule="exact"/>
        <w:rPr>
          <w:sz w:val="20"/>
          <w:szCs w:val="20"/>
          <w:color w:val="auto"/>
        </w:rPr>
      </w:pPr>
    </w:p>
    <w:p>
      <w:pPr>
        <w:jc w:val="both"/>
        <w:ind w:right="240" w:firstLine="749"/>
        <w:spacing w:after="0" w:line="204" w:lineRule="exact"/>
        <w:rPr>
          <w:sz w:val="20"/>
          <w:szCs w:val="20"/>
          <w:color w:val="auto"/>
        </w:rPr>
      </w:pPr>
      <w:r>
        <w:rPr>
          <w:rFonts w:ascii="Arial" w:cs="Arial" w:eastAsia="Arial" w:hAnsi="Arial"/>
          <w:sz w:val="15"/>
          <w:szCs w:val="15"/>
          <w:color w:val="auto"/>
        </w:rPr>
        <w:t>Research and development expenses primarily include preclinical studies, clinical trials, manufacturing costs, employee-related expenses including salaries, benefits, travel, and stock</w:t>
      </w:r>
      <w:r>
        <w:rPr>
          <w:rFonts w:ascii="MS PGothic" w:cs="MS PGothic" w:eastAsia="MS PGothic" w:hAnsi="MS PGothic"/>
          <w:sz w:val="15"/>
          <w:szCs w:val="15"/>
          <w:color w:val="auto"/>
        </w:rPr>
        <w:t>‑</w:t>
      </w:r>
      <w:r>
        <w:rPr>
          <w:rFonts w:ascii="Arial" w:cs="Arial" w:eastAsia="Arial" w:hAnsi="Arial"/>
          <w:sz w:val="15"/>
          <w:szCs w:val="15"/>
          <w:color w:val="auto"/>
        </w:rPr>
        <w:t>based compensation expense, contract services, including external research and development expenses incurred under arrangements with third parties, such as contract research organizations, or CROs, facilities costs, overhead costs, depreciation, and other related costs.</w:t>
      </w:r>
    </w:p>
    <w:p>
      <w:pPr>
        <w:spacing w:after="0" w:line="213" w:lineRule="exact"/>
        <w:rPr>
          <w:sz w:val="20"/>
          <w:szCs w:val="20"/>
          <w:color w:val="auto"/>
        </w:rPr>
      </w:pPr>
    </w:p>
    <w:p>
      <w:pPr>
        <w:ind w:firstLine="749"/>
        <w:spacing w:after="0" w:line="268" w:lineRule="auto"/>
        <w:rPr>
          <w:sz w:val="20"/>
          <w:szCs w:val="20"/>
          <w:color w:val="auto"/>
        </w:rPr>
      </w:pPr>
      <w:r>
        <w:rPr>
          <w:rFonts w:ascii="Arial" w:cs="Arial" w:eastAsia="Arial" w:hAnsi="Arial"/>
          <w:sz w:val="16"/>
          <w:szCs w:val="16"/>
          <w:color w:val="auto"/>
        </w:rPr>
        <w:t>Research and development activities are central to our business model. We have and will incur substantial costs beyond our present and planned clinical trials in order to file a new drug application, or NDA, for any of our product candidates. It is difficult to determine with certainty the costs and duration of our current or future clinical trials and preclinical studies, or to what extent we will generate revenue from the commercialization and sale of Sunosi and Auvelity or our product candidates if we obtain regulatory approval. The duration, costs, and timing of clinical trials and development of our product candidates will depend on a variety of factors, including the uncertainties of future clinical trials and preclinical studies, uncertainties in clinical trial enrollment rate, and significant and changing government regulation. In addition, the probability of success for each product candidate will depend on numerous factors, including competition, manufacturing capability, and commercial viability. We will determine which programs to pursue and how much to fund each program in response to the scientific and clinical success of each product candidate, as well as an assessment of each product candidate’s commercial potential.</w:t>
      </w:r>
    </w:p>
    <w:p>
      <w:pPr>
        <w:spacing w:after="0" w:line="192" w:lineRule="exact"/>
        <w:rPr>
          <w:sz w:val="20"/>
          <w:szCs w:val="20"/>
          <w:color w:val="auto"/>
        </w:rPr>
      </w:pPr>
    </w:p>
    <w:p>
      <w:pPr>
        <w:ind w:right="100" w:firstLine="749"/>
        <w:spacing w:after="0" w:line="315" w:lineRule="auto"/>
        <w:rPr>
          <w:sz w:val="20"/>
          <w:szCs w:val="20"/>
          <w:color w:val="auto"/>
        </w:rPr>
      </w:pPr>
      <w:r>
        <w:rPr>
          <w:rFonts w:ascii="Arial" w:cs="Arial" w:eastAsia="Arial" w:hAnsi="Arial"/>
          <w:sz w:val="14"/>
          <w:szCs w:val="14"/>
          <w:color w:val="auto"/>
        </w:rPr>
        <w:t>Management considers many factors in developing the estimates and assumptions that are used in the preparation of these financial statements. Management must apply significant judgment in this process. In addition, other factors may affect estimates, including expected business and operational changes, sensitivity and volatility associated with the assumptions used in developing estimates, and whether historical trends are expected to be representative of future trends. The estimation process often may yield a range of potentially reasonable estimates of the ultimate future outcomes and management must select an amount that falls within that range of reasonable estimates. This process may result in actual results differing materially from those estimated amounts used in the preparation of the financial statements if these results differ from historical experience, or other assumptions do not turn out to be substantially accurate, even if such assumptions are reasonable when made.</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Selling, general and administrative expenses</w:t>
      </w:r>
    </w:p>
    <w:p>
      <w:pPr>
        <w:spacing w:after="0" w:line="235" w:lineRule="exact"/>
        <w:rPr>
          <w:sz w:val="20"/>
          <w:szCs w:val="20"/>
          <w:color w:val="auto"/>
        </w:rPr>
      </w:pPr>
    </w:p>
    <w:p>
      <w:pPr>
        <w:ind w:right="360" w:firstLine="749"/>
        <w:spacing w:after="0" w:line="273" w:lineRule="auto"/>
        <w:rPr>
          <w:sz w:val="20"/>
          <w:szCs w:val="20"/>
          <w:color w:val="auto"/>
        </w:rPr>
      </w:pPr>
      <w:r>
        <w:rPr>
          <w:rFonts w:ascii="Arial" w:cs="Arial" w:eastAsia="Arial" w:hAnsi="Arial"/>
          <w:sz w:val="16"/>
          <w:szCs w:val="16"/>
          <w:color w:val="auto"/>
        </w:rPr>
        <w:t>Selling, general and administrative expenses primarily consist of salaries and related costs for personnel in executive, commercial, finance, and operational functions, including stock-based compensation and travel expenses. Also included in selling, general and administrative expenses are commercial costs, pre-commercialization costs, facility-related costs, insurance expense, professional fees for legal and accounting services, and patent filing and prosecution costs. Selling, general and administrative expenses are expensed when incurred.</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Interest expense, net</w:t>
      </w:r>
    </w:p>
    <w:p>
      <w:pPr>
        <w:spacing w:after="0" w:line="235" w:lineRule="exact"/>
        <w:rPr>
          <w:sz w:val="20"/>
          <w:szCs w:val="20"/>
          <w:color w:val="auto"/>
        </w:rPr>
      </w:pPr>
    </w:p>
    <w:p>
      <w:pPr>
        <w:ind w:firstLine="749"/>
        <w:spacing w:after="0" w:line="278" w:lineRule="auto"/>
        <w:rPr>
          <w:sz w:val="20"/>
          <w:szCs w:val="20"/>
          <w:color w:val="auto"/>
        </w:rPr>
      </w:pPr>
      <w:r>
        <w:rPr>
          <w:rFonts w:ascii="Arial" w:cs="Arial" w:eastAsia="Arial" w:hAnsi="Arial"/>
          <w:sz w:val="16"/>
          <w:szCs w:val="16"/>
          <w:color w:val="auto"/>
        </w:rPr>
        <w:t>Interest expense, net, primarily consists of cash interest and non-cash costs related to our term loans (see “Liquidity and Capital Resources” below for a further discussion). We amortize these costs over the term of our debt agreements as interest expense in our consolidated statement of operations. Interest expense, net also includes interest income earned on cash.</w:t>
      </w:r>
    </w:p>
    <w:p>
      <w:pPr>
        <w:spacing w:after="0" w:line="18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0" w:right="399" w:bottom="1440" w:gutter="0" w:footer="0" w:header="0"/>
        </w:sectPr>
      </w:pPr>
    </w:p>
    <w:bookmarkStart w:id="34" w:name="page35"/>
    <w:bookmarkEnd w:id="34"/>
    <w:p>
      <w:pPr>
        <w:spacing w:after="0"/>
        <w:rPr>
          <w:sz w:val="20"/>
          <w:szCs w:val="20"/>
          <w:color w:val="auto"/>
        </w:rPr>
      </w:pPr>
      <w:r>
        <w:rPr>
          <w:rFonts w:ascii="Arial" w:cs="Arial" w:eastAsia="Arial" w:hAnsi="Arial"/>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3025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30250" cy="8255"/>
                    </a:xfrm>
                    <a:prstGeom prst="rect">
                      <a:avLst/>
                    </a:prstGeom>
                    <a:noFill/>
                  </pic:spPr>
                </pic:pic>
              </a:graphicData>
            </a:graphic>
          </wp:anchor>
        </w:drawing>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Critical Accounting Policies and Significant Judgments and Estimates</w:t>
      </w:r>
    </w:p>
    <w:p>
      <w:pPr>
        <w:spacing w:after="0" w:line="239" w:lineRule="exact"/>
        <w:rPr>
          <w:sz w:val="20"/>
          <w:szCs w:val="20"/>
          <w:color w:val="auto"/>
        </w:rPr>
      </w:pPr>
    </w:p>
    <w:p>
      <w:pPr>
        <w:ind w:right="180" w:firstLine="749"/>
        <w:spacing w:after="0" w:line="269" w:lineRule="auto"/>
        <w:rPr>
          <w:sz w:val="20"/>
          <w:szCs w:val="20"/>
          <w:color w:val="auto"/>
        </w:rPr>
      </w:pPr>
      <w:r>
        <w:rPr>
          <w:rFonts w:ascii="Arial" w:cs="Arial" w:eastAsia="Arial" w:hAnsi="Arial"/>
          <w:sz w:val="16"/>
          <w:szCs w:val="16"/>
          <w:color w:val="auto"/>
        </w:rPr>
        <w:t>This discussion and analysis of our financial condition and results of operations is based on our consolidated financial statements, which have been prepared in accordance with generally accepted accounting principles in the United States of America, or U.S. GAAP. The preparation of these consolidated financial statements requires us to make estimates and assumptions that affect the reported amounts of assets and liabilities, disclosure of contingent assets and liabilities at the date of the consolidated financial statements and the reported amounts of expenses during the reported period. In accordance with GAAP, we base our estimates on historical experience and on various other assumptions that we believe are reasonable under the circumstances. Actual results may differ from these estimates under different assumptions or conditions.</w:t>
      </w:r>
    </w:p>
    <w:p>
      <w:pPr>
        <w:spacing w:after="0" w:line="194" w:lineRule="exact"/>
        <w:rPr>
          <w:sz w:val="20"/>
          <w:szCs w:val="20"/>
          <w:color w:val="auto"/>
        </w:rPr>
      </w:pPr>
    </w:p>
    <w:p>
      <w:pPr>
        <w:ind w:firstLine="749"/>
        <w:spacing w:after="0" w:line="278" w:lineRule="auto"/>
        <w:rPr>
          <w:sz w:val="20"/>
          <w:szCs w:val="20"/>
          <w:color w:val="auto"/>
        </w:rPr>
      </w:pPr>
      <w:r>
        <w:rPr>
          <w:rFonts w:ascii="Arial" w:cs="Arial" w:eastAsia="Arial" w:hAnsi="Arial"/>
          <w:sz w:val="16"/>
          <w:szCs w:val="16"/>
          <w:color w:val="auto"/>
        </w:rPr>
        <w:t>There have been no material changes to the critical accounting policies disclosed in our 2022 Annual Report on Form 10-K, except for revenue recognition related to license agreements. Our critical accounting policies are described in the notes to the consolidated financial statements appearing elsewhere in this Quarterly Report on Form 10-Q.</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5" w:name="page36"/>
    <w:bookmarkEnd w:id="35"/>
    <w:p>
      <w:pPr>
        <w:spacing w:after="0"/>
        <w:rPr>
          <w:sz w:val="20"/>
          <w:szCs w:val="20"/>
          <w:color w:val="auto"/>
        </w:rPr>
      </w:pPr>
      <w:r>
        <w:rPr>
          <w:rFonts w:ascii="Arial" w:cs="Arial" w:eastAsia="Arial" w:hAnsi="Arial"/>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3025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30250" cy="8255"/>
                    </a:xfrm>
                    <a:prstGeom prst="rect">
                      <a:avLst/>
                    </a:prstGeom>
                    <a:noFill/>
                  </pic:spPr>
                </pic:pic>
              </a:graphicData>
            </a:graphic>
          </wp:anchor>
        </w:drawing>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Results of Operations</w:t>
      </w:r>
    </w:p>
    <w:p>
      <w:pPr>
        <w:spacing w:after="0" w:line="212"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The following table summarizes our results of operations for the periods indicated (in thousands):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9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340" w:type="dxa"/>
            <w:vAlign w:val="bottom"/>
            <w:gridSpan w:val="4"/>
          </w:tcPr>
          <w:p>
            <w:pPr>
              <w:jc w:val="center"/>
              <w:ind w:right="331"/>
              <w:spacing w:after="0"/>
              <w:rPr>
                <w:sz w:val="20"/>
                <w:szCs w:val="20"/>
                <w:color w:val="auto"/>
              </w:rPr>
            </w:pPr>
            <w:r>
              <w:rPr>
                <w:rFonts w:ascii="Arial" w:cs="Arial" w:eastAsia="Arial" w:hAnsi="Arial"/>
                <w:sz w:val="14"/>
                <w:szCs w:val="14"/>
                <w:b w:val="1"/>
                <w:bCs w:val="1"/>
                <w:color w:val="auto"/>
                <w:w w:val="95"/>
              </w:rPr>
              <w:t>Three Months Ended</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40" w:type="dxa"/>
            <w:vAlign w:val="bottom"/>
            <w:gridSpan w:val="4"/>
          </w:tcPr>
          <w:p>
            <w:pPr>
              <w:jc w:val="right"/>
              <w:ind w:right="651"/>
              <w:spacing w:after="0"/>
              <w:rPr>
                <w:sz w:val="20"/>
                <w:szCs w:val="20"/>
                <w:color w:val="auto"/>
              </w:rPr>
            </w:pPr>
            <w:r>
              <w:rPr>
                <w:rFonts w:ascii="Arial" w:cs="Arial" w:eastAsia="Arial" w:hAnsi="Arial"/>
                <w:sz w:val="14"/>
                <w:szCs w:val="14"/>
                <w:b w:val="1"/>
                <w:bCs w:val="1"/>
                <w:color w:val="auto"/>
              </w:rPr>
              <w:t>Six Months Ended</w:t>
            </w:r>
          </w:p>
        </w:tc>
      </w:tr>
      <w:tr>
        <w:trPr>
          <w:trHeight w:val="185"/>
        </w:trPr>
        <w:tc>
          <w:tcPr>
            <w:tcW w:w="49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left="593"/>
              <w:spacing w:after="0"/>
              <w:rPr>
                <w:sz w:val="20"/>
                <w:szCs w:val="20"/>
                <w:color w:val="auto"/>
              </w:rPr>
            </w:pPr>
            <w:r>
              <w:rPr>
                <w:rFonts w:ascii="Arial" w:cs="Arial" w:eastAsia="Arial" w:hAnsi="Arial"/>
                <w:sz w:val="14"/>
                <w:szCs w:val="14"/>
                <w:b w:val="1"/>
                <w:bCs w:val="1"/>
                <w:color w:val="auto"/>
                <w:w w:val="92"/>
              </w:rPr>
              <w:t>June 30,</w:t>
            </w: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6"/>
                <w:szCs w:val="16"/>
                <w:color w:val="auto"/>
              </w:rPr>
            </w:pPr>
          </w:p>
        </w:tc>
      </w:tr>
      <w:tr>
        <w:trPr>
          <w:trHeight w:val="169"/>
        </w:trPr>
        <w:tc>
          <w:tcPr>
            <w:tcW w:w="49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2023</w:t>
            </w:r>
          </w:p>
        </w:tc>
        <w:tc>
          <w:tcPr>
            <w:tcW w:w="1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2023</w:t>
            </w: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2022</w:t>
            </w:r>
          </w:p>
        </w:tc>
      </w:tr>
      <w:tr>
        <w:trPr>
          <w:trHeight w:val="237"/>
        </w:trPr>
        <w:tc>
          <w:tcPr>
            <w:tcW w:w="498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Revenues:</w:t>
            </w:r>
          </w:p>
        </w:tc>
        <w:tc>
          <w:tcPr>
            <w:tcW w:w="9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r>
      <w:tr>
        <w:trPr>
          <w:trHeight w:val="237"/>
        </w:trPr>
        <w:tc>
          <w:tcPr>
            <w:tcW w:w="4980" w:type="dxa"/>
            <w:vAlign w:val="bottom"/>
          </w:tcPr>
          <w:p>
            <w:pPr>
              <w:ind w:left="200"/>
              <w:spacing w:after="0"/>
              <w:rPr>
                <w:sz w:val="20"/>
                <w:szCs w:val="20"/>
                <w:color w:val="auto"/>
              </w:rPr>
            </w:pPr>
            <w:r>
              <w:rPr>
                <w:rFonts w:ascii="Arial" w:cs="Arial" w:eastAsia="Arial" w:hAnsi="Arial"/>
                <w:sz w:val="18"/>
                <w:szCs w:val="18"/>
                <w:color w:val="auto"/>
              </w:rPr>
              <w:t>Product sales, net</w:t>
            </w:r>
          </w:p>
        </w:tc>
        <w:tc>
          <w:tcPr>
            <w:tcW w:w="12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53"/>
              <w:spacing w:after="0"/>
              <w:rPr>
                <w:sz w:val="20"/>
                <w:szCs w:val="20"/>
                <w:color w:val="auto"/>
              </w:rPr>
            </w:pPr>
            <w:r>
              <w:rPr>
                <w:rFonts w:ascii="Arial" w:cs="Arial" w:eastAsia="Arial" w:hAnsi="Arial"/>
                <w:sz w:val="18"/>
                <w:szCs w:val="18"/>
                <w:color w:val="auto"/>
              </w:rPr>
              <w:t>46,017</w:t>
            </w:r>
          </w:p>
        </w:tc>
        <w:tc>
          <w:tcPr>
            <w:tcW w:w="18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51"/>
              <w:spacing w:after="0"/>
              <w:rPr>
                <w:sz w:val="20"/>
                <w:szCs w:val="20"/>
                <w:color w:val="auto"/>
              </w:rPr>
            </w:pPr>
            <w:r>
              <w:rPr>
                <w:rFonts w:ascii="Arial" w:cs="Arial" w:eastAsia="Arial" w:hAnsi="Arial"/>
                <w:sz w:val="18"/>
                <w:szCs w:val="18"/>
                <w:color w:val="auto"/>
              </w:rPr>
              <w:t>8,820</w:t>
            </w:r>
          </w:p>
        </w:tc>
        <w:tc>
          <w:tcPr>
            <w:tcW w:w="4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3"/>
              <w:spacing w:after="0"/>
              <w:rPr>
                <w:sz w:val="20"/>
                <w:szCs w:val="20"/>
                <w:color w:val="auto"/>
              </w:rPr>
            </w:pPr>
            <w:r>
              <w:rPr>
                <w:rFonts w:ascii="Arial" w:cs="Arial" w:eastAsia="Arial" w:hAnsi="Arial"/>
                <w:sz w:val="18"/>
                <w:szCs w:val="18"/>
                <w:color w:val="auto"/>
              </w:rPr>
              <w:t>74,586</w:t>
            </w:r>
          </w:p>
        </w:tc>
        <w:tc>
          <w:tcPr>
            <w:tcW w:w="3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51"/>
              <w:spacing w:after="0"/>
              <w:rPr>
                <w:sz w:val="20"/>
                <w:szCs w:val="20"/>
                <w:color w:val="auto"/>
              </w:rPr>
            </w:pPr>
            <w:r>
              <w:rPr>
                <w:rFonts w:ascii="Arial" w:cs="Arial" w:eastAsia="Arial" w:hAnsi="Arial"/>
                <w:sz w:val="18"/>
                <w:szCs w:val="18"/>
                <w:color w:val="auto"/>
              </w:rPr>
              <w:t>8,820</w:t>
            </w:r>
          </w:p>
        </w:tc>
      </w:tr>
      <w:tr>
        <w:trPr>
          <w:trHeight w:val="249"/>
        </w:trPr>
        <w:tc>
          <w:tcPr>
            <w:tcW w:w="49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License revenue</w:t>
            </w:r>
          </w:p>
        </w:tc>
        <w:tc>
          <w:tcPr>
            <w:tcW w:w="9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1"/>
                <w:szCs w:val="21"/>
                <w:color w:val="auto"/>
              </w:rPr>
            </w:pPr>
          </w:p>
        </w:tc>
        <w:tc>
          <w:tcPr>
            <w:tcW w:w="88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6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65,735</w:t>
            </w:r>
          </w:p>
        </w:tc>
        <w:tc>
          <w:tcPr>
            <w:tcW w:w="1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0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w:t>
            </w:r>
          </w:p>
        </w:tc>
      </w:tr>
      <w:tr>
        <w:trPr>
          <w:trHeight w:val="237"/>
        </w:trPr>
        <w:tc>
          <w:tcPr>
            <w:tcW w:w="4980" w:type="dxa"/>
            <w:vAlign w:val="bottom"/>
          </w:tcPr>
          <w:p>
            <w:pPr>
              <w:ind w:left="200"/>
              <w:spacing w:after="0"/>
              <w:rPr>
                <w:sz w:val="20"/>
                <w:szCs w:val="20"/>
                <w:color w:val="auto"/>
              </w:rPr>
            </w:pPr>
            <w:r>
              <w:rPr>
                <w:rFonts w:ascii="Arial" w:cs="Arial" w:eastAsia="Arial" w:hAnsi="Arial"/>
                <w:sz w:val="18"/>
                <w:szCs w:val="18"/>
                <w:color w:val="auto"/>
              </w:rPr>
              <w:t>Royalty revenue</w:t>
            </w:r>
          </w:p>
        </w:tc>
        <w:tc>
          <w:tcPr>
            <w:tcW w:w="9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683</w:t>
            </w:r>
          </w:p>
        </w:tc>
        <w:tc>
          <w:tcPr>
            <w:tcW w:w="1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955</w:t>
            </w:r>
          </w:p>
        </w:tc>
        <w:tc>
          <w:tcPr>
            <w:tcW w:w="1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w:t>
            </w:r>
          </w:p>
        </w:tc>
      </w:tr>
      <w:tr>
        <w:trPr>
          <w:trHeight w:val="237"/>
        </w:trPr>
        <w:tc>
          <w:tcPr>
            <w:tcW w:w="49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Revenues</w:t>
            </w:r>
          </w:p>
        </w:tc>
        <w:tc>
          <w:tcPr>
            <w:tcW w:w="96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06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8"/>
                <w:szCs w:val="18"/>
                <w:color w:val="auto"/>
              </w:rPr>
              <w:t>46,700</w:t>
            </w:r>
          </w:p>
        </w:tc>
        <w:tc>
          <w:tcPr>
            <w:tcW w:w="18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8,820</w:t>
            </w:r>
          </w:p>
        </w:tc>
        <w:tc>
          <w:tcPr>
            <w:tcW w:w="18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8"/>
                <w:szCs w:val="18"/>
                <w:color w:val="auto"/>
              </w:rPr>
              <w:t>141,276</w:t>
            </w:r>
          </w:p>
        </w:tc>
        <w:tc>
          <w:tcPr>
            <w:tcW w:w="16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8,820</w:t>
            </w:r>
          </w:p>
        </w:tc>
      </w:tr>
      <w:tr>
        <w:trPr>
          <w:trHeight w:val="236"/>
        </w:trPr>
        <w:tc>
          <w:tcPr>
            <w:tcW w:w="498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9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49"/>
        </w:trPr>
        <w:tc>
          <w:tcPr>
            <w:tcW w:w="49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Cost of revenue (excluding amortization and depreciation)</w:t>
            </w:r>
          </w:p>
        </w:tc>
        <w:tc>
          <w:tcPr>
            <w:tcW w:w="9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6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4,599</w:t>
            </w:r>
          </w:p>
        </w:tc>
        <w:tc>
          <w:tcPr>
            <w:tcW w:w="1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8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983</w:t>
            </w:r>
          </w:p>
        </w:tc>
        <w:tc>
          <w:tcPr>
            <w:tcW w:w="1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6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12,155</w:t>
            </w:r>
          </w:p>
        </w:tc>
        <w:tc>
          <w:tcPr>
            <w:tcW w:w="1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0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983</w:t>
            </w:r>
          </w:p>
        </w:tc>
      </w:tr>
      <w:tr>
        <w:trPr>
          <w:trHeight w:val="237"/>
        </w:trPr>
        <w:tc>
          <w:tcPr>
            <w:tcW w:w="498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9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53"/>
              <w:spacing w:after="0"/>
              <w:rPr>
                <w:sz w:val="20"/>
                <w:szCs w:val="20"/>
                <w:color w:val="auto"/>
              </w:rPr>
            </w:pPr>
            <w:r>
              <w:rPr>
                <w:rFonts w:ascii="Arial" w:cs="Arial" w:eastAsia="Arial" w:hAnsi="Arial"/>
                <w:sz w:val="18"/>
                <w:szCs w:val="18"/>
                <w:color w:val="auto"/>
              </w:rPr>
              <w:t>20,581</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ind w:right="51"/>
              <w:spacing w:after="0"/>
              <w:rPr>
                <w:sz w:val="20"/>
                <w:szCs w:val="20"/>
                <w:color w:val="auto"/>
              </w:rPr>
            </w:pPr>
            <w:r>
              <w:rPr>
                <w:rFonts w:ascii="Arial" w:cs="Arial" w:eastAsia="Arial" w:hAnsi="Arial"/>
                <w:sz w:val="18"/>
                <w:szCs w:val="18"/>
                <w:color w:val="auto"/>
              </w:rPr>
              <w:t>15,792</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jc w:val="right"/>
              <w:ind w:right="53"/>
              <w:spacing w:after="0"/>
              <w:rPr>
                <w:sz w:val="20"/>
                <w:szCs w:val="20"/>
                <w:color w:val="auto"/>
              </w:rPr>
            </w:pPr>
            <w:r>
              <w:rPr>
                <w:rFonts w:ascii="Arial" w:cs="Arial" w:eastAsia="Arial" w:hAnsi="Arial"/>
                <w:sz w:val="18"/>
                <w:szCs w:val="18"/>
                <w:color w:val="auto"/>
              </w:rPr>
              <w:t>38,374</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ind w:right="51"/>
              <w:spacing w:after="0"/>
              <w:rPr>
                <w:sz w:val="20"/>
                <w:szCs w:val="20"/>
                <w:color w:val="auto"/>
              </w:rPr>
            </w:pPr>
            <w:r>
              <w:rPr>
                <w:rFonts w:ascii="Arial" w:cs="Arial" w:eastAsia="Arial" w:hAnsi="Arial"/>
                <w:sz w:val="18"/>
                <w:szCs w:val="18"/>
                <w:color w:val="auto"/>
              </w:rPr>
              <w:t>28,377</w:t>
            </w:r>
          </w:p>
        </w:tc>
      </w:tr>
      <w:tr>
        <w:trPr>
          <w:trHeight w:val="249"/>
        </w:trPr>
        <w:tc>
          <w:tcPr>
            <w:tcW w:w="49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Selling, general and administrative</w:t>
            </w:r>
          </w:p>
        </w:tc>
        <w:tc>
          <w:tcPr>
            <w:tcW w:w="9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6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78,935</w:t>
            </w:r>
          </w:p>
        </w:tc>
        <w:tc>
          <w:tcPr>
            <w:tcW w:w="1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8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31,160</w:t>
            </w:r>
          </w:p>
        </w:tc>
        <w:tc>
          <w:tcPr>
            <w:tcW w:w="1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6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153,126</w:t>
            </w:r>
          </w:p>
        </w:tc>
        <w:tc>
          <w:tcPr>
            <w:tcW w:w="1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0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56,864</w:t>
            </w:r>
          </w:p>
        </w:tc>
      </w:tr>
      <w:tr>
        <w:trPr>
          <w:trHeight w:val="237"/>
        </w:trPr>
        <w:tc>
          <w:tcPr>
            <w:tcW w:w="4980" w:type="dxa"/>
            <w:vAlign w:val="bottom"/>
          </w:tcPr>
          <w:p>
            <w:pPr>
              <w:ind w:left="200"/>
              <w:spacing w:after="0"/>
              <w:rPr>
                <w:sz w:val="20"/>
                <w:szCs w:val="20"/>
                <w:color w:val="auto"/>
              </w:rPr>
            </w:pPr>
            <w:r>
              <w:rPr>
                <w:rFonts w:ascii="Arial" w:cs="Arial" w:eastAsia="Arial" w:hAnsi="Arial"/>
                <w:sz w:val="18"/>
                <w:szCs w:val="18"/>
                <w:color w:val="auto"/>
              </w:rPr>
              <w:t>Loss in fair value of contingent consideration</w:t>
            </w:r>
          </w:p>
        </w:tc>
        <w:tc>
          <w:tcPr>
            <w:tcW w:w="9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53"/>
              <w:spacing w:after="0"/>
              <w:rPr>
                <w:sz w:val="20"/>
                <w:szCs w:val="20"/>
                <w:color w:val="auto"/>
              </w:rPr>
            </w:pPr>
            <w:r>
              <w:rPr>
                <w:rFonts w:ascii="Arial" w:cs="Arial" w:eastAsia="Arial" w:hAnsi="Arial"/>
                <w:sz w:val="18"/>
                <w:szCs w:val="18"/>
                <w:color w:val="auto"/>
              </w:rPr>
              <w:t>6,053</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(860 )</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jc w:val="right"/>
              <w:ind w:right="53"/>
              <w:spacing w:after="0"/>
              <w:rPr>
                <w:sz w:val="20"/>
                <w:szCs w:val="20"/>
                <w:color w:val="auto"/>
              </w:rPr>
            </w:pPr>
            <w:r>
              <w:rPr>
                <w:rFonts w:ascii="Arial" w:cs="Arial" w:eastAsia="Arial" w:hAnsi="Arial"/>
                <w:sz w:val="18"/>
                <w:szCs w:val="18"/>
                <w:color w:val="auto"/>
              </w:rPr>
              <w:t>5,891</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(860 )</w:t>
            </w:r>
          </w:p>
        </w:tc>
      </w:tr>
      <w:tr>
        <w:trPr>
          <w:trHeight w:val="243"/>
        </w:trPr>
        <w:tc>
          <w:tcPr>
            <w:tcW w:w="49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Intangible asset amortization</w:t>
            </w:r>
          </w:p>
        </w:tc>
        <w:tc>
          <w:tcPr>
            <w:tcW w:w="96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8"/>
                <w:szCs w:val="18"/>
                <w:color w:val="auto"/>
              </w:rPr>
              <w:t>1,589</w:t>
            </w:r>
          </w:p>
        </w:tc>
        <w:tc>
          <w:tcPr>
            <w:tcW w:w="1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926</w:t>
            </w:r>
          </w:p>
        </w:tc>
        <w:tc>
          <w:tcPr>
            <w:tcW w:w="1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8"/>
                <w:szCs w:val="18"/>
                <w:color w:val="auto"/>
              </w:rPr>
              <w:t>3,161</w:t>
            </w:r>
          </w:p>
        </w:tc>
        <w:tc>
          <w:tcPr>
            <w:tcW w:w="16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926</w:t>
            </w:r>
          </w:p>
        </w:tc>
      </w:tr>
      <w:tr>
        <w:trPr>
          <w:trHeight w:val="236"/>
        </w:trPr>
        <w:tc>
          <w:tcPr>
            <w:tcW w:w="4980" w:type="dxa"/>
            <w:vAlign w:val="bottom"/>
          </w:tcPr>
          <w:p>
            <w:pPr>
              <w:ind w:left="20"/>
              <w:spacing w:after="0"/>
              <w:rPr>
                <w:sz w:val="20"/>
                <w:szCs w:val="20"/>
                <w:color w:val="auto"/>
              </w:rPr>
            </w:pPr>
            <w:r>
              <w:rPr>
                <w:rFonts w:ascii="Arial" w:cs="Arial" w:eastAsia="Arial" w:hAnsi="Arial"/>
                <w:sz w:val="18"/>
                <w:szCs w:val="18"/>
                <w:color w:val="auto"/>
              </w:rPr>
              <w:t>Total operating expenses</w:t>
            </w:r>
          </w:p>
        </w:tc>
        <w:tc>
          <w:tcPr>
            <w:tcW w:w="9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111,757</w:t>
            </w:r>
          </w:p>
        </w:tc>
        <w:tc>
          <w:tcPr>
            <w:tcW w:w="1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48,001</w:t>
            </w:r>
          </w:p>
        </w:tc>
        <w:tc>
          <w:tcPr>
            <w:tcW w:w="1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212,707</w:t>
            </w:r>
          </w:p>
        </w:tc>
        <w:tc>
          <w:tcPr>
            <w:tcW w:w="1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86,290</w:t>
            </w:r>
          </w:p>
        </w:tc>
      </w:tr>
      <w:tr>
        <w:trPr>
          <w:trHeight w:val="243"/>
        </w:trPr>
        <w:tc>
          <w:tcPr>
            <w:tcW w:w="498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Loss from operations</w:t>
            </w:r>
          </w:p>
        </w:tc>
        <w:tc>
          <w:tcPr>
            <w:tcW w:w="9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(65,057 )</w:t>
            </w:r>
          </w:p>
        </w:tc>
        <w:tc>
          <w:tcPr>
            <w:tcW w:w="1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(39,181 )</w:t>
            </w:r>
          </w:p>
        </w:tc>
        <w:tc>
          <w:tcPr>
            <w:tcW w:w="1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(71,431 )</w:t>
            </w:r>
          </w:p>
        </w:tc>
        <w:tc>
          <w:tcPr>
            <w:tcW w:w="1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(77,470 )</w:t>
            </w:r>
          </w:p>
        </w:tc>
      </w:tr>
      <w:tr>
        <w:trPr>
          <w:trHeight w:val="237"/>
        </w:trPr>
        <w:tc>
          <w:tcPr>
            <w:tcW w:w="4980" w:type="dxa"/>
            <w:vAlign w:val="bottom"/>
          </w:tcPr>
          <w:p>
            <w:pPr>
              <w:ind w:left="200"/>
              <w:spacing w:after="0"/>
              <w:rPr>
                <w:sz w:val="20"/>
                <w:szCs w:val="20"/>
                <w:color w:val="auto"/>
              </w:rPr>
            </w:pPr>
            <w:r>
              <w:rPr>
                <w:rFonts w:ascii="Arial" w:cs="Arial" w:eastAsia="Arial" w:hAnsi="Arial"/>
                <w:sz w:val="18"/>
                <w:szCs w:val="18"/>
                <w:color w:val="auto"/>
              </w:rPr>
              <w:t>Interest expense, net</w:t>
            </w:r>
          </w:p>
        </w:tc>
        <w:tc>
          <w:tcPr>
            <w:tcW w:w="9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(2,730 )</w:t>
            </w:r>
          </w:p>
        </w:tc>
        <w:tc>
          <w:tcPr>
            <w:tcW w:w="1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(2,257 )</w:t>
            </w:r>
          </w:p>
        </w:tc>
        <w:tc>
          <w:tcPr>
            <w:tcW w:w="1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(4,994 )</w:t>
            </w:r>
          </w:p>
        </w:tc>
        <w:tc>
          <w:tcPr>
            <w:tcW w:w="1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(3,601 )</w:t>
            </w:r>
          </w:p>
        </w:tc>
      </w:tr>
      <w:tr>
        <w:trPr>
          <w:trHeight w:val="243"/>
        </w:trPr>
        <w:tc>
          <w:tcPr>
            <w:tcW w:w="498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Loss before income taxes</w:t>
            </w:r>
          </w:p>
        </w:tc>
        <w:tc>
          <w:tcPr>
            <w:tcW w:w="9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(67,787 )</w:t>
            </w:r>
          </w:p>
        </w:tc>
        <w:tc>
          <w:tcPr>
            <w:tcW w:w="1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(41,438 )</w:t>
            </w:r>
          </w:p>
        </w:tc>
        <w:tc>
          <w:tcPr>
            <w:tcW w:w="1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(76,425 )</w:t>
            </w:r>
          </w:p>
        </w:tc>
        <w:tc>
          <w:tcPr>
            <w:tcW w:w="1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(81,071 )</w:t>
            </w:r>
          </w:p>
        </w:tc>
      </w:tr>
      <w:tr>
        <w:trPr>
          <w:trHeight w:val="237"/>
        </w:trPr>
        <w:tc>
          <w:tcPr>
            <w:tcW w:w="4980" w:type="dxa"/>
            <w:vAlign w:val="bottom"/>
          </w:tcPr>
          <w:p>
            <w:pPr>
              <w:ind w:left="200"/>
              <w:spacing w:after="0"/>
              <w:rPr>
                <w:sz w:val="20"/>
                <w:szCs w:val="20"/>
                <w:color w:val="auto"/>
              </w:rPr>
            </w:pPr>
            <w:r>
              <w:rPr>
                <w:rFonts w:ascii="Arial" w:cs="Arial" w:eastAsia="Arial" w:hAnsi="Arial"/>
                <w:sz w:val="18"/>
                <w:szCs w:val="18"/>
                <w:color w:val="auto"/>
              </w:rPr>
              <w:t>Income tax benefit (expense)</w:t>
            </w:r>
          </w:p>
        </w:tc>
        <w:tc>
          <w:tcPr>
            <w:tcW w:w="9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617</w:t>
            </w:r>
          </w:p>
        </w:tc>
        <w:tc>
          <w:tcPr>
            <w:tcW w:w="1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(1,963 )</w:t>
            </w:r>
          </w:p>
        </w:tc>
        <w:tc>
          <w:tcPr>
            <w:tcW w:w="1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w:t>
            </w:r>
          </w:p>
        </w:tc>
      </w:tr>
      <w:tr>
        <w:trPr>
          <w:trHeight w:val="276"/>
        </w:trPr>
        <w:tc>
          <w:tcPr>
            <w:tcW w:w="49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loss</w:t>
            </w:r>
          </w:p>
        </w:tc>
        <w:tc>
          <w:tcPr>
            <w:tcW w:w="96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(67,170 )</w:t>
            </w:r>
          </w:p>
        </w:tc>
        <w:tc>
          <w:tcPr>
            <w:tcW w:w="18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(41,438 )</w:t>
            </w:r>
          </w:p>
        </w:tc>
        <w:tc>
          <w:tcPr>
            <w:tcW w:w="18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(78,388 )</w:t>
            </w:r>
          </w:p>
        </w:tc>
        <w:tc>
          <w:tcPr>
            <w:tcW w:w="16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(81,071 )</w:t>
            </w:r>
          </w:p>
        </w:tc>
      </w:tr>
      <w:tr>
        <w:trPr>
          <w:trHeight w:val="635"/>
        </w:trPr>
        <w:tc>
          <w:tcPr>
            <w:tcW w:w="4980" w:type="dxa"/>
            <w:vAlign w:val="bottom"/>
          </w:tcPr>
          <w:p>
            <w:pPr>
              <w:spacing w:after="0"/>
              <w:rPr>
                <w:sz w:val="24"/>
                <w:szCs w:val="24"/>
                <w:color w:val="auto"/>
              </w:rPr>
            </w:pP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36</w:t>
            </w: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15"/>
        </w:trPr>
        <w:tc>
          <w:tcPr>
            <w:tcW w:w="49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4634230</wp:posOffset>
            </wp:positionH>
            <wp:positionV relativeFrom="paragraph">
              <wp:posOffset>-2416810</wp:posOffset>
            </wp:positionV>
            <wp:extent cx="111125" cy="16319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11125" cy="163195"/>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-2416810</wp:posOffset>
            </wp:positionV>
            <wp:extent cx="111125" cy="16319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11125" cy="163195"/>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-2416810</wp:posOffset>
            </wp:positionV>
            <wp:extent cx="102870" cy="16319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02870" cy="16319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-1482090</wp:posOffset>
            </wp:positionV>
            <wp:extent cx="111125" cy="17145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11125" cy="171450"/>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-1482090</wp:posOffset>
            </wp:positionV>
            <wp:extent cx="111125" cy="17145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11125" cy="171450"/>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-1482090</wp:posOffset>
            </wp:positionV>
            <wp:extent cx="102870" cy="17145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02870" cy="17145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-521970</wp:posOffset>
            </wp:positionV>
            <wp:extent cx="11112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-505460</wp:posOffset>
            </wp:positionV>
            <wp:extent cx="111125"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-521970</wp:posOffset>
            </wp:positionV>
            <wp:extent cx="11112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-505460</wp:posOffset>
            </wp:positionV>
            <wp:extent cx="111125"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-521970</wp:posOffset>
            </wp:positionV>
            <wp:extent cx="10287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-505460</wp:posOffset>
            </wp:positionV>
            <wp:extent cx="10287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6" w:name="page37"/>
    <w:bookmarkEnd w:id="36"/>
    <w:p>
      <w:pPr>
        <w:spacing w:after="0"/>
        <w:rPr>
          <w:sz w:val="20"/>
          <w:szCs w:val="20"/>
          <w:color w:val="auto"/>
        </w:rPr>
      </w:pPr>
      <w:r>
        <w:rPr>
          <w:rFonts w:ascii="Arial" w:cs="Arial" w:eastAsia="Arial" w:hAnsi="Arial"/>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3025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30250" cy="8255"/>
                    </a:xfrm>
                    <a:prstGeom prst="rect">
                      <a:avLst/>
                    </a:prstGeom>
                    <a:noFill/>
                  </pic:spPr>
                </pic:pic>
              </a:graphicData>
            </a:graphic>
          </wp:anchor>
        </w:drawing>
      </w:r>
    </w:p>
    <w:p>
      <w:pPr>
        <w:spacing w:after="0" w:line="215" w:lineRule="exact"/>
        <w:rPr>
          <w:sz w:val="20"/>
          <w:szCs w:val="20"/>
          <w:color w:val="auto"/>
        </w:rPr>
      </w:pPr>
    </w:p>
    <w:p>
      <w:pPr>
        <w:ind w:right="20" w:firstLine="749"/>
        <w:spacing w:after="0" w:line="271" w:lineRule="auto"/>
        <w:rPr>
          <w:sz w:val="20"/>
          <w:szCs w:val="20"/>
          <w:color w:val="auto"/>
        </w:rPr>
      </w:pPr>
      <w:r>
        <w:rPr>
          <w:rFonts w:ascii="Arial" w:cs="Arial" w:eastAsia="Arial" w:hAnsi="Arial"/>
          <w:sz w:val="16"/>
          <w:szCs w:val="16"/>
          <w:i w:val="1"/>
          <w:iCs w:val="1"/>
          <w:color w:val="auto"/>
        </w:rPr>
        <w:t xml:space="preserve">Product sales, net. </w:t>
      </w:r>
      <w:r>
        <w:rPr>
          <w:rFonts w:ascii="Arial" w:cs="Arial" w:eastAsia="Arial" w:hAnsi="Arial"/>
          <w:sz w:val="16"/>
          <w:szCs w:val="16"/>
          <w:color w:val="auto"/>
        </w:rPr>
        <w:t>Auvelity was launched on October 19, 2022 and had U.S. net sales of $27.6 million and $43.3 million for the three and six months ended June</w:t>
      </w:r>
      <w:r>
        <w:rPr>
          <w:rFonts w:ascii="Arial" w:cs="Arial" w:eastAsia="Arial" w:hAnsi="Arial"/>
          <w:sz w:val="16"/>
          <w:szCs w:val="16"/>
          <w:i w:val="1"/>
          <w:iCs w:val="1"/>
          <w:color w:val="auto"/>
        </w:rPr>
        <w:t xml:space="preserve"> </w:t>
      </w:r>
      <w:r>
        <w:rPr>
          <w:rFonts w:ascii="Arial" w:cs="Arial" w:eastAsia="Arial" w:hAnsi="Arial"/>
          <w:sz w:val="16"/>
          <w:szCs w:val="16"/>
          <w:color w:val="auto"/>
        </w:rPr>
        <w:t>30, 2023, respectively. No Auvelity sales were reported for both 2022 comparable periods reflecting the timing of the Auvelity approval and launch. Sunosi sales began in the U.S. in May 2022 and in certain international markets in November 2022. Sunosi product sales were $18.4 million and $31.3 million for the three and six months ended June 30, 2023, respectively, and $8.8 million for both the three and six months ended June 30, 2022. The increase in sales was primarily due to an increase in sales volume and the timing of the Sunosi acquisition and the launch of Auvelity.</w:t>
      </w:r>
    </w:p>
    <w:p>
      <w:pPr>
        <w:spacing w:after="0" w:line="190" w:lineRule="exact"/>
        <w:rPr>
          <w:sz w:val="20"/>
          <w:szCs w:val="20"/>
          <w:color w:val="auto"/>
        </w:rPr>
      </w:pPr>
    </w:p>
    <w:p>
      <w:pPr>
        <w:ind w:right="200" w:firstLine="749"/>
        <w:spacing w:after="0" w:line="328" w:lineRule="auto"/>
        <w:rPr>
          <w:sz w:val="20"/>
          <w:szCs w:val="20"/>
          <w:color w:val="auto"/>
        </w:rPr>
      </w:pPr>
      <w:r>
        <w:rPr>
          <w:rFonts w:ascii="Arial" w:cs="Arial" w:eastAsia="Arial" w:hAnsi="Arial"/>
          <w:sz w:val="15"/>
          <w:szCs w:val="15"/>
          <w:i w:val="1"/>
          <w:iCs w:val="1"/>
          <w:color w:val="auto"/>
        </w:rPr>
        <w:t xml:space="preserve">License revenue. </w:t>
      </w:r>
      <w:r>
        <w:rPr>
          <w:rFonts w:ascii="Arial" w:cs="Arial" w:eastAsia="Arial" w:hAnsi="Arial"/>
          <w:sz w:val="15"/>
          <w:szCs w:val="15"/>
          <w:color w:val="auto"/>
        </w:rPr>
        <w:t>In February 2023, we entered into a license agreement with Pharmanovia to commercialize Sunosi in certain ex-U.S. markets. We recognized</w:t>
      </w:r>
      <w:r>
        <w:rPr>
          <w:rFonts w:ascii="Arial" w:cs="Arial" w:eastAsia="Arial" w:hAnsi="Arial"/>
          <w:sz w:val="15"/>
          <w:szCs w:val="15"/>
          <w:i w:val="1"/>
          <w:iCs w:val="1"/>
          <w:color w:val="auto"/>
        </w:rPr>
        <w:t xml:space="preserve"> </w:t>
      </w:r>
      <w:r>
        <w:rPr>
          <w:rFonts w:ascii="Arial" w:cs="Arial" w:eastAsia="Arial" w:hAnsi="Arial"/>
          <w:sz w:val="15"/>
          <w:szCs w:val="15"/>
          <w:color w:val="auto"/>
        </w:rPr>
        <w:t>the upfront payment of $65.7 million from Pharmanovia as license revenue. We did not have license revenue for the comparable periods in 2022.</w:t>
      </w:r>
    </w:p>
    <w:p>
      <w:pPr>
        <w:spacing w:after="0" w:line="150" w:lineRule="exact"/>
        <w:rPr>
          <w:sz w:val="20"/>
          <w:szCs w:val="20"/>
          <w:color w:val="auto"/>
        </w:rPr>
      </w:pPr>
    </w:p>
    <w:p>
      <w:pPr>
        <w:jc w:val="both"/>
        <w:ind w:right="20" w:firstLine="749"/>
        <w:spacing w:after="0" w:line="278" w:lineRule="auto"/>
        <w:rPr>
          <w:sz w:val="20"/>
          <w:szCs w:val="20"/>
          <w:color w:val="auto"/>
        </w:rPr>
      </w:pPr>
      <w:r>
        <w:rPr>
          <w:rFonts w:ascii="Arial" w:cs="Arial" w:eastAsia="Arial" w:hAnsi="Arial"/>
          <w:sz w:val="16"/>
          <w:szCs w:val="16"/>
          <w:i w:val="1"/>
          <w:iCs w:val="1"/>
          <w:color w:val="auto"/>
        </w:rPr>
        <w:t xml:space="preserve">Royalty revenue. </w:t>
      </w:r>
      <w:r>
        <w:rPr>
          <w:rFonts w:ascii="Arial" w:cs="Arial" w:eastAsia="Arial" w:hAnsi="Arial"/>
          <w:sz w:val="16"/>
          <w:szCs w:val="16"/>
          <w:color w:val="auto"/>
        </w:rPr>
        <w:t>In connection with the license agreement with Pharmanovia to commercialize Sunosi in certain ex-U.S. markets, we recognized royalty revenue</w:t>
      </w:r>
      <w:r>
        <w:rPr>
          <w:rFonts w:ascii="Arial" w:cs="Arial" w:eastAsia="Arial" w:hAnsi="Arial"/>
          <w:sz w:val="16"/>
          <w:szCs w:val="16"/>
          <w:i w:val="1"/>
          <w:iCs w:val="1"/>
          <w:color w:val="auto"/>
        </w:rPr>
        <w:t xml:space="preserve"> </w:t>
      </w:r>
      <w:r>
        <w:rPr>
          <w:rFonts w:ascii="Arial" w:cs="Arial" w:eastAsia="Arial" w:hAnsi="Arial"/>
          <w:sz w:val="16"/>
          <w:szCs w:val="16"/>
          <w:color w:val="auto"/>
        </w:rPr>
        <w:t>of $0.7 million and $1.0 million for the three and six months ended June 30, 2023, respectively, related to sales of Sunosi by Pharmanovia. We did not have royalty revenue for the comparable periods in 2022.</w:t>
      </w:r>
    </w:p>
    <w:p>
      <w:pPr>
        <w:spacing w:after="0" w:line="184" w:lineRule="exact"/>
        <w:rPr>
          <w:sz w:val="20"/>
          <w:szCs w:val="20"/>
          <w:color w:val="auto"/>
        </w:rPr>
      </w:pPr>
    </w:p>
    <w:p>
      <w:pPr>
        <w:ind w:firstLine="749"/>
        <w:spacing w:after="0" w:line="271" w:lineRule="auto"/>
        <w:rPr>
          <w:sz w:val="20"/>
          <w:szCs w:val="20"/>
          <w:color w:val="auto"/>
        </w:rPr>
      </w:pPr>
      <w:r>
        <w:rPr>
          <w:rFonts w:ascii="Arial" w:cs="Arial" w:eastAsia="Arial" w:hAnsi="Arial"/>
          <w:sz w:val="16"/>
          <w:szCs w:val="16"/>
          <w:i w:val="1"/>
          <w:iCs w:val="1"/>
          <w:color w:val="auto"/>
        </w:rPr>
        <w:t xml:space="preserve">Cost of revenue. </w:t>
      </w:r>
      <w:r>
        <w:rPr>
          <w:rFonts w:ascii="Arial" w:cs="Arial" w:eastAsia="Arial" w:hAnsi="Arial"/>
          <w:sz w:val="16"/>
          <w:szCs w:val="16"/>
          <w:color w:val="auto"/>
        </w:rPr>
        <w:t>Cost of revenue was $4.6 million and $12.2 million for the three and six months ended June 30, 2023, respectively, as compared to $1.0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for both the three and six months ended June 30, 2022. The increase in both comparable periods is in line with the increase in sales for Auvelity and Sunosi. Additionally, in the first quarter of 2023, we recognized a $5.0 million license revenue sharing expense related to the Pharmanovia agreement. In 2022, cost of revenue consisted only of cost of product sales related to Sunosi. Cost of revenue is expected to increase as Auvelity product that was expensed prior to regulatory approval transitions to post-regulatory approved manufactured product supply.</w:t>
      </w:r>
    </w:p>
    <w:p>
      <w:pPr>
        <w:spacing w:after="0" w:line="190" w:lineRule="exact"/>
        <w:rPr>
          <w:sz w:val="20"/>
          <w:szCs w:val="20"/>
          <w:color w:val="auto"/>
        </w:rPr>
      </w:pPr>
    </w:p>
    <w:p>
      <w:pPr>
        <w:ind w:left="760"/>
        <w:spacing w:after="0"/>
        <w:rPr>
          <w:sz w:val="20"/>
          <w:szCs w:val="20"/>
          <w:color w:val="auto"/>
        </w:rPr>
      </w:pPr>
      <w:r>
        <w:rPr>
          <w:rFonts w:ascii="Arial" w:cs="Arial" w:eastAsia="Arial" w:hAnsi="Arial"/>
          <w:sz w:val="14"/>
          <w:szCs w:val="14"/>
          <w:i w:val="1"/>
          <w:iCs w:val="1"/>
          <w:color w:val="auto"/>
        </w:rPr>
        <w:t xml:space="preserve">Research and development. </w:t>
      </w:r>
      <w:r>
        <w:rPr>
          <w:rFonts w:ascii="Arial" w:cs="Arial" w:eastAsia="Arial" w:hAnsi="Arial"/>
          <w:sz w:val="14"/>
          <w:szCs w:val="14"/>
          <w:color w:val="auto"/>
        </w:rPr>
        <w:t>The following table summarizes our research and development expenses for our primary products for the three and six months ended</w:t>
      </w:r>
    </w:p>
    <w:p>
      <w:pPr>
        <w:spacing w:after="0" w:line="45" w:lineRule="exact"/>
        <w:rPr>
          <w:sz w:val="20"/>
          <w:szCs w:val="20"/>
          <w:color w:val="auto"/>
        </w:rPr>
      </w:pPr>
    </w:p>
    <w:p>
      <w:pPr>
        <w:spacing w:after="0"/>
        <w:rPr>
          <w:sz w:val="20"/>
          <w:szCs w:val="20"/>
          <w:color w:val="auto"/>
        </w:rPr>
      </w:pPr>
      <w:r>
        <w:rPr>
          <w:rFonts w:ascii="Arial" w:cs="Arial" w:eastAsia="Arial" w:hAnsi="Arial"/>
          <w:sz w:val="16"/>
          <w:szCs w:val="16"/>
          <w:color w:val="auto"/>
        </w:rPr>
        <w:t>June 30, 2023 and 2022 (in thousands):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60" w:type="dxa"/>
            <w:vAlign w:val="bottom"/>
            <w:gridSpan w:val="4"/>
          </w:tcPr>
          <w:p>
            <w:pPr>
              <w:jc w:val="right"/>
              <w:ind w:right="692"/>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860" w:type="dxa"/>
            <w:vAlign w:val="bottom"/>
          </w:tcPr>
          <w:p>
            <w:pPr>
              <w:spacing w:after="0"/>
              <w:rPr>
                <w:sz w:val="15"/>
                <w:szCs w:val="15"/>
                <w:color w:val="auto"/>
              </w:rPr>
            </w:pPr>
          </w:p>
        </w:tc>
      </w:tr>
      <w:tr>
        <w:trPr>
          <w:trHeight w:val="185"/>
        </w:trPr>
        <w:tc>
          <w:tcPr>
            <w:tcW w:w="56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June 30,</w:t>
            </w:r>
          </w:p>
        </w:tc>
        <w:tc>
          <w:tcPr>
            <w:tcW w:w="100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ind w:right="230"/>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16"/>
                <w:szCs w:val="16"/>
                <w:color w:val="auto"/>
              </w:rPr>
            </w:pPr>
          </w:p>
        </w:tc>
      </w:tr>
      <w:tr>
        <w:trPr>
          <w:trHeight w:val="169"/>
        </w:trPr>
        <w:tc>
          <w:tcPr>
            <w:tcW w:w="56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2023</w:t>
            </w:r>
          </w:p>
        </w:tc>
        <w:tc>
          <w:tcPr>
            <w:tcW w:w="1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2023</w:t>
            </w:r>
          </w:p>
        </w:tc>
        <w:tc>
          <w:tcPr>
            <w:tcW w:w="16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w w:val="89"/>
              </w:rPr>
              <w:t>2022</w:t>
            </w:r>
          </w:p>
        </w:tc>
      </w:tr>
      <w:tr>
        <w:trPr>
          <w:trHeight w:val="237"/>
        </w:trPr>
        <w:tc>
          <w:tcPr>
            <w:tcW w:w="56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Solriamfetol</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rPr>
              <w:t>2,185</w:t>
            </w:r>
          </w:p>
        </w:tc>
        <w:tc>
          <w:tcPr>
            <w:tcW w:w="160" w:type="dxa"/>
            <w:vAlign w:val="bottom"/>
            <w:shd w:val="clear" w:color="auto" w:fill="CFF0FC"/>
          </w:tcPr>
          <w:p>
            <w:pPr>
              <w:spacing w:after="0"/>
              <w:rPr>
                <w:sz w:val="20"/>
                <w:szCs w:val="20"/>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964</w:t>
            </w:r>
          </w:p>
        </w:tc>
        <w:tc>
          <w:tcPr>
            <w:tcW w:w="16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rPr>
              <w:t>4,586</w:t>
            </w:r>
          </w:p>
        </w:tc>
        <w:tc>
          <w:tcPr>
            <w:tcW w:w="160" w:type="dxa"/>
            <w:vAlign w:val="bottom"/>
            <w:shd w:val="clear" w:color="auto" w:fill="CFF0FC"/>
          </w:tcPr>
          <w:p>
            <w:pPr>
              <w:spacing w:after="0"/>
              <w:rPr>
                <w:sz w:val="20"/>
                <w:szCs w:val="20"/>
                <w:color w:val="auto"/>
              </w:rPr>
            </w:pPr>
          </w:p>
        </w:tc>
        <w:tc>
          <w:tcPr>
            <w:tcW w:w="42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964</w:t>
            </w:r>
          </w:p>
        </w:tc>
      </w:tr>
      <w:tr>
        <w:trPr>
          <w:trHeight w:val="237"/>
        </w:trPr>
        <w:tc>
          <w:tcPr>
            <w:tcW w:w="5640" w:type="dxa"/>
            <w:vAlign w:val="bottom"/>
          </w:tcPr>
          <w:p>
            <w:pPr>
              <w:ind w:left="200"/>
              <w:spacing w:after="0"/>
              <w:rPr>
                <w:sz w:val="20"/>
                <w:szCs w:val="20"/>
                <w:color w:val="auto"/>
              </w:rPr>
            </w:pPr>
            <w:r>
              <w:rPr>
                <w:rFonts w:ascii="Arial" w:cs="Arial" w:eastAsia="Arial" w:hAnsi="Arial"/>
                <w:sz w:val="18"/>
                <w:szCs w:val="18"/>
                <w:color w:val="auto"/>
              </w:rPr>
              <w:t>AXS-05</w:t>
            </w:r>
          </w:p>
        </w:tc>
        <w:tc>
          <w:tcPr>
            <w:tcW w:w="260" w:type="dxa"/>
            <w:vAlign w:val="bottom"/>
          </w:tcPr>
          <w:p>
            <w:pPr>
              <w:spacing w:after="0"/>
              <w:rPr>
                <w:sz w:val="20"/>
                <w:szCs w:val="20"/>
                <w:color w:val="auto"/>
              </w:rPr>
            </w:pPr>
          </w:p>
        </w:tc>
        <w:tc>
          <w:tcPr>
            <w:tcW w:w="1020" w:type="dxa"/>
            <w:vAlign w:val="bottom"/>
          </w:tcPr>
          <w:p>
            <w:pPr>
              <w:jc w:val="right"/>
              <w:ind w:right="55"/>
              <w:spacing w:after="0"/>
              <w:rPr>
                <w:sz w:val="20"/>
                <w:szCs w:val="20"/>
                <w:color w:val="auto"/>
              </w:rPr>
            </w:pPr>
            <w:r>
              <w:rPr>
                <w:rFonts w:ascii="Arial" w:cs="Arial" w:eastAsia="Arial" w:hAnsi="Arial"/>
                <w:sz w:val="18"/>
                <w:szCs w:val="18"/>
                <w:color w:val="auto"/>
              </w:rPr>
              <w:t>8,352</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6,484</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jc w:val="right"/>
              <w:ind w:right="55"/>
              <w:spacing w:after="0"/>
              <w:rPr>
                <w:sz w:val="20"/>
                <w:szCs w:val="20"/>
                <w:color w:val="auto"/>
              </w:rPr>
            </w:pPr>
            <w:r>
              <w:rPr>
                <w:rFonts w:ascii="Arial" w:cs="Arial" w:eastAsia="Arial" w:hAnsi="Arial"/>
                <w:sz w:val="18"/>
                <w:szCs w:val="18"/>
                <w:color w:val="auto"/>
              </w:rPr>
              <w:t>15,003</w:t>
            </w: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60" w:type="dxa"/>
            <w:vAlign w:val="bottom"/>
          </w:tcPr>
          <w:p>
            <w:pPr>
              <w:jc w:val="right"/>
              <w:ind w:right="52"/>
              <w:spacing w:after="0"/>
              <w:rPr>
                <w:sz w:val="20"/>
                <w:szCs w:val="20"/>
                <w:color w:val="auto"/>
              </w:rPr>
            </w:pPr>
            <w:r>
              <w:rPr>
                <w:rFonts w:ascii="Arial" w:cs="Arial" w:eastAsia="Arial" w:hAnsi="Arial"/>
                <w:sz w:val="18"/>
                <w:szCs w:val="18"/>
                <w:color w:val="auto"/>
              </w:rPr>
              <w:t>12,514</w:t>
            </w:r>
          </w:p>
        </w:tc>
      </w:tr>
      <w:tr>
        <w:trPr>
          <w:trHeight w:val="249"/>
        </w:trPr>
        <w:tc>
          <w:tcPr>
            <w:tcW w:w="56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AXS-07</w:t>
            </w:r>
          </w:p>
        </w:tc>
        <w:tc>
          <w:tcPr>
            <w:tcW w:w="260" w:type="dxa"/>
            <w:vAlign w:val="bottom"/>
            <w:shd w:val="clear" w:color="auto" w:fill="CFF0FC"/>
          </w:tcPr>
          <w:p>
            <w:pPr>
              <w:spacing w:after="0"/>
              <w:rPr>
                <w:sz w:val="21"/>
                <w:szCs w:val="21"/>
                <w:color w:val="auto"/>
              </w:rPr>
            </w:pPr>
          </w:p>
        </w:tc>
        <w:tc>
          <w:tcPr>
            <w:tcW w:w="102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rPr>
              <w:t>1,126</w:t>
            </w:r>
          </w:p>
        </w:tc>
        <w:tc>
          <w:tcPr>
            <w:tcW w:w="1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0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2,203</w:t>
            </w:r>
          </w:p>
        </w:tc>
        <w:tc>
          <w:tcPr>
            <w:tcW w:w="1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2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rPr>
              <w:t>3,105</w:t>
            </w:r>
          </w:p>
        </w:tc>
        <w:tc>
          <w:tcPr>
            <w:tcW w:w="16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86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4,349</w:t>
            </w:r>
          </w:p>
        </w:tc>
      </w:tr>
      <w:tr>
        <w:trPr>
          <w:trHeight w:val="237"/>
        </w:trPr>
        <w:tc>
          <w:tcPr>
            <w:tcW w:w="5640" w:type="dxa"/>
            <w:vAlign w:val="bottom"/>
          </w:tcPr>
          <w:p>
            <w:pPr>
              <w:ind w:left="200"/>
              <w:spacing w:after="0"/>
              <w:rPr>
                <w:sz w:val="20"/>
                <w:szCs w:val="20"/>
                <w:color w:val="auto"/>
              </w:rPr>
            </w:pPr>
            <w:r>
              <w:rPr>
                <w:rFonts w:ascii="Arial" w:cs="Arial" w:eastAsia="Arial" w:hAnsi="Arial"/>
                <w:sz w:val="18"/>
                <w:szCs w:val="18"/>
                <w:color w:val="auto"/>
              </w:rPr>
              <w:t>AXS-12</w:t>
            </w:r>
          </w:p>
        </w:tc>
        <w:tc>
          <w:tcPr>
            <w:tcW w:w="260" w:type="dxa"/>
            <w:vAlign w:val="bottom"/>
          </w:tcPr>
          <w:p>
            <w:pPr>
              <w:spacing w:after="0"/>
              <w:rPr>
                <w:sz w:val="20"/>
                <w:szCs w:val="20"/>
                <w:color w:val="auto"/>
              </w:rPr>
            </w:pPr>
          </w:p>
        </w:tc>
        <w:tc>
          <w:tcPr>
            <w:tcW w:w="1020" w:type="dxa"/>
            <w:vAlign w:val="bottom"/>
          </w:tcPr>
          <w:p>
            <w:pPr>
              <w:jc w:val="right"/>
              <w:ind w:right="55"/>
              <w:spacing w:after="0"/>
              <w:rPr>
                <w:sz w:val="20"/>
                <w:szCs w:val="20"/>
                <w:color w:val="auto"/>
              </w:rPr>
            </w:pPr>
            <w:r>
              <w:rPr>
                <w:rFonts w:ascii="Arial" w:cs="Arial" w:eastAsia="Arial" w:hAnsi="Arial"/>
                <w:sz w:val="18"/>
                <w:szCs w:val="18"/>
                <w:color w:val="auto"/>
              </w:rPr>
              <w:t>2,651</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1,642</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jc w:val="right"/>
              <w:ind w:right="55"/>
              <w:spacing w:after="0"/>
              <w:rPr>
                <w:sz w:val="20"/>
                <w:szCs w:val="20"/>
                <w:color w:val="auto"/>
              </w:rPr>
            </w:pPr>
            <w:r>
              <w:rPr>
                <w:rFonts w:ascii="Arial" w:cs="Arial" w:eastAsia="Arial" w:hAnsi="Arial"/>
                <w:sz w:val="18"/>
                <w:szCs w:val="18"/>
                <w:color w:val="auto"/>
              </w:rPr>
              <w:t>4,861</w:t>
            </w: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60" w:type="dxa"/>
            <w:vAlign w:val="bottom"/>
          </w:tcPr>
          <w:p>
            <w:pPr>
              <w:jc w:val="right"/>
              <w:ind w:right="52"/>
              <w:spacing w:after="0"/>
              <w:rPr>
                <w:sz w:val="20"/>
                <w:szCs w:val="20"/>
                <w:color w:val="auto"/>
              </w:rPr>
            </w:pPr>
            <w:r>
              <w:rPr>
                <w:rFonts w:ascii="Arial" w:cs="Arial" w:eastAsia="Arial" w:hAnsi="Arial"/>
                <w:sz w:val="18"/>
                <w:szCs w:val="18"/>
                <w:color w:val="auto"/>
              </w:rPr>
              <w:t>3,523</w:t>
            </w:r>
          </w:p>
        </w:tc>
      </w:tr>
      <w:tr>
        <w:trPr>
          <w:trHeight w:val="249"/>
        </w:trPr>
        <w:tc>
          <w:tcPr>
            <w:tcW w:w="56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AXS-14</w:t>
            </w:r>
          </w:p>
        </w:tc>
        <w:tc>
          <w:tcPr>
            <w:tcW w:w="260" w:type="dxa"/>
            <w:vAlign w:val="bottom"/>
            <w:shd w:val="clear" w:color="auto" w:fill="CFF0FC"/>
          </w:tcPr>
          <w:p>
            <w:pPr>
              <w:spacing w:after="0"/>
              <w:rPr>
                <w:sz w:val="21"/>
                <w:szCs w:val="21"/>
                <w:color w:val="auto"/>
              </w:rPr>
            </w:pPr>
          </w:p>
        </w:tc>
        <w:tc>
          <w:tcPr>
            <w:tcW w:w="102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rPr>
              <w:t>1,638</w:t>
            </w:r>
          </w:p>
        </w:tc>
        <w:tc>
          <w:tcPr>
            <w:tcW w:w="1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0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703</w:t>
            </w:r>
          </w:p>
        </w:tc>
        <w:tc>
          <w:tcPr>
            <w:tcW w:w="1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2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rPr>
              <w:t>2,698</w:t>
            </w:r>
          </w:p>
        </w:tc>
        <w:tc>
          <w:tcPr>
            <w:tcW w:w="16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86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944</w:t>
            </w:r>
          </w:p>
        </w:tc>
      </w:tr>
      <w:tr>
        <w:trPr>
          <w:trHeight w:val="237"/>
        </w:trPr>
        <w:tc>
          <w:tcPr>
            <w:tcW w:w="5640" w:type="dxa"/>
            <w:vAlign w:val="bottom"/>
          </w:tcPr>
          <w:p>
            <w:pPr>
              <w:ind w:left="200"/>
              <w:spacing w:after="0"/>
              <w:rPr>
                <w:sz w:val="20"/>
                <w:szCs w:val="20"/>
                <w:color w:val="auto"/>
              </w:rPr>
            </w:pPr>
            <w:r>
              <w:rPr>
                <w:rFonts w:ascii="Arial" w:cs="Arial" w:eastAsia="Arial" w:hAnsi="Arial"/>
                <w:sz w:val="18"/>
                <w:szCs w:val="18"/>
                <w:color w:val="auto"/>
              </w:rPr>
              <w:t>Other research and development (*)</w:t>
            </w:r>
          </w:p>
        </w:tc>
        <w:tc>
          <w:tcPr>
            <w:tcW w:w="260" w:type="dxa"/>
            <w:vAlign w:val="bottom"/>
          </w:tcPr>
          <w:p>
            <w:pPr>
              <w:spacing w:after="0"/>
              <w:rPr>
                <w:sz w:val="20"/>
                <w:szCs w:val="20"/>
                <w:color w:val="auto"/>
              </w:rPr>
            </w:pPr>
          </w:p>
        </w:tc>
        <w:tc>
          <w:tcPr>
            <w:tcW w:w="1020" w:type="dxa"/>
            <w:vAlign w:val="bottom"/>
          </w:tcPr>
          <w:p>
            <w:pPr>
              <w:jc w:val="right"/>
              <w:ind w:right="55"/>
              <w:spacing w:after="0"/>
              <w:rPr>
                <w:sz w:val="20"/>
                <w:szCs w:val="20"/>
                <w:color w:val="auto"/>
              </w:rPr>
            </w:pPr>
            <w:r>
              <w:rPr>
                <w:rFonts w:ascii="Arial" w:cs="Arial" w:eastAsia="Arial" w:hAnsi="Arial"/>
                <w:sz w:val="18"/>
                <w:szCs w:val="18"/>
                <w:color w:val="auto"/>
              </w:rPr>
              <w:t>1,391</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1,116</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jc w:val="right"/>
              <w:ind w:right="55"/>
              <w:spacing w:after="0"/>
              <w:rPr>
                <w:sz w:val="20"/>
                <w:szCs w:val="20"/>
                <w:color w:val="auto"/>
              </w:rPr>
            </w:pPr>
            <w:r>
              <w:rPr>
                <w:rFonts w:ascii="Arial" w:cs="Arial" w:eastAsia="Arial" w:hAnsi="Arial"/>
                <w:sz w:val="18"/>
                <w:szCs w:val="18"/>
                <w:color w:val="auto"/>
              </w:rPr>
              <w:t>2,469</w:t>
            </w: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60" w:type="dxa"/>
            <w:vAlign w:val="bottom"/>
          </w:tcPr>
          <w:p>
            <w:pPr>
              <w:jc w:val="right"/>
              <w:ind w:right="52"/>
              <w:spacing w:after="0"/>
              <w:rPr>
                <w:sz w:val="20"/>
                <w:szCs w:val="20"/>
                <w:color w:val="auto"/>
              </w:rPr>
            </w:pPr>
            <w:r>
              <w:rPr>
                <w:rFonts w:ascii="Arial" w:cs="Arial" w:eastAsia="Arial" w:hAnsi="Arial"/>
                <w:sz w:val="18"/>
                <w:szCs w:val="18"/>
                <w:color w:val="auto"/>
              </w:rPr>
              <w:t>1,594</w:t>
            </w:r>
          </w:p>
        </w:tc>
      </w:tr>
      <w:tr>
        <w:trPr>
          <w:trHeight w:val="243"/>
        </w:trPr>
        <w:tc>
          <w:tcPr>
            <w:tcW w:w="56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Stock-based compensation</w:t>
            </w:r>
          </w:p>
        </w:tc>
        <w:tc>
          <w:tcPr>
            <w:tcW w:w="26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ind w:right="55"/>
              <w:spacing w:after="0"/>
              <w:rPr>
                <w:sz w:val="20"/>
                <w:szCs w:val="20"/>
                <w:color w:val="auto"/>
              </w:rPr>
            </w:pPr>
            <w:r>
              <w:rPr>
                <w:rFonts w:ascii="Arial" w:cs="Arial" w:eastAsia="Arial" w:hAnsi="Arial"/>
                <w:sz w:val="18"/>
                <w:szCs w:val="18"/>
                <w:color w:val="auto"/>
              </w:rPr>
              <w:t>3,238</w:t>
            </w:r>
          </w:p>
        </w:tc>
        <w:tc>
          <w:tcPr>
            <w:tcW w:w="16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2,680</w:t>
            </w:r>
          </w:p>
        </w:tc>
        <w:tc>
          <w:tcPr>
            <w:tcW w:w="1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ind w:right="55"/>
              <w:spacing w:after="0"/>
              <w:rPr>
                <w:sz w:val="20"/>
                <w:szCs w:val="20"/>
                <w:color w:val="auto"/>
              </w:rPr>
            </w:pPr>
            <w:r>
              <w:rPr>
                <w:rFonts w:ascii="Arial" w:cs="Arial" w:eastAsia="Arial" w:hAnsi="Arial"/>
                <w:sz w:val="18"/>
                <w:szCs w:val="18"/>
                <w:color w:val="auto"/>
              </w:rPr>
              <w:t>5,652</w:t>
            </w:r>
          </w:p>
        </w:tc>
        <w:tc>
          <w:tcPr>
            <w:tcW w:w="16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4,489</w:t>
            </w:r>
          </w:p>
        </w:tc>
      </w:tr>
      <w:tr>
        <w:trPr>
          <w:trHeight w:val="230"/>
        </w:trPr>
        <w:tc>
          <w:tcPr>
            <w:tcW w:w="5640" w:type="dxa"/>
            <w:vAlign w:val="bottom"/>
          </w:tcPr>
          <w:p>
            <w:pPr>
              <w:ind w:left="20"/>
              <w:spacing w:after="0"/>
              <w:rPr>
                <w:sz w:val="20"/>
                <w:szCs w:val="20"/>
                <w:color w:val="auto"/>
              </w:rPr>
            </w:pPr>
            <w:r>
              <w:rPr>
                <w:rFonts w:ascii="Arial" w:cs="Arial" w:eastAsia="Arial" w:hAnsi="Arial"/>
                <w:sz w:val="18"/>
                <w:szCs w:val="18"/>
                <w:color w:val="auto"/>
              </w:rPr>
              <w:t>Total research and development expenses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55"/>
              <w:spacing w:after="0"/>
              <w:rPr>
                <w:sz w:val="20"/>
                <w:szCs w:val="20"/>
                <w:color w:val="auto"/>
              </w:rPr>
            </w:pPr>
            <w:r>
              <w:rPr>
                <w:rFonts w:ascii="Arial" w:cs="Arial" w:eastAsia="Arial" w:hAnsi="Arial"/>
                <w:sz w:val="18"/>
                <w:szCs w:val="18"/>
                <w:color w:val="auto"/>
              </w:rPr>
              <w:t>20,581</w:t>
            </w:r>
          </w:p>
        </w:tc>
        <w:tc>
          <w:tcPr>
            <w:tcW w:w="4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15,792</w:t>
            </w:r>
          </w:p>
        </w:tc>
        <w:tc>
          <w:tcPr>
            <w:tcW w:w="4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5"/>
              <w:spacing w:after="0"/>
              <w:rPr>
                <w:sz w:val="20"/>
                <w:szCs w:val="20"/>
                <w:color w:val="auto"/>
              </w:rPr>
            </w:pPr>
            <w:r>
              <w:rPr>
                <w:rFonts w:ascii="Arial" w:cs="Arial" w:eastAsia="Arial" w:hAnsi="Arial"/>
                <w:sz w:val="18"/>
                <w:szCs w:val="18"/>
                <w:color w:val="auto"/>
              </w:rPr>
              <w:t>38,374</w:t>
            </w:r>
          </w:p>
        </w:tc>
        <w:tc>
          <w:tcPr>
            <w:tcW w:w="58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52"/>
              <w:spacing w:after="0"/>
              <w:rPr>
                <w:sz w:val="20"/>
                <w:szCs w:val="20"/>
                <w:color w:val="auto"/>
              </w:rPr>
            </w:pPr>
            <w:r>
              <w:rPr>
                <w:rFonts w:ascii="Arial" w:cs="Arial" w:eastAsia="Arial" w:hAnsi="Arial"/>
                <w:sz w:val="18"/>
                <w:szCs w:val="18"/>
                <w:color w:val="auto"/>
              </w:rPr>
              <w:t>28,377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3580130</wp:posOffset>
            </wp:positionH>
            <wp:positionV relativeFrom="paragraph">
              <wp:posOffset>-154305</wp:posOffset>
            </wp:positionV>
            <wp:extent cx="3557905" cy="18859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3557905" cy="188595"/>
                    </a:xfrm>
                    <a:prstGeom prst="rect">
                      <a:avLst/>
                    </a:prstGeom>
                    <a:noFill/>
                  </pic:spPr>
                </pic:pic>
              </a:graphicData>
            </a:graphic>
          </wp:anchor>
        </w:drawing>
      </w:r>
    </w:p>
    <w:p>
      <w:pPr>
        <w:spacing w:after="0" w:line="14" w:lineRule="exact"/>
        <w:rPr>
          <w:sz w:val="20"/>
          <w:szCs w:val="20"/>
          <w:color w:val="auto"/>
        </w:rPr>
      </w:pPr>
    </w:p>
    <w:p>
      <w:pPr>
        <w:ind w:left="760"/>
        <w:spacing w:after="0"/>
        <w:rPr>
          <w:sz w:val="20"/>
          <w:szCs w:val="20"/>
          <w:color w:val="auto"/>
        </w:rPr>
      </w:pPr>
      <w:r>
        <w:rPr>
          <w:rFonts w:ascii="Arial" w:cs="Arial" w:eastAsia="Arial" w:hAnsi="Arial"/>
          <w:sz w:val="14"/>
          <w:szCs w:val="14"/>
          <w:color w:val="auto"/>
        </w:rPr>
        <w:t>(*) Other research and development expenses primarily consist of employee salaries and benefits, facilities and overhead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3580130</wp:posOffset>
            </wp:positionH>
            <wp:positionV relativeFrom="paragraph">
              <wp:posOffset>-98425</wp:posOffset>
            </wp:positionV>
            <wp:extent cx="355790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3557905" cy="8255"/>
                    </a:xfrm>
                    <a:prstGeom prst="rect">
                      <a:avLst/>
                    </a:prstGeom>
                    <a:noFill/>
                  </pic:spPr>
                </pic:pic>
              </a:graphicData>
            </a:graphic>
          </wp:anchor>
        </w:drawing>
      </w:r>
    </w:p>
    <w:p>
      <w:pPr>
        <w:spacing w:after="0" w:line="84" w:lineRule="exact"/>
        <w:rPr>
          <w:sz w:val="20"/>
          <w:szCs w:val="20"/>
          <w:color w:val="auto"/>
        </w:rPr>
      </w:pPr>
    </w:p>
    <w:p>
      <w:pPr>
        <w:ind w:right="100" w:firstLine="749"/>
        <w:spacing w:after="0" w:line="269" w:lineRule="auto"/>
        <w:rPr>
          <w:sz w:val="20"/>
          <w:szCs w:val="20"/>
          <w:color w:val="auto"/>
        </w:rPr>
      </w:pPr>
      <w:r>
        <w:rPr>
          <w:rFonts w:ascii="Arial" w:cs="Arial" w:eastAsia="Arial" w:hAnsi="Arial"/>
          <w:sz w:val="16"/>
          <w:szCs w:val="16"/>
          <w:color w:val="auto"/>
        </w:rPr>
        <w:t>Research and development expenses increased by $4.8 million and $10.0 million for the three and six months ended June 30, 2023, as compared to the same periods in 2022. The increases in both comparable periods were primarily related to the initiation of the FOCUS trial, a Phase 3 trial of solriamfetol in adults with ADHD, ongoing clinical trial spend for ADVANCE-2 (AXS-05) and SYMPHONY (AXS-12) trials, post-marketing commitments for Auvelity and Sunosi, and higher personnel costs, including non-cash stock-based compensation. We expect research and development costs to increase moderately as we continue to conduct non-clinical and pre-clinical testing, conduct ongoing and planned clinical trials, and manufacture drug products in anticipation of FDA approvals for the further development of our current and future product candidates.</w:t>
      </w:r>
    </w:p>
    <w:p>
      <w:pPr>
        <w:spacing w:after="0" w:line="194" w:lineRule="exact"/>
        <w:rPr>
          <w:sz w:val="20"/>
          <w:szCs w:val="20"/>
          <w:color w:val="auto"/>
        </w:rPr>
      </w:pPr>
    </w:p>
    <w:p>
      <w:pPr>
        <w:jc w:val="both"/>
        <w:ind w:right="140" w:firstLine="749"/>
        <w:spacing w:after="0" w:line="303" w:lineRule="auto"/>
        <w:rPr>
          <w:sz w:val="20"/>
          <w:szCs w:val="20"/>
          <w:color w:val="auto"/>
        </w:rPr>
      </w:pPr>
      <w:r>
        <w:rPr>
          <w:rFonts w:ascii="Arial" w:cs="Arial" w:eastAsia="Arial" w:hAnsi="Arial"/>
          <w:sz w:val="14"/>
          <w:szCs w:val="14"/>
          <w:i w:val="1"/>
          <w:iCs w:val="1"/>
          <w:color w:val="auto"/>
        </w:rPr>
        <w:t xml:space="preserve">Selling, general and administrative. </w:t>
      </w:r>
      <w:r>
        <w:rPr>
          <w:rFonts w:ascii="Arial" w:cs="Arial" w:eastAsia="Arial" w:hAnsi="Arial"/>
          <w:sz w:val="14"/>
          <w:szCs w:val="14"/>
          <w:color w:val="auto"/>
        </w:rPr>
        <w:t>Selling, general and administrative expenses was $78.9 million and $153.1 million for the three and six months ended June</w:t>
      </w:r>
      <w:r>
        <w:rPr>
          <w:rFonts w:ascii="Arial" w:cs="Arial" w:eastAsia="Arial" w:hAnsi="Arial"/>
          <w:sz w:val="14"/>
          <w:szCs w:val="14"/>
          <w:i w:val="1"/>
          <w:iCs w:val="1"/>
          <w:color w:val="auto"/>
        </w:rPr>
        <w:t xml:space="preserve"> </w:t>
      </w:r>
      <w:r>
        <w:rPr>
          <w:rFonts w:ascii="Arial" w:cs="Arial" w:eastAsia="Arial" w:hAnsi="Arial"/>
          <w:sz w:val="14"/>
          <w:szCs w:val="14"/>
          <w:color w:val="auto"/>
        </w:rPr>
        <w:t>30, 2023, respectively, as compared to $31.2 million and $56.9 million for the same comparable periods in 2022. The increases in both comparable periods were primarily related to new commercial initiatives to support the continued growth of Sunosi and continued dedicated spend to achieve commercialization optimization for Auvelity.</w:t>
      </w:r>
    </w:p>
    <w:p>
      <w:pPr>
        <w:spacing w:after="0" w:line="2" w:lineRule="exact"/>
        <w:rPr>
          <w:sz w:val="20"/>
          <w:szCs w:val="20"/>
          <w:color w:val="auto"/>
        </w:rPr>
      </w:pPr>
    </w:p>
    <w:p>
      <w:pPr>
        <w:spacing w:after="0" w:line="276" w:lineRule="auto"/>
        <w:rPr>
          <w:sz w:val="20"/>
          <w:szCs w:val="20"/>
          <w:color w:val="auto"/>
        </w:rPr>
      </w:pPr>
      <w:r>
        <w:rPr>
          <w:rFonts w:ascii="Arial" w:cs="Arial" w:eastAsia="Arial" w:hAnsi="Arial"/>
          <w:sz w:val="16"/>
          <w:szCs w:val="16"/>
          <w:color w:val="auto"/>
        </w:rPr>
        <w:t>Additional drivers include higher personnel costs, including non-cash stock-based compensation due to organizational growth. We expect selling, general and administrative expenses to increase as we expand marketing, promotional, and advertising for our products and continue our increased efforts to educate physicians and expand market access.</w:t>
      </w:r>
    </w:p>
    <w:p>
      <w:pPr>
        <w:spacing w:after="0" w:line="185" w:lineRule="exact"/>
        <w:rPr>
          <w:sz w:val="20"/>
          <w:szCs w:val="20"/>
          <w:color w:val="auto"/>
        </w:rPr>
      </w:pPr>
    </w:p>
    <w:p>
      <w:pPr>
        <w:ind w:right="360" w:firstLine="749"/>
        <w:spacing w:after="0" w:line="278" w:lineRule="auto"/>
        <w:rPr>
          <w:sz w:val="20"/>
          <w:szCs w:val="20"/>
          <w:color w:val="auto"/>
        </w:rPr>
      </w:pPr>
      <w:r>
        <w:rPr>
          <w:rFonts w:ascii="Arial" w:cs="Arial" w:eastAsia="Arial" w:hAnsi="Arial"/>
          <w:sz w:val="16"/>
          <w:szCs w:val="16"/>
          <w:i w:val="1"/>
          <w:iCs w:val="1"/>
          <w:color w:val="auto"/>
        </w:rPr>
        <w:t xml:space="preserve">Loss (Gain) in Fair Value of Contingent Consideration. </w:t>
      </w:r>
      <w:r>
        <w:rPr>
          <w:rFonts w:ascii="Arial" w:cs="Arial" w:eastAsia="Arial" w:hAnsi="Arial"/>
          <w:sz w:val="16"/>
          <w:szCs w:val="16"/>
          <w:color w:val="auto"/>
        </w:rPr>
        <w:t>The loss position of $6.0 million and $5.9 million for the three and six months ended June 30, 2023,</w:t>
      </w:r>
      <w:r>
        <w:rPr>
          <w:rFonts w:ascii="Arial" w:cs="Arial" w:eastAsia="Arial" w:hAnsi="Arial"/>
          <w:sz w:val="16"/>
          <w:szCs w:val="16"/>
          <w:i w:val="1"/>
          <w:iCs w:val="1"/>
          <w:color w:val="auto"/>
        </w:rPr>
        <w:t xml:space="preserve"> </w:t>
      </w:r>
      <w:r>
        <w:rPr>
          <w:rFonts w:ascii="Arial" w:cs="Arial" w:eastAsia="Arial" w:hAnsi="Arial"/>
          <w:sz w:val="16"/>
          <w:szCs w:val="16"/>
          <w:color w:val="auto"/>
        </w:rPr>
        <w:t>respectively, as compared to a gain position of $0.9 million for the same periods in 2022 is related to the change in fair value of contingent consideration which was primarily due to the change in significant unobservable inputs primarily the discount rates.</w:t>
      </w:r>
    </w:p>
    <w:p>
      <w:pPr>
        <w:spacing w:after="0" w:line="184" w:lineRule="exact"/>
        <w:rPr>
          <w:sz w:val="20"/>
          <w:szCs w:val="20"/>
          <w:color w:val="auto"/>
        </w:rPr>
      </w:pPr>
    </w:p>
    <w:p>
      <w:pPr>
        <w:ind w:right="20" w:firstLine="749"/>
        <w:spacing w:after="0" w:line="273" w:lineRule="auto"/>
        <w:rPr>
          <w:sz w:val="20"/>
          <w:szCs w:val="20"/>
          <w:color w:val="auto"/>
        </w:rPr>
      </w:pPr>
      <w:r>
        <w:rPr>
          <w:rFonts w:ascii="Arial" w:cs="Arial" w:eastAsia="Arial" w:hAnsi="Arial"/>
          <w:sz w:val="16"/>
          <w:szCs w:val="16"/>
          <w:i w:val="1"/>
          <w:iCs w:val="1"/>
          <w:color w:val="auto"/>
        </w:rPr>
        <w:t>Intangible asset amortization</w:t>
      </w:r>
      <w:r>
        <w:rPr>
          <w:rFonts w:ascii="Arial" w:cs="Arial" w:eastAsia="Arial" w:hAnsi="Arial"/>
          <w:sz w:val="16"/>
          <w:szCs w:val="16"/>
          <w:color w:val="auto"/>
        </w:rPr>
        <w:t>. As part of the purchase price allocation for the Sunosi acquisition that occurred on May 9, 2023, we determined the identifiable</w:t>
      </w:r>
      <w:r>
        <w:rPr>
          <w:rFonts w:ascii="Arial" w:cs="Arial" w:eastAsia="Arial" w:hAnsi="Arial"/>
          <w:sz w:val="16"/>
          <w:szCs w:val="16"/>
          <w:i w:val="1"/>
          <w:iCs w:val="1"/>
          <w:color w:val="auto"/>
        </w:rPr>
        <w:t xml:space="preserve"> </w:t>
      </w:r>
      <w:r>
        <w:rPr>
          <w:rFonts w:ascii="Arial" w:cs="Arial" w:eastAsia="Arial" w:hAnsi="Arial"/>
          <w:sz w:val="16"/>
          <w:szCs w:val="16"/>
          <w:color w:val="auto"/>
        </w:rPr>
        <w:t>intangible asset is developed technology. We amortize the intangible asset over its useful life of 10 years. Intangible asset amortization was $1.6 million and $3.2 million for the three and six months ended June 30, 2023, respectively, as compared to $0.9 million for the same periods in 2022. The increase from 2022 is related to recognizing a full quarter and year-to-date expense in 2023.</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7" w:name="page38"/>
    <w:bookmarkEnd w:id="37"/>
    <w:p>
      <w:pPr>
        <w:spacing w:after="0"/>
        <w:rPr>
          <w:sz w:val="20"/>
          <w:szCs w:val="20"/>
          <w:color w:val="auto"/>
        </w:rPr>
      </w:pPr>
      <w:r>
        <w:rPr>
          <w:rFonts w:ascii="Arial" w:cs="Arial" w:eastAsia="Arial" w:hAnsi="Arial"/>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3025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30250" cy="8255"/>
                    </a:xfrm>
                    <a:prstGeom prst="rect">
                      <a:avLst/>
                    </a:prstGeom>
                    <a:noFill/>
                  </pic:spPr>
                </pic:pic>
              </a:graphicData>
            </a:graphic>
          </wp:anchor>
        </w:drawing>
      </w:r>
    </w:p>
    <w:p>
      <w:pPr>
        <w:spacing w:after="0" w:line="215" w:lineRule="exact"/>
        <w:rPr>
          <w:sz w:val="20"/>
          <w:szCs w:val="20"/>
          <w:color w:val="auto"/>
        </w:rPr>
      </w:pPr>
    </w:p>
    <w:p>
      <w:pPr>
        <w:ind w:right="160" w:firstLine="749"/>
        <w:spacing w:after="0" w:line="278" w:lineRule="auto"/>
        <w:rPr>
          <w:sz w:val="20"/>
          <w:szCs w:val="20"/>
          <w:color w:val="auto"/>
        </w:rPr>
      </w:pPr>
      <w:r>
        <w:rPr>
          <w:rFonts w:ascii="Arial" w:cs="Arial" w:eastAsia="Arial" w:hAnsi="Arial"/>
          <w:sz w:val="16"/>
          <w:szCs w:val="16"/>
          <w:i w:val="1"/>
          <w:iCs w:val="1"/>
          <w:color w:val="auto"/>
        </w:rPr>
        <w:t xml:space="preserve">Interest expense, net. </w:t>
      </w:r>
      <w:r>
        <w:rPr>
          <w:rFonts w:ascii="Arial" w:cs="Arial" w:eastAsia="Arial" w:hAnsi="Arial"/>
          <w:sz w:val="16"/>
          <w:szCs w:val="16"/>
          <w:color w:val="auto"/>
        </w:rPr>
        <w:t>Interest expense, net, was $2.7 million and $5.0 million for the three and six months ended June 30, 2023, respectively, as compared to</w:t>
      </w:r>
      <w:r>
        <w:rPr>
          <w:rFonts w:ascii="Arial" w:cs="Arial" w:eastAsia="Arial" w:hAnsi="Arial"/>
          <w:sz w:val="16"/>
          <w:szCs w:val="16"/>
          <w:i w:val="1"/>
          <w:iCs w:val="1"/>
          <w:color w:val="auto"/>
        </w:rPr>
        <w:t xml:space="preserve"> </w:t>
      </w:r>
      <w:r>
        <w:rPr>
          <w:rFonts w:ascii="Arial" w:cs="Arial" w:eastAsia="Arial" w:hAnsi="Arial"/>
          <w:sz w:val="16"/>
          <w:szCs w:val="16"/>
          <w:color w:val="auto"/>
        </w:rPr>
        <w:t>$2.3 million and $3.6 million for the same periods in 2022. The increases in both comparable periods was mainly due to a higher debt balance compared to the prior comparable period due to additional drawn tranches on our Loan and Security Agreement with Hercules.</w:t>
      </w:r>
    </w:p>
    <w:p>
      <w:pPr>
        <w:spacing w:after="0" w:line="184" w:lineRule="exact"/>
        <w:rPr>
          <w:sz w:val="20"/>
          <w:szCs w:val="20"/>
          <w:color w:val="auto"/>
        </w:rPr>
      </w:pPr>
    </w:p>
    <w:p>
      <w:pPr>
        <w:ind w:right="60" w:firstLine="749"/>
        <w:spacing w:after="0" w:line="278" w:lineRule="auto"/>
        <w:rPr>
          <w:sz w:val="20"/>
          <w:szCs w:val="20"/>
          <w:color w:val="auto"/>
        </w:rPr>
      </w:pPr>
      <w:r>
        <w:rPr>
          <w:rFonts w:ascii="Arial" w:cs="Arial" w:eastAsia="Arial" w:hAnsi="Arial"/>
          <w:sz w:val="16"/>
          <w:szCs w:val="16"/>
          <w:i w:val="1"/>
          <w:iCs w:val="1"/>
          <w:color w:val="auto"/>
        </w:rPr>
        <w:t xml:space="preserve">Income tax benefit (expense). </w:t>
      </w:r>
      <w:r>
        <w:rPr>
          <w:rFonts w:ascii="Arial" w:cs="Arial" w:eastAsia="Arial" w:hAnsi="Arial"/>
          <w:sz w:val="16"/>
          <w:szCs w:val="16"/>
          <w:color w:val="auto"/>
        </w:rPr>
        <w:t>We recorded a tax benefit of $0.6 million for the three months ended June 30, 2023 due to losses incurred in foreign jurisdictions</w:t>
      </w:r>
      <w:r>
        <w:rPr>
          <w:rFonts w:ascii="Arial" w:cs="Arial" w:eastAsia="Arial" w:hAnsi="Arial"/>
          <w:sz w:val="16"/>
          <w:szCs w:val="16"/>
          <w:i w:val="1"/>
          <w:iCs w:val="1"/>
          <w:color w:val="auto"/>
        </w:rPr>
        <w:t xml:space="preserve"> </w:t>
      </w:r>
      <w:r>
        <w:rPr>
          <w:rFonts w:ascii="Arial" w:cs="Arial" w:eastAsia="Arial" w:hAnsi="Arial"/>
          <w:sz w:val="16"/>
          <w:szCs w:val="16"/>
          <w:color w:val="auto"/>
        </w:rPr>
        <w:t>during the quarter. Tax expense was $2.0 million for the six months ended June 30, 2023 due to income earned in foreign jurisdictions in relation to the license revenue recognized from the license agreement with Pharmanovia. We did not record an income tax benefit (expense) in 2022.</w:t>
      </w:r>
    </w:p>
    <w:p>
      <w:pPr>
        <w:spacing w:after="0" w:line="184" w:lineRule="exact"/>
        <w:rPr>
          <w:sz w:val="20"/>
          <w:szCs w:val="20"/>
          <w:color w:val="auto"/>
        </w:rPr>
      </w:pPr>
    </w:p>
    <w:p>
      <w:pPr>
        <w:jc w:val="both"/>
        <w:ind w:right="20" w:firstLine="749"/>
        <w:spacing w:after="0" w:line="278" w:lineRule="auto"/>
        <w:rPr>
          <w:sz w:val="20"/>
          <w:szCs w:val="20"/>
          <w:color w:val="auto"/>
        </w:rPr>
      </w:pPr>
      <w:r>
        <w:rPr>
          <w:rFonts w:ascii="Arial" w:cs="Arial" w:eastAsia="Arial" w:hAnsi="Arial"/>
          <w:sz w:val="16"/>
          <w:szCs w:val="16"/>
          <w:i w:val="1"/>
          <w:iCs w:val="1"/>
          <w:color w:val="auto"/>
        </w:rPr>
        <w:t xml:space="preserve">Net loss. </w:t>
      </w:r>
      <w:r>
        <w:rPr>
          <w:rFonts w:ascii="Arial" w:cs="Arial" w:eastAsia="Arial" w:hAnsi="Arial"/>
          <w:sz w:val="16"/>
          <w:szCs w:val="16"/>
          <w:color w:val="auto"/>
        </w:rPr>
        <w:t>Net loss was $67.2 million and $41.4 million for the three months ended June 30, 2023 and 2022, respectively. The increase is primarily due to higher</w:t>
      </w:r>
      <w:r>
        <w:rPr>
          <w:rFonts w:ascii="Arial" w:cs="Arial" w:eastAsia="Arial" w:hAnsi="Arial"/>
          <w:sz w:val="16"/>
          <w:szCs w:val="16"/>
          <w:i w:val="1"/>
          <w:iCs w:val="1"/>
          <w:color w:val="auto"/>
        </w:rPr>
        <w:t xml:space="preserve"> </w:t>
      </w:r>
      <w:r>
        <w:rPr>
          <w:rFonts w:ascii="Arial" w:cs="Arial" w:eastAsia="Arial" w:hAnsi="Arial"/>
          <w:sz w:val="16"/>
          <w:szCs w:val="16"/>
          <w:color w:val="auto"/>
        </w:rPr>
        <w:t>selling, general and administrative expenses for Sunosi and Auvelity commercial activities, which includes expenses related to our sales force, marketing, and higher non-cash stock compensation expense.</w:t>
      </w:r>
    </w:p>
    <w:p>
      <w:pPr>
        <w:spacing w:after="0" w:line="184" w:lineRule="exact"/>
        <w:rPr>
          <w:sz w:val="20"/>
          <w:szCs w:val="20"/>
          <w:color w:val="auto"/>
        </w:rPr>
      </w:pPr>
    </w:p>
    <w:p>
      <w:pPr>
        <w:jc w:val="both"/>
        <w:ind w:right="40" w:firstLine="749"/>
        <w:spacing w:after="0" w:line="335" w:lineRule="auto"/>
        <w:rPr>
          <w:sz w:val="20"/>
          <w:szCs w:val="20"/>
          <w:color w:val="auto"/>
        </w:rPr>
      </w:pPr>
      <w:r>
        <w:rPr>
          <w:rFonts w:ascii="Arial" w:cs="Arial" w:eastAsia="Arial" w:hAnsi="Arial"/>
          <w:sz w:val="14"/>
          <w:szCs w:val="14"/>
          <w:color w:val="auto"/>
        </w:rPr>
        <w:t>Net loss was $78.4 million and $81.1 million for the six months ended June 30, 2023 and 2022, respectively. The decrease was primarily due to higher product sales and the $65.7 million license revenue received from Pharmanovia, offset by increases in selling, general and administrative expenses related to commercial activities related to Sunosi and Auvelity, including sales force and marketing spend, and higher personnel costs, including non-cash stock compensation expense.</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Liquidity and Capital Resources</w:t>
      </w:r>
    </w:p>
    <w:p>
      <w:pPr>
        <w:spacing w:after="0" w:line="239" w:lineRule="exact"/>
        <w:rPr>
          <w:sz w:val="20"/>
          <w:szCs w:val="20"/>
          <w:color w:val="auto"/>
        </w:rPr>
      </w:pPr>
    </w:p>
    <w:p>
      <w:pPr>
        <w:ind w:right="160" w:firstLine="749"/>
        <w:spacing w:after="0" w:line="293" w:lineRule="auto"/>
        <w:rPr>
          <w:sz w:val="20"/>
          <w:szCs w:val="20"/>
          <w:color w:val="auto"/>
        </w:rPr>
      </w:pPr>
      <w:r>
        <w:rPr>
          <w:rFonts w:ascii="Arial" w:cs="Arial" w:eastAsia="Arial" w:hAnsi="Arial"/>
          <w:sz w:val="16"/>
          <w:szCs w:val="16"/>
          <w:color w:val="auto"/>
        </w:rPr>
        <w:t>Since our inception through June 30, 2023, we have financed our operations primarily through proceeds from equity offerings, debt borrowings and proceeds from product sales. See discussion below.</w:t>
      </w:r>
    </w:p>
    <w:p>
      <w:pPr>
        <w:spacing w:after="0" w:line="172" w:lineRule="exact"/>
        <w:rPr>
          <w:sz w:val="20"/>
          <w:szCs w:val="20"/>
          <w:color w:val="auto"/>
        </w:rPr>
      </w:pPr>
    </w:p>
    <w:p>
      <w:pPr>
        <w:ind w:firstLine="749"/>
        <w:spacing w:after="0" w:line="293" w:lineRule="auto"/>
        <w:rPr>
          <w:sz w:val="20"/>
          <w:szCs w:val="20"/>
          <w:color w:val="auto"/>
        </w:rPr>
      </w:pPr>
      <w:r>
        <w:rPr>
          <w:rFonts w:ascii="Arial" w:cs="Arial" w:eastAsia="Arial" w:hAnsi="Arial"/>
          <w:sz w:val="15"/>
          <w:szCs w:val="15"/>
          <w:color w:val="auto"/>
        </w:rPr>
        <w:t>On December 2, 2022, we filed an automatic shelf registration statement with the SEC for the issuance of common stock, preferred stock, warrants, rights, debt securities and units up to an unlimited amount, which we refer to as the 2022 Shelf Registration Statement. It was declared effective by the SEC upon filing. In the future, we may conduct additional offerings of one or more of these securities utilizing the 2022 Shelf Registration Statement in such amounts, prices and terms to be announced when and if the securities are offered. At the time any of our securities covered by the 2022 Shelf Registration Statement are offered for sale, a prospectus supplement will be prepared and filed with the SEC containing specific information about the terms of any such offering.</w:t>
      </w:r>
    </w:p>
    <w:p>
      <w:pPr>
        <w:spacing w:after="0" w:line="17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30" w:right="479" w:bottom="1440" w:gutter="0" w:footer="0" w:header="0"/>
        </w:sectPr>
      </w:pPr>
    </w:p>
    <w:bookmarkStart w:id="38" w:name="page39"/>
    <w:bookmarkEnd w:id="38"/>
    <w:p>
      <w:pPr>
        <w:spacing w:after="0"/>
        <w:rPr>
          <w:sz w:val="20"/>
          <w:szCs w:val="20"/>
          <w:color w:val="auto"/>
        </w:rPr>
      </w:pPr>
      <w:r>
        <w:rPr>
          <w:rFonts w:ascii="Arial" w:cs="Arial" w:eastAsia="Arial" w:hAnsi="Arial"/>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3025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30250" cy="8890"/>
                    </a:xfrm>
                    <a:prstGeom prst="rect">
                      <a:avLst/>
                    </a:prstGeom>
                    <a:noFill/>
                  </pic:spPr>
                </pic:pic>
              </a:graphicData>
            </a:graphic>
          </wp:anchor>
        </w:drawing>
      </w:r>
    </w:p>
    <w:p>
      <w:pPr>
        <w:spacing w:after="0" w:line="215" w:lineRule="exact"/>
        <w:rPr>
          <w:sz w:val="20"/>
          <w:szCs w:val="20"/>
          <w:color w:val="auto"/>
        </w:rPr>
      </w:pPr>
    </w:p>
    <w:p>
      <w:pPr>
        <w:ind w:firstLine="749"/>
        <w:spacing w:after="0" w:line="293" w:lineRule="auto"/>
        <w:rPr>
          <w:sz w:val="20"/>
          <w:szCs w:val="20"/>
          <w:color w:val="auto"/>
        </w:rPr>
      </w:pPr>
      <w:r>
        <w:rPr>
          <w:rFonts w:ascii="Arial" w:cs="Arial" w:eastAsia="Arial" w:hAnsi="Arial"/>
          <w:sz w:val="15"/>
          <w:szCs w:val="15"/>
          <w:color w:val="auto"/>
        </w:rPr>
        <w:t>In December 2019, we entered into a sales agreement, or the December 2019 Sales Agreement, with SVB Securities LLC (now known as Leerink Partners LLC), or Leerink, pursuant to which we may sell up to $80 million in shares of our common stock from time to time through Leerink, acting as our sales agent, in one or more at-the-market offerings utilizing an automatic shelf registration statement we filed with the SEC on December 5, 2019 for the issuance of common stock, preferred stock, warrants, rights, debt securities and units up to an unlimited amount, which we refer to as the 2019 Shelf Registration Statement. Leerink is entitled to receive a commission of 3.0% of the gross proceeds for any shares sold under the December 2019 Sales Agreement.</w:t>
      </w:r>
    </w:p>
    <w:p>
      <w:pPr>
        <w:spacing w:after="0" w:line="176" w:lineRule="exact"/>
        <w:rPr>
          <w:sz w:val="20"/>
          <w:szCs w:val="20"/>
          <w:color w:val="auto"/>
        </w:rPr>
      </w:pPr>
    </w:p>
    <w:p>
      <w:pPr>
        <w:ind w:right="40" w:firstLine="749"/>
        <w:spacing w:after="0" w:line="271" w:lineRule="auto"/>
        <w:rPr>
          <w:sz w:val="20"/>
          <w:szCs w:val="20"/>
          <w:color w:val="auto"/>
        </w:rPr>
      </w:pPr>
      <w:r>
        <w:rPr>
          <w:rFonts w:ascii="Arial" w:cs="Arial" w:eastAsia="Arial" w:hAnsi="Arial"/>
          <w:sz w:val="16"/>
          <w:szCs w:val="16"/>
          <w:color w:val="auto"/>
        </w:rPr>
        <w:t>In March 2022, we entered into a sales agreement, or the March 2022 Sales Agreement with Leerink, pursuant to which we may sell up to $200 million in shares of our common stock from time to time through Leerink, acting as our sales agent, in one or more at-the-market offerings utilizing the 2019 Shelf Registration Statement. Leerink is entitled to receive a commission of up to 3.0% of the gross proceeds for any shares sold under the March 2022 Sales Agreement. The March 2022 Sales Agreement supersedes the December 2019 Sales Agreement, by and between the Company and Leerink. The Company exhausted sales of its shares of the Company’s common stock under its prior at-the-market offering program.</w:t>
      </w:r>
    </w:p>
    <w:p>
      <w:pPr>
        <w:spacing w:after="0" w:line="190" w:lineRule="exact"/>
        <w:rPr>
          <w:sz w:val="20"/>
          <w:szCs w:val="20"/>
          <w:color w:val="auto"/>
        </w:rPr>
      </w:pPr>
    </w:p>
    <w:p>
      <w:pPr>
        <w:jc w:val="both"/>
        <w:ind w:right="100" w:firstLine="749"/>
        <w:spacing w:after="0" w:line="369" w:lineRule="auto"/>
        <w:rPr>
          <w:sz w:val="20"/>
          <w:szCs w:val="20"/>
          <w:color w:val="auto"/>
        </w:rPr>
      </w:pPr>
      <w:r>
        <w:rPr>
          <w:rFonts w:ascii="Arial" w:cs="Arial" w:eastAsia="Arial" w:hAnsi="Arial"/>
          <w:sz w:val="14"/>
          <w:szCs w:val="14"/>
          <w:color w:val="auto"/>
        </w:rPr>
        <w:t>In August 2022, we filed a prospectus supplement to the 2019 Shelf Registration Statement for the issuance and sale, if any, of up to an additional $250 million in shares of our common stock. Leerink is entitled to receive a commission of up to 3.0% of the gross proceeds for any shares sold under the March 2022 Sales Agreement.</w:t>
      </w:r>
    </w:p>
    <w:p>
      <w:pPr>
        <w:spacing w:after="0" w:line="126" w:lineRule="exact"/>
        <w:rPr>
          <w:sz w:val="20"/>
          <w:szCs w:val="20"/>
          <w:color w:val="auto"/>
        </w:rPr>
      </w:pPr>
    </w:p>
    <w:p>
      <w:pPr>
        <w:ind w:firstLine="749"/>
        <w:spacing w:after="0" w:line="273" w:lineRule="auto"/>
        <w:rPr>
          <w:sz w:val="20"/>
          <w:szCs w:val="20"/>
          <w:color w:val="auto"/>
        </w:rPr>
      </w:pPr>
      <w:r>
        <w:rPr>
          <w:rFonts w:ascii="Arial" w:cs="Arial" w:eastAsia="Arial" w:hAnsi="Arial"/>
          <w:sz w:val="16"/>
          <w:szCs w:val="16"/>
          <w:color w:val="auto"/>
        </w:rPr>
        <w:t>In December 2022, in connection with the 2022 Shelf Registration Statement, we filed a new sales agreement prospectus to replace the prior prospectus supplement filed in August 2022 associated with the expired 2019 Shelf Registration Statement. The new sales agreement prospectus covered the issuance and sale by us of up to the same $250 million of our common stock that may be issued and sold from time to time through Leerink, as the Company’s sales agent, under the March 2022 Sales Agreement.</w:t>
      </w:r>
    </w:p>
    <w:p>
      <w:pPr>
        <w:spacing w:after="0" w:line="189" w:lineRule="exact"/>
        <w:rPr>
          <w:sz w:val="20"/>
          <w:szCs w:val="20"/>
          <w:color w:val="auto"/>
        </w:rPr>
      </w:pPr>
    </w:p>
    <w:p>
      <w:pPr>
        <w:ind w:left="760"/>
        <w:spacing w:after="0"/>
        <w:rPr>
          <w:sz w:val="20"/>
          <w:szCs w:val="20"/>
          <w:color w:val="auto"/>
        </w:rPr>
      </w:pPr>
      <w:r>
        <w:rPr>
          <w:rFonts w:ascii="Arial" w:cs="Arial" w:eastAsia="Arial" w:hAnsi="Arial"/>
          <w:sz w:val="16"/>
          <w:szCs w:val="16"/>
          <w:color w:val="auto"/>
        </w:rPr>
        <w:t>We did not utilize the March 2022 Sales Agreement with Leerink during the six months ended June 30, 2023.</w:t>
      </w:r>
    </w:p>
    <w:p>
      <w:pPr>
        <w:spacing w:after="0" w:line="235" w:lineRule="exact"/>
        <w:rPr>
          <w:sz w:val="20"/>
          <w:szCs w:val="20"/>
          <w:color w:val="auto"/>
        </w:rPr>
      </w:pPr>
    </w:p>
    <w:p>
      <w:pPr>
        <w:ind w:right="60" w:firstLine="749"/>
        <w:spacing w:after="0" w:line="271" w:lineRule="auto"/>
        <w:rPr>
          <w:sz w:val="20"/>
          <w:szCs w:val="20"/>
          <w:color w:val="auto"/>
        </w:rPr>
      </w:pPr>
      <w:r>
        <w:rPr>
          <w:rFonts w:ascii="Arial" w:cs="Arial" w:eastAsia="Arial" w:hAnsi="Arial"/>
          <w:sz w:val="16"/>
          <w:szCs w:val="16"/>
          <w:color w:val="auto"/>
        </w:rPr>
        <w:t>In January 2023, we entered into the Third Amendment to the Loan Agreement with Hercules. The Third Amendment increases the size of the Term Loan Advance (as defined in the Loan Agreement) to $350.0 million, reduces the interest rate, and extends the maturity and interest-only period of the Loan Agreement. The Company recently drew down upon Tranche 1C of the Hercules Loan Facility, and as of June 30, 2023, the Company had approximately $180 million outstanding and $170 million remaining under the Hercules Loan Facility. See the “Contractual Obligations and Commitments – January 2023 Third Amendment to the Loan and Security Agreement – Hercules” section below for more information.</w:t>
      </w:r>
    </w:p>
    <w:p>
      <w:pPr>
        <w:spacing w:after="0" w:line="190" w:lineRule="exact"/>
        <w:rPr>
          <w:sz w:val="20"/>
          <w:szCs w:val="20"/>
          <w:color w:val="auto"/>
        </w:rPr>
      </w:pPr>
    </w:p>
    <w:p>
      <w:pPr>
        <w:ind w:right="40" w:firstLine="749"/>
        <w:spacing w:after="0" w:line="297" w:lineRule="auto"/>
        <w:rPr>
          <w:sz w:val="20"/>
          <w:szCs w:val="20"/>
          <w:color w:val="auto"/>
        </w:rPr>
      </w:pPr>
      <w:r>
        <w:rPr>
          <w:rFonts w:ascii="Arial" w:cs="Arial" w:eastAsia="Arial" w:hAnsi="Arial"/>
          <w:sz w:val="15"/>
          <w:szCs w:val="15"/>
          <w:color w:val="auto"/>
        </w:rPr>
        <w:t>In June 2023, we completed an underwritten public offering of our common stock and sold 3.0 million shares of our common stock at a public offering price of $75.00 per share. Net proceeds were $211.3 million, net of underwriting discounts and commissions of 13.5 million and other offering costs of $0.2 million. Additionally, in connection with this public offering, in July 2023, the underwriters fully exercised their option to purchase 450,000 additional shares of our common stock, at a public offering price of $75.00 per share. The net proceeds were $31.7 million, net of underwriting discounts and commissions of $2.0 million and other minimal offering costs.</w:t>
      </w:r>
    </w:p>
    <w:p>
      <w:pPr>
        <w:spacing w:after="0" w:line="172" w:lineRule="exact"/>
        <w:rPr>
          <w:sz w:val="20"/>
          <w:szCs w:val="20"/>
          <w:color w:val="auto"/>
        </w:rPr>
      </w:pPr>
    </w:p>
    <w:p>
      <w:pPr>
        <w:ind w:right="40" w:firstLine="749"/>
        <w:spacing w:after="0" w:line="305" w:lineRule="auto"/>
        <w:rPr>
          <w:sz w:val="20"/>
          <w:szCs w:val="20"/>
          <w:color w:val="auto"/>
        </w:rPr>
      </w:pPr>
      <w:r>
        <w:rPr>
          <w:rFonts w:ascii="Arial" w:cs="Arial" w:eastAsia="Arial" w:hAnsi="Arial"/>
          <w:sz w:val="15"/>
          <w:szCs w:val="15"/>
          <w:color w:val="auto"/>
        </w:rPr>
        <w:t>In the future, we may conduct additional offerings of one or more of the securities covered by the 2022 Shelf Registration Statement in such amounts, prices and terms to be announced when and if the securities are offered. At the time any of our securities covered by the 2022 Shelf Registration Statement are offered for sale, a prospectus supplement will be prepared and filed with the SEC containing specific information about the terms of any such offering.</w:t>
      </w:r>
    </w:p>
    <w:p>
      <w:pPr>
        <w:spacing w:after="0" w:line="179" w:lineRule="exact"/>
        <w:rPr>
          <w:sz w:val="20"/>
          <w:szCs w:val="20"/>
          <w:color w:val="auto"/>
        </w:rPr>
      </w:pPr>
    </w:p>
    <w:p>
      <w:pPr>
        <w:jc w:val="both"/>
        <w:ind w:right="100" w:firstLine="749"/>
        <w:spacing w:after="0" w:line="305" w:lineRule="auto"/>
        <w:rPr>
          <w:sz w:val="20"/>
          <w:szCs w:val="20"/>
          <w:color w:val="auto"/>
        </w:rPr>
      </w:pPr>
      <w:r>
        <w:rPr>
          <w:rFonts w:ascii="Arial" w:cs="Arial" w:eastAsia="Arial" w:hAnsi="Arial"/>
          <w:sz w:val="15"/>
          <w:szCs w:val="15"/>
          <w:color w:val="auto"/>
        </w:rPr>
        <w:t>We believe that our current available cash is sufficient to fund anticipated operations into cash flow positivity, based on the current operating plan. Because the process of commercializing products and evaluating product candidates in clinical trials is costly and the timing of progress in these trials is uncertain, it is possible that the assumptions upon which we have based this estimate may prove to be wrong, and we could use our capital resources sooner than we currently expect.</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39" w:name="page40"/>
    <w:bookmarkEnd w:id="39"/>
    <w:p>
      <w:pPr>
        <w:spacing w:after="0"/>
        <w:rPr>
          <w:sz w:val="20"/>
          <w:szCs w:val="20"/>
          <w:color w:val="auto"/>
        </w:rPr>
      </w:pPr>
      <w:r>
        <w:rPr>
          <w:rFonts w:ascii="Arial" w:cs="Arial" w:eastAsia="Arial" w:hAnsi="Arial"/>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3025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30250" cy="8890"/>
                    </a:xfrm>
                    <a:prstGeom prst="rect">
                      <a:avLst/>
                    </a:prstGeom>
                    <a:noFill/>
                  </pic:spPr>
                </pic:pic>
              </a:graphicData>
            </a:graphic>
          </wp:anchor>
        </w:drawing>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Cash Flows</w:t>
      </w:r>
    </w:p>
    <w:p>
      <w:pPr>
        <w:spacing w:after="0" w:line="235"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The following table summarizes our primary sources and uses of cash for the periods indicated (in thousands):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620" w:type="dxa"/>
            <w:vAlign w:val="bottom"/>
          </w:tcPr>
          <w:p>
            <w:pPr>
              <w:spacing w:after="0"/>
              <w:rPr>
                <w:sz w:val="16"/>
                <w:szCs w:val="16"/>
                <w:color w:val="auto"/>
              </w:rPr>
            </w:pPr>
          </w:p>
        </w:tc>
        <w:tc>
          <w:tcPr>
            <w:tcW w:w="2860" w:type="dxa"/>
            <w:vAlign w:val="bottom"/>
            <w:tcBorders>
              <w:bottom w:val="single" w:sz="8" w:color="auto"/>
            </w:tcBorders>
            <w:gridSpan w:val="4"/>
          </w:tcPr>
          <w:p>
            <w:pPr>
              <w:jc w:val="right"/>
              <w:ind w:right="190"/>
              <w:spacing w:after="0"/>
              <w:rPr>
                <w:sz w:val="20"/>
                <w:szCs w:val="20"/>
                <w:color w:val="auto"/>
              </w:rPr>
            </w:pPr>
            <w:r>
              <w:rPr>
                <w:rFonts w:ascii="Arial" w:cs="Arial" w:eastAsia="Arial" w:hAnsi="Arial"/>
                <w:sz w:val="14"/>
                <w:szCs w:val="14"/>
                <w:b w:val="1"/>
                <w:bCs w:val="1"/>
                <w:color w:val="auto"/>
              </w:rPr>
              <w:t>Six Months Ended June 30,</w:t>
            </w:r>
          </w:p>
        </w:tc>
        <w:tc>
          <w:tcPr>
            <w:tcW w:w="760" w:type="dxa"/>
            <w:vAlign w:val="bottom"/>
            <w:tcBorders>
              <w:bottom w:val="single" w:sz="8" w:color="auto"/>
            </w:tcBorders>
          </w:tcPr>
          <w:p>
            <w:pPr>
              <w:spacing w:after="0"/>
              <w:rPr>
                <w:sz w:val="16"/>
                <w:szCs w:val="16"/>
                <w:color w:val="auto"/>
              </w:rPr>
            </w:pPr>
          </w:p>
        </w:tc>
      </w:tr>
      <w:tr>
        <w:trPr>
          <w:trHeight w:val="169"/>
        </w:trPr>
        <w:tc>
          <w:tcPr>
            <w:tcW w:w="76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2023</w:t>
            </w:r>
          </w:p>
        </w:tc>
        <w:tc>
          <w:tcPr>
            <w:tcW w:w="760" w:type="dxa"/>
            <w:vAlign w:val="bottom"/>
          </w:tcPr>
          <w:p>
            <w:pPr>
              <w:spacing w:after="0"/>
              <w:rPr>
                <w:sz w:val="14"/>
                <w:szCs w:val="14"/>
                <w:color w:val="auto"/>
              </w:rPr>
            </w:pPr>
          </w:p>
        </w:tc>
        <w:tc>
          <w:tcPr>
            <w:tcW w:w="11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2022</w:t>
            </w:r>
          </w:p>
        </w:tc>
        <w:tc>
          <w:tcPr>
            <w:tcW w:w="760" w:type="dxa"/>
            <w:vAlign w:val="bottom"/>
          </w:tcPr>
          <w:p>
            <w:pPr>
              <w:spacing w:after="0"/>
              <w:rPr>
                <w:sz w:val="14"/>
                <w:szCs w:val="14"/>
                <w:color w:val="auto"/>
              </w:rPr>
            </w:pPr>
          </w:p>
        </w:tc>
      </w:tr>
      <w:tr>
        <w:trPr>
          <w:trHeight w:val="237"/>
        </w:trPr>
        <w:tc>
          <w:tcPr>
            <w:tcW w:w="7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cash (used in) provided by:</w:t>
            </w:r>
          </w:p>
        </w:tc>
        <w:tc>
          <w:tcPr>
            <w:tcW w:w="960" w:type="dxa"/>
            <w:vAlign w:val="bottom"/>
            <w:tcBorders>
              <w:top w:val="single" w:sz="8" w:color="auto"/>
            </w:tcBorders>
            <w:shd w:val="clear" w:color="auto" w:fill="CFF0FC"/>
          </w:tcPr>
          <w:p>
            <w:pPr>
              <w:spacing w:after="0"/>
              <w:rPr>
                <w:sz w:val="20"/>
                <w:szCs w:val="20"/>
                <w:color w:val="auto"/>
              </w:rPr>
            </w:pPr>
          </w:p>
        </w:tc>
        <w:tc>
          <w:tcPr>
            <w:tcW w:w="760" w:type="dxa"/>
            <w:vAlign w:val="bottom"/>
            <w:tcBorders>
              <w:top w:val="single" w:sz="8" w:color="auto"/>
            </w:tcBorders>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60" w:type="dxa"/>
            <w:vAlign w:val="bottom"/>
            <w:tcBorders>
              <w:top w:val="single" w:sz="8" w:color="auto"/>
            </w:tcBorders>
            <w:shd w:val="clear" w:color="auto" w:fill="CFF0FC"/>
          </w:tcPr>
          <w:p>
            <w:pPr>
              <w:spacing w:after="0"/>
              <w:rPr>
                <w:sz w:val="20"/>
                <w:szCs w:val="20"/>
                <w:color w:val="auto"/>
              </w:rPr>
            </w:pPr>
          </w:p>
        </w:tc>
        <w:tc>
          <w:tcPr>
            <w:tcW w:w="760" w:type="dxa"/>
            <w:vAlign w:val="bottom"/>
            <w:tcBorders>
              <w:top w:val="single" w:sz="8" w:color="auto"/>
            </w:tcBorders>
            <w:shd w:val="clear" w:color="auto" w:fill="CFF0FC"/>
          </w:tcPr>
          <w:p>
            <w:pPr>
              <w:spacing w:after="0"/>
              <w:rPr>
                <w:sz w:val="20"/>
                <w:szCs w:val="20"/>
                <w:color w:val="auto"/>
              </w:rPr>
            </w:pPr>
          </w:p>
        </w:tc>
      </w:tr>
      <w:tr>
        <w:trPr>
          <w:trHeight w:val="237"/>
        </w:trPr>
        <w:tc>
          <w:tcPr>
            <w:tcW w:w="7620" w:type="dxa"/>
            <w:vAlign w:val="bottom"/>
          </w:tcPr>
          <w:p>
            <w:pPr>
              <w:ind w:left="200"/>
              <w:spacing w:after="0"/>
              <w:rPr>
                <w:sz w:val="20"/>
                <w:szCs w:val="20"/>
                <w:color w:val="auto"/>
              </w:rPr>
            </w:pPr>
            <w:r>
              <w:rPr>
                <w:rFonts w:ascii="Arial" w:cs="Arial" w:eastAsia="Arial" w:hAnsi="Arial"/>
                <w:sz w:val="18"/>
                <w:szCs w:val="18"/>
                <w:color w:val="auto"/>
              </w:rPr>
              <w:t>Operating activities</w:t>
            </w:r>
          </w:p>
        </w:tc>
        <w:tc>
          <w:tcPr>
            <w:tcW w:w="960" w:type="dxa"/>
            <w:vAlign w:val="bottom"/>
          </w:tcPr>
          <w:p>
            <w:pPr>
              <w:jc w:val="right"/>
              <w:ind w:right="779"/>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1"/>
              </w:rPr>
              <w:t>(61,170 )</w:t>
            </w:r>
          </w:p>
        </w:tc>
        <w:tc>
          <w:tcPr>
            <w:tcW w:w="1140" w:type="dxa"/>
            <w:vAlign w:val="bottom"/>
            <w:gridSpan w:val="2"/>
          </w:tcPr>
          <w:p>
            <w:pPr>
              <w:jc w:val="right"/>
              <w:ind w:right="75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4"/>
              </w:rPr>
              <w:t>(66,190 )</w:t>
            </w:r>
          </w:p>
        </w:tc>
      </w:tr>
      <w:tr>
        <w:trPr>
          <w:trHeight w:val="249"/>
        </w:trPr>
        <w:tc>
          <w:tcPr>
            <w:tcW w:w="76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Investing activities</w:t>
            </w:r>
          </w:p>
        </w:tc>
        <w:tc>
          <w:tcPr>
            <w:tcW w:w="96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(204 )</w:t>
            </w:r>
          </w:p>
        </w:tc>
        <w:tc>
          <w:tcPr>
            <w:tcW w:w="18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(53,455 )</w:t>
            </w:r>
          </w:p>
        </w:tc>
      </w:tr>
      <w:tr>
        <w:trPr>
          <w:trHeight w:val="237"/>
        </w:trPr>
        <w:tc>
          <w:tcPr>
            <w:tcW w:w="7620" w:type="dxa"/>
            <w:vAlign w:val="bottom"/>
          </w:tcPr>
          <w:p>
            <w:pPr>
              <w:ind w:left="200"/>
              <w:spacing w:after="0"/>
              <w:rPr>
                <w:sz w:val="20"/>
                <w:szCs w:val="20"/>
                <w:color w:val="auto"/>
              </w:rPr>
            </w:pPr>
            <w:r>
              <w:rPr>
                <w:rFonts w:ascii="Arial" w:cs="Arial" w:eastAsia="Arial" w:hAnsi="Arial"/>
                <w:sz w:val="18"/>
                <w:szCs w:val="18"/>
                <w:color w:val="auto"/>
              </w:rPr>
              <w:t>Financing activities</w:t>
            </w:r>
          </w:p>
        </w:tc>
        <w:tc>
          <w:tcPr>
            <w:tcW w:w="9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89"/>
              </w:rPr>
              <w:t>297,645</w:t>
            </w:r>
          </w:p>
        </w:tc>
        <w:tc>
          <w:tcPr>
            <w:tcW w:w="18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89"/>
              </w:rPr>
              <w:t>106,566</w:t>
            </w:r>
          </w:p>
        </w:tc>
      </w:tr>
      <w:tr>
        <w:trPr>
          <w:trHeight w:val="277"/>
        </w:trPr>
        <w:tc>
          <w:tcPr>
            <w:tcW w:w="76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increase (decrease) in cash</w:t>
            </w:r>
          </w:p>
        </w:tc>
        <w:tc>
          <w:tcPr>
            <w:tcW w:w="960" w:type="dxa"/>
            <w:vAlign w:val="bottom"/>
            <w:tcBorders>
              <w:bottom w:val="single" w:sz="8" w:color="auto"/>
            </w:tcBorders>
            <w:shd w:val="clear" w:color="auto" w:fill="CFF0FC"/>
          </w:tcPr>
          <w:p>
            <w:pPr>
              <w:jc w:val="right"/>
              <w:ind w:right="779"/>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89"/>
              </w:rPr>
              <w:t>236,271</w:t>
            </w:r>
          </w:p>
        </w:tc>
        <w:tc>
          <w:tcPr>
            <w:tcW w:w="180" w:type="dxa"/>
            <w:vAlign w:val="bottom"/>
            <w:tcBorders>
              <w:bottom w:val="single" w:sz="8" w:color="CFF0FC"/>
            </w:tcBorders>
            <w:shd w:val="clear" w:color="auto" w:fill="CFF0FC"/>
          </w:tcPr>
          <w:p>
            <w:pPr>
              <w:spacing w:after="0"/>
              <w:rPr>
                <w:sz w:val="24"/>
                <w:szCs w:val="24"/>
                <w:color w:val="auto"/>
              </w:rPr>
            </w:pPr>
          </w:p>
        </w:tc>
        <w:tc>
          <w:tcPr>
            <w:tcW w:w="960" w:type="dxa"/>
            <w:vAlign w:val="bottom"/>
            <w:tcBorders>
              <w:bottom w:val="single" w:sz="8" w:color="auto"/>
            </w:tcBorders>
            <w:shd w:val="clear" w:color="auto" w:fill="CFF0FC"/>
          </w:tcPr>
          <w:p>
            <w:pPr>
              <w:jc w:val="right"/>
              <w:ind w:right="75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4"/>
              </w:rPr>
              <w:t>(13,079 )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5928360</wp:posOffset>
            </wp:positionH>
            <wp:positionV relativeFrom="paragraph">
              <wp:posOffset>-25400</wp:posOffset>
            </wp:positionV>
            <wp:extent cx="12001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-7620</wp:posOffset>
            </wp:positionV>
            <wp:extent cx="12001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213" w:lineRule="exact"/>
        <w:rPr>
          <w:sz w:val="20"/>
          <w:szCs w:val="20"/>
          <w:color w:val="auto"/>
        </w:rPr>
      </w:pPr>
    </w:p>
    <w:p>
      <w:pPr>
        <w:ind w:right="40" w:firstLine="749"/>
        <w:spacing w:after="0" w:line="305" w:lineRule="auto"/>
        <w:rPr>
          <w:sz w:val="20"/>
          <w:szCs w:val="20"/>
          <w:color w:val="auto"/>
        </w:rPr>
      </w:pPr>
      <w:r>
        <w:rPr>
          <w:rFonts w:ascii="Arial" w:cs="Arial" w:eastAsia="Arial" w:hAnsi="Arial"/>
          <w:sz w:val="15"/>
          <w:szCs w:val="15"/>
          <w:i w:val="1"/>
          <w:iCs w:val="1"/>
          <w:color w:val="auto"/>
        </w:rPr>
        <w:t xml:space="preserve">Operating Activities. </w:t>
      </w:r>
      <w:r>
        <w:rPr>
          <w:rFonts w:ascii="Arial" w:cs="Arial" w:eastAsia="Arial" w:hAnsi="Arial"/>
          <w:sz w:val="15"/>
          <w:szCs w:val="15"/>
          <w:color w:val="auto"/>
        </w:rPr>
        <w:t>Cash used in operating activities for the six months ended June 30, 2023 was $61.2 million as compared to $66.2 million for the six months</w:t>
      </w:r>
      <w:r>
        <w:rPr>
          <w:rFonts w:ascii="Arial" w:cs="Arial" w:eastAsia="Arial" w:hAnsi="Arial"/>
          <w:sz w:val="15"/>
          <w:szCs w:val="15"/>
          <w:i w:val="1"/>
          <w:iCs w:val="1"/>
          <w:color w:val="auto"/>
        </w:rPr>
        <w:t xml:space="preserve"> </w:t>
      </w:r>
      <w:r>
        <w:rPr>
          <w:rFonts w:ascii="Arial" w:cs="Arial" w:eastAsia="Arial" w:hAnsi="Arial"/>
          <w:sz w:val="15"/>
          <w:szCs w:val="15"/>
          <w:color w:val="auto"/>
        </w:rPr>
        <w:t>ended June 30, 2022. The overall cash used in operating activities for the six months ended June 30, 2023 was favorably impacted by the upfront payment of $65.7 million received from Pharmanovia and net product revenues, from Auvelity and Sunosi, offset by cash used in commercial and clinical activities.</w:t>
      </w:r>
    </w:p>
    <w:p>
      <w:pPr>
        <w:spacing w:after="0" w:line="139" w:lineRule="exact"/>
        <w:rPr>
          <w:sz w:val="20"/>
          <w:szCs w:val="20"/>
          <w:color w:val="auto"/>
        </w:rPr>
      </w:pPr>
    </w:p>
    <w:p>
      <w:pPr>
        <w:ind w:right="180" w:firstLine="749"/>
        <w:spacing w:after="0" w:line="293" w:lineRule="auto"/>
        <w:rPr>
          <w:sz w:val="20"/>
          <w:szCs w:val="20"/>
          <w:color w:val="auto"/>
        </w:rPr>
      </w:pPr>
      <w:r>
        <w:rPr>
          <w:rFonts w:ascii="Arial" w:cs="Arial" w:eastAsia="Arial" w:hAnsi="Arial"/>
          <w:sz w:val="16"/>
          <w:szCs w:val="16"/>
          <w:i w:val="1"/>
          <w:iCs w:val="1"/>
          <w:color w:val="auto"/>
        </w:rPr>
        <w:t xml:space="preserve">Investing Activities. </w:t>
      </w:r>
      <w:r>
        <w:rPr>
          <w:rFonts w:ascii="Arial" w:cs="Arial" w:eastAsia="Arial" w:hAnsi="Arial"/>
          <w:sz w:val="16"/>
          <w:szCs w:val="16"/>
          <w:color w:val="auto"/>
        </w:rPr>
        <w:t>Cash used in investing activities for the six months ended June 30, 2023 was $0.2 million, as compared to $53.5 million for the six months</w:t>
      </w:r>
      <w:r>
        <w:rPr>
          <w:rFonts w:ascii="Arial" w:cs="Arial" w:eastAsia="Arial" w:hAnsi="Arial"/>
          <w:sz w:val="16"/>
          <w:szCs w:val="16"/>
          <w:i w:val="1"/>
          <w:iCs w:val="1"/>
          <w:color w:val="auto"/>
        </w:rPr>
        <w:t xml:space="preserve"> </w:t>
      </w:r>
      <w:r>
        <w:rPr>
          <w:rFonts w:ascii="Arial" w:cs="Arial" w:eastAsia="Arial" w:hAnsi="Arial"/>
          <w:sz w:val="16"/>
          <w:szCs w:val="16"/>
          <w:color w:val="auto"/>
        </w:rPr>
        <w:t>ended June 30, 2022. In the second quarter of 2022, we made an upfront payment of $53.0 million to acquire Sunosi.</w:t>
      </w:r>
    </w:p>
    <w:p>
      <w:pPr>
        <w:spacing w:after="0" w:line="172" w:lineRule="exact"/>
        <w:rPr>
          <w:sz w:val="20"/>
          <w:szCs w:val="20"/>
          <w:color w:val="auto"/>
        </w:rPr>
      </w:pPr>
    </w:p>
    <w:p>
      <w:pPr>
        <w:ind w:right="160" w:firstLine="749"/>
        <w:spacing w:after="0" w:line="289" w:lineRule="auto"/>
        <w:rPr>
          <w:sz w:val="20"/>
          <w:szCs w:val="20"/>
          <w:color w:val="auto"/>
        </w:rPr>
      </w:pPr>
      <w:r>
        <w:rPr>
          <w:rFonts w:ascii="Arial" w:cs="Arial" w:eastAsia="Arial" w:hAnsi="Arial"/>
          <w:sz w:val="15"/>
          <w:szCs w:val="15"/>
          <w:i w:val="1"/>
          <w:iCs w:val="1"/>
          <w:color w:val="auto"/>
        </w:rPr>
        <w:t xml:space="preserve">Financing Activities. </w:t>
      </w:r>
      <w:r>
        <w:rPr>
          <w:rFonts w:ascii="Arial" w:cs="Arial" w:eastAsia="Arial" w:hAnsi="Arial"/>
          <w:sz w:val="15"/>
          <w:szCs w:val="15"/>
          <w:color w:val="auto"/>
        </w:rPr>
        <w:t>Cash provided by financing activities was $297.6 million for the six months ended June 30, 2023, which included net proceeds related to</w:t>
      </w:r>
      <w:r>
        <w:rPr>
          <w:rFonts w:ascii="Arial" w:cs="Arial" w:eastAsia="Arial" w:hAnsi="Arial"/>
          <w:sz w:val="15"/>
          <w:szCs w:val="15"/>
          <w:i w:val="1"/>
          <w:iCs w:val="1"/>
          <w:color w:val="auto"/>
        </w:rPr>
        <w:t xml:space="preserve"> </w:t>
      </w:r>
      <w:r>
        <w:rPr>
          <w:rFonts w:ascii="Arial" w:cs="Arial" w:eastAsia="Arial" w:hAnsi="Arial"/>
          <w:sz w:val="15"/>
          <w:szCs w:val="15"/>
          <w:color w:val="auto"/>
        </w:rPr>
        <w:t>the June 2023 public offering of $211.3 million, net proceeds related to drawing upon tranches related to the Loan and Security Agreement with Hercules of $83.6 million, and proceeds from the issuance of common stock upon exercise of employee stock options of $7.0 million, offset by payments of contingent consideration and tax withholdings on stock awards for a total of $4.2 million. Cash provided by financing activities was $106.6 million for the six months ended June 30, 2022, which included net proceeds from drawing upon tranches related to our Loan and Security Agreement with Hercules of $45.0 million along with the purchase of 152,487 shares of our common stock for a total consideration of $5.0 million by Hercules, the sale of common stock through our Sales Agreement with Leerink of $56.8 million and proceeds from the issuance of common stock upon exercise of employee stock options of $0.4 million.</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Funding requirements</w:t>
      </w:r>
    </w:p>
    <w:p>
      <w:pPr>
        <w:spacing w:after="0" w:line="239" w:lineRule="exact"/>
        <w:rPr>
          <w:sz w:val="20"/>
          <w:szCs w:val="20"/>
          <w:color w:val="auto"/>
        </w:rPr>
      </w:pPr>
    </w:p>
    <w:p>
      <w:pPr>
        <w:ind w:right="260" w:firstLine="749"/>
        <w:spacing w:after="0" w:line="273" w:lineRule="auto"/>
        <w:rPr>
          <w:sz w:val="20"/>
          <w:szCs w:val="20"/>
          <w:color w:val="auto"/>
        </w:rPr>
      </w:pPr>
      <w:r>
        <w:rPr>
          <w:rFonts w:ascii="Arial" w:cs="Arial" w:eastAsia="Arial" w:hAnsi="Arial"/>
          <w:sz w:val="16"/>
          <w:szCs w:val="16"/>
          <w:color w:val="auto"/>
        </w:rPr>
        <w:t>We have not achieved profitability since our inception, and we expect to continue to incur significant losses for the foreseeable future as we continue the development of, and seek regulatory approvals for, our product candidates, and begin to commercialize any approved products while further investing in Auvelity and Sunosi. We are subject to all of the risks pertinent to the development of new product candidates, and we may encounter unforeseen expenses, difficulties, complications, delays, and other unknown factors that may harm our business.</w:t>
      </w:r>
    </w:p>
    <w:p>
      <w:pPr>
        <w:spacing w:after="0" w:line="189" w:lineRule="exact"/>
        <w:rPr>
          <w:sz w:val="20"/>
          <w:szCs w:val="20"/>
          <w:color w:val="auto"/>
        </w:rPr>
      </w:pPr>
    </w:p>
    <w:p>
      <w:pPr>
        <w:ind w:right="80" w:firstLine="749"/>
        <w:spacing w:after="0" w:line="271" w:lineRule="auto"/>
        <w:rPr>
          <w:sz w:val="20"/>
          <w:szCs w:val="20"/>
          <w:color w:val="auto"/>
        </w:rPr>
      </w:pPr>
      <w:r>
        <w:rPr>
          <w:rFonts w:ascii="Arial" w:cs="Arial" w:eastAsia="Arial" w:hAnsi="Arial"/>
          <w:sz w:val="16"/>
          <w:szCs w:val="16"/>
          <w:color w:val="auto"/>
        </w:rPr>
        <w:t>We may need to raise additional financing in the future to fund our operations. In the event that we need additional financing, we may incur additional debt, license certain intellectual property, and seek to sell additional equity or convertible securities that may result in dilution to our stockholders. If we raise additional funds through the issuance of equity or convertible securities, these securities could have rights or preferences senior to those of our common stock and could contain covenants that restrict our operations. There can be no assurance that we will be able to obtain additional equity or debt financing on terms acceptable to us, if at all. Our future capital requirements will depend on many factors, including:</w:t>
      </w:r>
    </w:p>
    <w:p>
      <w:pPr>
        <w:spacing w:after="0" w:line="190" w:lineRule="exact"/>
        <w:rPr>
          <w:sz w:val="20"/>
          <w:szCs w:val="20"/>
          <w:color w:val="auto"/>
        </w:rPr>
      </w:pPr>
    </w:p>
    <w:p>
      <w:pPr>
        <w:ind w:left="760" w:hanging="378"/>
        <w:spacing w:after="0"/>
        <w:tabs>
          <w:tab w:leader="none" w:pos="76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scope, rate of progress, results, and cost of our clinical studies and other related activities;</w:t>
      </w:r>
    </w:p>
    <w:p>
      <w:pPr>
        <w:spacing w:after="0" w:line="234" w:lineRule="exact"/>
        <w:rPr>
          <w:rFonts w:ascii="Arial" w:cs="Arial" w:eastAsia="Arial" w:hAnsi="Arial"/>
          <w:sz w:val="16"/>
          <w:szCs w:val="16"/>
          <w:color w:val="auto"/>
        </w:rPr>
      </w:pPr>
    </w:p>
    <w:p>
      <w:pPr>
        <w:ind w:left="760" w:hanging="378"/>
        <w:spacing w:after="0"/>
        <w:tabs>
          <w:tab w:leader="none" w:pos="760" w:val="left"/>
        </w:tabs>
        <w:numPr>
          <w:ilvl w:val="0"/>
          <w:numId w:val="8"/>
        </w:numPr>
        <w:rPr>
          <w:rFonts w:ascii="Arial" w:cs="Arial" w:eastAsia="Arial" w:hAnsi="Arial"/>
          <w:sz w:val="16"/>
          <w:szCs w:val="16"/>
          <w:color w:val="auto"/>
        </w:rPr>
      </w:pPr>
      <w:r>
        <w:rPr>
          <w:rFonts w:ascii="Arial" w:cs="Arial" w:eastAsia="Arial" w:hAnsi="Arial"/>
          <w:sz w:val="16"/>
          <w:szCs w:val="16"/>
          <w:color w:val="auto"/>
        </w:rPr>
        <w:t>our ability to enter into collaborative agreements for the development and commercialization of our product candidates;</w:t>
      </w:r>
    </w:p>
    <w:p>
      <w:pPr>
        <w:spacing w:after="0" w:line="234" w:lineRule="exact"/>
        <w:rPr>
          <w:rFonts w:ascii="Arial" w:cs="Arial" w:eastAsia="Arial" w:hAnsi="Arial"/>
          <w:sz w:val="16"/>
          <w:szCs w:val="16"/>
          <w:color w:val="auto"/>
        </w:rPr>
      </w:pPr>
    </w:p>
    <w:p>
      <w:pPr>
        <w:ind w:left="760" w:hanging="378"/>
        <w:spacing w:after="0"/>
        <w:tabs>
          <w:tab w:leader="none" w:pos="76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number and development requirements of any other product candidates that we pursue;</w:t>
      </w:r>
    </w:p>
    <w:p>
      <w:pPr>
        <w:spacing w:after="0" w:line="234" w:lineRule="exact"/>
        <w:rPr>
          <w:rFonts w:ascii="Arial" w:cs="Arial" w:eastAsia="Arial" w:hAnsi="Arial"/>
          <w:sz w:val="16"/>
          <w:szCs w:val="16"/>
          <w:color w:val="auto"/>
        </w:rPr>
      </w:pPr>
    </w:p>
    <w:p>
      <w:pPr>
        <w:ind w:left="760" w:hanging="378"/>
        <w:spacing w:after="0"/>
        <w:tabs>
          <w:tab w:leader="none" w:pos="76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costs, timing, and outcome of regulatory reviews of our product candidates;</w:t>
      </w:r>
    </w:p>
    <w:p>
      <w:pPr>
        <w:spacing w:after="0" w:line="234" w:lineRule="exact"/>
        <w:rPr>
          <w:rFonts w:ascii="Arial" w:cs="Arial" w:eastAsia="Arial" w:hAnsi="Arial"/>
          <w:sz w:val="16"/>
          <w:szCs w:val="16"/>
          <w:color w:val="auto"/>
        </w:rPr>
      </w:pPr>
    </w:p>
    <w:p>
      <w:pPr>
        <w:ind w:left="760" w:right="320" w:hanging="378"/>
        <w:spacing w:after="0" w:line="293" w:lineRule="auto"/>
        <w:tabs>
          <w:tab w:leader="none" w:pos="76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costs and timing of our commercialization activities, including product manufacturing, marketing, sales, and distribution, for any of our products and our product candidates for which we receive marketing approval;</w:t>
      </w:r>
    </w:p>
    <w:p>
      <w:pPr>
        <w:spacing w:after="0" w:line="171" w:lineRule="exact"/>
        <w:rPr>
          <w:rFonts w:ascii="Arial" w:cs="Arial" w:eastAsia="Arial" w:hAnsi="Arial"/>
          <w:sz w:val="16"/>
          <w:szCs w:val="16"/>
          <w:color w:val="auto"/>
        </w:rPr>
      </w:pPr>
    </w:p>
    <w:p>
      <w:pPr>
        <w:ind w:left="760" w:hanging="378"/>
        <w:spacing w:after="0"/>
        <w:tabs>
          <w:tab w:leader="none" w:pos="760" w:val="left"/>
        </w:tabs>
        <w:numPr>
          <w:ilvl w:val="0"/>
          <w:numId w:val="8"/>
        </w:numPr>
        <w:rPr>
          <w:rFonts w:ascii="Arial" w:cs="Arial" w:eastAsia="Arial" w:hAnsi="Arial"/>
          <w:sz w:val="16"/>
          <w:szCs w:val="16"/>
          <w:color w:val="auto"/>
        </w:rPr>
      </w:pPr>
      <w:r>
        <w:rPr>
          <w:rFonts w:ascii="Arial" w:cs="Arial" w:eastAsia="Arial" w:hAnsi="Arial"/>
          <w:sz w:val="16"/>
          <w:szCs w:val="16"/>
          <w:color w:val="auto"/>
        </w:rPr>
        <w:t>any product liability or other lawsuits related to our product candidates;</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0" w:name="page41"/>
    <w:bookmarkEnd w:id="40"/>
    <w:p>
      <w:pPr>
        <w:spacing w:after="0"/>
        <w:rPr>
          <w:sz w:val="20"/>
          <w:szCs w:val="20"/>
          <w:color w:val="auto"/>
        </w:rPr>
      </w:pPr>
      <w:r>
        <w:rPr>
          <w:rFonts w:ascii="Arial" w:cs="Arial" w:eastAsia="Arial" w:hAnsi="Arial"/>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3025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30250" cy="8890"/>
                    </a:xfrm>
                    <a:prstGeom prst="rect">
                      <a:avLst/>
                    </a:prstGeom>
                    <a:noFill/>
                  </pic:spPr>
                </pic:pic>
              </a:graphicData>
            </a:graphic>
          </wp:anchor>
        </w:drawing>
      </w:r>
    </w:p>
    <w:p>
      <w:pPr>
        <w:spacing w:after="0" w:line="215" w:lineRule="exact"/>
        <w:rPr>
          <w:sz w:val="20"/>
          <w:szCs w:val="20"/>
          <w:color w:val="auto"/>
        </w:rPr>
      </w:pPr>
    </w:p>
    <w:p>
      <w:pPr>
        <w:ind w:left="760" w:hanging="378"/>
        <w:spacing w:after="0"/>
        <w:tabs>
          <w:tab w:leader="none" w:pos="76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expenses needed to attract and retain skilled personnel;</w:t>
      </w:r>
    </w:p>
    <w:p>
      <w:pPr>
        <w:spacing w:after="0" w:line="234" w:lineRule="exact"/>
        <w:rPr>
          <w:rFonts w:ascii="Arial" w:cs="Arial" w:eastAsia="Arial" w:hAnsi="Arial"/>
          <w:sz w:val="16"/>
          <w:szCs w:val="16"/>
          <w:color w:val="auto"/>
        </w:rPr>
      </w:pPr>
    </w:p>
    <w:p>
      <w:pPr>
        <w:ind w:left="760" w:hanging="378"/>
        <w:spacing w:after="0"/>
        <w:tabs>
          <w:tab w:leader="none" w:pos="76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general and administrative expenses related to being a public company;</w:t>
      </w:r>
    </w:p>
    <w:p>
      <w:pPr>
        <w:spacing w:after="0" w:line="234" w:lineRule="exact"/>
        <w:rPr>
          <w:rFonts w:ascii="Arial" w:cs="Arial" w:eastAsia="Arial" w:hAnsi="Arial"/>
          <w:sz w:val="16"/>
          <w:szCs w:val="16"/>
          <w:color w:val="auto"/>
        </w:rPr>
      </w:pPr>
    </w:p>
    <w:p>
      <w:pPr>
        <w:ind w:left="760" w:hanging="378"/>
        <w:spacing w:after="0"/>
        <w:tabs>
          <w:tab w:leader="none" w:pos="76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revenue, if any, received from commercial sales of our products and product candidates for which we receive marketing approval; and</w:t>
      </w:r>
    </w:p>
    <w:p>
      <w:pPr>
        <w:spacing w:after="0" w:line="234" w:lineRule="exact"/>
        <w:rPr>
          <w:rFonts w:ascii="Arial" w:cs="Arial" w:eastAsia="Arial" w:hAnsi="Arial"/>
          <w:sz w:val="16"/>
          <w:szCs w:val="16"/>
          <w:color w:val="auto"/>
        </w:rPr>
      </w:pPr>
    </w:p>
    <w:p>
      <w:pPr>
        <w:ind w:left="760" w:right="620" w:hanging="378"/>
        <w:spacing w:after="0" w:line="204" w:lineRule="exact"/>
        <w:tabs>
          <w:tab w:leader="none" w:pos="76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costs involved in preparing, filing, and prosecuting patent applications, maintaining and enforcing our intellectual property rights, and defending our intellectual property</w:t>
      </w:r>
      <w:r>
        <w:rPr>
          <w:rFonts w:ascii="MS PGothic" w:cs="MS PGothic" w:eastAsia="MS PGothic" w:hAnsi="MS PGothic"/>
          <w:sz w:val="16"/>
          <w:szCs w:val="16"/>
          <w:color w:val="auto"/>
        </w:rPr>
        <w:t>‑</w:t>
      </w:r>
      <w:r>
        <w:rPr>
          <w:rFonts w:ascii="Arial" w:cs="Arial" w:eastAsia="Arial" w:hAnsi="Arial"/>
          <w:sz w:val="16"/>
          <w:szCs w:val="16"/>
          <w:color w:val="auto"/>
        </w:rPr>
        <w:t>related claims.</w:t>
      </w:r>
    </w:p>
    <w:p>
      <w:pPr>
        <w:spacing w:after="0" w:line="213" w:lineRule="exact"/>
        <w:rPr>
          <w:rFonts w:ascii="Arial" w:cs="Arial" w:eastAsia="Arial" w:hAnsi="Arial"/>
          <w:sz w:val="16"/>
          <w:szCs w:val="16"/>
          <w:color w:val="auto"/>
        </w:rPr>
      </w:pPr>
    </w:p>
    <w:p>
      <w:pPr>
        <w:ind w:left="760"/>
        <w:spacing w:after="0"/>
        <w:rPr>
          <w:rFonts w:ascii="Arial" w:cs="Arial" w:eastAsia="Arial" w:hAnsi="Arial"/>
          <w:sz w:val="16"/>
          <w:szCs w:val="16"/>
          <w:color w:val="auto"/>
        </w:rPr>
      </w:pPr>
      <w:r>
        <w:rPr>
          <w:rFonts w:ascii="Arial" w:cs="Arial" w:eastAsia="Arial" w:hAnsi="Arial"/>
          <w:sz w:val="16"/>
          <w:szCs w:val="16"/>
          <w:color w:val="auto"/>
        </w:rPr>
        <w:t>Please see “Risk Factors” for additional risks associated with our substantial capital requirements.</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Contractual Obligations and Commitments</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License agreement with Pfizer</w:t>
      </w:r>
    </w:p>
    <w:p>
      <w:pPr>
        <w:spacing w:after="0" w:line="235" w:lineRule="exact"/>
        <w:rPr>
          <w:sz w:val="20"/>
          <w:szCs w:val="20"/>
          <w:color w:val="auto"/>
        </w:rPr>
      </w:pPr>
    </w:p>
    <w:p>
      <w:pPr>
        <w:ind w:firstLine="749"/>
        <w:spacing w:after="0" w:line="324" w:lineRule="auto"/>
        <w:rPr>
          <w:sz w:val="20"/>
          <w:szCs w:val="20"/>
          <w:color w:val="auto"/>
        </w:rPr>
      </w:pPr>
      <w:r>
        <w:rPr>
          <w:rFonts w:ascii="Arial" w:cs="Arial" w:eastAsia="Arial" w:hAnsi="Arial"/>
          <w:sz w:val="14"/>
          <w:szCs w:val="14"/>
          <w:color w:val="auto"/>
        </w:rPr>
        <w:t>In January 2020, we entered into a license agreement with Pfizer. Under the terms of our exclusive license agreement with Pfizer, Pfizer received 82,019 shares of our common stock having a stated value of $8.0 million, based on the average closing price of our common stock for the ten prior trading days of $97.54, in consideration for the license and rights. Pfizer also received an upfront cash payment of $3.0 million. We determined that the fair value of each share of common stock granted to Pfizer on the closing date of January 9, 2020 was $87.24, based on the closing price of our common stock on that date. As a result, the fair value of the stock issued was $7.2 million.</w:t>
      </w:r>
    </w:p>
    <w:p>
      <w:pPr>
        <w:spacing w:after="0" w:line="157" w:lineRule="exact"/>
        <w:rPr>
          <w:sz w:val="20"/>
          <w:szCs w:val="20"/>
          <w:color w:val="auto"/>
        </w:rPr>
      </w:pPr>
    </w:p>
    <w:p>
      <w:pPr>
        <w:ind w:right="40" w:firstLine="749"/>
        <w:spacing w:after="0" w:line="278" w:lineRule="auto"/>
        <w:rPr>
          <w:sz w:val="20"/>
          <w:szCs w:val="20"/>
          <w:color w:val="auto"/>
        </w:rPr>
      </w:pPr>
      <w:r>
        <w:rPr>
          <w:rFonts w:ascii="Arial" w:cs="Arial" w:eastAsia="Arial" w:hAnsi="Arial"/>
          <w:sz w:val="16"/>
          <w:szCs w:val="16"/>
          <w:color w:val="auto"/>
        </w:rPr>
        <w:t>Pfizer can also receive up to $323 million upon the achievement of certain regulatory and sales milestones, and tiered mid-single to low double-digit royalties on future sales of any such approved clinical products containing compounds reboxetine esreboxetine. Pfizer will also have a right of first negotiation on any potential future strategic transactions involving AXS-12 and AXS-14.</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License agreements with Antecip Bioventures</w:t>
      </w:r>
    </w:p>
    <w:p>
      <w:pPr>
        <w:spacing w:after="0" w:line="235" w:lineRule="exact"/>
        <w:rPr>
          <w:sz w:val="20"/>
          <w:szCs w:val="20"/>
          <w:color w:val="auto"/>
        </w:rPr>
      </w:pPr>
    </w:p>
    <w:p>
      <w:pPr>
        <w:jc w:val="both"/>
        <w:ind w:right="260" w:firstLine="749"/>
        <w:spacing w:after="0" w:line="305" w:lineRule="auto"/>
        <w:rPr>
          <w:sz w:val="20"/>
          <w:szCs w:val="20"/>
          <w:color w:val="auto"/>
        </w:rPr>
      </w:pPr>
      <w:r>
        <w:rPr>
          <w:rFonts w:ascii="Arial" w:cs="Arial" w:eastAsia="Arial" w:hAnsi="Arial"/>
          <w:sz w:val="15"/>
          <w:szCs w:val="15"/>
          <w:color w:val="auto"/>
        </w:rPr>
        <w:t>Under three exclusive license agreements with Antecip Bioventures II LLC, or Antecip, an entity owned by our Chief Executive Officer and Chairman of the Board, Herriot Tabuteau, M.D., we are obligated to make specified royalty payments ranging from 1.5% to 4.5%, subject to up to a 50% reduction depending on required payments to third parties, on net sales of our products containing the licensed technology of AXS-02, AXS-05, and AXS-04.</w:t>
      </w:r>
    </w:p>
    <w:p>
      <w:pPr>
        <w:spacing w:after="0" w:line="166" w:lineRule="exact"/>
        <w:rPr>
          <w:sz w:val="20"/>
          <w:szCs w:val="20"/>
          <w:color w:val="auto"/>
        </w:rPr>
      </w:pPr>
    </w:p>
    <w:p>
      <w:pPr>
        <w:ind w:right="100" w:firstLine="749"/>
        <w:spacing w:after="0" w:line="293" w:lineRule="auto"/>
        <w:rPr>
          <w:sz w:val="20"/>
          <w:szCs w:val="20"/>
          <w:color w:val="auto"/>
        </w:rPr>
      </w:pPr>
      <w:r>
        <w:rPr>
          <w:rFonts w:ascii="Arial" w:cs="Arial" w:eastAsia="Arial" w:hAnsi="Arial"/>
          <w:sz w:val="16"/>
          <w:szCs w:val="16"/>
          <w:color w:val="auto"/>
        </w:rPr>
        <w:t>In connection with the Loan Agreement (see below), Antecip consented to the collateral assignment of one of the license agreements, among other things, under a direct agreement with us and Hercules.</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May 2023 Fourth Amendment to the Loan and Security Agreement - Hercules</w:t>
      </w:r>
    </w:p>
    <w:p>
      <w:pPr>
        <w:spacing w:after="0" w:line="235" w:lineRule="exact"/>
        <w:rPr>
          <w:sz w:val="20"/>
          <w:szCs w:val="20"/>
          <w:color w:val="auto"/>
        </w:rPr>
      </w:pPr>
    </w:p>
    <w:p>
      <w:pPr>
        <w:ind w:right="160" w:firstLine="749"/>
        <w:spacing w:after="0" w:line="271" w:lineRule="auto"/>
        <w:rPr>
          <w:sz w:val="20"/>
          <w:szCs w:val="20"/>
          <w:color w:val="auto"/>
        </w:rPr>
      </w:pPr>
      <w:r>
        <w:rPr>
          <w:rFonts w:ascii="Arial" w:cs="Arial" w:eastAsia="Arial" w:hAnsi="Arial"/>
          <w:sz w:val="16"/>
          <w:szCs w:val="16"/>
          <w:color w:val="auto"/>
        </w:rPr>
        <w:t>On May 8, 2023, we entered into the Fourth Amendment with Hercules, in its capacity as administrative agent and collateral agent, and the other financial institutions or entities party thereto as lenders. The Fourth Amendment increased the amount of Cash (as defined in the Loan Agreement) that could be held by Axsome Malta Ltd., or the Malta Subsidiary, outside of the United States from $3.0 million to $15.0 million for a 45-day period after the closing of the Fourth Amendment and to $10.0 million thereafter. The Fourth Amendment also waived any purported default with respect to the amount of cash held by the Malta Subsidiary prior to the date of the Fourth Amendment.</w:t>
      </w:r>
    </w:p>
    <w:p>
      <w:pPr>
        <w:spacing w:after="0" w:line="190" w:lineRule="exact"/>
        <w:rPr>
          <w:sz w:val="20"/>
          <w:szCs w:val="20"/>
          <w:color w:val="auto"/>
        </w:rPr>
      </w:pPr>
    </w:p>
    <w:p>
      <w:pPr>
        <w:ind w:left="760"/>
        <w:spacing w:after="0"/>
        <w:rPr>
          <w:sz w:val="20"/>
          <w:szCs w:val="20"/>
          <w:color w:val="auto"/>
        </w:rPr>
      </w:pPr>
      <w:r>
        <w:rPr>
          <w:rFonts w:ascii="Arial" w:cs="Arial" w:eastAsia="Arial" w:hAnsi="Arial"/>
          <w:sz w:val="16"/>
          <w:szCs w:val="16"/>
          <w:color w:val="auto"/>
        </w:rPr>
        <w:t>A copy of the Fourth Amendment is included as Exhibit 10.1 to this filing.</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January 2023 Third Amendment to the Loan and Security Agreement – Hercules</w:t>
      </w:r>
    </w:p>
    <w:p>
      <w:pPr>
        <w:spacing w:after="0" w:line="235" w:lineRule="exact"/>
        <w:rPr>
          <w:sz w:val="20"/>
          <w:szCs w:val="20"/>
          <w:color w:val="auto"/>
        </w:rPr>
      </w:pPr>
    </w:p>
    <w:p>
      <w:pPr>
        <w:ind w:left="760"/>
        <w:spacing w:after="0"/>
        <w:rPr>
          <w:sz w:val="20"/>
          <w:szCs w:val="20"/>
          <w:color w:val="auto"/>
        </w:rPr>
      </w:pPr>
      <w:r>
        <w:rPr>
          <w:rFonts w:ascii="Arial" w:cs="Arial" w:eastAsia="Arial" w:hAnsi="Arial"/>
          <w:sz w:val="16"/>
          <w:szCs w:val="16"/>
          <w:color w:val="auto"/>
        </w:rPr>
        <w:t>On January 9, 2023, we entered into the Third Amendment.</w:t>
      </w:r>
    </w:p>
    <w:p>
      <w:pPr>
        <w:spacing w:after="0" w:line="235"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The Third Amendment amended the terms of the Loan Agreement to, among other things:</w:t>
      </w:r>
    </w:p>
    <w:p>
      <w:pPr>
        <w:spacing w:after="0" w:line="127" w:lineRule="exact"/>
        <w:rPr>
          <w:sz w:val="20"/>
          <w:szCs w:val="20"/>
          <w:color w:val="auto"/>
        </w:rPr>
      </w:pPr>
    </w:p>
    <w:p>
      <w:pPr>
        <w:ind w:left="1020" w:right="500" w:hanging="503"/>
        <w:spacing w:after="0" w:line="293" w:lineRule="auto"/>
        <w:tabs>
          <w:tab w:leader="none" w:pos="10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Extend the maturity date to January 1, 2028, unless the Company meets certain revenue targets as described in the Loan Agreement, in which case the Company can extend the maturity date to January 1, 2029;</w:t>
      </w:r>
    </w:p>
    <w:p>
      <w:pPr>
        <w:spacing w:after="0" w:line="63" w:lineRule="exact"/>
        <w:rPr>
          <w:rFonts w:ascii="Arial" w:cs="Arial" w:eastAsia="Arial" w:hAnsi="Arial"/>
          <w:sz w:val="16"/>
          <w:szCs w:val="16"/>
          <w:color w:val="auto"/>
        </w:rPr>
      </w:pPr>
    </w:p>
    <w:p>
      <w:pPr>
        <w:ind w:left="1020" w:hanging="503"/>
        <w:spacing w:after="0"/>
        <w:tabs>
          <w:tab w:leader="none" w:pos="10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Increase the aggregate principal amount under the Loan Agreement from $300.0 million to $350.0 million;</w:t>
      </w: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1" w:name="page42"/>
    <w:bookmarkEnd w:id="41"/>
    <w:p>
      <w:pPr>
        <w:spacing w:after="0"/>
        <w:rPr>
          <w:sz w:val="20"/>
          <w:szCs w:val="20"/>
          <w:color w:val="auto"/>
        </w:rPr>
      </w:pPr>
      <w:r>
        <w:rPr>
          <w:rFonts w:ascii="Arial" w:cs="Arial" w:eastAsia="Arial" w:hAnsi="Arial"/>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3025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30250" cy="8890"/>
                    </a:xfrm>
                    <a:prstGeom prst="rect">
                      <a:avLst/>
                    </a:prstGeom>
                    <a:noFill/>
                  </pic:spPr>
                </pic:pic>
              </a:graphicData>
            </a:graphic>
          </wp:anchor>
        </w:drawing>
      </w:r>
    </w:p>
    <w:p>
      <w:pPr>
        <w:spacing w:after="0" w:line="174" w:lineRule="exact"/>
        <w:rPr>
          <w:sz w:val="20"/>
          <w:szCs w:val="20"/>
          <w:color w:val="auto"/>
        </w:rPr>
      </w:pPr>
    </w:p>
    <w:p>
      <w:pPr>
        <w:ind w:left="1020" w:right="240" w:hanging="503"/>
        <w:spacing w:after="0" w:line="315" w:lineRule="auto"/>
        <w:tabs>
          <w:tab w:leader="none" w:pos="10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Subject to the terms and conditions in the Loan Agreement, change the Term Loan Advance amounts and dates available under the Tranche 1 Advance (as defined in the Loan Agreement) through Tranche 5 Advance (as defined in the Loan Agreement), including increasing the Tranche 1 Advance from one tranche of $95.0 million to five sub-tranches of $95.0 million, $55.0 million, $30.0 million, $35.0 million and $35.0 million, respectively, changing the Tranche 2 Advance (as defined in the Loan Agreement) from three sub-tranches of $35.0 million, $35.0 million and $30.0 million to one tranche of $25.0 million, changing the Tranche 3 Advance (as defined in the Loan Agreement) from two sub-tranches of $15.0 million and $5.0 million to one tranche of $75.0 million, and removing the Tranche 4 Advance (as defined in the Loan Agreement) and Tranche 5 Advance entirely;</w:t>
      </w:r>
    </w:p>
    <w:p>
      <w:pPr>
        <w:spacing w:after="0" w:line="55" w:lineRule="exact"/>
        <w:rPr>
          <w:rFonts w:ascii="Arial" w:cs="Arial" w:eastAsia="Arial" w:hAnsi="Arial"/>
          <w:sz w:val="14"/>
          <w:szCs w:val="14"/>
          <w:color w:val="auto"/>
        </w:rPr>
      </w:pPr>
    </w:p>
    <w:p>
      <w:pPr>
        <w:ind w:left="1020" w:hanging="503"/>
        <w:spacing w:after="0" w:line="328" w:lineRule="auto"/>
        <w:tabs>
          <w:tab w:leader="none" w:pos="1020" w:val="left"/>
        </w:tabs>
        <w:numPr>
          <w:ilvl w:val="0"/>
          <w:numId w:val="11"/>
        </w:numPr>
        <w:rPr>
          <w:rFonts w:ascii="Arial" w:cs="Arial" w:eastAsia="Arial" w:hAnsi="Arial"/>
          <w:sz w:val="15"/>
          <w:szCs w:val="15"/>
          <w:color w:val="auto"/>
        </w:rPr>
      </w:pPr>
      <w:r>
        <w:rPr>
          <w:rFonts w:ascii="Arial" w:cs="Arial" w:eastAsia="Arial" w:hAnsi="Arial"/>
          <w:sz w:val="15"/>
          <w:szCs w:val="15"/>
          <w:color w:val="auto"/>
        </w:rPr>
        <w:t>Revise the interest rate applicable to extensions of credit under the Loan Agreement to equal (a) if the prime rate is greater than or equal to 7.00%, the greater of either (i) the prime rate plus 2.20%, and (ii) 9.95%, but in no event greater than 10.70%, and (b) if the prime rate is less than 7.00%, 9.70%;</w:t>
      </w:r>
    </w:p>
    <w:p>
      <w:pPr>
        <w:spacing w:after="0" w:line="41" w:lineRule="exact"/>
        <w:rPr>
          <w:rFonts w:ascii="Arial" w:cs="Arial" w:eastAsia="Arial" w:hAnsi="Arial"/>
          <w:sz w:val="15"/>
          <w:szCs w:val="15"/>
          <w:color w:val="auto"/>
        </w:rPr>
      </w:pPr>
    </w:p>
    <w:p>
      <w:pPr>
        <w:ind w:left="1020" w:hanging="503"/>
        <w:spacing w:after="0"/>
        <w:tabs>
          <w:tab w:leader="none" w:pos="10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Increase the minimum cash requirement of the Company to $30.0 million; and</w:t>
      </w:r>
    </w:p>
    <w:p>
      <w:pPr>
        <w:spacing w:after="0" w:line="126" w:lineRule="exact"/>
        <w:rPr>
          <w:rFonts w:ascii="Arial" w:cs="Arial" w:eastAsia="Arial" w:hAnsi="Arial"/>
          <w:sz w:val="16"/>
          <w:szCs w:val="16"/>
          <w:color w:val="auto"/>
        </w:rPr>
      </w:pPr>
    </w:p>
    <w:p>
      <w:pPr>
        <w:ind w:left="1020" w:right="80" w:hanging="503"/>
        <w:spacing w:after="0" w:line="278" w:lineRule="auto"/>
        <w:tabs>
          <w:tab w:leader="none" w:pos="10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Require the Company to pay a facility fee equal to 0.75% of the amount of principal actually funded pursuant to the Tranche 1B Advance (as defined in the Loan Agreement), Tranche 1C Advance (as defined in the Loan Agreement), Tranche 1D Advance (as defined in the Loan Agreement), Tranche 1E Advance (as defined in the Loan Agreement), Tranche 2 Advance and Tranche 3 Advance.</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Royalty Agreements</w:t>
      </w:r>
    </w:p>
    <w:p>
      <w:pPr>
        <w:spacing w:after="0" w:line="127" w:lineRule="exact"/>
        <w:rPr>
          <w:sz w:val="20"/>
          <w:szCs w:val="20"/>
          <w:color w:val="auto"/>
        </w:rPr>
      </w:pPr>
    </w:p>
    <w:p>
      <w:pPr>
        <w:ind w:right="140" w:firstLine="749"/>
        <w:spacing w:after="0" w:line="273" w:lineRule="auto"/>
        <w:rPr>
          <w:sz w:val="20"/>
          <w:szCs w:val="20"/>
          <w:color w:val="auto"/>
        </w:rPr>
      </w:pPr>
      <w:r>
        <w:rPr>
          <w:rFonts w:ascii="Arial" w:cs="Arial" w:eastAsia="Arial" w:hAnsi="Arial"/>
          <w:sz w:val="16"/>
          <w:szCs w:val="16"/>
          <w:color w:val="auto"/>
        </w:rPr>
        <w:t>Pursuant to the Asset Purchase Agreement, dated as of March 25, 2022, or the Purchase Agreement, we agreed to make non-refundable, non-creditable royalty payments to Jazz equal to a (A) high-single digit royalty for any Current Indication or (B) mid-single digit royalty for any Future Indication, of Net Sales in the U.S. Territory made during the applicable Royalty Term (in each case, as those terms are defined in the Purchase Agreement). There are no royalty payments due to Jazz for Net Sales outside of the U.S. Territory.</w:t>
      </w:r>
    </w:p>
    <w:p>
      <w:pPr>
        <w:spacing w:after="0" w:line="189" w:lineRule="exact"/>
        <w:rPr>
          <w:sz w:val="20"/>
          <w:szCs w:val="20"/>
          <w:color w:val="auto"/>
        </w:rPr>
      </w:pPr>
    </w:p>
    <w:p>
      <w:pPr>
        <w:ind w:right="120" w:firstLine="749"/>
        <w:spacing w:after="0" w:line="273" w:lineRule="auto"/>
        <w:rPr>
          <w:sz w:val="20"/>
          <w:szCs w:val="20"/>
          <w:color w:val="auto"/>
        </w:rPr>
      </w:pPr>
      <w:r>
        <w:rPr>
          <w:rFonts w:ascii="Arial" w:cs="Arial" w:eastAsia="Arial" w:hAnsi="Arial"/>
          <w:sz w:val="16"/>
          <w:szCs w:val="16"/>
          <w:color w:val="auto"/>
        </w:rPr>
        <w:t>At the initial closing, we assumed all of the commitments of Jazz to SK Biopharmaceuticals Co. Ltd., or SK and Aerial Biopharma, LLC, or Aerial. SK is the originator of Sunosi and retains rights in 12 Asian markets, including China, Korea, and Japan. In 2014, Jazz acquired from Aerial worldwide rights to Sunosi excluding those Asian markets stated previously. The assumed commitments to SK and Aerial include single-digit tiered royalties based on our sales of Sunosi, and we are committed to pay up to $165.0 million based on revenue milestones and $1.0 million based on development milestones.</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2" w:name="page43"/>
    <w:bookmarkEnd w:id="42"/>
    <w:p>
      <w:pPr>
        <w:spacing w:after="0"/>
        <w:rPr>
          <w:sz w:val="20"/>
          <w:szCs w:val="20"/>
          <w:color w:val="auto"/>
        </w:rPr>
      </w:pPr>
      <w:r>
        <w:rPr>
          <w:rFonts w:ascii="Arial" w:cs="Arial" w:eastAsia="Arial" w:hAnsi="Arial"/>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3025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30250" cy="889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World Trade Center Lease</w:t>
      </w:r>
    </w:p>
    <w:p>
      <w:pPr>
        <w:spacing w:after="0" w:line="127" w:lineRule="exact"/>
        <w:rPr>
          <w:sz w:val="20"/>
          <w:szCs w:val="20"/>
          <w:color w:val="auto"/>
        </w:rPr>
      </w:pPr>
    </w:p>
    <w:p>
      <w:pPr>
        <w:ind w:right="20" w:firstLine="789"/>
        <w:spacing w:after="0" w:line="293" w:lineRule="auto"/>
        <w:rPr>
          <w:sz w:val="20"/>
          <w:szCs w:val="20"/>
          <w:color w:val="auto"/>
        </w:rPr>
      </w:pPr>
      <w:r>
        <w:rPr>
          <w:rFonts w:ascii="Arial" w:cs="Arial" w:eastAsia="Arial" w:hAnsi="Arial"/>
          <w:sz w:val="15"/>
          <w:szCs w:val="15"/>
          <w:color w:val="auto"/>
        </w:rPr>
        <w:t>On February 21, 2023, we entered into a Sublease with Advance Magazine Publishers d/b/a Conde Nast for the entirety of the twenty-second floor of One Word Trade Center in New York, NY, or the Sublease. This space is utilized by the Company for its corporate and executive offices. The Sublease commenced on April 7, 2023 and will run for ten (10) years. The Company has a one-time option to terminate the Sublease on its fifth anniversary upon the payment of a fee to the sublandlord. The Company is responsible for base rent under the Sublease and certain additional customary variable costs such as an allocable portion of building taxes and operating expenses. In connection with the Sublease, the Company received certain rent and work concessions from the sublandlord.</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Employees and Human Capital Management</w:t>
      </w:r>
    </w:p>
    <w:p>
      <w:pPr>
        <w:spacing w:after="0" w:line="239" w:lineRule="exact"/>
        <w:rPr>
          <w:sz w:val="20"/>
          <w:szCs w:val="20"/>
          <w:color w:val="auto"/>
        </w:rPr>
      </w:pPr>
    </w:p>
    <w:p>
      <w:pPr>
        <w:ind w:firstLine="749"/>
        <w:spacing w:after="0" w:line="203" w:lineRule="exact"/>
        <w:rPr>
          <w:sz w:val="20"/>
          <w:szCs w:val="20"/>
          <w:color w:val="auto"/>
        </w:rPr>
      </w:pPr>
      <w:r>
        <w:rPr>
          <w:rFonts w:ascii="Arial" w:cs="Arial" w:eastAsia="Arial" w:hAnsi="Arial"/>
          <w:sz w:val="15"/>
          <w:szCs w:val="15"/>
          <w:color w:val="auto"/>
        </w:rPr>
        <w:t>As of July 31, 2023, we had 422 full</w:t>
      </w:r>
      <w:r>
        <w:rPr>
          <w:rFonts w:ascii="MS PGothic" w:cs="MS PGothic" w:eastAsia="MS PGothic" w:hAnsi="MS PGothic"/>
          <w:sz w:val="15"/>
          <w:szCs w:val="15"/>
          <w:color w:val="auto"/>
        </w:rPr>
        <w:t>‑</w:t>
      </w:r>
      <w:r>
        <w:rPr>
          <w:rFonts w:ascii="Arial" w:cs="Arial" w:eastAsia="Arial" w:hAnsi="Arial"/>
          <w:sz w:val="15"/>
          <w:szCs w:val="15"/>
          <w:color w:val="auto"/>
        </w:rPr>
        <w:t>time employees. None of our employees are represented by a collective bargaining agreement and we have never experienced any work stoppage. We believe that we maintain good relations with our employees. Our employees are highly skilled, and many hold advanced degrees. Many of our employees have experience with drug commercialization or development. Our future performance depends significantly upon the continued service of our key scientific, technical and senior management personnel and our continued ability to attract and retain highly skilled employees. We provide our employees with competitive salaries and bonuses, opportunities for equity ownership, development programs that enable continued learning and growth and a robust employment package that promotes well-being across all aspects of their lives. In addition to salaries, these programs include potential annual discretionary bonuses, stock awards, healthcare and insurance benefits, health savings and flexible spending accounts, paid time off, family leave, and flexible work schedules, among other benefits. We took proactive steps throughout the COVID-19 pandemic to protect the health and safety of our employees. We expect to continue to implement these measures until we determine that the COVID-19 pandemic is adequately contained for purposes of our business. We may take further actions, in compliance with all appropriate government regulations, that we determine to be in the best interest of our employees.</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Off-Balance Sheet Arrangements</w:t>
      </w:r>
    </w:p>
    <w:p>
      <w:pPr>
        <w:spacing w:after="0" w:line="239" w:lineRule="exact"/>
        <w:rPr>
          <w:sz w:val="20"/>
          <w:szCs w:val="20"/>
          <w:color w:val="auto"/>
        </w:rPr>
      </w:pPr>
    </w:p>
    <w:p>
      <w:pPr>
        <w:ind w:left="760"/>
        <w:spacing w:after="0"/>
        <w:rPr>
          <w:sz w:val="20"/>
          <w:szCs w:val="20"/>
          <w:color w:val="auto"/>
        </w:rPr>
      </w:pPr>
      <w:r>
        <w:rPr>
          <w:rFonts w:ascii="Arial" w:cs="Arial" w:eastAsia="Arial" w:hAnsi="Arial"/>
          <w:sz w:val="15"/>
          <w:szCs w:val="15"/>
          <w:color w:val="auto"/>
        </w:rPr>
        <w:t>We did not have during the periods presented, and we do not currently have, any off-balance sheet arrangements, as defined by applicable SEC regulations.</w:t>
      </w: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 Accounting Pronouncements</w:t>
      </w:r>
    </w:p>
    <w:p>
      <w:pPr>
        <w:spacing w:after="0" w:line="239" w:lineRule="exact"/>
        <w:rPr>
          <w:sz w:val="20"/>
          <w:szCs w:val="20"/>
          <w:color w:val="auto"/>
        </w:rPr>
      </w:pPr>
    </w:p>
    <w:p>
      <w:pPr>
        <w:ind w:right="540" w:firstLine="749"/>
        <w:spacing w:after="0" w:line="293" w:lineRule="auto"/>
        <w:rPr>
          <w:sz w:val="20"/>
          <w:szCs w:val="20"/>
          <w:color w:val="auto"/>
        </w:rPr>
      </w:pPr>
      <w:r>
        <w:rPr>
          <w:rFonts w:ascii="Arial" w:cs="Arial" w:eastAsia="Arial" w:hAnsi="Arial"/>
          <w:sz w:val="16"/>
          <w:szCs w:val="16"/>
          <w:color w:val="auto"/>
        </w:rPr>
        <w:t>Refer to Note 2 – Summary of Significant Accounting Policies to our consolidated financial statements included in Part I, Financial Information, Item 1, Financial Statements, of this Quarterly Report on Form 10-Q for a discussion of recently issued accounting pronouncements.</w:t>
      </w:r>
    </w:p>
    <w:p>
      <w:pPr>
        <w:spacing w:after="0" w:line="1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0" w:right="399" w:bottom="1440" w:gutter="0" w:footer="0" w:header="0"/>
        </w:sectPr>
      </w:pPr>
    </w:p>
    <w:bookmarkStart w:id="43" w:name="page44"/>
    <w:bookmarkEnd w:id="43"/>
    <w:p>
      <w:pPr>
        <w:spacing w:after="0"/>
        <w:rPr>
          <w:sz w:val="20"/>
          <w:szCs w:val="20"/>
          <w:color w:val="auto"/>
        </w:rPr>
      </w:pPr>
      <w:r>
        <w:rPr>
          <w:rFonts w:ascii="Arial" w:cs="Arial" w:eastAsia="Arial" w:hAnsi="Arial"/>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3025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30250" cy="8890"/>
                    </a:xfrm>
                    <a:prstGeom prst="rect">
                      <a:avLst/>
                    </a:prstGeom>
                    <a:noFill/>
                  </pic:spPr>
                </pic:pic>
              </a:graphicData>
            </a:graphic>
          </wp:anchor>
        </w:drawing>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3. QUANTITATIVE AND QUALITATIVE DISCLOSURE ABOUT MARKET RISK</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Interest Rate Risk</w:t>
      </w:r>
    </w:p>
    <w:p>
      <w:pPr>
        <w:spacing w:after="0" w:line="235" w:lineRule="exact"/>
        <w:rPr>
          <w:sz w:val="20"/>
          <w:szCs w:val="20"/>
          <w:color w:val="auto"/>
        </w:rPr>
      </w:pPr>
    </w:p>
    <w:p>
      <w:pPr>
        <w:ind w:right="60" w:firstLine="749"/>
        <w:spacing w:after="0" w:line="269" w:lineRule="auto"/>
        <w:rPr>
          <w:sz w:val="20"/>
          <w:szCs w:val="20"/>
          <w:color w:val="auto"/>
        </w:rPr>
      </w:pPr>
      <w:r>
        <w:rPr>
          <w:rFonts w:ascii="Arial" w:cs="Arial" w:eastAsia="Arial" w:hAnsi="Arial"/>
          <w:sz w:val="16"/>
          <w:szCs w:val="16"/>
          <w:color w:val="auto"/>
        </w:rPr>
        <w:t>We are exposed to market risks in the ordinary course of our business and from changes in the interest rate on our debt borrowings. These market risks are principally limited to interest rate fluctuations. We had cash of $437.1 million and $200.8 million as of June 30, 2023 and December 31, 2022, respectively. The primary objective of our investment activities is to preserve principal and liquidity while maximizing income without significantly increasing risk. We do not enter into investments for trading or speculative purposes. Due to the short-term nature of our investment portfolio and debt agreement, we do not believe an immediate 100 basis point increase in interest rates would have a material effect on the fair market value of our portfolio, and, accordingly, we do not expect our operating results or cash flows to be materially affected by a sudden change in market interest rates.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Foreign Currency Exchange Risk</w:t>
      </w:r>
    </w:p>
    <w:p>
      <w:pPr>
        <w:spacing w:after="0" w:line="235" w:lineRule="exact"/>
        <w:rPr>
          <w:sz w:val="20"/>
          <w:szCs w:val="20"/>
          <w:color w:val="auto"/>
        </w:rPr>
      </w:pPr>
    </w:p>
    <w:p>
      <w:pPr>
        <w:ind w:right="80" w:firstLine="749"/>
        <w:spacing w:after="0" w:line="335" w:lineRule="auto"/>
        <w:rPr>
          <w:sz w:val="20"/>
          <w:szCs w:val="20"/>
          <w:color w:val="auto"/>
        </w:rPr>
      </w:pPr>
      <w:r>
        <w:rPr>
          <w:rFonts w:ascii="Arial" w:cs="Arial" w:eastAsia="Arial" w:hAnsi="Arial"/>
          <w:sz w:val="14"/>
          <w:szCs w:val="14"/>
          <w:color w:val="auto"/>
        </w:rPr>
        <w:t>We contract with vendors and third-party manufactures located in Europe and certain invoices are denominated in foreign currencies. We are therefore subject to fluctuations in foreign currency rates in connection with these agreements, and recognize foreign exchange gains or losses in our statement of operations. We have not historically hedged our foreign currency exchange rate risk. To date, we have not incurred any material effects from foreign currency changes on these contracts.</w:t>
      </w:r>
    </w:p>
    <w:p>
      <w:pPr>
        <w:spacing w:after="0" w:line="149" w:lineRule="exact"/>
        <w:rPr>
          <w:sz w:val="20"/>
          <w:szCs w:val="20"/>
          <w:color w:val="auto"/>
        </w:rPr>
      </w:pPr>
    </w:p>
    <w:p>
      <w:pPr>
        <w:ind w:left="760"/>
        <w:spacing w:after="0"/>
        <w:rPr>
          <w:sz w:val="20"/>
          <w:szCs w:val="20"/>
          <w:color w:val="auto"/>
        </w:rPr>
      </w:pPr>
      <w:r>
        <w:rPr>
          <w:rFonts w:ascii="Arial" w:cs="Arial" w:eastAsia="Arial" w:hAnsi="Arial"/>
          <w:sz w:val="15"/>
          <w:szCs w:val="15"/>
          <w:color w:val="auto"/>
        </w:rPr>
        <w:t>We do not believe a 10% change in these currencies on June 30, 2023 would have had a material effect on our results of operations or financial condition.</w:t>
      </w: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Inflation Risk</w:t>
      </w:r>
    </w:p>
    <w:p>
      <w:pPr>
        <w:spacing w:after="0" w:line="235" w:lineRule="exact"/>
        <w:rPr>
          <w:sz w:val="20"/>
          <w:szCs w:val="20"/>
          <w:color w:val="auto"/>
        </w:rPr>
      </w:pPr>
    </w:p>
    <w:p>
      <w:pPr>
        <w:ind w:right="200" w:firstLine="749"/>
        <w:spacing w:after="0" w:line="293" w:lineRule="auto"/>
        <w:rPr>
          <w:sz w:val="20"/>
          <w:szCs w:val="20"/>
          <w:color w:val="auto"/>
        </w:rPr>
      </w:pPr>
      <w:r>
        <w:rPr>
          <w:rFonts w:ascii="Arial" w:cs="Arial" w:eastAsia="Arial" w:hAnsi="Arial"/>
          <w:sz w:val="16"/>
          <w:szCs w:val="16"/>
          <w:color w:val="auto"/>
        </w:rPr>
        <w:t>Inflation generally affects us by increasing our cost of labor and pricing of contracts. We do not believe that inflation has had a material effect on our business, financial condition, or results of operations during the six months ended June 30, 2023.</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4. CONTROLS AND PROCEDURES</w:t>
      </w:r>
    </w:p>
    <w:p>
      <w:pPr>
        <w:spacing w:after="0" w:line="239" w:lineRule="exact"/>
        <w:rPr>
          <w:sz w:val="20"/>
          <w:szCs w:val="20"/>
          <w:color w:val="auto"/>
        </w:rPr>
      </w:pPr>
    </w:p>
    <w:p>
      <w:pPr>
        <w:ind w:firstLine="749"/>
        <w:spacing w:after="0" w:line="289" w:lineRule="auto"/>
        <w:rPr>
          <w:sz w:val="20"/>
          <w:szCs w:val="20"/>
          <w:color w:val="auto"/>
        </w:rPr>
      </w:pPr>
      <w:r>
        <w:rPr>
          <w:rFonts w:ascii="Arial" w:cs="Arial" w:eastAsia="Arial" w:hAnsi="Arial"/>
          <w:sz w:val="15"/>
          <w:szCs w:val="15"/>
          <w:i w:val="1"/>
          <w:iCs w:val="1"/>
          <w:color w:val="auto"/>
        </w:rPr>
        <w:t xml:space="preserve">Disclosure Controls and Procedures. </w:t>
      </w:r>
      <w:r>
        <w:rPr>
          <w:rFonts w:ascii="Arial" w:cs="Arial" w:eastAsia="Arial" w:hAnsi="Arial"/>
          <w:sz w:val="15"/>
          <w:szCs w:val="15"/>
          <w:color w:val="auto"/>
        </w:rPr>
        <w:t>Our management, with the participation of our principal executive officer and our principal financial officer, evaluated, as</w:t>
      </w:r>
      <w:r>
        <w:rPr>
          <w:rFonts w:ascii="Arial" w:cs="Arial" w:eastAsia="Arial" w:hAnsi="Arial"/>
          <w:sz w:val="15"/>
          <w:szCs w:val="15"/>
          <w:i w:val="1"/>
          <w:iCs w:val="1"/>
          <w:color w:val="auto"/>
        </w:rPr>
        <w:t xml:space="preserve"> </w:t>
      </w:r>
      <w:r>
        <w:rPr>
          <w:rFonts w:ascii="Arial" w:cs="Arial" w:eastAsia="Arial" w:hAnsi="Arial"/>
          <w:sz w:val="15"/>
          <w:szCs w:val="15"/>
          <w:color w:val="auto"/>
        </w:rPr>
        <w:t>of the end of the period covered by this Quarterly Report on Form 10-Q, the effectiveness of our disclosure controls and procedures. Based on that evaluation, our principal executive officer and principal financial officer concluded that our disclosure controls and procedures, as of such date, were effective in ensuring that information required to be disclosed by us in the reports that we file or submit under the Securities Exchange Act of 1934, as amended, or the Exchange Act, is recorded, processed, summarized and reported within the time periods specified in the SEC’s rules and forms. Disclosure controls and procedures include, without limitation, controls and procedures designed to ensure that information required to be disclosed by us in the reports we file or submit under the Exchange Act is accumulated and communicated to our management, including our principal executive officer and principal financial officer, as appropriate to allow timely decisions regarding required disclosure.</w:t>
      </w:r>
    </w:p>
    <w:p>
      <w:pPr>
        <w:spacing w:after="0" w:line="180" w:lineRule="exact"/>
        <w:rPr>
          <w:sz w:val="20"/>
          <w:szCs w:val="20"/>
          <w:color w:val="auto"/>
        </w:rPr>
      </w:pPr>
    </w:p>
    <w:p>
      <w:pPr>
        <w:ind w:right="240" w:firstLine="749"/>
        <w:spacing w:after="0" w:line="293" w:lineRule="auto"/>
        <w:rPr>
          <w:sz w:val="20"/>
          <w:szCs w:val="20"/>
          <w:color w:val="auto"/>
        </w:rPr>
      </w:pPr>
      <w:r>
        <w:rPr>
          <w:rFonts w:ascii="Arial" w:cs="Arial" w:eastAsia="Arial" w:hAnsi="Arial"/>
          <w:sz w:val="16"/>
          <w:szCs w:val="16"/>
          <w:i w:val="1"/>
          <w:iCs w:val="1"/>
          <w:color w:val="auto"/>
        </w:rPr>
        <w:t xml:space="preserve">Changes in Internal Control over Financial Reporting. </w:t>
      </w:r>
      <w:r>
        <w:rPr>
          <w:rFonts w:ascii="Arial" w:cs="Arial" w:eastAsia="Arial" w:hAnsi="Arial"/>
          <w:sz w:val="16"/>
          <w:szCs w:val="16"/>
          <w:color w:val="auto"/>
        </w:rPr>
        <w:t>During the quarter ended June 30, 2023, there have been no changes in internal controls over financial</w:t>
      </w:r>
      <w:r>
        <w:rPr>
          <w:rFonts w:ascii="Arial" w:cs="Arial" w:eastAsia="Arial" w:hAnsi="Arial"/>
          <w:sz w:val="16"/>
          <w:szCs w:val="16"/>
          <w:i w:val="1"/>
          <w:iCs w:val="1"/>
          <w:color w:val="auto"/>
        </w:rPr>
        <w:t xml:space="preserve"> </w:t>
      </w:r>
      <w:r>
        <w:rPr>
          <w:rFonts w:ascii="Arial" w:cs="Arial" w:eastAsia="Arial" w:hAnsi="Arial"/>
          <w:sz w:val="16"/>
          <w:szCs w:val="16"/>
          <w:color w:val="auto"/>
        </w:rPr>
        <w:t>reporting that have materially affected, or are reasonably likely to materially affect, our internal control over financial reporting.</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4" w:name="page45"/>
    <w:bookmarkEnd w:id="44"/>
    <w:p>
      <w:pPr>
        <w:spacing w:after="0"/>
        <w:rPr>
          <w:sz w:val="20"/>
          <w:szCs w:val="20"/>
          <w:color w:val="auto"/>
        </w:rPr>
      </w:pPr>
      <w:r>
        <w:rPr>
          <w:rFonts w:ascii="Arial" w:cs="Arial" w:eastAsia="Arial" w:hAnsi="Arial"/>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3025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30250" cy="8890"/>
                    </a:xfrm>
                    <a:prstGeom prst="rect">
                      <a:avLst/>
                    </a:prstGeom>
                    <a:noFill/>
                  </pic:spPr>
                </pic:pic>
              </a:graphicData>
            </a:graphic>
          </wp:anchor>
        </w:drawing>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PART II. OTHER INFORMATION</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 LEGAL PROCEEDINGS.</w:t>
      </w:r>
    </w:p>
    <w:p>
      <w:pPr>
        <w:spacing w:after="0" w:line="239" w:lineRule="exact"/>
        <w:rPr>
          <w:sz w:val="20"/>
          <w:szCs w:val="20"/>
          <w:color w:val="auto"/>
        </w:rPr>
      </w:pPr>
    </w:p>
    <w:p>
      <w:pPr>
        <w:ind w:right="400" w:firstLine="749"/>
        <w:spacing w:after="0" w:line="293" w:lineRule="auto"/>
        <w:rPr>
          <w:sz w:val="20"/>
          <w:szCs w:val="20"/>
          <w:color w:val="auto"/>
        </w:rPr>
      </w:pPr>
      <w:r>
        <w:rPr>
          <w:rFonts w:ascii="Arial" w:cs="Arial" w:eastAsia="Arial" w:hAnsi="Arial"/>
          <w:sz w:val="16"/>
          <w:szCs w:val="16"/>
          <w:color w:val="auto"/>
        </w:rPr>
        <w:t>Except as described herein, we, and our subsidiaries, are currently not a party to, and our property is not currently the subject of, any material pending legal proceedings; however, we may also become involved in various claims and legal actions arising in the ordinary course of business.</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Securities Class Action</w:t>
      </w:r>
    </w:p>
    <w:p>
      <w:pPr>
        <w:spacing w:after="0" w:line="235" w:lineRule="exact"/>
        <w:rPr>
          <w:sz w:val="20"/>
          <w:szCs w:val="20"/>
          <w:color w:val="auto"/>
        </w:rPr>
      </w:pPr>
    </w:p>
    <w:p>
      <w:pPr>
        <w:jc w:val="both"/>
        <w:ind w:right="40" w:firstLine="749"/>
        <w:spacing w:after="0" w:line="302" w:lineRule="auto"/>
        <w:rPr>
          <w:sz w:val="20"/>
          <w:szCs w:val="20"/>
          <w:color w:val="auto"/>
        </w:rPr>
      </w:pPr>
      <w:r>
        <w:rPr>
          <w:rFonts w:ascii="Arial" w:cs="Arial" w:eastAsia="Arial" w:hAnsi="Arial"/>
          <w:sz w:val="14"/>
          <w:szCs w:val="14"/>
          <w:color w:val="auto"/>
        </w:rPr>
        <w:t>On May 13, 2022, Evy Gru filed a putative class action complaint captioned Gru v. Axsome Therapeutics, Inc., et. al. in the U.S. District Court for the Southern District of New York against the Company and certain of its current and former officers and one director, or the Securities Class Action. The complaint asserts claims under Sections 10(b) and 20(a) of the Securities Exchange Act of 1934, as amended, and Rule 10b-5 promulgated thereunder, and alleges, among other things, that the defendants made false statements and omissions concerning the Company’s Chemistry Manufacturing and Controls practices, and its New Drug Application with the FDA, with respect to one of its product candidates, AXS-07. The named plaintiff seeks unspecified damages, fees, interest, and costs. On August 11, 2022, the District Court appointed co-lead plaintiffs in the Gru action. On October 7, 2022, the Gru plaintiffs filed an amended complaint, which contains substantially similar allegations as in the initial complaint.</w:t>
      </w:r>
    </w:p>
    <w:p>
      <w:pPr>
        <w:spacing w:after="0" w:line="3" w:lineRule="exact"/>
        <w:rPr>
          <w:sz w:val="20"/>
          <w:szCs w:val="20"/>
          <w:color w:val="auto"/>
        </w:rPr>
      </w:pPr>
    </w:p>
    <w:p>
      <w:pPr>
        <w:ind w:right="460"/>
        <w:spacing w:after="0" w:line="288" w:lineRule="auto"/>
        <w:rPr>
          <w:sz w:val="20"/>
          <w:szCs w:val="20"/>
          <w:color w:val="auto"/>
        </w:rPr>
      </w:pPr>
      <w:r>
        <w:rPr>
          <w:rFonts w:ascii="Arial" w:cs="Arial" w:eastAsia="Arial" w:hAnsi="Arial"/>
          <w:sz w:val="16"/>
          <w:szCs w:val="16"/>
          <w:color w:val="auto"/>
        </w:rPr>
        <w:t>Defendants filed their motion to dismiss the amended complaint on December 16, 2022, which motion remains pending before the court. One of the co-lead plaintiffs, Santoshanand Thakkar, withdrew from the case on January 18, 2023.</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Shareholder Derivative Action</w:t>
      </w:r>
    </w:p>
    <w:p>
      <w:pPr>
        <w:spacing w:after="0" w:line="235" w:lineRule="exact"/>
        <w:rPr>
          <w:sz w:val="20"/>
          <w:szCs w:val="20"/>
          <w:color w:val="auto"/>
        </w:rPr>
      </w:pPr>
    </w:p>
    <w:p>
      <w:pPr>
        <w:ind w:right="20" w:firstLine="749"/>
        <w:spacing w:after="0" w:line="289" w:lineRule="auto"/>
        <w:rPr>
          <w:sz w:val="20"/>
          <w:szCs w:val="20"/>
          <w:color w:val="auto"/>
        </w:rPr>
      </w:pPr>
      <w:r>
        <w:rPr>
          <w:rFonts w:ascii="Arial" w:cs="Arial" w:eastAsia="Arial" w:hAnsi="Arial"/>
          <w:sz w:val="15"/>
          <w:szCs w:val="15"/>
          <w:color w:val="auto"/>
        </w:rPr>
        <w:t>On July 21, 2022, Daniel Engel filed a stockholder derivative complaint captioned Engel v. Herriot Tabuteau, et. al. in the U.S. District Court for the Southern District of New York against the Company’s current directors, certain of the Company’s current and former officers, and the Company (as nominal defendant). On January 27, 2023, Kyle Guterba filed a stockholder derivative complaint captioned Guterba v. Tabuteau, et al. in the U.S. District Court for the Southern District of New York against the Company’s current directors, certain of the Company’s current and former officers, and the Company (as nominal defendant). The derivative complaints arise out of similar allegations as those made in the Securities Class Action. The plaintiffs assert claims for breach of fiduciary duties against all of the defendants and for contribution for violations of Section 10(b) and 21D of the Exchange Act. The plaintiffs seek unspecified damages, fees, interest, and costs, as well as corporate governance changes. The Engel and Guterba matters were consolidated on February 28, 2023 and are currently stayed pending further proceedings in the Gru matter.</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Auvelity Paragraph IV Litigation</w:t>
      </w:r>
    </w:p>
    <w:p>
      <w:pPr>
        <w:spacing w:after="0" w:line="235" w:lineRule="exact"/>
        <w:rPr>
          <w:sz w:val="20"/>
          <w:szCs w:val="20"/>
          <w:color w:val="auto"/>
        </w:rPr>
      </w:pPr>
    </w:p>
    <w:p>
      <w:pPr>
        <w:ind w:firstLine="749"/>
        <w:spacing w:after="0" w:line="278" w:lineRule="auto"/>
        <w:rPr>
          <w:sz w:val="20"/>
          <w:szCs w:val="20"/>
          <w:color w:val="auto"/>
        </w:rPr>
      </w:pPr>
      <w:r>
        <w:rPr>
          <w:rFonts w:ascii="Arial" w:cs="Arial" w:eastAsia="Arial" w:hAnsi="Arial"/>
          <w:sz w:val="16"/>
          <w:szCs w:val="16"/>
          <w:color w:val="auto"/>
        </w:rPr>
        <w:t>On March 24, 2023, we commenced a patent infringement action against Teva relating to Teva's Abbreviated New Drug Application for Auvelity. This action is captioned Axsome Therapeutics, Inc. and Antecip Bioventures II LLC v. Teva Pharmaceuticals, Inc. No. 2:23-CV-01695 in the United States District Court for the District of New Jersey. This action is currently pending.</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1A. RISK FACTORS.</w:t>
      </w:r>
    </w:p>
    <w:p>
      <w:pPr>
        <w:spacing w:after="0" w:line="239" w:lineRule="exact"/>
        <w:rPr>
          <w:sz w:val="20"/>
          <w:szCs w:val="20"/>
          <w:color w:val="auto"/>
        </w:rPr>
      </w:pPr>
    </w:p>
    <w:p>
      <w:pPr>
        <w:ind w:right="80"/>
        <w:spacing w:after="0" w:line="271" w:lineRule="auto"/>
        <w:rPr>
          <w:sz w:val="20"/>
          <w:szCs w:val="20"/>
          <w:color w:val="auto"/>
        </w:rPr>
      </w:pPr>
      <w:r>
        <w:rPr>
          <w:rFonts w:ascii="Arial" w:cs="Arial" w:eastAsia="Arial" w:hAnsi="Arial"/>
          <w:sz w:val="16"/>
          <w:szCs w:val="16"/>
          <w:i w:val="1"/>
          <w:iCs w:val="1"/>
          <w:color w:val="auto"/>
        </w:rPr>
        <w:t>The Company is subject to a number of risks that if realized could materially adversely affect its business, results of operations, cash flow, financial condition or prospects. The following is a summary of the principal risk factors facing the Company. The list below is not exhaustive, and the Company faces additional challenges and risks. We have restated and revised our risk factors for material updates for this quarter, where appropriate, from those included in our Annual Report on Form 10-K dated February 27, 2023 and filed with the SEC on February 28, 2023. Investors should carefully consider all of the information set forth in this Quarterly Report on Form 10-Q, including the following risk factors, before deciding to invest in any of the Company’s securities.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5" w:name="page46"/>
    <w:bookmarkEnd w:id="45"/>
    <w:p>
      <w:pPr>
        <w:spacing w:after="0"/>
        <w:rPr>
          <w:sz w:val="20"/>
          <w:szCs w:val="20"/>
          <w:color w:val="auto"/>
        </w:rPr>
      </w:pPr>
      <w:r>
        <w:rPr>
          <w:rFonts w:ascii="Arial" w:cs="Arial" w:eastAsia="Arial" w:hAnsi="Arial"/>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3025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30250" cy="8890"/>
                    </a:xfrm>
                    <a:prstGeom prst="rect">
                      <a:avLst/>
                    </a:prstGeom>
                    <a:noFill/>
                  </pic:spPr>
                </pic:pic>
              </a:graphicData>
            </a:graphic>
          </wp:anchor>
        </w:drawing>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 Factors Summary</w:t>
      </w:r>
    </w:p>
    <w:p>
      <w:pPr>
        <w:spacing w:after="0" w:line="131" w:lineRule="exact"/>
        <w:rPr>
          <w:sz w:val="20"/>
          <w:szCs w:val="20"/>
          <w:color w:val="auto"/>
        </w:rPr>
      </w:pPr>
    </w:p>
    <w:p>
      <w:pPr>
        <w:ind w:left="760"/>
        <w:spacing w:after="0"/>
        <w:rPr>
          <w:sz w:val="20"/>
          <w:szCs w:val="20"/>
          <w:color w:val="auto"/>
        </w:rPr>
      </w:pPr>
      <w:r>
        <w:rPr>
          <w:rFonts w:ascii="Arial" w:cs="Arial" w:eastAsia="Arial" w:hAnsi="Arial"/>
          <w:sz w:val="14"/>
          <w:szCs w:val="14"/>
          <w:color w:val="auto"/>
        </w:rPr>
        <w:t>Our business is subject to a number of risks and uncertainties, including those risks discussed at length below. These risks include, among others, the following:</w:t>
      </w:r>
    </w:p>
    <w:p>
      <w:pPr>
        <w:spacing w:after="0" w:line="258" w:lineRule="exact"/>
        <w:rPr>
          <w:sz w:val="20"/>
          <w:szCs w:val="20"/>
          <w:color w:val="auto"/>
        </w:rPr>
      </w:pPr>
    </w:p>
    <w:p>
      <w:pPr>
        <w:ind w:left="760" w:hanging="378"/>
        <w:spacing w:after="0"/>
        <w:tabs>
          <w:tab w:leader="none" w:pos="760" w:val="left"/>
        </w:tabs>
        <w:numPr>
          <w:ilvl w:val="0"/>
          <w:numId w:val="12"/>
        </w:numPr>
        <w:rPr>
          <w:rFonts w:ascii="Arial" w:cs="Arial" w:eastAsia="Arial" w:hAnsi="Arial"/>
          <w:sz w:val="14"/>
          <w:szCs w:val="14"/>
          <w:color w:val="auto"/>
        </w:rPr>
      </w:pPr>
      <w:r>
        <w:rPr>
          <w:rFonts w:ascii="Arial" w:cs="Arial" w:eastAsia="Arial" w:hAnsi="Arial"/>
          <w:sz w:val="14"/>
          <w:szCs w:val="14"/>
          <w:b w:val="1"/>
          <w:bCs w:val="1"/>
          <w:i w:val="1"/>
          <w:iCs w:val="1"/>
          <w:color w:val="auto"/>
        </w:rPr>
        <w:t>We have incurred significant losses since our inception, anticipate that we will continue to have losses, and may never achieve or maintain profitability.</w:t>
      </w:r>
    </w:p>
    <w:p>
      <w:pPr>
        <w:spacing w:after="0" w:line="257" w:lineRule="exact"/>
        <w:rPr>
          <w:rFonts w:ascii="Arial" w:cs="Arial" w:eastAsia="Arial" w:hAnsi="Arial"/>
          <w:sz w:val="14"/>
          <w:szCs w:val="14"/>
          <w:color w:val="auto"/>
        </w:rPr>
      </w:pPr>
    </w:p>
    <w:p>
      <w:pPr>
        <w:ind w:left="760" w:right="100" w:hanging="378"/>
        <w:spacing w:after="0" w:line="416" w:lineRule="auto"/>
        <w:tabs>
          <w:tab w:leader="none" w:pos="760" w:val="left"/>
        </w:tabs>
        <w:numPr>
          <w:ilvl w:val="0"/>
          <w:numId w:val="12"/>
        </w:numPr>
        <w:rPr>
          <w:rFonts w:ascii="Arial" w:cs="Arial" w:eastAsia="Arial" w:hAnsi="Arial"/>
          <w:sz w:val="13"/>
          <w:szCs w:val="13"/>
          <w:color w:val="auto"/>
        </w:rPr>
      </w:pPr>
      <w:r>
        <w:rPr>
          <w:rFonts w:ascii="Arial" w:cs="Arial" w:eastAsia="Arial" w:hAnsi="Arial"/>
          <w:sz w:val="13"/>
          <w:szCs w:val="13"/>
          <w:b w:val="1"/>
          <w:bCs w:val="1"/>
          <w:i w:val="1"/>
          <w:iCs w:val="1"/>
          <w:color w:val="auto"/>
        </w:rPr>
        <w:t>We may need additional funding to conduct our future clinical trials and to complete development and commercialization of our product candidates. If we are unable to raise capital when needed, we would be forced to delay, reduce, or eliminate our product development programs or commercialization efforts.</w:t>
      </w:r>
    </w:p>
    <w:p>
      <w:pPr>
        <w:spacing w:after="0" w:line="102" w:lineRule="exact"/>
        <w:rPr>
          <w:rFonts w:ascii="Arial" w:cs="Arial" w:eastAsia="Arial" w:hAnsi="Arial"/>
          <w:sz w:val="13"/>
          <w:szCs w:val="13"/>
          <w:color w:val="auto"/>
        </w:rPr>
      </w:pPr>
    </w:p>
    <w:p>
      <w:pPr>
        <w:ind w:left="760" w:hanging="378"/>
        <w:spacing w:after="0" w:line="416" w:lineRule="auto"/>
        <w:tabs>
          <w:tab w:leader="none" w:pos="760" w:val="left"/>
        </w:tabs>
        <w:numPr>
          <w:ilvl w:val="0"/>
          <w:numId w:val="12"/>
        </w:numPr>
        <w:rPr>
          <w:rFonts w:ascii="Arial" w:cs="Arial" w:eastAsia="Arial" w:hAnsi="Arial"/>
          <w:sz w:val="13"/>
          <w:szCs w:val="13"/>
          <w:color w:val="auto"/>
        </w:rPr>
      </w:pPr>
      <w:r>
        <w:rPr>
          <w:rFonts w:ascii="Arial" w:cs="Arial" w:eastAsia="Arial" w:hAnsi="Arial"/>
          <w:sz w:val="13"/>
          <w:szCs w:val="13"/>
          <w:b w:val="1"/>
          <w:bCs w:val="1"/>
          <w:i w:val="1"/>
          <w:iCs w:val="1"/>
          <w:color w:val="auto"/>
        </w:rPr>
        <w:t>Our operating activities may be restricted as a result of covenants related to the outstanding indebtedness under our loan and security agreement with Hercules and we may be required to repay the outstanding indebtedness in an event of default, which could have a materially adverse effect on our business.</w:t>
      </w:r>
    </w:p>
    <w:p>
      <w:pPr>
        <w:spacing w:after="0" w:line="102" w:lineRule="exact"/>
        <w:rPr>
          <w:rFonts w:ascii="Arial" w:cs="Arial" w:eastAsia="Arial" w:hAnsi="Arial"/>
          <w:sz w:val="13"/>
          <w:szCs w:val="13"/>
          <w:color w:val="auto"/>
        </w:rPr>
      </w:pPr>
    </w:p>
    <w:p>
      <w:pPr>
        <w:ind w:left="760" w:hanging="378"/>
        <w:spacing w:after="0"/>
        <w:tabs>
          <w:tab w:leader="none" w:pos="760" w:val="left"/>
        </w:tabs>
        <w:numPr>
          <w:ilvl w:val="0"/>
          <w:numId w:val="12"/>
        </w:numPr>
        <w:rPr>
          <w:rFonts w:ascii="Arial" w:cs="Arial" w:eastAsia="Arial" w:hAnsi="Arial"/>
          <w:sz w:val="15"/>
          <w:szCs w:val="15"/>
          <w:color w:val="auto"/>
        </w:rPr>
      </w:pPr>
      <w:r>
        <w:rPr>
          <w:rFonts w:ascii="Arial" w:cs="Arial" w:eastAsia="Arial" w:hAnsi="Arial"/>
          <w:sz w:val="15"/>
          <w:szCs w:val="15"/>
          <w:b w:val="1"/>
          <w:bCs w:val="1"/>
          <w:i w:val="1"/>
          <w:iCs w:val="1"/>
          <w:color w:val="auto"/>
        </w:rPr>
        <w:t>We have a limited operating history and history of commercializing products, which may make it difficult to evaluate our business and prospects.</w:t>
      </w:r>
    </w:p>
    <w:p>
      <w:pPr>
        <w:spacing w:after="0" w:line="246" w:lineRule="exact"/>
        <w:rPr>
          <w:rFonts w:ascii="Arial" w:cs="Arial" w:eastAsia="Arial" w:hAnsi="Arial"/>
          <w:sz w:val="15"/>
          <w:szCs w:val="15"/>
          <w:color w:val="auto"/>
        </w:rPr>
      </w:pPr>
    </w:p>
    <w:p>
      <w:pPr>
        <w:ind w:left="760" w:right="400" w:hanging="378"/>
        <w:spacing w:after="0" w:line="293" w:lineRule="auto"/>
        <w:tabs>
          <w:tab w:leader="none" w:pos="760" w:val="left"/>
        </w:tabs>
        <w:numPr>
          <w:ilvl w:val="0"/>
          <w:numId w:val="12"/>
        </w:numPr>
        <w:rPr>
          <w:rFonts w:ascii="Arial" w:cs="Arial" w:eastAsia="Arial" w:hAnsi="Arial"/>
          <w:sz w:val="16"/>
          <w:szCs w:val="16"/>
          <w:color w:val="auto"/>
        </w:rPr>
      </w:pPr>
      <w:r>
        <w:rPr>
          <w:rFonts w:ascii="Arial" w:cs="Arial" w:eastAsia="Arial" w:hAnsi="Arial"/>
          <w:sz w:val="16"/>
          <w:szCs w:val="16"/>
          <w:b w:val="1"/>
          <w:bCs w:val="1"/>
          <w:i w:val="1"/>
          <w:iCs w:val="1"/>
          <w:color w:val="auto"/>
        </w:rPr>
        <w:t>We are substantially dependent on the success of our products and cannot guarantee that any of our product candidates will successfully complete any planned or ongoing clinical trials, receive regulatory approval, or be successfully commercialized.</w:t>
      </w:r>
    </w:p>
    <w:p>
      <w:pPr>
        <w:spacing w:after="0" w:line="171" w:lineRule="exact"/>
        <w:rPr>
          <w:rFonts w:ascii="Arial" w:cs="Arial" w:eastAsia="Arial" w:hAnsi="Arial"/>
          <w:sz w:val="16"/>
          <w:szCs w:val="16"/>
          <w:color w:val="auto"/>
        </w:rPr>
      </w:pPr>
    </w:p>
    <w:p>
      <w:pPr>
        <w:ind w:left="760" w:right="80" w:hanging="378"/>
        <w:spacing w:after="0" w:line="335" w:lineRule="auto"/>
        <w:tabs>
          <w:tab w:leader="none" w:pos="760" w:val="left"/>
        </w:tabs>
        <w:numPr>
          <w:ilvl w:val="0"/>
          <w:numId w:val="12"/>
        </w:numPr>
        <w:rPr>
          <w:rFonts w:ascii="Arial" w:cs="Arial" w:eastAsia="Arial" w:hAnsi="Arial"/>
          <w:sz w:val="14"/>
          <w:szCs w:val="14"/>
          <w:color w:val="auto"/>
        </w:rPr>
      </w:pPr>
      <w:r>
        <w:rPr>
          <w:rFonts w:ascii="Arial" w:cs="Arial" w:eastAsia="Arial" w:hAnsi="Arial"/>
          <w:sz w:val="14"/>
          <w:szCs w:val="14"/>
          <w:b w:val="1"/>
          <w:bCs w:val="1"/>
          <w:i w:val="1"/>
          <w:iCs w:val="1"/>
          <w:color w:val="auto"/>
        </w:rPr>
        <w:t>If safety and efficacy data for our product candidates, a reference drug, or published literature does not satisfactorily demonstrate safety and efficacy to the FDA, or if the FDA and other regulators do not permit us to rely on the data of a reference drug or published literature, we may incur additional costs or experience delays in completing, or ultimately be unable to complete, the development and commercialization of our product candidates.</w:t>
      </w:r>
    </w:p>
    <w:p>
      <w:pPr>
        <w:spacing w:after="0" w:line="149" w:lineRule="exact"/>
        <w:rPr>
          <w:rFonts w:ascii="Arial" w:cs="Arial" w:eastAsia="Arial" w:hAnsi="Arial"/>
          <w:sz w:val="14"/>
          <w:szCs w:val="14"/>
          <w:color w:val="auto"/>
        </w:rPr>
      </w:pPr>
    </w:p>
    <w:p>
      <w:pPr>
        <w:jc w:val="both"/>
        <w:ind w:left="760" w:right="40" w:hanging="378"/>
        <w:spacing w:after="0" w:line="335" w:lineRule="auto"/>
        <w:tabs>
          <w:tab w:leader="none" w:pos="760" w:val="left"/>
        </w:tabs>
        <w:numPr>
          <w:ilvl w:val="0"/>
          <w:numId w:val="12"/>
        </w:numPr>
        <w:rPr>
          <w:rFonts w:ascii="Arial" w:cs="Arial" w:eastAsia="Arial" w:hAnsi="Arial"/>
          <w:sz w:val="14"/>
          <w:szCs w:val="14"/>
          <w:color w:val="auto"/>
        </w:rPr>
      </w:pPr>
      <w:r>
        <w:rPr>
          <w:rFonts w:ascii="Arial" w:cs="Arial" w:eastAsia="Arial" w:hAnsi="Arial"/>
          <w:sz w:val="14"/>
          <w:szCs w:val="14"/>
          <w:b w:val="1"/>
          <w:bCs w:val="1"/>
          <w:i w:val="1"/>
          <w:iCs w:val="1"/>
          <w:color w:val="auto"/>
        </w:rPr>
        <w:t>Although Breakthrough Therapy, Fast Track and other designations are designed to expedite the development and review of drugs, they may not ultimately lead to a faster approval process or faster development of regulatory review and they will not increase the likelihood that our product candidates will receive marketing approval, for example, Breakthrough Therapy designation by the FDA for AXS-05 for the treatment of AD agitation.</w:t>
      </w:r>
    </w:p>
    <w:p>
      <w:pPr>
        <w:spacing w:after="0" w:line="149" w:lineRule="exact"/>
        <w:rPr>
          <w:rFonts w:ascii="Arial" w:cs="Arial" w:eastAsia="Arial" w:hAnsi="Arial"/>
          <w:sz w:val="14"/>
          <w:szCs w:val="14"/>
          <w:color w:val="auto"/>
        </w:rPr>
      </w:pPr>
    </w:p>
    <w:p>
      <w:pPr>
        <w:ind w:left="760" w:right="140" w:hanging="378"/>
        <w:spacing w:after="0" w:line="293" w:lineRule="auto"/>
        <w:tabs>
          <w:tab w:leader="none" w:pos="760" w:val="left"/>
        </w:tabs>
        <w:numPr>
          <w:ilvl w:val="0"/>
          <w:numId w:val="12"/>
        </w:numPr>
        <w:rPr>
          <w:rFonts w:ascii="Arial" w:cs="Arial" w:eastAsia="Arial" w:hAnsi="Arial"/>
          <w:sz w:val="16"/>
          <w:szCs w:val="16"/>
          <w:color w:val="auto"/>
        </w:rPr>
      </w:pPr>
      <w:r>
        <w:rPr>
          <w:rFonts w:ascii="Arial" w:cs="Arial" w:eastAsia="Arial" w:hAnsi="Arial"/>
          <w:sz w:val="16"/>
          <w:szCs w:val="16"/>
          <w:b w:val="1"/>
          <w:bCs w:val="1"/>
          <w:i w:val="1"/>
          <w:iCs w:val="1"/>
          <w:color w:val="auto"/>
        </w:rPr>
        <w:t>We face significant competition from other pharmaceutical and biotechnology companies, academic institutions, government agencies, and other research organizations. Our operating results will suffer if we fail to compete effectively.</w:t>
      </w:r>
    </w:p>
    <w:p>
      <w:pPr>
        <w:spacing w:after="0" w:line="171" w:lineRule="exact"/>
        <w:rPr>
          <w:rFonts w:ascii="Arial" w:cs="Arial" w:eastAsia="Arial" w:hAnsi="Arial"/>
          <w:sz w:val="16"/>
          <w:szCs w:val="16"/>
          <w:color w:val="auto"/>
        </w:rPr>
      </w:pPr>
    </w:p>
    <w:p>
      <w:pPr>
        <w:ind w:left="760" w:right="100" w:hanging="378"/>
        <w:spacing w:after="0" w:line="293" w:lineRule="auto"/>
        <w:tabs>
          <w:tab w:leader="none" w:pos="760" w:val="left"/>
        </w:tabs>
        <w:numPr>
          <w:ilvl w:val="0"/>
          <w:numId w:val="12"/>
        </w:numPr>
        <w:rPr>
          <w:rFonts w:ascii="Arial" w:cs="Arial" w:eastAsia="Arial" w:hAnsi="Arial"/>
          <w:sz w:val="16"/>
          <w:szCs w:val="16"/>
          <w:color w:val="auto"/>
        </w:rPr>
      </w:pPr>
      <w:r>
        <w:rPr>
          <w:rFonts w:ascii="Arial" w:cs="Arial" w:eastAsia="Arial" w:hAnsi="Arial"/>
          <w:sz w:val="16"/>
          <w:szCs w:val="16"/>
          <w:b w:val="1"/>
          <w:bCs w:val="1"/>
          <w:i w:val="1"/>
          <w:iCs w:val="1"/>
          <w:color w:val="auto"/>
        </w:rPr>
        <w:t>If we are unable to establish effective marketing, sales and distribution capabilities or enter into agreements with third parties to market, sell and distribute our products, we may be unable to generate substantial product revenues.</w:t>
      </w:r>
    </w:p>
    <w:p>
      <w:pPr>
        <w:spacing w:after="0" w:line="171" w:lineRule="exact"/>
        <w:rPr>
          <w:rFonts w:ascii="Arial" w:cs="Arial" w:eastAsia="Arial" w:hAnsi="Arial"/>
          <w:sz w:val="16"/>
          <w:szCs w:val="16"/>
          <w:color w:val="auto"/>
        </w:rPr>
      </w:pPr>
    </w:p>
    <w:p>
      <w:pPr>
        <w:ind w:left="760" w:hanging="378"/>
        <w:spacing w:after="0"/>
        <w:tabs>
          <w:tab w:leader="none" w:pos="760" w:val="left"/>
        </w:tabs>
        <w:numPr>
          <w:ilvl w:val="0"/>
          <w:numId w:val="12"/>
        </w:numPr>
        <w:rPr>
          <w:rFonts w:ascii="Arial" w:cs="Arial" w:eastAsia="Arial" w:hAnsi="Arial"/>
          <w:sz w:val="16"/>
          <w:szCs w:val="16"/>
          <w:color w:val="auto"/>
        </w:rPr>
      </w:pPr>
      <w:r>
        <w:rPr>
          <w:rFonts w:ascii="Arial" w:cs="Arial" w:eastAsia="Arial" w:hAnsi="Arial"/>
          <w:sz w:val="16"/>
          <w:szCs w:val="16"/>
          <w:b w:val="1"/>
          <w:bCs w:val="1"/>
          <w:i w:val="1"/>
          <w:iCs w:val="1"/>
          <w:color w:val="auto"/>
        </w:rPr>
        <w:t>If any of our products do not achieve broad market acceptance, the revenues that we generate from their sales will be limited.</w:t>
      </w:r>
    </w:p>
    <w:p>
      <w:pPr>
        <w:spacing w:after="0" w:line="234" w:lineRule="exact"/>
        <w:rPr>
          <w:rFonts w:ascii="Arial" w:cs="Arial" w:eastAsia="Arial" w:hAnsi="Arial"/>
          <w:sz w:val="16"/>
          <w:szCs w:val="16"/>
          <w:color w:val="auto"/>
        </w:rPr>
      </w:pPr>
    </w:p>
    <w:p>
      <w:pPr>
        <w:ind w:left="760" w:right="120" w:hanging="378"/>
        <w:spacing w:after="0" w:line="416" w:lineRule="auto"/>
        <w:tabs>
          <w:tab w:leader="none" w:pos="760" w:val="left"/>
        </w:tabs>
        <w:numPr>
          <w:ilvl w:val="0"/>
          <w:numId w:val="12"/>
        </w:numPr>
        <w:rPr>
          <w:rFonts w:ascii="Arial" w:cs="Arial" w:eastAsia="Arial" w:hAnsi="Arial"/>
          <w:sz w:val="13"/>
          <w:szCs w:val="13"/>
          <w:color w:val="auto"/>
        </w:rPr>
      </w:pPr>
      <w:r>
        <w:rPr>
          <w:rFonts w:ascii="Arial" w:cs="Arial" w:eastAsia="Arial" w:hAnsi="Arial"/>
          <w:sz w:val="13"/>
          <w:szCs w:val="13"/>
          <w:b w:val="1"/>
          <w:bCs w:val="1"/>
          <w:i w:val="1"/>
          <w:iCs w:val="1"/>
          <w:color w:val="auto"/>
        </w:rPr>
        <w:t>We rely, and expect to continue to rely, on third parties to conduct, supervise, and monitor our preclinical studies and clinical trials, and those third parties may not perform satisfactorily, including by failing to meet deadlines for the completion of such trials or failing to comply with regulatory requirements.</w:t>
      </w:r>
    </w:p>
    <w:p>
      <w:pPr>
        <w:spacing w:after="0" w:line="102" w:lineRule="exact"/>
        <w:rPr>
          <w:rFonts w:ascii="Arial" w:cs="Arial" w:eastAsia="Arial" w:hAnsi="Arial"/>
          <w:sz w:val="13"/>
          <w:szCs w:val="13"/>
          <w:color w:val="auto"/>
        </w:rPr>
      </w:pPr>
    </w:p>
    <w:p>
      <w:pPr>
        <w:ind w:left="760" w:right="460" w:hanging="378"/>
        <w:spacing w:after="0" w:line="278" w:lineRule="auto"/>
        <w:tabs>
          <w:tab w:leader="none" w:pos="760" w:val="left"/>
        </w:tabs>
        <w:numPr>
          <w:ilvl w:val="0"/>
          <w:numId w:val="12"/>
        </w:numPr>
        <w:rPr>
          <w:rFonts w:ascii="Arial" w:cs="Arial" w:eastAsia="Arial" w:hAnsi="Arial"/>
          <w:sz w:val="16"/>
          <w:szCs w:val="16"/>
          <w:color w:val="auto"/>
        </w:rPr>
      </w:pPr>
      <w:r>
        <w:rPr>
          <w:rFonts w:ascii="Arial" w:cs="Arial" w:eastAsia="Arial" w:hAnsi="Arial"/>
          <w:sz w:val="16"/>
          <w:szCs w:val="16"/>
          <w:b w:val="1"/>
          <w:bCs w:val="1"/>
          <w:i w:val="1"/>
          <w:iCs w:val="1"/>
          <w:color w:val="auto"/>
        </w:rPr>
        <w:t>If the manufacturers upon whom we rely fail to produce our products in the volumes that we require on a timely basis, or to comply with stringent regulations applicable to pharmaceutical drug manufacturers, we may face delays in the development and commercialization of, or be unable to meet demand for, our products and may lose potential revenues.</w:t>
      </w:r>
    </w:p>
    <w:p>
      <w:pPr>
        <w:spacing w:after="0" w:line="184" w:lineRule="exact"/>
        <w:rPr>
          <w:rFonts w:ascii="Arial" w:cs="Arial" w:eastAsia="Arial" w:hAnsi="Arial"/>
          <w:sz w:val="16"/>
          <w:szCs w:val="16"/>
          <w:color w:val="auto"/>
        </w:rPr>
      </w:pPr>
    </w:p>
    <w:p>
      <w:pPr>
        <w:ind w:left="760" w:right="60" w:hanging="378"/>
        <w:spacing w:after="0" w:line="324" w:lineRule="auto"/>
        <w:tabs>
          <w:tab w:leader="none" w:pos="760" w:val="left"/>
        </w:tabs>
        <w:numPr>
          <w:ilvl w:val="0"/>
          <w:numId w:val="12"/>
        </w:numPr>
        <w:rPr>
          <w:rFonts w:ascii="Arial" w:cs="Arial" w:eastAsia="Arial" w:hAnsi="Arial"/>
          <w:sz w:val="14"/>
          <w:szCs w:val="14"/>
          <w:color w:val="auto"/>
        </w:rPr>
      </w:pPr>
      <w:r>
        <w:rPr>
          <w:rFonts w:ascii="Arial" w:cs="Arial" w:eastAsia="Arial" w:hAnsi="Arial"/>
          <w:sz w:val="14"/>
          <w:szCs w:val="14"/>
          <w:b w:val="1"/>
          <w:bCs w:val="1"/>
          <w:i w:val="1"/>
          <w:iCs w:val="1"/>
          <w:color w:val="auto"/>
        </w:rPr>
        <w:t>As an NDA applicant and a potential commercial “virtual manufacturer,” we may rely in many cases on third parties to perform many essential services for any products that we commercialize, including services related to warehousing and inventory control, distribution, government price reporting, customer service, and adverse event reporting. If these third parties fail to perform as expected or to comply with legal and regulatory requirements, our ability to commercialize any of our current or future product candidates will be significantly impacted and we may be subject to regulatory sanctions.</w:t>
      </w:r>
    </w:p>
    <w:p>
      <w:pPr>
        <w:spacing w:after="0" w:line="1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0" w:right="399" w:bottom="1440" w:gutter="0" w:footer="0" w:header="0"/>
        </w:sectPr>
      </w:pPr>
    </w:p>
    <w:bookmarkStart w:id="46" w:name="page47"/>
    <w:bookmarkEnd w:id="46"/>
    <w:p>
      <w:pPr>
        <w:spacing w:after="0"/>
        <w:rPr>
          <w:sz w:val="20"/>
          <w:szCs w:val="20"/>
          <w:color w:val="auto"/>
        </w:rPr>
      </w:pPr>
      <w:r>
        <w:rPr>
          <w:rFonts w:ascii="Arial" w:cs="Arial" w:eastAsia="Arial" w:hAnsi="Arial"/>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3025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30250" cy="8890"/>
                    </a:xfrm>
                    <a:prstGeom prst="rect">
                      <a:avLst/>
                    </a:prstGeom>
                    <a:noFill/>
                  </pic:spPr>
                </pic:pic>
              </a:graphicData>
            </a:graphic>
          </wp:anchor>
        </w:drawing>
      </w:r>
    </w:p>
    <w:p>
      <w:pPr>
        <w:spacing w:after="0" w:line="215" w:lineRule="exact"/>
        <w:rPr>
          <w:sz w:val="20"/>
          <w:szCs w:val="20"/>
          <w:color w:val="auto"/>
        </w:rPr>
      </w:pPr>
    </w:p>
    <w:p>
      <w:pPr>
        <w:ind w:left="760" w:right="140" w:hanging="378"/>
        <w:spacing w:after="0" w:line="293" w:lineRule="auto"/>
        <w:tabs>
          <w:tab w:leader="none" w:pos="760" w:val="left"/>
        </w:tabs>
        <w:numPr>
          <w:ilvl w:val="0"/>
          <w:numId w:val="13"/>
        </w:numPr>
        <w:rPr>
          <w:rFonts w:ascii="Arial" w:cs="Arial" w:eastAsia="Arial" w:hAnsi="Arial"/>
          <w:sz w:val="16"/>
          <w:szCs w:val="16"/>
          <w:color w:val="auto"/>
        </w:rPr>
      </w:pPr>
      <w:r>
        <w:rPr>
          <w:rFonts w:ascii="Arial" w:cs="Arial" w:eastAsia="Arial" w:hAnsi="Arial"/>
          <w:sz w:val="16"/>
          <w:szCs w:val="16"/>
          <w:b w:val="1"/>
          <w:bCs w:val="1"/>
          <w:i w:val="1"/>
          <w:iCs w:val="1"/>
          <w:color w:val="auto"/>
        </w:rPr>
        <w:t>Patent reform legislation could increase the uncertainties and costs surrounding the prosecution of our patent applications and the enforcement or defense of our issued patents.</w:t>
      </w:r>
    </w:p>
    <w:p>
      <w:pPr>
        <w:spacing w:after="0" w:line="171" w:lineRule="exact"/>
        <w:rPr>
          <w:rFonts w:ascii="Arial" w:cs="Arial" w:eastAsia="Arial" w:hAnsi="Arial"/>
          <w:sz w:val="16"/>
          <w:szCs w:val="16"/>
          <w:color w:val="auto"/>
        </w:rPr>
      </w:pPr>
    </w:p>
    <w:p>
      <w:pPr>
        <w:ind w:left="760" w:right="360" w:hanging="378"/>
        <w:spacing w:after="0" w:line="369" w:lineRule="auto"/>
        <w:tabs>
          <w:tab w:leader="none" w:pos="760" w:val="left"/>
        </w:tabs>
        <w:numPr>
          <w:ilvl w:val="0"/>
          <w:numId w:val="13"/>
        </w:numPr>
        <w:rPr>
          <w:rFonts w:ascii="Arial" w:cs="Arial" w:eastAsia="Arial" w:hAnsi="Arial"/>
          <w:sz w:val="14"/>
          <w:szCs w:val="14"/>
          <w:color w:val="auto"/>
        </w:rPr>
      </w:pPr>
      <w:r>
        <w:rPr>
          <w:rFonts w:ascii="Arial" w:cs="Arial" w:eastAsia="Arial" w:hAnsi="Arial"/>
          <w:sz w:val="14"/>
          <w:szCs w:val="14"/>
          <w:b w:val="1"/>
          <w:bCs w:val="1"/>
          <w:i w:val="1"/>
          <w:iCs w:val="1"/>
          <w:color w:val="auto"/>
        </w:rPr>
        <w:t>We have licensed and may need to license certain intellectual property from third parties in the future. Such licenses may not be available or may not be available on commercially reasonable terms. Our business may be materially harmed if the licenses are not available or terminated for any reason.</w:t>
      </w:r>
    </w:p>
    <w:p>
      <w:pPr>
        <w:spacing w:after="0" w:line="125" w:lineRule="exact"/>
        <w:rPr>
          <w:rFonts w:ascii="Arial" w:cs="Arial" w:eastAsia="Arial" w:hAnsi="Arial"/>
          <w:sz w:val="14"/>
          <w:szCs w:val="14"/>
          <w:color w:val="auto"/>
        </w:rPr>
      </w:pPr>
    </w:p>
    <w:p>
      <w:pPr>
        <w:ind w:left="760" w:hanging="378"/>
        <w:spacing w:after="0" w:line="278" w:lineRule="auto"/>
        <w:tabs>
          <w:tab w:leader="none" w:pos="760" w:val="left"/>
        </w:tabs>
        <w:numPr>
          <w:ilvl w:val="0"/>
          <w:numId w:val="13"/>
        </w:numPr>
        <w:rPr>
          <w:rFonts w:ascii="Arial" w:cs="Arial" w:eastAsia="Arial" w:hAnsi="Arial"/>
          <w:sz w:val="16"/>
          <w:szCs w:val="16"/>
          <w:color w:val="auto"/>
        </w:rPr>
      </w:pPr>
      <w:r>
        <w:rPr>
          <w:rFonts w:ascii="Arial" w:cs="Arial" w:eastAsia="Arial" w:hAnsi="Arial"/>
          <w:sz w:val="16"/>
          <w:szCs w:val="16"/>
          <w:b w:val="1"/>
          <w:bCs w:val="1"/>
          <w:i w:val="1"/>
          <w:iCs w:val="1"/>
          <w:color w:val="auto"/>
        </w:rPr>
        <w:t>If we fail to comply with federal, state, and foreign healthcare laws, including fraud and abuse and transparency and health and other data protection, information privacy and security laws, we could face substantial penalties and our business, financial condition, results of operations, and prospects could be adversely affected.</w:t>
      </w:r>
    </w:p>
    <w:p>
      <w:pPr>
        <w:spacing w:after="0" w:line="184" w:lineRule="exact"/>
        <w:rPr>
          <w:rFonts w:ascii="Arial" w:cs="Arial" w:eastAsia="Arial" w:hAnsi="Arial"/>
          <w:sz w:val="16"/>
          <w:szCs w:val="16"/>
          <w:color w:val="auto"/>
        </w:rPr>
      </w:pPr>
    </w:p>
    <w:p>
      <w:pPr>
        <w:ind w:left="760" w:right="20" w:hanging="378"/>
        <w:spacing w:after="0" w:line="278" w:lineRule="auto"/>
        <w:tabs>
          <w:tab w:leader="none" w:pos="760" w:val="left"/>
        </w:tabs>
        <w:numPr>
          <w:ilvl w:val="0"/>
          <w:numId w:val="13"/>
        </w:numPr>
        <w:rPr>
          <w:rFonts w:ascii="Arial" w:cs="Arial" w:eastAsia="Arial" w:hAnsi="Arial"/>
          <w:sz w:val="16"/>
          <w:szCs w:val="16"/>
          <w:color w:val="auto"/>
        </w:rPr>
      </w:pPr>
      <w:r>
        <w:rPr>
          <w:rFonts w:ascii="Arial" w:cs="Arial" w:eastAsia="Arial" w:hAnsi="Arial"/>
          <w:sz w:val="16"/>
          <w:szCs w:val="16"/>
          <w:b w:val="1"/>
          <w:bCs w:val="1"/>
          <w:i w:val="1"/>
          <w:iCs w:val="1"/>
          <w:color w:val="auto"/>
        </w:rPr>
        <w:t>If the government or third-party payors fail to provide adequate coverage and payment rates for any of our current or future product candidates, or if health maintenance organization (HMOs) or long-term care facilities choose to use therapies that are less expensive, our revenue and prospects for profitability will be limited.</w:t>
      </w:r>
    </w:p>
    <w:p>
      <w:pPr>
        <w:spacing w:after="0" w:line="184" w:lineRule="exact"/>
        <w:rPr>
          <w:rFonts w:ascii="Arial" w:cs="Arial" w:eastAsia="Arial" w:hAnsi="Arial"/>
          <w:sz w:val="16"/>
          <w:szCs w:val="16"/>
          <w:color w:val="auto"/>
        </w:rPr>
      </w:pPr>
    </w:p>
    <w:p>
      <w:pPr>
        <w:ind w:left="760" w:right="60" w:hanging="378"/>
        <w:spacing w:after="0" w:line="369" w:lineRule="auto"/>
        <w:tabs>
          <w:tab w:leader="none" w:pos="760" w:val="left"/>
        </w:tabs>
        <w:numPr>
          <w:ilvl w:val="0"/>
          <w:numId w:val="13"/>
        </w:numPr>
        <w:rPr>
          <w:rFonts w:ascii="Arial" w:cs="Arial" w:eastAsia="Arial" w:hAnsi="Arial"/>
          <w:sz w:val="14"/>
          <w:szCs w:val="14"/>
          <w:color w:val="auto"/>
        </w:rPr>
      </w:pPr>
      <w:r>
        <w:rPr>
          <w:rFonts w:ascii="Arial" w:cs="Arial" w:eastAsia="Arial" w:hAnsi="Arial"/>
          <w:sz w:val="14"/>
          <w:szCs w:val="14"/>
          <w:b w:val="1"/>
          <w:bCs w:val="1"/>
          <w:i w:val="1"/>
          <w:iCs w:val="1"/>
          <w:color w:val="auto"/>
        </w:rPr>
        <w:t>We have and may continue to significantly increase the size of our organization, and we may experience difficulties in managing growth. If we are unable to implement appropriate controls and procedures to manage our growth, we will not be able to implement our business plan successfully.</w:t>
      </w:r>
    </w:p>
    <w:p>
      <w:pPr>
        <w:spacing w:after="0" w:line="125" w:lineRule="exact"/>
        <w:rPr>
          <w:rFonts w:ascii="Arial" w:cs="Arial" w:eastAsia="Arial" w:hAnsi="Arial"/>
          <w:sz w:val="14"/>
          <w:szCs w:val="14"/>
          <w:color w:val="auto"/>
        </w:rPr>
      </w:pPr>
    </w:p>
    <w:p>
      <w:pPr>
        <w:ind w:left="760" w:right="20" w:hanging="378"/>
        <w:spacing w:after="0" w:line="369" w:lineRule="auto"/>
        <w:tabs>
          <w:tab w:leader="none" w:pos="760" w:val="left"/>
        </w:tabs>
        <w:numPr>
          <w:ilvl w:val="0"/>
          <w:numId w:val="13"/>
        </w:numPr>
        <w:rPr>
          <w:rFonts w:ascii="Arial" w:cs="Arial" w:eastAsia="Arial" w:hAnsi="Arial"/>
          <w:sz w:val="14"/>
          <w:szCs w:val="14"/>
          <w:color w:val="auto"/>
        </w:rPr>
      </w:pPr>
      <w:r>
        <w:rPr>
          <w:rFonts w:ascii="Arial" w:cs="Arial" w:eastAsia="Arial" w:hAnsi="Arial"/>
          <w:sz w:val="14"/>
          <w:szCs w:val="14"/>
          <w:b w:val="1"/>
          <w:bCs w:val="1"/>
          <w:i w:val="1"/>
          <w:iCs w:val="1"/>
          <w:color w:val="auto"/>
        </w:rPr>
        <w:t>If we fail to maintain an effective system of internal controls over financial reporting, we may not be able to accurately report our financial condition, results of operations or cash flows, which may adversely affect investor confidence in us and, as a result, the value of our common stock.</w:t>
      </w:r>
    </w:p>
    <w:p>
      <w:pPr>
        <w:spacing w:after="0" w:line="125" w:lineRule="exact"/>
        <w:rPr>
          <w:rFonts w:ascii="Arial" w:cs="Arial" w:eastAsia="Arial" w:hAnsi="Arial"/>
          <w:sz w:val="14"/>
          <w:szCs w:val="14"/>
          <w:color w:val="auto"/>
        </w:rPr>
      </w:pPr>
    </w:p>
    <w:p>
      <w:pPr>
        <w:ind w:left="760" w:right="220" w:hanging="378"/>
        <w:spacing w:after="0" w:line="293" w:lineRule="auto"/>
        <w:tabs>
          <w:tab w:leader="none" w:pos="760" w:val="left"/>
        </w:tabs>
        <w:numPr>
          <w:ilvl w:val="0"/>
          <w:numId w:val="13"/>
        </w:numPr>
        <w:rPr>
          <w:rFonts w:ascii="Arial" w:cs="Arial" w:eastAsia="Arial" w:hAnsi="Arial"/>
          <w:sz w:val="16"/>
          <w:szCs w:val="16"/>
          <w:color w:val="auto"/>
        </w:rPr>
      </w:pPr>
      <w:r>
        <w:rPr>
          <w:rFonts w:ascii="Arial" w:cs="Arial" w:eastAsia="Arial" w:hAnsi="Arial"/>
          <w:sz w:val="16"/>
          <w:szCs w:val="16"/>
          <w:b w:val="1"/>
          <w:bCs w:val="1"/>
          <w:i w:val="1"/>
          <w:iCs w:val="1"/>
          <w:color w:val="auto"/>
        </w:rPr>
        <w:t>Our principal stockholders and management own a significant percentage of our stock and may be able to exert significant control over matters subject to stockholder approval.</w:t>
      </w:r>
    </w:p>
    <w:p>
      <w:pPr>
        <w:spacing w:after="0" w:line="171" w:lineRule="exact"/>
        <w:rPr>
          <w:rFonts w:ascii="Arial" w:cs="Arial" w:eastAsia="Arial" w:hAnsi="Arial"/>
          <w:sz w:val="16"/>
          <w:szCs w:val="16"/>
          <w:color w:val="auto"/>
        </w:rPr>
      </w:pPr>
    </w:p>
    <w:p>
      <w:pPr>
        <w:ind w:left="760" w:hanging="378"/>
        <w:spacing w:after="0"/>
        <w:tabs>
          <w:tab w:leader="none" w:pos="760" w:val="left"/>
        </w:tabs>
        <w:numPr>
          <w:ilvl w:val="0"/>
          <w:numId w:val="13"/>
        </w:numPr>
        <w:rPr>
          <w:rFonts w:ascii="Arial" w:cs="Arial" w:eastAsia="Arial" w:hAnsi="Arial"/>
          <w:sz w:val="16"/>
          <w:szCs w:val="16"/>
          <w:color w:val="auto"/>
        </w:rPr>
      </w:pPr>
      <w:r>
        <w:rPr>
          <w:rFonts w:ascii="Arial" w:cs="Arial" w:eastAsia="Arial" w:hAnsi="Arial"/>
          <w:sz w:val="16"/>
          <w:szCs w:val="16"/>
          <w:b w:val="1"/>
          <w:bCs w:val="1"/>
          <w:i w:val="1"/>
          <w:iCs w:val="1"/>
          <w:color w:val="auto"/>
        </w:rPr>
        <w:t>The use of our net operating loss carryforwards and research tax credits may be limited.</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RELATED TO OUR FINANCIAL CONDITION AND CAPITAL REQUIREMENTS</w:t>
      </w:r>
    </w:p>
    <w:p>
      <w:pPr>
        <w:spacing w:after="0" w:line="23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have incurred significant losses since our inception, anticipate that we will continue to have losses, and may never achieve or maintain profitability;</w:t>
      </w:r>
    </w:p>
    <w:p>
      <w:pPr>
        <w:spacing w:after="0" w:line="246" w:lineRule="exact"/>
        <w:rPr>
          <w:sz w:val="20"/>
          <w:szCs w:val="20"/>
          <w:color w:val="auto"/>
        </w:rPr>
      </w:pPr>
    </w:p>
    <w:p>
      <w:pPr>
        <w:ind w:firstLine="749"/>
        <w:spacing w:after="0" w:line="293" w:lineRule="auto"/>
        <w:rPr>
          <w:sz w:val="20"/>
          <w:szCs w:val="20"/>
          <w:color w:val="auto"/>
        </w:rPr>
      </w:pPr>
      <w:r>
        <w:rPr>
          <w:rFonts w:ascii="Arial" w:cs="Arial" w:eastAsia="Arial" w:hAnsi="Arial"/>
          <w:sz w:val="15"/>
          <w:szCs w:val="15"/>
          <w:color w:val="auto"/>
        </w:rPr>
        <w:t>We are a biopharmaceutical company with a limited operating history. For the last several years, we have focused our efforts primarily on developing CNS product candidates, AXS-05, AXS-07, AXS-12, and AXS-14, with the goal of achieving regulatory approval and commercialization. Since inception, we have incurred significant operating losses. Our net loss was $78.4 million for the six months ended June 30, 2023 and $187.1 million for the year ended December 31, 2022. As of June 30, 2023, we had an accumulated deficit of $674.7 million. In 2022, we commenced the commercial sale of Auvelity in the United States and Sunosi in the United States and select global markets. Apart from Sunosi and Auvelity, we have no other products which have received regulatory approval.</w:t>
      </w:r>
    </w:p>
    <w:p>
      <w:pPr>
        <w:spacing w:after="0" w:line="176" w:lineRule="exact"/>
        <w:rPr>
          <w:sz w:val="20"/>
          <w:szCs w:val="20"/>
          <w:color w:val="auto"/>
        </w:rPr>
      </w:pPr>
    </w:p>
    <w:p>
      <w:pPr>
        <w:ind w:firstLine="749"/>
        <w:spacing w:after="0" w:line="278" w:lineRule="auto"/>
        <w:rPr>
          <w:sz w:val="20"/>
          <w:szCs w:val="20"/>
          <w:color w:val="auto"/>
        </w:rPr>
      </w:pPr>
      <w:r>
        <w:rPr>
          <w:rFonts w:ascii="Arial" w:cs="Arial" w:eastAsia="Arial" w:hAnsi="Arial"/>
          <w:sz w:val="16"/>
          <w:szCs w:val="16"/>
          <w:color w:val="auto"/>
        </w:rPr>
        <w:t>We expect to continue to incur substantial expenses and operating losses as we continue to develop our current and future product candidates. In addition, we expect to incur significant sales, marketing, and manufacturing expenses related to the commercialization of Sunosi, Auvelity, and any other product candidate which may be approved or which we may in-license. We anticipate that our expenses will increase substantially as we:</w:t>
      </w:r>
    </w:p>
    <w:p>
      <w:pPr>
        <w:spacing w:after="0" w:line="184" w:lineRule="exact"/>
        <w:rPr>
          <w:sz w:val="20"/>
          <w:szCs w:val="20"/>
          <w:color w:val="auto"/>
        </w:rPr>
      </w:pPr>
    </w:p>
    <w:p>
      <w:pPr>
        <w:ind w:left="760" w:hanging="378"/>
        <w:spacing w:after="0"/>
        <w:tabs>
          <w:tab w:leader="none" w:pos="7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seek regulatory approval for additional product candidates;</w:t>
      </w:r>
    </w:p>
    <w:p>
      <w:pPr>
        <w:spacing w:after="0" w:line="234" w:lineRule="exact"/>
        <w:rPr>
          <w:rFonts w:ascii="Arial" w:cs="Arial" w:eastAsia="Arial" w:hAnsi="Arial"/>
          <w:sz w:val="16"/>
          <w:szCs w:val="16"/>
          <w:color w:val="auto"/>
        </w:rPr>
      </w:pPr>
    </w:p>
    <w:p>
      <w:pPr>
        <w:ind w:left="760" w:hanging="378"/>
        <w:spacing w:after="0"/>
        <w:tabs>
          <w:tab w:leader="none" w:pos="7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hire additional commercial, clinical, medical, quality, regulatory, and scientific personnel;</w:t>
      </w:r>
    </w:p>
    <w:p>
      <w:pPr>
        <w:spacing w:after="0" w:line="234" w:lineRule="exact"/>
        <w:rPr>
          <w:rFonts w:ascii="Arial" w:cs="Arial" w:eastAsia="Arial" w:hAnsi="Arial"/>
          <w:sz w:val="16"/>
          <w:szCs w:val="16"/>
          <w:color w:val="auto"/>
        </w:rPr>
      </w:pPr>
    </w:p>
    <w:p>
      <w:pPr>
        <w:ind w:left="760" w:hanging="378"/>
        <w:spacing w:after="0"/>
        <w:tabs>
          <w:tab w:leader="none" w:pos="7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add operational, financial, and management information systems and personnel;</w:t>
      </w:r>
    </w:p>
    <w:p>
      <w:pPr>
        <w:spacing w:after="0" w:line="234" w:lineRule="exact"/>
        <w:rPr>
          <w:rFonts w:ascii="Arial" w:cs="Arial" w:eastAsia="Arial" w:hAnsi="Arial"/>
          <w:sz w:val="16"/>
          <w:szCs w:val="16"/>
          <w:color w:val="auto"/>
        </w:rPr>
      </w:pPr>
    </w:p>
    <w:p>
      <w:pPr>
        <w:ind w:left="760" w:hanging="378"/>
        <w:spacing w:after="0"/>
        <w:tabs>
          <w:tab w:leader="none" w:pos="7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expand our sales, marketing, and distribution infrastructure;</w:t>
      </w:r>
    </w:p>
    <w:p>
      <w:pPr>
        <w:spacing w:after="0" w:line="234" w:lineRule="exact"/>
        <w:rPr>
          <w:rFonts w:ascii="Arial" w:cs="Arial" w:eastAsia="Arial" w:hAnsi="Arial"/>
          <w:sz w:val="16"/>
          <w:szCs w:val="16"/>
          <w:color w:val="auto"/>
        </w:rPr>
      </w:pPr>
    </w:p>
    <w:p>
      <w:pPr>
        <w:ind w:left="760" w:right="180" w:hanging="378"/>
        <w:spacing w:after="0" w:line="293" w:lineRule="auto"/>
        <w:tabs>
          <w:tab w:leader="none" w:pos="7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expand external manufacturing capabilities and production to commercialize any additional products for which we may obtain regulatory approval and that we choose not to license to a third-party;</w:t>
      </w:r>
    </w:p>
    <w:p>
      <w:pPr>
        <w:spacing w:after="0" w:line="171" w:lineRule="exact"/>
        <w:rPr>
          <w:rFonts w:ascii="Arial" w:cs="Arial" w:eastAsia="Arial" w:hAnsi="Arial"/>
          <w:sz w:val="16"/>
          <w:szCs w:val="16"/>
          <w:color w:val="auto"/>
        </w:rPr>
      </w:pPr>
    </w:p>
    <w:p>
      <w:pPr>
        <w:ind w:left="760" w:hanging="378"/>
        <w:spacing w:after="0"/>
        <w:tabs>
          <w:tab w:leader="none" w:pos="7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undertake additional manufacturing activities of our product candidates to satisfy FDA requirements for marketing application submissions;</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7" w:name="page48"/>
    <w:bookmarkEnd w:id="47"/>
    <w:p>
      <w:pPr>
        <w:spacing w:after="0"/>
        <w:rPr>
          <w:sz w:val="20"/>
          <w:szCs w:val="20"/>
          <w:color w:val="auto"/>
        </w:rPr>
      </w:pPr>
      <w:r>
        <w:rPr>
          <w:rFonts w:ascii="Arial" w:cs="Arial" w:eastAsia="Arial" w:hAnsi="Arial"/>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3025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30250" cy="8890"/>
                    </a:xfrm>
                    <a:prstGeom prst="rect">
                      <a:avLst/>
                    </a:prstGeom>
                    <a:noFill/>
                  </pic:spPr>
                </pic:pic>
              </a:graphicData>
            </a:graphic>
          </wp:anchor>
        </w:drawing>
      </w:r>
    </w:p>
    <w:p>
      <w:pPr>
        <w:spacing w:after="0" w:line="215" w:lineRule="exact"/>
        <w:rPr>
          <w:sz w:val="20"/>
          <w:szCs w:val="20"/>
          <w:color w:val="auto"/>
        </w:rPr>
      </w:pPr>
    </w:p>
    <w:p>
      <w:pPr>
        <w:ind w:left="760" w:hanging="378"/>
        <w:spacing w:after="0" w:line="184" w:lineRule="exact"/>
        <w:tabs>
          <w:tab w:leader="none" w:pos="7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conduct our clinical trials with AXS</w:t>
      </w:r>
      <w:r>
        <w:rPr>
          <w:rFonts w:ascii="MS PGothic" w:cs="MS PGothic" w:eastAsia="MS PGothic" w:hAnsi="MS PGothic"/>
          <w:sz w:val="16"/>
          <w:szCs w:val="16"/>
          <w:color w:val="auto"/>
        </w:rPr>
        <w:t>‑</w:t>
      </w:r>
      <w:r>
        <w:rPr>
          <w:rFonts w:ascii="Arial" w:cs="Arial" w:eastAsia="Arial" w:hAnsi="Arial"/>
          <w:sz w:val="16"/>
          <w:szCs w:val="16"/>
          <w:color w:val="auto"/>
        </w:rPr>
        <w:t>05 in AD agitation;</w:t>
      </w:r>
    </w:p>
    <w:p>
      <w:pPr>
        <w:spacing w:after="0" w:line="234" w:lineRule="exact"/>
        <w:rPr>
          <w:rFonts w:ascii="Arial" w:cs="Arial" w:eastAsia="Arial" w:hAnsi="Arial"/>
          <w:sz w:val="16"/>
          <w:szCs w:val="16"/>
          <w:color w:val="auto"/>
        </w:rPr>
      </w:pPr>
    </w:p>
    <w:p>
      <w:pPr>
        <w:ind w:left="760" w:hanging="378"/>
        <w:spacing w:after="0"/>
        <w:tabs>
          <w:tab w:leader="none" w:pos="7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conduct our clinical trials with AXS-12 in narcolepsy;</w:t>
      </w:r>
    </w:p>
    <w:p>
      <w:pPr>
        <w:spacing w:after="0" w:line="234" w:lineRule="exact"/>
        <w:rPr>
          <w:rFonts w:ascii="Arial" w:cs="Arial" w:eastAsia="Arial" w:hAnsi="Arial"/>
          <w:sz w:val="16"/>
          <w:szCs w:val="16"/>
          <w:color w:val="auto"/>
        </w:rPr>
      </w:pPr>
    </w:p>
    <w:p>
      <w:pPr>
        <w:ind w:left="760" w:hanging="378"/>
        <w:spacing w:after="0"/>
        <w:tabs>
          <w:tab w:leader="none" w:pos="7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continue to evaluate, plan for, and conduct, clinical trials for AXS-05 as an aid to smoking cessation treatment and other CNS disorders;</w:t>
      </w:r>
    </w:p>
    <w:p>
      <w:pPr>
        <w:spacing w:after="0" w:line="234" w:lineRule="exact"/>
        <w:rPr>
          <w:rFonts w:ascii="Arial" w:cs="Arial" w:eastAsia="Arial" w:hAnsi="Arial"/>
          <w:sz w:val="16"/>
          <w:szCs w:val="16"/>
          <w:color w:val="auto"/>
        </w:rPr>
      </w:pPr>
    </w:p>
    <w:p>
      <w:pPr>
        <w:ind w:left="760" w:hanging="378"/>
        <w:spacing w:after="0"/>
        <w:tabs>
          <w:tab w:leader="none" w:pos="7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conduct our clinical trials for solriamfetol in attention-deficit/hyperactivity disorder (“ADHD”);</w:t>
      </w:r>
    </w:p>
    <w:p>
      <w:pPr>
        <w:spacing w:after="0" w:line="234" w:lineRule="exact"/>
        <w:rPr>
          <w:rFonts w:ascii="Arial" w:cs="Arial" w:eastAsia="Arial" w:hAnsi="Arial"/>
          <w:sz w:val="16"/>
          <w:szCs w:val="16"/>
          <w:color w:val="auto"/>
        </w:rPr>
      </w:pPr>
    </w:p>
    <w:p>
      <w:pPr>
        <w:ind w:left="760" w:hanging="378"/>
        <w:spacing w:after="0"/>
        <w:tabs>
          <w:tab w:leader="none" w:pos="7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continue to evaluate, plan for, and potentially submit an NDA for AXS-14 in fibromyalgia;</w:t>
      </w:r>
    </w:p>
    <w:p>
      <w:pPr>
        <w:spacing w:after="0" w:line="234" w:lineRule="exact"/>
        <w:rPr>
          <w:rFonts w:ascii="Arial" w:cs="Arial" w:eastAsia="Arial" w:hAnsi="Arial"/>
          <w:sz w:val="16"/>
          <w:szCs w:val="16"/>
          <w:color w:val="auto"/>
        </w:rPr>
      </w:pPr>
    </w:p>
    <w:p>
      <w:pPr>
        <w:ind w:left="760" w:hanging="378"/>
        <w:spacing w:after="0"/>
        <w:tabs>
          <w:tab w:leader="none" w:pos="7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continue to expand commercial sales of Sunosi and Auvelity;</w:t>
      </w:r>
    </w:p>
    <w:p>
      <w:pPr>
        <w:spacing w:after="0" w:line="234" w:lineRule="exact"/>
        <w:rPr>
          <w:rFonts w:ascii="Arial" w:cs="Arial" w:eastAsia="Arial" w:hAnsi="Arial"/>
          <w:sz w:val="16"/>
          <w:szCs w:val="16"/>
          <w:color w:val="auto"/>
        </w:rPr>
      </w:pPr>
    </w:p>
    <w:p>
      <w:pPr>
        <w:ind w:left="760" w:hanging="378"/>
        <w:spacing w:after="0" w:line="184" w:lineRule="exact"/>
        <w:tabs>
          <w:tab w:leader="none" w:pos="7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develop, in</w:t>
      </w:r>
      <w:r>
        <w:rPr>
          <w:rFonts w:ascii="MS PGothic" w:cs="MS PGothic" w:eastAsia="MS PGothic" w:hAnsi="MS PGothic"/>
          <w:sz w:val="16"/>
          <w:szCs w:val="16"/>
          <w:color w:val="auto"/>
        </w:rPr>
        <w:t>‑</w:t>
      </w:r>
      <w:r>
        <w:rPr>
          <w:rFonts w:ascii="Arial" w:cs="Arial" w:eastAsia="Arial" w:hAnsi="Arial"/>
          <w:sz w:val="16"/>
          <w:szCs w:val="16"/>
          <w:color w:val="auto"/>
        </w:rPr>
        <w:t>license, or acquire additional product candidates;</w:t>
      </w:r>
    </w:p>
    <w:p>
      <w:pPr>
        <w:spacing w:after="0" w:line="234" w:lineRule="exact"/>
        <w:rPr>
          <w:rFonts w:ascii="Arial" w:cs="Arial" w:eastAsia="Arial" w:hAnsi="Arial"/>
          <w:sz w:val="16"/>
          <w:szCs w:val="16"/>
          <w:color w:val="auto"/>
        </w:rPr>
      </w:pPr>
    </w:p>
    <w:p>
      <w:pPr>
        <w:ind w:left="760" w:hanging="378"/>
        <w:spacing w:after="0" w:line="184" w:lineRule="exact"/>
        <w:tabs>
          <w:tab w:leader="none" w:pos="7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conduct late</w:t>
      </w:r>
      <w:r>
        <w:rPr>
          <w:rFonts w:ascii="MS PGothic" w:cs="MS PGothic" w:eastAsia="MS PGothic" w:hAnsi="MS PGothic"/>
          <w:sz w:val="16"/>
          <w:szCs w:val="16"/>
          <w:color w:val="auto"/>
        </w:rPr>
        <w:t>‑</w:t>
      </w:r>
      <w:r>
        <w:rPr>
          <w:rFonts w:ascii="Arial" w:cs="Arial" w:eastAsia="Arial" w:hAnsi="Arial"/>
          <w:sz w:val="16"/>
          <w:szCs w:val="16"/>
          <w:color w:val="auto"/>
        </w:rPr>
        <w:t>stage clinical trials for any product candidates that successfully complete early</w:t>
      </w:r>
      <w:r>
        <w:rPr>
          <w:rFonts w:ascii="MS PGothic" w:cs="MS PGothic" w:eastAsia="MS PGothic" w:hAnsi="MS PGothic"/>
          <w:sz w:val="16"/>
          <w:szCs w:val="16"/>
          <w:color w:val="auto"/>
        </w:rPr>
        <w:t>‑</w:t>
      </w:r>
      <w:r>
        <w:rPr>
          <w:rFonts w:ascii="Arial" w:cs="Arial" w:eastAsia="Arial" w:hAnsi="Arial"/>
          <w:sz w:val="16"/>
          <w:szCs w:val="16"/>
          <w:color w:val="auto"/>
        </w:rPr>
        <w:t>stage clinical trials;</w:t>
      </w:r>
    </w:p>
    <w:p>
      <w:pPr>
        <w:spacing w:after="0" w:line="234" w:lineRule="exact"/>
        <w:rPr>
          <w:rFonts w:ascii="Arial" w:cs="Arial" w:eastAsia="Arial" w:hAnsi="Arial"/>
          <w:sz w:val="16"/>
          <w:szCs w:val="16"/>
          <w:color w:val="auto"/>
        </w:rPr>
      </w:pPr>
    </w:p>
    <w:p>
      <w:pPr>
        <w:ind w:left="760" w:hanging="378"/>
        <w:spacing w:after="0" w:line="184" w:lineRule="exact"/>
        <w:tabs>
          <w:tab w:leader="none" w:pos="7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conduct additional non</w:t>
      </w:r>
      <w:r>
        <w:rPr>
          <w:rFonts w:ascii="MS PGothic" w:cs="MS PGothic" w:eastAsia="MS PGothic" w:hAnsi="MS PGothic"/>
          <w:sz w:val="16"/>
          <w:szCs w:val="16"/>
          <w:color w:val="auto"/>
        </w:rPr>
        <w:t>‑</w:t>
      </w:r>
      <w:r>
        <w:rPr>
          <w:rFonts w:ascii="Arial" w:cs="Arial" w:eastAsia="Arial" w:hAnsi="Arial"/>
          <w:sz w:val="16"/>
          <w:szCs w:val="16"/>
          <w:color w:val="auto"/>
        </w:rPr>
        <w:t>clinical studies with any product candidates; and</w:t>
      </w:r>
    </w:p>
    <w:p>
      <w:pPr>
        <w:spacing w:after="0" w:line="234" w:lineRule="exact"/>
        <w:rPr>
          <w:rFonts w:ascii="Arial" w:cs="Arial" w:eastAsia="Arial" w:hAnsi="Arial"/>
          <w:sz w:val="16"/>
          <w:szCs w:val="16"/>
          <w:color w:val="auto"/>
        </w:rPr>
      </w:pPr>
    </w:p>
    <w:p>
      <w:pPr>
        <w:ind w:left="760" w:hanging="378"/>
        <w:spacing w:after="0"/>
        <w:tabs>
          <w:tab w:leader="none" w:pos="7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maintain, expand, and protect our intellectual property portfolio.</w:t>
      </w:r>
    </w:p>
    <w:p>
      <w:pPr>
        <w:spacing w:after="0" w:line="235" w:lineRule="exact"/>
        <w:rPr>
          <w:sz w:val="20"/>
          <w:szCs w:val="20"/>
          <w:color w:val="auto"/>
        </w:rPr>
      </w:pPr>
    </w:p>
    <w:p>
      <w:pPr>
        <w:ind w:firstLine="749"/>
        <w:spacing w:after="0" w:line="269" w:lineRule="auto"/>
        <w:rPr>
          <w:sz w:val="20"/>
          <w:szCs w:val="20"/>
          <w:color w:val="auto"/>
        </w:rPr>
      </w:pPr>
      <w:r>
        <w:rPr>
          <w:rFonts w:ascii="Arial" w:cs="Arial" w:eastAsia="Arial" w:hAnsi="Arial"/>
          <w:sz w:val="16"/>
          <w:szCs w:val="16"/>
          <w:color w:val="auto"/>
        </w:rPr>
        <w:t>To become and remain profitable, we must succeed in developing (or in-licensing) and commercializing products that generate significant revenue. This will require us to be successful in a range of challenging activities, which may include completing preclinical testing and clinical trials of our product candidates, discovering additional product candidates, potentially entering into collaboration and license agreements, obtaining regulatory approval for product candidates and manufacturing, marketing, and selling any products for which we may obtain regulatory approval, achieving market acceptance of our products, satisfying any post-marketing requirements, maintaining appropriate distribution, setting prices, and obtaining reimbursement for our products from private insurance or government payors. We are only in the preliminary stages of some of these activities with respect to certain products and product candidates. We may never succeed in some of these activities and, even if we do, may never achieve profitability.</w:t>
      </w:r>
    </w:p>
    <w:p>
      <w:pPr>
        <w:spacing w:after="0" w:line="190" w:lineRule="exact"/>
        <w:rPr>
          <w:sz w:val="20"/>
          <w:szCs w:val="20"/>
          <w:color w:val="auto"/>
        </w:rPr>
      </w:pPr>
    </w:p>
    <w:p>
      <w:pPr>
        <w:ind w:right="120" w:firstLine="749"/>
        <w:spacing w:after="0" w:line="273" w:lineRule="auto"/>
        <w:rPr>
          <w:sz w:val="20"/>
          <w:szCs w:val="20"/>
          <w:color w:val="auto"/>
        </w:rPr>
      </w:pPr>
      <w:r>
        <w:rPr>
          <w:rFonts w:ascii="Arial" w:cs="Arial" w:eastAsia="Arial" w:hAnsi="Arial"/>
          <w:sz w:val="16"/>
          <w:szCs w:val="16"/>
          <w:color w:val="auto"/>
        </w:rPr>
        <w:t>Because of the numerous risks and uncertainties associated with pharmaceutical product development, we are unable to accurately predict the timing or amount of increased expenses we may incur or when, or if, we will be able to achieve profitability. If we are required by the FDA or comparable foreign regulatory authorities to perform studies in addition to those currently expected, or if there are any delays in completing our clinical trials or the development of any of our product candidates, our expenses could increase.</w:t>
      </w:r>
    </w:p>
    <w:p>
      <w:pPr>
        <w:spacing w:after="0" w:line="189" w:lineRule="exact"/>
        <w:rPr>
          <w:sz w:val="20"/>
          <w:szCs w:val="20"/>
          <w:color w:val="auto"/>
        </w:rPr>
      </w:pPr>
    </w:p>
    <w:p>
      <w:pPr>
        <w:ind w:right="40" w:firstLine="749"/>
        <w:spacing w:after="0" w:line="273" w:lineRule="auto"/>
        <w:rPr>
          <w:sz w:val="20"/>
          <w:szCs w:val="20"/>
          <w:color w:val="auto"/>
        </w:rPr>
      </w:pPr>
      <w:r>
        <w:rPr>
          <w:rFonts w:ascii="Arial" w:cs="Arial" w:eastAsia="Arial" w:hAnsi="Arial"/>
          <w:sz w:val="16"/>
          <w:szCs w:val="16"/>
          <w:color w:val="auto"/>
        </w:rPr>
        <w:t>Even if we do achieve profitability, we may not be able to sustain or increase profitability on a quarterly or annual basis. Our failure to become and remain profitable would depress the value of our company and could impair our ability to raise capital, expand our business, maintain our research and development efforts, diversify our product offerings, continue the commercialization of our products or even continue our operations. A decline in the value of our company could also cause you to lose all or part of your investment.</w:t>
      </w:r>
    </w:p>
    <w:p>
      <w:pPr>
        <w:spacing w:after="0" w:line="189" w:lineRule="exact"/>
        <w:rPr>
          <w:sz w:val="20"/>
          <w:szCs w:val="20"/>
          <w:color w:val="auto"/>
        </w:rPr>
      </w:pPr>
    </w:p>
    <w:p>
      <w:pPr>
        <w:ind w:right="20"/>
        <w:spacing w:after="0" w:line="328" w:lineRule="auto"/>
        <w:rPr>
          <w:sz w:val="20"/>
          <w:szCs w:val="20"/>
          <w:color w:val="auto"/>
        </w:rPr>
      </w:pPr>
      <w:r>
        <w:rPr>
          <w:rFonts w:ascii="Arial" w:cs="Arial" w:eastAsia="Arial" w:hAnsi="Arial"/>
          <w:sz w:val="15"/>
          <w:szCs w:val="15"/>
          <w:b w:val="1"/>
          <w:bCs w:val="1"/>
          <w:i w:val="1"/>
          <w:iCs w:val="1"/>
          <w:color w:val="auto"/>
        </w:rPr>
        <w:t>We may need additional funding to conduct our future clinical trials and to complete development and commercialization of our product candidates. If we are unable to raise capital when needed, we would be forced to delay, reduce, or eliminate our product development programs or commercialization efforts.</w:t>
      </w:r>
    </w:p>
    <w:p>
      <w:pPr>
        <w:spacing w:after="0" w:line="150" w:lineRule="exact"/>
        <w:rPr>
          <w:sz w:val="20"/>
          <w:szCs w:val="20"/>
          <w:color w:val="auto"/>
        </w:rPr>
      </w:pPr>
    </w:p>
    <w:p>
      <w:pPr>
        <w:ind w:right="360" w:firstLine="749"/>
        <w:spacing w:after="0" w:line="204" w:lineRule="exact"/>
        <w:rPr>
          <w:sz w:val="20"/>
          <w:szCs w:val="20"/>
          <w:color w:val="auto"/>
        </w:rPr>
      </w:pPr>
      <w:r>
        <w:rPr>
          <w:rFonts w:ascii="Arial" w:cs="Arial" w:eastAsia="Arial" w:hAnsi="Arial"/>
          <w:sz w:val="14"/>
          <w:szCs w:val="14"/>
          <w:color w:val="auto"/>
        </w:rPr>
        <w:t>Conducting clinical trials, pursuing regulatory approvals, establishing outsourced manufacturing relationships, and successfully manufacturing and commercializing our product candidates is a time</w:t>
      </w:r>
      <w:r>
        <w:rPr>
          <w:rFonts w:ascii="MS PGothic" w:cs="MS PGothic" w:eastAsia="MS PGothic" w:hAnsi="MS PGothic"/>
          <w:sz w:val="14"/>
          <w:szCs w:val="14"/>
          <w:color w:val="auto"/>
        </w:rPr>
        <w:t>‑</w:t>
      </w:r>
      <w:r>
        <w:rPr>
          <w:rFonts w:ascii="Arial" w:cs="Arial" w:eastAsia="Arial" w:hAnsi="Arial"/>
          <w:sz w:val="14"/>
          <w:szCs w:val="14"/>
          <w:color w:val="auto"/>
        </w:rPr>
        <w:t>consuming, expensive, and uncertain process that takes years to complete. We may need to raise additional capital to:</w:t>
      </w:r>
    </w:p>
    <w:p>
      <w:pPr>
        <w:spacing w:after="0" w:line="213" w:lineRule="exact"/>
        <w:rPr>
          <w:sz w:val="20"/>
          <w:szCs w:val="20"/>
          <w:color w:val="auto"/>
        </w:rPr>
      </w:pPr>
    </w:p>
    <w:p>
      <w:pPr>
        <w:ind w:left="760" w:right="340" w:hanging="378"/>
        <w:spacing w:after="0" w:line="293" w:lineRule="auto"/>
        <w:tabs>
          <w:tab w:leader="none" w:pos="7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fund our future clinical trials for our current product candidates, especially if we encounter any unforeseen delays or difficulties in our planned development activities;</w:t>
      </w:r>
    </w:p>
    <w:p>
      <w:pPr>
        <w:spacing w:after="0" w:line="171" w:lineRule="exact"/>
        <w:rPr>
          <w:rFonts w:ascii="Arial" w:cs="Arial" w:eastAsia="Arial" w:hAnsi="Arial"/>
          <w:sz w:val="16"/>
          <w:szCs w:val="16"/>
          <w:color w:val="auto"/>
        </w:rPr>
      </w:pPr>
    </w:p>
    <w:p>
      <w:pPr>
        <w:ind w:left="760" w:hanging="378"/>
        <w:spacing w:after="0"/>
        <w:tabs>
          <w:tab w:leader="none" w:pos="7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fund our operations and continue to commercialize our products;</w:t>
      </w:r>
    </w:p>
    <w:p>
      <w:pPr>
        <w:spacing w:after="0" w:line="234" w:lineRule="exact"/>
        <w:rPr>
          <w:rFonts w:ascii="Arial" w:cs="Arial" w:eastAsia="Arial" w:hAnsi="Arial"/>
          <w:sz w:val="16"/>
          <w:szCs w:val="16"/>
          <w:color w:val="auto"/>
        </w:rPr>
      </w:pPr>
    </w:p>
    <w:p>
      <w:pPr>
        <w:ind w:left="760" w:hanging="378"/>
        <w:spacing w:after="0" w:line="184" w:lineRule="exact"/>
        <w:tabs>
          <w:tab w:leader="none" w:pos="7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qualify and outsource the commercial</w:t>
      </w:r>
      <w:r>
        <w:rPr>
          <w:rFonts w:ascii="MS PGothic" w:cs="MS PGothic" w:eastAsia="MS PGothic" w:hAnsi="MS PGothic"/>
          <w:sz w:val="16"/>
          <w:szCs w:val="16"/>
          <w:color w:val="auto"/>
        </w:rPr>
        <w:t>‑</w:t>
      </w:r>
      <w:r>
        <w:rPr>
          <w:rFonts w:ascii="Arial" w:cs="Arial" w:eastAsia="Arial" w:hAnsi="Arial"/>
          <w:sz w:val="16"/>
          <w:szCs w:val="16"/>
          <w:color w:val="auto"/>
        </w:rPr>
        <w:t>scale manufacturing of our products under current good manufacturing practices, or cGMP;</w:t>
      </w: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48" w:name="page49"/>
    <w:bookmarkEnd w:id="48"/>
    <w:p>
      <w:pPr>
        <w:spacing w:after="0"/>
        <w:rPr>
          <w:sz w:val="20"/>
          <w:szCs w:val="20"/>
          <w:color w:val="auto"/>
        </w:rPr>
      </w:pPr>
      <w:r>
        <w:rPr>
          <w:rFonts w:ascii="Arial" w:cs="Arial" w:eastAsia="Arial" w:hAnsi="Arial"/>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3025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30250" cy="8890"/>
                    </a:xfrm>
                    <a:prstGeom prst="rect">
                      <a:avLst/>
                    </a:prstGeom>
                    <a:noFill/>
                  </pic:spPr>
                </pic:pic>
              </a:graphicData>
            </a:graphic>
          </wp:anchor>
        </w:drawing>
      </w:r>
    </w:p>
    <w:p>
      <w:pPr>
        <w:spacing w:after="0" w:line="215" w:lineRule="exact"/>
        <w:rPr>
          <w:sz w:val="20"/>
          <w:szCs w:val="20"/>
          <w:color w:val="auto"/>
        </w:rPr>
      </w:pPr>
    </w:p>
    <w:p>
      <w:pPr>
        <w:ind w:left="760" w:hanging="378"/>
        <w:spacing w:after="0"/>
        <w:tabs>
          <w:tab w:leader="none" w:pos="7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develop additional product candidates; and</w:t>
      </w:r>
    </w:p>
    <w:p>
      <w:pPr>
        <w:spacing w:after="0" w:line="234" w:lineRule="exact"/>
        <w:rPr>
          <w:rFonts w:ascii="Arial" w:cs="Arial" w:eastAsia="Arial" w:hAnsi="Arial"/>
          <w:sz w:val="16"/>
          <w:szCs w:val="16"/>
          <w:color w:val="auto"/>
        </w:rPr>
      </w:pPr>
    </w:p>
    <w:p>
      <w:pPr>
        <w:ind w:left="760" w:hanging="378"/>
        <w:spacing w:after="0" w:line="184" w:lineRule="exact"/>
        <w:tabs>
          <w:tab w:leader="none" w:pos="7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in</w:t>
      </w:r>
      <w:r>
        <w:rPr>
          <w:rFonts w:ascii="MS PGothic" w:cs="MS PGothic" w:eastAsia="MS PGothic" w:hAnsi="MS PGothic"/>
          <w:sz w:val="16"/>
          <w:szCs w:val="16"/>
          <w:color w:val="auto"/>
        </w:rPr>
        <w:t>‑</w:t>
      </w:r>
      <w:r>
        <w:rPr>
          <w:rFonts w:ascii="Arial" w:cs="Arial" w:eastAsia="Arial" w:hAnsi="Arial"/>
          <w:sz w:val="16"/>
          <w:szCs w:val="16"/>
          <w:color w:val="auto"/>
        </w:rPr>
        <w:t>license other product candidates.</w:t>
      </w:r>
    </w:p>
    <w:p>
      <w:pPr>
        <w:spacing w:after="0" w:line="235" w:lineRule="exact"/>
        <w:rPr>
          <w:sz w:val="20"/>
          <w:szCs w:val="20"/>
          <w:color w:val="auto"/>
        </w:rPr>
      </w:pPr>
    </w:p>
    <w:p>
      <w:pPr>
        <w:jc w:val="both"/>
        <w:ind w:right="100" w:firstLine="749"/>
        <w:spacing w:after="0" w:line="278" w:lineRule="auto"/>
        <w:rPr>
          <w:sz w:val="20"/>
          <w:szCs w:val="20"/>
          <w:color w:val="auto"/>
        </w:rPr>
      </w:pPr>
      <w:r>
        <w:rPr>
          <w:rFonts w:ascii="Arial" w:cs="Arial" w:eastAsia="Arial" w:hAnsi="Arial"/>
          <w:sz w:val="16"/>
          <w:szCs w:val="16"/>
          <w:color w:val="auto"/>
        </w:rPr>
        <w:t>We believe that our current cash is sufficient to fund anticipated operations into cash flow positivity, based on the current operating plan. Our assumptions may prove to be wrong, and we could spend our available financial resources faster than we currently expect. Further, we may not have sufficient financial resources to meet all of our objectives. Our future funding requirements will depend on many factors, including, but not limited to:</w:t>
      </w:r>
    </w:p>
    <w:p>
      <w:pPr>
        <w:spacing w:after="0" w:line="184" w:lineRule="exact"/>
        <w:rPr>
          <w:sz w:val="20"/>
          <w:szCs w:val="20"/>
          <w:color w:val="auto"/>
        </w:rPr>
      </w:pPr>
    </w:p>
    <w:p>
      <w:pPr>
        <w:ind w:left="760" w:hanging="378"/>
        <w:spacing w:after="0"/>
        <w:tabs>
          <w:tab w:leader="none" w:pos="7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rate of progress and costs related to the development of our product candidates, including the costs of preparing filings for regulatory approval;</w:t>
      </w:r>
    </w:p>
    <w:p>
      <w:pPr>
        <w:spacing w:after="0" w:line="234" w:lineRule="exact"/>
        <w:rPr>
          <w:rFonts w:ascii="Arial" w:cs="Arial" w:eastAsia="Arial" w:hAnsi="Arial"/>
          <w:sz w:val="16"/>
          <w:szCs w:val="16"/>
          <w:color w:val="auto"/>
        </w:rPr>
      </w:pPr>
    </w:p>
    <w:p>
      <w:pPr>
        <w:ind w:left="760" w:hanging="378"/>
        <w:spacing w:after="0"/>
        <w:tabs>
          <w:tab w:leader="none" w:pos="7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costs associated with conducting additional clinical and non-clinical studies with any of our product candidates;</w:t>
      </w:r>
    </w:p>
    <w:p>
      <w:pPr>
        <w:spacing w:after="0" w:line="234" w:lineRule="exact"/>
        <w:rPr>
          <w:rFonts w:ascii="Arial" w:cs="Arial" w:eastAsia="Arial" w:hAnsi="Arial"/>
          <w:sz w:val="16"/>
          <w:szCs w:val="16"/>
          <w:color w:val="auto"/>
        </w:rPr>
      </w:pPr>
    </w:p>
    <w:p>
      <w:pPr>
        <w:ind w:left="760" w:hanging="378"/>
        <w:spacing w:after="0"/>
        <w:tabs>
          <w:tab w:leader="none" w:pos="7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potential for delays in our efforts to seek regulatory approval for our product candidates, and any costs associated with such delays;</w:t>
      </w:r>
    </w:p>
    <w:p>
      <w:pPr>
        <w:spacing w:after="0" w:line="234" w:lineRule="exact"/>
        <w:rPr>
          <w:rFonts w:ascii="Arial" w:cs="Arial" w:eastAsia="Arial" w:hAnsi="Arial"/>
          <w:sz w:val="16"/>
          <w:szCs w:val="16"/>
          <w:color w:val="auto"/>
        </w:rPr>
      </w:pPr>
    </w:p>
    <w:p>
      <w:pPr>
        <w:ind w:left="760" w:hanging="378"/>
        <w:spacing w:after="0"/>
        <w:tabs>
          <w:tab w:leader="none" w:pos="7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costs associated with selling, marketing, and distributing our approved products;</w:t>
      </w:r>
    </w:p>
    <w:p>
      <w:pPr>
        <w:spacing w:after="0" w:line="234" w:lineRule="exact"/>
        <w:rPr>
          <w:rFonts w:ascii="Arial" w:cs="Arial" w:eastAsia="Arial" w:hAnsi="Arial"/>
          <w:sz w:val="16"/>
          <w:szCs w:val="16"/>
          <w:color w:val="auto"/>
        </w:rPr>
      </w:pPr>
    </w:p>
    <w:p>
      <w:pPr>
        <w:ind w:left="760" w:hanging="378"/>
        <w:spacing w:after="0"/>
        <w:tabs>
          <w:tab w:leader="none" w:pos="760" w:val="left"/>
        </w:tabs>
        <w:numPr>
          <w:ilvl w:val="0"/>
          <w:numId w:val="18"/>
        </w:numPr>
        <w:rPr>
          <w:rFonts w:ascii="Arial" w:cs="Arial" w:eastAsia="Arial" w:hAnsi="Arial"/>
          <w:sz w:val="15"/>
          <w:szCs w:val="15"/>
          <w:color w:val="auto"/>
        </w:rPr>
      </w:pPr>
      <w:r>
        <w:rPr>
          <w:rFonts w:ascii="Arial" w:cs="Arial" w:eastAsia="Arial" w:hAnsi="Arial"/>
          <w:sz w:val="15"/>
          <w:szCs w:val="15"/>
          <w:color w:val="auto"/>
        </w:rPr>
        <w:t>the costs of filing, prosecuting, defending, and enforcing any patent claims and other intellectual property rights associated with our product candidates;</w:t>
      </w:r>
    </w:p>
    <w:p>
      <w:pPr>
        <w:spacing w:after="0" w:line="246" w:lineRule="exact"/>
        <w:rPr>
          <w:rFonts w:ascii="Arial" w:cs="Arial" w:eastAsia="Arial" w:hAnsi="Arial"/>
          <w:sz w:val="15"/>
          <w:szCs w:val="15"/>
          <w:color w:val="auto"/>
        </w:rPr>
      </w:pPr>
    </w:p>
    <w:p>
      <w:pPr>
        <w:ind w:left="760" w:hanging="378"/>
        <w:spacing w:after="0"/>
        <w:tabs>
          <w:tab w:leader="none" w:pos="760" w:val="left"/>
        </w:tabs>
        <w:numPr>
          <w:ilvl w:val="0"/>
          <w:numId w:val="18"/>
        </w:numPr>
        <w:rPr>
          <w:rFonts w:ascii="Arial" w:cs="Arial" w:eastAsia="Arial" w:hAnsi="Arial"/>
          <w:sz w:val="15"/>
          <w:szCs w:val="15"/>
          <w:color w:val="auto"/>
        </w:rPr>
      </w:pPr>
      <w:r>
        <w:rPr>
          <w:rFonts w:ascii="Arial" w:cs="Arial" w:eastAsia="Arial" w:hAnsi="Arial"/>
          <w:sz w:val="15"/>
          <w:szCs w:val="15"/>
          <w:color w:val="auto"/>
        </w:rPr>
        <w:t>the cost and timing of manufacturing, or having third parties manufacture, sufficient supplies of our product candidates in preparation for commercialization;</w:t>
      </w:r>
    </w:p>
    <w:p>
      <w:pPr>
        <w:spacing w:after="0" w:line="246" w:lineRule="exact"/>
        <w:rPr>
          <w:rFonts w:ascii="Arial" w:cs="Arial" w:eastAsia="Arial" w:hAnsi="Arial"/>
          <w:sz w:val="15"/>
          <w:szCs w:val="15"/>
          <w:color w:val="auto"/>
        </w:rPr>
      </w:pPr>
    </w:p>
    <w:p>
      <w:pPr>
        <w:ind w:left="760" w:hanging="378"/>
        <w:spacing w:after="0"/>
        <w:tabs>
          <w:tab w:leader="none" w:pos="7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effect of competing technological and market developments;</w:t>
      </w:r>
    </w:p>
    <w:p>
      <w:pPr>
        <w:spacing w:after="0" w:line="234" w:lineRule="exact"/>
        <w:rPr>
          <w:rFonts w:ascii="Arial" w:cs="Arial" w:eastAsia="Arial" w:hAnsi="Arial"/>
          <w:sz w:val="16"/>
          <w:szCs w:val="16"/>
          <w:color w:val="auto"/>
        </w:rPr>
      </w:pPr>
    </w:p>
    <w:p>
      <w:pPr>
        <w:ind w:left="760" w:hanging="378"/>
        <w:spacing w:after="0"/>
        <w:tabs>
          <w:tab w:leader="none" w:pos="7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revenues from commercial sales of our approved products;</w:t>
      </w:r>
    </w:p>
    <w:p>
      <w:pPr>
        <w:spacing w:after="0" w:line="234" w:lineRule="exact"/>
        <w:rPr>
          <w:rFonts w:ascii="Arial" w:cs="Arial" w:eastAsia="Arial" w:hAnsi="Arial"/>
          <w:sz w:val="16"/>
          <w:szCs w:val="16"/>
          <w:color w:val="auto"/>
        </w:rPr>
      </w:pPr>
    </w:p>
    <w:p>
      <w:pPr>
        <w:ind w:left="760" w:hanging="378"/>
        <w:spacing w:after="0" w:line="184" w:lineRule="exact"/>
        <w:tabs>
          <w:tab w:leader="none" w:pos="7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terms and timing of any collaborative, licensing, co</w:t>
      </w:r>
      <w:r>
        <w:rPr>
          <w:rFonts w:ascii="MS PGothic" w:cs="MS PGothic" w:eastAsia="MS PGothic" w:hAnsi="MS PGothic"/>
          <w:sz w:val="16"/>
          <w:szCs w:val="16"/>
          <w:color w:val="auto"/>
        </w:rPr>
        <w:t>‑</w:t>
      </w:r>
      <w:r>
        <w:rPr>
          <w:rFonts w:ascii="Arial" w:cs="Arial" w:eastAsia="Arial" w:hAnsi="Arial"/>
          <w:sz w:val="16"/>
          <w:szCs w:val="16"/>
          <w:color w:val="auto"/>
        </w:rPr>
        <w:t>promotion, or other arrangements that we may establish; and</w:t>
      </w:r>
    </w:p>
    <w:p>
      <w:pPr>
        <w:spacing w:after="0" w:line="234" w:lineRule="exact"/>
        <w:rPr>
          <w:rFonts w:ascii="Arial" w:cs="Arial" w:eastAsia="Arial" w:hAnsi="Arial"/>
          <w:sz w:val="16"/>
          <w:szCs w:val="16"/>
          <w:color w:val="auto"/>
        </w:rPr>
      </w:pPr>
    </w:p>
    <w:p>
      <w:pPr>
        <w:ind w:left="760" w:hanging="378"/>
        <w:spacing w:after="0"/>
        <w:tabs>
          <w:tab w:leader="none" w:pos="7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success of the commercialization of any of our current products and, if approved, any of our product candidates.</w:t>
      </w:r>
    </w:p>
    <w:p>
      <w:pPr>
        <w:spacing w:after="0" w:line="235" w:lineRule="exact"/>
        <w:rPr>
          <w:sz w:val="20"/>
          <w:szCs w:val="20"/>
          <w:color w:val="auto"/>
        </w:rPr>
      </w:pPr>
    </w:p>
    <w:p>
      <w:pPr>
        <w:ind w:firstLine="749"/>
        <w:spacing w:after="0" w:line="271" w:lineRule="auto"/>
        <w:rPr>
          <w:sz w:val="20"/>
          <w:szCs w:val="20"/>
          <w:color w:val="auto"/>
        </w:rPr>
      </w:pPr>
      <w:r>
        <w:rPr>
          <w:rFonts w:ascii="Arial" w:cs="Arial" w:eastAsia="Arial" w:hAnsi="Arial"/>
          <w:sz w:val="16"/>
          <w:szCs w:val="16"/>
          <w:color w:val="auto"/>
        </w:rPr>
        <w:t>Future capital requirements will also depend on the extent to which we acquire or invest in additional businesses, products, and technologies. Until we can generate a sufficient amount of product revenue, if ever, we may finance future cash needs through public or private equity offerings, debt financings, royalties, and corporate collaboration and licensing arrangements, as well as through interest income earned on cash and investment balances. We cannot be certain that additional funding will be available on acceptable terms, or at all. If adequate funds are not available, we may be required to delay, reduce the scope of, or eliminate one or more of our development programs or our commercialization efforts.</w:t>
      </w:r>
    </w:p>
    <w:p>
      <w:pPr>
        <w:spacing w:after="0" w:line="190" w:lineRule="exact"/>
        <w:rPr>
          <w:sz w:val="20"/>
          <w:szCs w:val="20"/>
          <w:color w:val="auto"/>
        </w:rPr>
      </w:pPr>
    </w:p>
    <w:p>
      <w:pPr>
        <w:ind w:right="60"/>
        <w:spacing w:after="0" w:line="369" w:lineRule="auto"/>
        <w:rPr>
          <w:sz w:val="20"/>
          <w:szCs w:val="20"/>
          <w:color w:val="auto"/>
        </w:rPr>
      </w:pPr>
      <w:r>
        <w:rPr>
          <w:rFonts w:ascii="Arial" w:cs="Arial" w:eastAsia="Arial" w:hAnsi="Arial"/>
          <w:sz w:val="14"/>
          <w:szCs w:val="14"/>
          <w:b w:val="1"/>
          <w:bCs w:val="1"/>
          <w:i w:val="1"/>
          <w:iCs w:val="1"/>
          <w:color w:val="auto"/>
        </w:rPr>
        <w:t>Our operating activities may be restricted as a result of covenants related to the outstanding indebtedness under our loan and security agreement with Hercules and we may be required to repay the outstanding indebtedness in an event of default, which could have a materially adverse effect on our business.</w:t>
      </w:r>
    </w:p>
    <w:p>
      <w:pPr>
        <w:spacing w:after="0" w:line="126" w:lineRule="exact"/>
        <w:rPr>
          <w:sz w:val="20"/>
          <w:szCs w:val="20"/>
          <w:color w:val="auto"/>
        </w:rPr>
      </w:pPr>
    </w:p>
    <w:p>
      <w:pPr>
        <w:ind w:right="40" w:firstLine="749"/>
        <w:spacing w:after="0" w:line="287" w:lineRule="auto"/>
        <w:rPr>
          <w:sz w:val="20"/>
          <w:szCs w:val="20"/>
          <w:color w:val="auto"/>
        </w:rPr>
      </w:pPr>
      <w:r>
        <w:rPr>
          <w:rFonts w:ascii="Arial" w:cs="Arial" w:eastAsia="Arial" w:hAnsi="Arial"/>
          <w:sz w:val="15"/>
          <w:szCs w:val="15"/>
          <w:color w:val="auto"/>
        </w:rPr>
        <w:t>In September 2020, we entered into a Loan and Security Agreement, or the Loan Agreement, for a term loan, which we refer to as the 2020 Term Loan, with Hercules Capital, Inc., or Hercules, in its capacity as administrative agent and collateral agent and as a lender, and the other financial institutions that from time to time become parties to the Loan Agreement, collectively referred to as the Lenders, secured by a lien on substantially all of our assets, including intellectual property. In October 2021, we entered into a First Amendment to the Loan Agreement to, among other things, increase the size of the 2020 Term Loan. In March 2022, we entered into a Second Amendment to the Loan Agreement that, among other things, changed the terms of the Term Loan Advances (as defined in the Loan Agreement) upon the consummation of the Acquisition (as defined in the Loan Agreement). In January 2023, we entered into a Third Amendment to the Loan Agreement that amended the terms of the Loan Agreement to, among other things, increase the size of the aggregate principal amount under the 2020 Term Loan from $300.0 million to $350.0 million, reduce the interest rate, and extend the maturity and interest-only period of the Loan Agreement. In May 2023, we entered into a Waiver and Fourth Amendment to the Loan Agreement that increased the amount of cash that could be held by the Malta Subsidiary outside of the United States and waived any purported default with respect to the amount of cash held by the Malta Subsidiary prior to the date of the Fourth Amendment.</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 w:right="379" w:bottom="1440" w:gutter="0" w:footer="0" w:header="0"/>
        </w:sectPr>
      </w:pPr>
    </w:p>
    <w:bookmarkStart w:id="49" w:name="page50"/>
    <w:bookmarkEnd w:id="49"/>
    <w:p>
      <w:pPr>
        <w:spacing w:after="0"/>
        <w:rPr>
          <w:sz w:val="20"/>
          <w:szCs w:val="20"/>
          <w:color w:val="auto"/>
        </w:rPr>
      </w:pPr>
      <w:r>
        <w:rPr>
          <w:rFonts w:ascii="Arial" w:cs="Arial" w:eastAsia="Arial" w:hAnsi="Arial"/>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3025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30250" cy="8255"/>
                    </a:xfrm>
                    <a:prstGeom prst="rect">
                      <a:avLst/>
                    </a:prstGeom>
                    <a:noFill/>
                  </pic:spPr>
                </pic:pic>
              </a:graphicData>
            </a:graphic>
          </wp:anchor>
        </w:drawing>
      </w:r>
    </w:p>
    <w:p>
      <w:pPr>
        <w:spacing w:after="0" w:line="215" w:lineRule="exact"/>
        <w:rPr>
          <w:sz w:val="20"/>
          <w:szCs w:val="20"/>
          <w:color w:val="auto"/>
        </w:rPr>
      </w:pPr>
    </w:p>
    <w:p>
      <w:pPr>
        <w:ind w:firstLine="749"/>
        <w:spacing w:after="0" w:line="273" w:lineRule="auto"/>
        <w:rPr>
          <w:sz w:val="20"/>
          <w:szCs w:val="20"/>
          <w:color w:val="auto"/>
        </w:rPr>
      </w:pPr>
      <w:r>
        <w:rPr>
          <w:rFonts w:ascii="Arial" w:cs="Arial" w:eastAsia="Arial" w:hAnsi="Arial"/>
          <w:sz w:val="16"/>
          <w:szCs w:val="16"/>
          <w:color w:val="auto"/>
        </w:rPr>
        <w:t>The Loan Agreement contains various covenants that limit our ability to engage in specified types of transactions. These covenants limit our ability to, among other things, sell, transfer, lease or dispose of certain assets; incur indebtedness; encumber or permit liens on certain assets; make certain investments; make certain restricted payments, including paying dividends on, or repurchasing or making distributions with respect to, our common stock; and enter into certain transactions with affiliates. Our business may be adversely affected by these restrictions on our ability to operate our business.</w:t>
      </w:r>
    </w:p>
    <w:p>
      <w:pPr>
        <w:spacing w:after="0" w:line="189" w:lineRule="exact"/>
        <w:rPr>
          <w:sz w:val="20"/>
          <w:szCs w:val="20"/>
          <w:color w:val="auto"/>
        </w:rPr>
      </w:pPr>
    </w:p>
    <w:p>
      <w:pPr>
        <w:ind w:right="500" w:firstLine="749"/>
        <w:spacing w:after="0" w:line="293" w:lineRule="auto"/>
        <w:rPr>
          <w:sz w:val="20"/>
          <w:szCs w:val="20"/>
          <w:color w:val="auto"/>
        </w:rPr>
      </w:pPr>
      <w:r>
        <w:rPr>
          <w:rFonts w:ascii="Arial" w:cs="Arial" w:eastAsia="Arial" w:hAnsi="Arial"/>
          <w:sz w:val="16"/>
          <w:szCs w:val="16"/>
          <w:color w:val="auto"/>
        </w:rPr>
        <w:t>The covenants under the Loan Agreement also require maintaining a minimum amount of cash in an account or accounts in which the Lenders have a first priority security interest.</w:t>
      </w:r>
    </w:p>
    <w:p>
      <w:pPr>
        <w:spacing w:after="0" w:line="172" w:lineRule="exact"/>
        <w:rPr>
          <w:sz w:val="20"/>
          <w:szCs w:val="20"/>
          <w:color w:val="auto"/>
        </w:rPr>
      </w:pPr>
    </w:p>
    <w:p>
      <w:pPr>
        <w:ind w:right="180" w:firstLine="749"/>
        <w:spacing w:after="0" w:line="335" w:lineRule="auto"/>
        <w:rPr>
          <w:sz w:val="20"/>
          <w:szCs w:val="20"/>
          <w:color w:val="auto"/>
        </w:rPr>
      </w:pPr>
      <w:r>
        <w:rPr>
          <w:rFonts w:ascii="Arial" w:cs="Arial" w:eastAsia="Arial" w:hAnsi="Arial"/>
          <w:sz w:val="14"/>
          <w:szCs w:val="14"/>
          <w:color w:val="auto"/>
        </w:rPr>
        <w:t>A breach of any of the covenants under the Loan Agreement could result in a default under the 2020 Term Loan. Upon the occurrence of an event of default under the 2020 Term Loan, the Lenders could elect to declare all amounts outstanding, if any, to be immediately due and payable and terminate all commitments to extend further credit. If there are any amounts outstanding that we are unable to repay, the Lenders could proceed against the collateral granted to it to secure such indebtedness.</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have a limited operating history of commercializing products, which may make it difficult to evaluate our business and prospects.</w:t>
      </w:r>
    </w:p>
    <w:p>
      <w:pPr>
        <w:spacing w:after="0" w:line="235" w:lineRule="exact"/>
        <w:rPr>
          <w:sz w:val="20"/>
          <w:szCs w:val="20"/>
          <w:color w:val="auto"/>
        </w:rPr>
      </w:pPr>
    </w:p>
    <w:p>
      <w:pPr>
        <w:ind w:right="100" w:firstLine="749"/>
        <w:spacing w:after="0" w:line="273" w:lineRule="auto"/>
        <w:rPr>
          <w:sz w:val="20"/>
          <w:szCs w:val="20"/>
          <w:color w:val="auto"/>
        </w:rPr>
      </w:pPr>
      <w:r>
        <w:rPr>
          <w:rFonts w:ascii="Arial" w:cs="Arial" w:eastAsia="Arial" w:hAnsi="Arial"/>
          <w:sz w:val="16"/>
          <w:szCs w:val="16"/>
          <w:color w:val="auto"/>
        </w:rPr>
        <w:t>We are an early-stage commercial company. Prior to our commercialization of Auvelity and Sunosi in 2022, we had not obtained marketing approvals for any product candidates, manufactured products on a commercial scale or arranged for a third-party to do so on our behalf, or conducted sales and marketing activities necessary for successful commercialization. Consequently, predictions about our future success or viability may not be as accurate as they would be if we had a longer history of successfully developing and commercializing products.</w:t>
      </w:r>
    </w:p>
    <w:p>
      <w:pPr>
        <w:spacing w:after="0" w:line="189" w:lineRule="exact"/>
        <w:rPr>
          <w:sz w:val="20"/>
          <w:szCs w:val="20"/>
          <w:color w:val="auto"/>
        </w:rPr>
      </w:pPr>
    </w:p>
    <w:p>
      <w:pPr>
        <w:jc w:val="both"/>
        <w:ind w:firstLine="749"/>
        <w:spacing w:after="0" w:line="305" w:lineRule="auto"/>
        <w:rPr>
          <w:sz w:val="20"/>
          <w:szCs w:val="20"/>
          <w:color w:val="auto"/>
        </w:rPr>
      </w:pPr>
      <w:r>
        <w:rPr>
          <w:rFonts w:ascii="Arial" w:cs="Arial" w:eastAsia="Arial" w:hAnsi="Arial"/>
          <w:sz w:val="15"/>
          <w:szCs w:val="15"/>
          <w:color w:val="auto"/>
        </w:rPr>
        <w:t>We expect our financial condition and operating results to continue to fluctuate from quarter to quarter and year to year due to a variety of factors, many of which are beyond our control. We have transitioned from a company with solely a research and development focus to a company also capable of undertaking commercial activities. We may encounter unforeseen expenses, difficulties, complications and delays, and may not be successful in such a transition.</w:t>
      </w:r>
    </w:p>
    <w:p>
      <w:pPr>
        <w:spacing w:after="0" w:line="166" w:lineRule="exact"/>
        <w:rPr>
          <w:sz w:val="20"/>
          <w:szCs w:val="20"/>
          <w:color w:val="auto"/>
        </w:rPr>
      </w:pPr>
    </w:p>
    <w:p>
      <w:pPr>
        <w:ind w:right="260"/>
        <w:spacing w:after="0" w:line="278" w:lineRule="auto"/>
        <w:rPr>
          <w:sz w:val="20"/>
          <w:szCs w:val="20"/>
          <w:color w:val="auto"/>
        </w:rPr>
      </w:pPr>
      <w:r>
        <w:rPr>
          <w:rFonts w:ascii="Arial" w:cs="Arial" w:eastAsia="Arial" w:hAnsi="Arial"/>
          <w:sz w:val="16"/>
          <w:szCs w:val="16"/>
          <w:b w:val="1"/>
          <w:bCs w:val="1"/>
          <w:i w:val="1"/>
          <w:iCs w:val="1"/>
          <w:color w:val="auto"/>
        </w:rPr>
        <w:t>We are currently operating in a period of economic uncertainty and capital markets disruption, which has been significantly impacted by geopolitical instability. Our business, financial condition and results of operations could be materially adversely affected by any negative impact on the global economy and capital markets resulting from geopolitical tensions.</w:t>
      </w:r>
    </w:p>
    <w:p>
      <w:pPr>
        <w:spacing w:after="0" w:line="184" w:lineRule="exact"/>
        <w:rPr>
          <w:sz w:val="20"/>
          <w:szCs w:val="20"/>
          <w:color w:val="auto"/>
        </w:rPr>
      </w:pPr>
    </w:p>
    <w:p>
      <w:pPr>
        <w:ind w:right="40" w:firstLine="749"/>
        <w:spacing w:after="0" w:line="297" w:lineRule="auto"/>
        <w:rPr>
          <w:sz w:val="20"/>
          <w:szCs w:val="20"/>
          <w:color w:val="auto"/>
        </w:rPr>
      </w:pPr>
      <w:r>
        <w:rPr>
          <w:rFonts w:ascii="Arial" w:cs="Arial" w:eastAsia="Arial" w:hAnsi="Arial"/>
          <w:sz w:val="15"/>
          <w:szCs w:val="15"/>
          <w:color w:val="auto"/>
        </w:rPr>
        <w:t>U.S. and global markets are experiencing volatility and disruption following the escalation of geopolitical tensions and the start of the military conflict between Russia and Ukraine. On February 24, 2022, a full-scale military invasion of Ukraine by Russian troops was reported. Although the length and impact of the ongoing military conflict is highly unpredictable, the conflict in Ukraine could lead to market disruptions, including significant volatility in commodity prices, credit and capital markets, as well as supply chain interruptions. We are continuing to monitor the situation in Ukraine and globally and assessing its potential impact on our business.</w:t>
      </w:r>
    </w:p>
    <w:p>
      <w:pPr>
        <w:spacing w:after="0" w:line="172" w:lineRule="exact"/>
        <w:rPr>
          <w:sz w:val="20"/>
          <w:szCs w:val="20"/>
          <w:color w:val="auto"/>
        </w:rPr>
      </w:pPr>
    </w:p>
    <w:p>
      <w:pPr>
        <w:ind w:right="60" w:firstLine="749"/>
        <w:spacing w:after="0" w:line="273" w:lineRule="auto"/>
        <w:rPr>
          <w:sz w:val="20"/>
          <w:szCs w:val="20"/>
          <w:color w:val="auto"/>
        </w:rPr>
      </w:pPr>
      <w:r>
        <w:rPr>
          <w:rFonts w:ascii="Arial" w:cs="Arial" w:eastAsia="Arial" w:hAnsi="Arial"/>
          <w:sz w:val="16"/>
          <w:szCs w:val="16"/>
          <w:color w:val="auto"/>
        </w:rPr>
        <w:t>Additionally, the military conflict in Ukraine has led to sanctions and other penalties being levied by the United States, European Union and other countries against Russia. Additional potential sanctions and penalties have also been proposed and/or threatened. Russian military actions and the resulting sanctions could adversely affect the global economy and financial markets and lead to instability and lack of liquidity in capital markets, potentially making it more difficult for us to obtain additional funds.</w:t>
      </w:r>
    </w:p>
    <w:p>
      <w:pPr>
        <w:spacing w:after="0" w:line="189" w:lineRule="exact"/>
        <w:rPr>
          <w:sz w:val="20"/>
          <w:szCs w:val="20"/>
          <w:color w:val="auto"/>
        </w:rPr>
      </w:pPr>
    </w:p>
    <w:p>
      <w:pPr>
        <w:ind w:right="240" w:firstLine="749"/>
        <w:spacing w:after="0" w:line="273" w:lineRule="auto"/>
        <w:rPr>
          <w:sz w:val="20"/>
          <w:szCs w:val="20"/>
          <w:color w:val="auto"/>
        </w:rPr>
      </w:pPr>
      <w:r>
        <w:rPr>
          <w:rFonts w:ascii="Arial" w:cs="Arial" w:eastAsia="Arial" w:hAnsi="Arial"/>
          <w:sz w:val="16"/>
          <w:szCs w:val="16"/>
          <w:color w:val="auto"/>
        </w:rPr>
        <w:t>Furthermore, because of current geopolitical tensions, the Biden administration has recently signed multiple executive orders regarding China. One particular executive order titled Advancing Biotechnology and Biomanufacturing Innovation for a Sustainable, Safe, and Secure American Bioeconomy, signed on September 12, 2022, will likely impact the pharmaceutical industry to encourage U.S. domestic manufacturing of pharmaceutical products. Any additional executive orders regarding or potential sanctions on China could materially impact our current manufacturing partners.</w:t>
      </w:r>
    </w:p>
    <w:p>
      <w:pPr>
        <w:spacing w:after="0" w:line="189" w:lineRule="exact"/>
        <w:rPr>
          <w:sz w:val="20"/>
          <w:szCs w:val="20"/>
          <w:color w:val="auto"/>
        </w:rPr>
      </w:pPr>
    </w:p>
    <w:p>
      <w:pPr>
        <w:ind w:right="60" w:firstLine="749"/>
        <w:spacing w:after="0" w:line="273" w:lineRule="auto"/>
        <w:rPr>
          <w:sz w:val="20"/>
          <w:szCs w:val="20"/>
          <w:color w:val="auto"/>
        </w:rPr>
      </w:pPr>
      <w:r>
        <w:rPr>
          <w:rFonts w:ascii="Arial" w:cs="Arial" w:eastAsia="Arial" w:hAnsi="Arial"/>
          <w:sz w:val="16"/>
          <w:szCs w:val="16"/>
          <w:color w:val="auto"/>
        </w:rPr>
        <w:t>Although our business has not been materially impacted by these geopolitical issues to date, it is impossible to predict the extent to which our operations, or those of our suppliers and manufacturers, will be impacted in the short and long term, or the ways in which the conflict may impact our business. The extent and duration of the military action, sanctions and resulting market disruptions are impossible to predict, but could be substantial. Any such disruptions may also magnify the impact of other risks described herein.</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0" w:name="page51"/>
    <w:bookmarkEnd w:id="50"/>
    <w:p>
      <w:pPr>
        <w:spacing w:after="0"/>
        <w:rPr>
          <w:sz w:val="20"/>
          <w:szCs w:val="20"/>
          <w:color w:val="auto"/>
        </w:rPr>
      </w:pPr>
      <w:r>
        <w:rPr>
          <w:rFonts w:ascii="Arial" w:cs="Arial" w:eastAsia="Arial" w:hAnsi="Arial"/>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3025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30250" cy="8255"/>
                    </a:xfrm>
                    <a:prstGeom prst="rect">
                      <a:avLst/>
                    </a:prstGeom>
                    <a:noFill/>
                  </pic:spPr>
                </pic:pic>
              </a:graphicData>
            </a:graphic>
          </wp:anchor>
        </w:drawing>
      </w:r>
    </w:p>
    <w:p>
      <w:pPr>
        <w:spacing w:after="0" w:line="21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Climate change or legal, regulatory or market measures to address climate change may negatively affect our business, results of operations, cash flows and prospects.</w:t>
      </w:r>
    </w:p>
    <w:p>
      <w:pPr>
        <w:spacing w:after="0" w:line="258" w:lineRule="exact"/>
        <w:rPr>
          <w:sz w:val="20"/>
          <w:szCs w:val="20"/>
          <w:color w:val="auto"/>
        </w:rPr>
      </w:pPr>
    </w:p>
    <w:p>
      <w:pPr>
        <w:ind w:right="40" w:firstLine="749"/>
        <w:spacing w:after="0" w:line="273" w:lineRule="auto"/>
        <w:rPr>
          <w:sz w:val="20"/>
          <w:szCs w:val="20"/>
          <w:color w:val="auto"/>
        </w:rPr>
      </w:pPr>
      <w:r>
        <w:rPr>
          <w:rFonts w:ascii="Arial" w:cs="Arial" w:eastAsia="Arial" w:hAnsi="Arial"/>
          <w:sz w:val="16"/>
          <w:szCs w:val="16"/>
          <w:color w:val="auto"/>
        </w:rPr>
        <w:t>We believe that climate change has the potential to negatively affect our business and results of operations, cash flows and prospects. We are exposed to physical risks (such as extreme weather conditions or rising sea levels), risks in transitioning to a low-carbon economy (such as additional legal or regulatory requirements, changes in technology, market risk and reputational risk) and social and human effects (such as population dislocations and harm to health and well-being) associated with climate change. These risks can be either acute (short-term) or chronic (long-term).</w:t>
      </w:r>
    </w:p>
    <w:p>
      <w:pPr>
        <w:spacing w:after="0" w:line="189" w:lineRule="exact"/>
        <w:rPr>
          <w:sz w:val="20"/>
          <w:szCs w:val="20"/>
          <w:color w:val="auto"/>
        </w:rPr>
      </w:pPr>
    </w:p>
    <w:p>
      <w:pPr>
        <w:ind w:firstLine="749"/>
        <w:spacing w:after="0" w:line="293" w:lineRule="auto"/>
        <w:rPr>
          <w:sz w:val="20"/>
          <w:szCs w:val="20"/>
          <w:color w:val="auto"/>
        </w:rPr>
      </w:pPr>
      <w:r>
        <w:rPr>
          <w:rFonts w:ascii="Arial" w:cs="Arial" w:eastAsia="Arial" w:hAnsi="Arial"/>
          <w:sz w:val="15"/>
          <w:szCs w:val="15"/>
          <w:color w:val="auto"/>
        </w:rPr>
        <w:t>The adverse impacts of climate change include increased frequency and severity of natural disasters and extreme weather events such as hurricanes, tornados, wildfires (exacerbated by drought), flooding, and extreme heat. Extreme weather and sea-level rise pose physical risks to our facilities as well as those of our suppliers. Such risks include losses incurred as a result of physical damage to facilities, loss or spoilage of inventory, and business interruption caused by such natural disasters and extreme weather events. Other potential physical impacts due to climate change include reduced access to high-quality water in certain regions and the loss of biodiversity, which could impact future product development. These risks could disrupt our operations and its supply chain, which may result in increased costs.</w:t>
      </w:r>
    </w:p>
    <w:p>
      <w:pPr>
        <w:spacing w:after="0" w:line="176" w:lineRule="exact"/>
        <w:rPr>
          <w:sz w:val="20"/>
          <w:szCs w:val="20"/>
          <w:color w:val="auto"/>
        </w:rPr>
      </w:pPr>
    </w:p>
    <w:p>
      <w:pPr>
        <w:ind w:firstLine="749"/>
        <w:spacing w:after="0" w:line="271" w:lineRule="auto"/>
        <w:rPr>
          <w:sz w:val="20"/>
          <w:szCs w:val="20"/>
          <w:color w:val="auto"/>
        </w:rPr>
      </w:pPr>
      <w:r>
        <w:rPr>
          <w:rFonts w:ascii="Arial" w:cs="Arial" w:eastAsia="Arial" w:hAnsi="Arial"/>
          <w:sz w:val="16"/>
          <w:szCs w:val="16"/>
          <w:color w:val="auto"/>
        </w:rPr>
        <w:t>New legal or regulatory requirements may be enacted to prevent, mitigate, or adapt to the implications of a changing climate and its effects on the environment. These regulations, which may differ across jurisdictions, could result in us being subject to new or expanded carbon pricing or taxes, increased compliance costs, restrictions on greenhouse gas emissions, investment in new technologies, increased carbon disclosure and transparency, upgrade of facilities to meet new building codes, and the redesign of utility systems, which could increase our operating costs, including the cost of electricity and energy used by us. Our supply chain would likely be subject to these same transitional risks and would likely pass along any increased costs to us.</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RELATED TO OUR BUSINESS AND THE DEVELOPMENT OF OUR PRODUCT CANDIDATES</w:t>
      </w:r>
    </w:p>
    <w:p>
      <w:pPr>
        <w:spacing w:after="0" w:line="239" w:lineRule="exact"/>
        <w:rPr>
          <w:sz w:val="20"/>
          <w:szCs w:val="20"/>
          <w:color w:val="auto"/>
        </w:rPr>
      </w:pPr>
    </w:p>
    <w:p>
      <w:pPr>
        <w:ind w:right="420"/>
        <w:spacing w:after="0" w:line="293" w:lineRule="auto"/>
        <w:rPr>
          <w:sz w:val="20"/>
          <w:szCs w:val="20"/>
          <w:color w:val="auto"/>
        </w:rPr>
      </w:pPr>
      <w:r>
        <w:rPr>
          <w:rFonts w:ascii="Arial" w:cs="Arial" w:eastAsia="Arial" w:hAnsi="Arial"/>
          <w:sz w:val="16"/>
          <w:szCs w:val="16"/>
          <w:b w:val="1"/>
          <w:bCs w:val="1"/>
          <w:i w:val="1"/>
          <w:iCs w:val="1"/>
          <w:color w:val="auto"/>
        </w:rPr>
        <w:t>We are substantially dependent on the success of our products and cannot guarantee that any of our product candidates will successfully complete any planned or ongoing clinical trials, receive regulatory approval, or be successfully commercialized.</w:t>
      </w:r>
    </w:p>
    <w:p>
      <w:pPr>
        <w:spacing w:after="0" w:line="172" w:lineRule="exact"/>
        <w:rPr>
          <w:sz w:val="20"/>
          <w:szCs w:val="20"/>
          <w:color w:val="auto"/>
        </w:rPr>
      </w:pPr>
    </w:p>
    <w:p>
      <w:pPr>
        <w:ind w:right="100" w:firstLine="749"/>
        <w:spacing w:after="0" w:line="268" w:lineRule="auto"/>
        <w:rPr>
          <w:sz w:val="20"/>
          <w:szCs w:val="20"/>
          <w:color w:val="auto"/>
        </w:rPr>
      </w:pPr>
      <w:r>
        <w:rPr>
          <w:rFonts w:ascii="Arial" w:cs="Arial" w:eastAsia="Arial" w:hAnsi="Arial"/>
          <w:sz w:val="16"/>
          <w:szCs w:val="16"/>
          <w:color w:val="auto"/>
        </w:rPr>
        <w:t>We currently have two products approved for commercial distribution. We have invested a significant portion of our efforts and financial resources in the development of our product candidates. Our business, including our ability to generate revenue, depends entirely on the successful commercialization of Sunosi and Auvelity and the successful development and commercialization of our product candidates and/or future in-licensing activities, which may never occur. Furthermore, given the nature of our business, the biopharmaceutical industry in general and the uncertainty and costs associated with developing and commercializing our products within a complicated and costly regulatory regime, our goals, plans and assumptions with respect to our products may evolve or change. For example, we may not continue to emphasize, focus our research and development efforts on or direct resources to certain of our product candidates, and we may shift our focus and resources to our other current or future products. Any such change in our business strategy could harm our business, cause uncertainty or confusion in the marketplace or harm the clinical prospects of our products.</w:t>
      </w:r>
    </w:p>
    <w:p>
      <w:pPr>
        <w:spacing w:after="0" w:line="192" w:lineRule="exact"/>
        <w:rPr>
          <w:sz w:val="20"/>
          <w:szCs w:val="20"/>
          <w:color w:val="auto"/>
        </w:rPr>
      </w:pPr>
    </w:p>
    <w:p>
      <w:pPr>
        <w:ind w:right="40" w:firstLine="749"/>
        <w:spacing w:after="0" w:line="273" w:lineRule="auto"/>
        <w:rPr>
          <w:sz w:val="20"/>
          <w:szCs w:val="20"/>
          <w:color w:val="auto"/>
        </w:rPr>
      </w:pPr>
      <w:r>
        <w:rPr>
          <w:rFonts w:ascii="Arial" w:cs="Arial" w:eastAsia="Arial" w:hAnsi="Arial"/>
          <w:sz w:val="16"/>
          <w:szCs w:val="16"/>
          <w:color w:val="auto"/>
        </w:rPr>
        <w:t>Our product candidates will require additional clinical and non-clinical development, regulatory approval, commercial manufacturing arrangements, significant marketing efforts, and further investment before we generate any revenues from the sale of such product candidates. A Phase 3 trial with AXS-05 in AD agitation, a Phase 3 trial with AXS-12 in narcolepsy, and a Phase 3 trial with solriamfetol in ADHD are ongoing. As a result of one or more risks discussed in this section, we cannot assure you that we will meet projected timelines related to these trials.</w:t>
      </w:r>
    </w:p>
    <w:p>
      <w:pPr>
        <w:spacing w:after="0" w:line="189" w:lineRule="exact"/>
        <w:rPr>
          <w:sz w:val="20"/>
          <w:szCs w:val="20"/>
          <w:color w:val="auto"/>
        </w:rPr>
      </w:pPr>
    </w:p>
    <w:p>
      <w:pPr>
        <w:ind w:right="20" w:firstLine="749"/>
        <w:spacing w:after="0" w:line="288" w:lineRule="auto"/>
        <w:rPr>
          <w:sz w:val="20"/>
          <w:szCs w:val="20"/>
          <w:color w:val="auto"/>
        </w:rPr>
      </w:pPr>
      <w:r>
        <w:rPr>
          <w:rFonts w:ascii="Arial" w:cs="Arial" w:eastAsia="Arial" w:hAnsi="Arial"/>
          <w:sz w:val="15"/>
          <w:szCs w:val="15"/>
          <w:color w:val="auto"/>
        </w:rPr>
        <w:t>We are not permitted to market or promote any of our product candidates before we receive regulatory approval from the FDA or comparable foreign regulatory authorities, and we may never receive such regulatory approval for any of our product candidates. Even if our product candidates are approved, they may be subject to limitations on the indicated uses for which they may be marketed, distribution restrictions, or to other conditions of approval, may contain significant safety warnings, including boxed warnings, contraindications, and precautions, may not be approved with label statements necessary or desirable for successful commercialization, or may contain requirements for costly post-market testing and surveillance, or other requirements, including the submission of a risk evaluation and mitigation strategy, or REMS, to monitor the safety or efficacy of the products. If we do not receive regulatory approval for, and successfully commercialize, our product candidates, we will not be able to generate revenue from these product candidates in the foreseeable future, or at all. Any significant delays in obtaining approval for and commercializing our product candidates will have a material adverse impact on our business and financial condition.</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51" w:name="page52"/>
    <w:bookmarkEnd w:id="51"/>
    <w:p>
      <w:pPr>
        <w:spacing w:after="0"/>
        <w:rPr>
          <w:sz w:val="20"/>
          <w:szCs w:val="20"/>
          <w:color w:val="auto"/>
        </w:rPr>
      </w:pPr>
      <w:r>
        <w:rPr>
          <w:rFonts w:ascii="Arial" w:cs="Arial" w:eastAsia="Arial" w:hAnsi="Arial"/>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3025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30250" cy="8255"/>
                    </a:xfrm>
                    <a:prstGeom prst="rect">
                      <a:avLst/>
                    </a:prstGeom>
                    <a:noFill/>
                  </pic:spPr>
                </pic:pic>
              </a:graphicData>
            </a:graphic>
          </wp:anchor>
        </w:drawing>
      </w:r>
    </w:p>
    <w:p>
      <w:pPr>
        <w:spacing w:after="0" w:line="215" w:lineRule="exact"/>
        <w:rPr>
          <w:sz w:val="20"/>
          <w:szCs w:val="20"/>
          <w:color w:val="auto"/>
        </w:rPr>
      </w:pPr>
    </w:p>
    <w:p>
      <w:pPr>
        <w:ind w:right="120" w:firstLine="749"/>
        <w:spacing w:after="0" w:line="278" w:lineRule="auto"/>
        <w:rPr>
          <w:sz w:val="20"/>
          <w:szCs w:val="20"/>
          <w:color w:val="auto"/>
        </w:rPr>
      </w:pPr>
      <w:r>
        <w:rPr>
          <w:rFonts w:ascii="Arial" w:cs="Arial" w:eastAsia="Arial" w:hAnsi="Arial"/>
          <w:sz w:val="16"/>
          <w:szCs w:val="16"/>
          <w:color w:val="auto"/>
        </w:rPr>
        <w:t>Although we submitted NDAs to the FDA for Auvelity (which was approved) and for AXS-07 for the acute treatment of migraines (which received a CRL), we have not otherwise submitted an NDA to the FDA, or similar drug approval filings to comparable foreign authorities, for any product candidate, and we cannot be certain that our current or future product candidates will be successful in clinical trials or receive regulatory approval.</w:t>
      </w:r>
    </w:p>
    <w:p>
      <w:pPr>
        <w:spacing w:after="0" w:line="184" w:lineRule="exact"/>
        <w:rPr>
          <w:sz w:val="20"/>
          <w:szCs w:val="20"/>
          <w:color w:val="auto"/>
        </w:rPr>
      </w:pPr>
    </w:p>
    <w:p>
      <w:pPr>
        <w:ind w:firstLine="749"/>
        <w:spacing w:after="0" w:line="269" w:lineRule="auto"/>
        <w:rPr>
          <w:sz w:val="20"/>
          <w:szCs w:val="20"/>
          <w:color w:val="auto"/>
        </w:rPr>
      </w:pPr>
      <w:r>
        <w:rPr>
          <w:rFonts w:ascii="Arial" w:cs="Arial" w:eastAsia="Arial" w:hAnsi="Arial"/>
          <w:sz w:val="16"/>
          <w:szCs w:val="16"/>
          <w:color w:val="auto"/>
        </w:rPr>
        <w:t>Our product candidates are susceptible to the risks of failure inherent at any stage of product development, including the appearance of unexpected adverse events or failure to achieve its primary endpoints in subsequent clinical trials, including our initiated and planned Phase 3 clinical trials. We conducted one interim analysis for the Phase 2/3 trial of AXS-05 in TRD and one interim analysis for the Phase 2/3 trial of AXS-05 for the treatment of AD agitation. We may elect to conduct interim analyses for our other clinical trials. Interim results of a clinical trial do not necessarily predict final results, and interim results may result in early stoppage of our clinical trials for futility or modifications to our clinical trials, including the addition of additional subjects. Further, our product candidates may not receive regulatory approval even if they are successful in clinical trials.</w:t>
      </w:r>
    </w:p>
    <w:p>
      <w:pPr>
        <w:spacing w:after="0" w:line="194"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If approved for marketing by applicable regulatory authorities, our ability to generate revenues from our product candidates depend on our ability to:</w:t>
      </w:r>
    </w:p>
    <w:p>
      <w:pPr>
        <w:spacing w:after="0" w:line="235" w:lineRule="exact"/>
        <w:rPr>
          <w:sz w:val="20"/>
          <w:szCs w:val="20"/>
          <w:color w:val="auto"/>
        </w:rPr>
      </w:pPr>
    </w:p>
    <w:p>
      <w:pPr>
        <w:ind w:left="760" w:right="680" w:hanging="378"/>
        <w:spacing w:after="0" w:line="293" w:lineRule="auto"/>
        <w:tabs>
          <w:tab w:leader="none" w:pos="7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create market demand for our product candidates through our own marketing and sales activities, and any other arrangements to promote these product candidates that we may otherwise establish;</w:t>
      </w:r>
    </w:p>
    <w:p>
      <w:pPr>
        <w:spacing w:after="0" w:line="171" w:lineRule="exact"/>
        <w:rPr>
          <w:rFonts w:ascii="Arial" w:cs="Arial" w:eastAsia="Arial" w:hAnsi="Arial"/>
          <w:sz w:val="16"/>
          <w:szCs w:val="16"/>
          <w:color w:val="auto"/>
        </w:rPr>
      </w:pPr>
    </w:p>
    <w:p>
      <w:pPr>
        <w:ind w:left="760" w:hanging="378"/>
        <w:spacing w:after="0"/>
        <w:tabs>
          <w:tab w:leader="none" w:pos="7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receive regulatory approval for claims that are necessary or desirable for successful marketing;</w:t>
      </w:r>
    </w:p>
    <w:p>
      <w:pPr>
        <w:spacing w:after="0" w:line="234" w:lineRule="exact"/>
        <w:rPr>
          <w:rFonts w:ascii="Arial" w:cs="Arial" w:eastAsia="Arial" w:hAnsi="Arial"/>
          <w:sz w:val="16"/>
          <w:szCs w:val="16"/>
          <w:color w:val="auto"/>
        </w:rPr>
      </w:pPr>
    </w:p>
    <w:p>
      <w:pPr>
        <w:ind w:left="760" w:hanging="378"/>
        <w:spacing w:after="0"/>
        <w:tabs>
          <w:tab w:leader="none" w:pos="7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hire, train, and deploy a sales force to commercialize our product candidates;</w:t>
      </w:r>
    </w:p>
    <w:p>
      <w:pPr>
        <w:spacing w:after="0" w:line="234" w:lineRule="exact"/>
        <w:rPr>
          <w:rFonts w:ascii="Arial" w:cs="Arial" w:eastAsia="Arial" w:hAnsi="Arial"/>
          <w:sz w:val="16"/>
          <w:szCs w:val="16"/>
          <w:color w:val="auto"/>
        </w:rPr>
      </w:pPr>
    </w:p>
    <w:p>
      <w:pPr>
        <w:ind w:left="760" w:right="340" w:hanging="378"/>
        <w:spacing w:after="0" w:line="293" w:lineRule="auto"/>
        <w:tabs>
          <w:tab w:leader="none" w:pos="7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manufacture (or have manufactured by third parties) our product candidates in sufficient quantities and at acceptable quality and manufacturing cost to meet commercial demand at launch and thereafter;</w:t>
      </w:r>
    </w:p>
    <w:p>
      <w:pPr>
        <w:spacing w:after="0" w:line="171" w:lineRule="exact"/>
        <w:rPr>
          <w:rFonts w:ascii="Arial" w:cs="Arial" w:eastAsia="Arial" w:hAnsi="Arial"/>
          <w:sz w:val="16"/>
          <w:szCs w:val="16"/>
          <w:color w:val="auto"/>
        </w:rPr>
      </w:pPr>
    </w:p>
    <w:p>
      <w:pPr>
        <w:ind w:left="760" w:hanging="378"/>
        <w:spacing w:after="0"/>
        <w:tabs>
          <w:tab w:leader="none" w:pos="7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establish and maintain agreements with wholesalers, distributors, and group purchasing organizations on commercially reasonable terms;</w:t>
      </w:r>
    </w:p>
    <w:p>
      <w:pPr>
        <w:spacing w:after="0" w:line="234" w:lineRule="exact"/>
        <w:rPr>
          <w:rFonts w:ascii="Arial" w:cs="Arial" w:eastAsia="Arial" w:hAnsi="Arial"/>
          <w:sz w:val="16"/>
          <w:szCs w:val="16"/>
          <w:color w:val="auto"/>
        </w:rPr>
      </w:pPr>
    </w:p>
    <w:p>
      <w:pPr>
        <w:ind w:left="760" w:hanging="378"/>
        <w:spacing w:after="0"/>
        <w:tabs>
          <w:tab w:leader="none" w:pos="760" w:val="left"/>
        </w:tabs>
        <w:numPr>
          <w:ilvl w:val="0"/>
          <w:numId w:val="19"/>
        </w:numPr>
        <w:rPr>
          <w:rFonts w:ascii="Arial" w:cs="Arial" w:eastAsia="Arial" w:hAnsi="Arial"/>
          <w:sz w:val="15"/>
          <w:szCs w:val="15"/>
          <w:color w:val="auto"/>
        </w:rPr>
      </w:pPr>
      <w:r>
        <w:rPr>
          <w:rFonts w:ascii="Arial" w:cs="Arial" w:eastAsia="Arial" w:hAnsi="Arial"/>
          <w:sz w:val="15"/>
          <w:szCs w:val="15"/>
          <w:color w:val="auto"/>
        </w:rPr>
        <w:t>create partnerships with, or offer licenses to, third parties to promote and sell our product candidates in foreign markets where we receive marketing approval;</w:t>
      </w:r>
    </w:p>
    <w:p>
      <w:pPr>
        <w:spacing w:after="0" w:line="246" w:lineRule="exact"/>
        <w:rPr>
          <w:rFonts w:ascii="Arial" w:cs="Arial" w:eastAsia="Arial" w:hAnsi="Arial"/>
          <w:sz w:val="15"/>
          <w:szCs w:val="15"/>
          <w:color w:val="auto"/>
        </w:rPr>
      </w:pPr>
    </w:p>
    <w:p>
      <w:pPr>
        <w:ind w:left="760" w:hanging="378"/>
        <w:spacing w:after="0"/>
        <w:tabs>
          <w:tab w:leader="none" w:pos="7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maintain patent and trade secret protection and regulatory exclusivity for our product candidates;</w:t>
      </w:r>
    </w:p>
    <w:p>
      <w:pPr>
        <w:spacing w:after="0" w:line="234" w:lineRule="exact"/>
        <w:rPr>
          <w:rFonts w:ascii="Arial" w:cs="Arial" w:eastAsia="Arial" w:hAnsi="Arial"/>
          <w:sz w:val="16"/>
          <w:szCs w:val="16"/>
          <w:color w:val="auto"/>
        </w:rPr>
      </w:pPr>
    </w:p>
    <w:p>
      <w:pPr>
        <w:ind w:left="760" w:hanging="378"/>
        <w:spacing w:after="0"/>
        <w:tabs>
          <w:tab w:leader="none" w:pos="7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launch commercial sales of our product candidates, whether alone or in collaboration with others;</w:t>
      </w:r>
    </w:p>
    <w:p>
      <w:pPr>
        <w:spacing w:after="0" w:line="234" w:lineRule="exact"/>
        <w:rPr>
          <w:rFonts w:ascii="Arial" w:cs="Arial" w:eastAsia="Arial" w:hAnsi="Arial"/>
          <w:sz w:val="16"/>
          <w:szCs w:val="16"/>
          <w:color w:val="auto"/>
        </w:rPr>
      </w:pPr>
    </w:p>
    <w:p>
      <w:pPr>
        <w:ind w:left="760" w:hanging="378"/>
        <w:spacing w:after="0" w:line="184" w:lineRule="exact"/>
        <w:tabs>
          <w:tab w:leader="none" w:pos="7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achieve market acceptance of our product candidates by patients, the medical community, and government and private third</w:t>
      </w:r>
      <w:r>
        <w:rPr>
          <w:rFonts w:ascii="MS PGothic" w:cs="MS PGothic" w:eastAsia="MS PGothic" w:hAnsi="MS PGothic"/>
          <w:sz w:val="16"/>
          <w:szCs w:val="16"/>
          <w:color w:val="auto"/>
        </w:rPr>
        <w:t>‑</w:t>
      </w:r>
      <w:r>
        <w:rPr>
          <w:rFonts w:ascii="Arial" w:cs="Arial" w:eastAsia="Arial" w:hAnsi="Arial"/>
          <w:sz w:val="16"/>
          <w:szCs w:val="16"/>
          <w:color w:val="auto"/>
        </w:rPr>
        <w:t>party payors;</w:t>
      </w:r>
    </w:p>
    <w:p>
      <w:pPr>
        <w:spacing w:after="0" w:line="234" w:lineRule="exact"/>
        <w:rPr>
          <w:rFonts w:ascii="Arial" w:cs="Arial" w:eastAsia="Arial" w:hAnsi="Arial"/>
          <w:sz w:val="16"/>
          <w:szCs w:val="16"/>
          <w:color w:val="auto"/>
        </w:rPr>
      </w:pPr>
    </w:p>
    <w:p>
      <w:pPr>
        <w:ind w:left="760" w:hanging="378"/>
        <w:spacing w:after="0"/>
        <w:tabs>
          <w:tab w:leader="none" w:pos="7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achieve appropriate reimbursement for our product candidates;</w:t>
      </w:r>
    </w:p>
    <w:p>
      <w:pPr>
        <w:spacing w:after="0" w:line="234" w:lineRule="exact"/>
        <w:rPr>
          <w:rFonts w:ascii="Arial" w:cs="Arial" w:eastAsia="Arial" w:hAnsi="Arial"/>
          <w:sz w:val="16"/>
          <w:szCs w:val="16"/>
          <w:color w:val="auto"/>
        </w:rPr>
      </w:pPr>
    </w:p>
    <w:p>
      <w:pPr>
        <w:ind w:left="760" w:hanging="378"/>
        <w:spacing w:after="0"/>
        <w:tabs>
          <w:tab w:leader="none" w:pos="7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effectively compete with other therapies; and</w:t>
      </w:r>
    </w:p>
    <w:p>
      <w:pPr>
        <w:spacing w:after="0" w:line="234" w:lineRule="exact"/>
        <w:rPr>
          <w:rFonts w:ascii="Arial" w:cs="Arial" w:eastAsia="Arial" w:hAnsi="Arial"/>
          <w:sz w:val="16"/>
          <w:szCs w:val="16"/>
          <w:color w:val="auto"/>
        </w:rPr>
      </w:pPr>
    </w:p>
    <w:p>
      <w:pPr>
        <w:ind w:left="760" w:hanging="378"/>
        <w:spacing w:after="0"/>
        <w:tabs>
          <w:tab w:leader="none" w:pos="7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maintain a continued acceptable safety profile of our product candidates following launch.</w:t>
      </w: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52" w:name="page53"/>
    <w:bookmarkEnd w:id="52"/>
    <w:p>
      <w:pPr>
        <w:spacing w:after="0"/>
        <w:rPr>
          <w:sz w:val="20"/>
          <w:szCs w:val="20"/>
          <w:color w:val="auto"/>
        </w:rPr>
      </w:pPr>
      <w:r>
        <w:rPr>
          <w:rFonts w:ascii="Arial" w:cs="Arial" w:eastAsia="Arial" w:hAnsi="Arial"/>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3025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30250" cy="8255"/>
                    </a:xfrm>
                    <a:prstGeom prst="rect">
                      <a:avLst/>
                    </a:prstGeom>
                    <a:noFill/>
                  </pic:spPr>
                </pic:pic>
              </a:graphicData>
            </a:graphic>
          </wp:anchor>
        </w:drawing>
      </w:r>
    </w:p>
    <w:p>
      <w:pPr>
        <w:spacing w:after="0" w:line="215"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b w:val="1"/>
          <w:bCs w:val="1"/>
          <w:i w:val="1"/>
          <w:iCs w:val="1"/>
          <w:color w:val="auto"/>
        </w:rPr>
        <w:t>Potential conflicts of interest exist with respect to the intellectual property rights that we license from an entity owned by our Chief Executive Officer and Chairman of the Board, and it is possible that our interests and their interests may diverge.</w:t>
      </w:r>
    </w:p>
    <w:p>
      <w:pPr>
        <w:spacing w:after="0" w:line="172" w:lineRule="exact"/>
        <w:rPr>
          <w:sz w:val="20"/>
          <w:szCs w:val="20"/>
          <w:color w:val="auto"/>
        </w:rPr>
      </w:pPr>
    </w:p>
    <w:p>
      <w:pPr>
        <w:ind w:firstLine="749"/>
        <w:spacing w:after="0" w:line="307" w:lineRule="auto"/>
        <w:rPr>
          <w:sz w:val="20"/>
          <w:szCs w:val="20"/>
          <w:color w:val="auto"/>
        </w:rPr>
      </w:pPr>
      <w:r>
        <w:rPr>
          <w:rFonts w:ascii="Arial" w:cs="Arial" w:eastAsia="Arial" w:hAnsi="Arial"/>
          <w:sz w:val="14"/>
          <w:szCs w:val="14"/>
          <w:color w:val="auto"/>
        </w:rPr>
        <w:t>In 2012, we entered into three exclusive license agreements with Antecip Bioventures II LLC, or Antecip, an entity owned by our Chief Executive Officer and Chairman of the Board, Herriot Tabuteau, M.D., in which we were granted exclusive licenses to develop, manufacture, and commercialize Antecip’s patents and applications related to the development of certain of the Company’s then current product candidates. The patents licensed from Antecip include certain intellectual property pertaining to the Company’s Auvelity product / AXS-05 portfolio product. Although Dr. Tabuteau dedicates all of his working time to us, because Antecip is an inactive intellectual property holding company, he may face potential conflicts of interest regarding these licensing transactions as a result of his ownership of Antecip. The license agreements provide that, subject to the reasonable consent of Antecip, we have the right to control the prosecution or defense, as the case may require, of a patent infringement claim involving the licensed intellectual property. Our interests with respect to pleadings and settlements in such cases may be at odds with those of Antecip. If there is a dispute between us and Antecip, Dr. Tabuteau will have a conflict of interest because he may, at the time of a prospective dispute, simultaneously have a financial interest in and owe a fiduciary duty to Antecip and simultaneously have a financial interest in and owe a fiduciary duty to us. For example, if a contractual dispute arises between us and Antecip under any of the license agreements we have with Antecip, Dr. Tabuteau may be in a position where he would benefit if Antecip prevails, to the detriment of our business or our investors, even though he is an officer and director of our company, because he is the sole owner of Antecip. Similarly, if we have a claim of any kind against Antecip, Dr. Tabuteau may be, even as our Chief Executive Officer and Chairman of the Board, reluctant to assert a claim by us against Antecip because of his financial interest in Antecip. We cannot assure you that any conflicts will be resolved in our favor, and as a result, our business could be impeded or materially harmed.</w:t>
      </w:r>
    </w:p>
    <w:p>
      <w:pPr>
        <w:spacing w:after="0" w:line="171"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b w:val="1"/>
          <w:bCs w:val="1"/>
          <w:i w:val="1"/>
          <w:iCs w:val="1"/>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172" w:lineRule="exact"/>
        <w:rPr>
          <w:sz w:val="20"/>
          <w:szCs w:val="20"/>
          <w:color w:val="auto"/>
        </w:rPr>
      </w:pPr>
    </w:p>
    <w:p>
      <w:pPr>
        <w:ind w:firstLine="749"/>
        <w:spacing w:after="0" w:line="286" w:lineRule="auto"/>
        <w:rPr>
          <w:sz w:val="20"/>
          <w:szCs w:val="20"/>
          <w:color w:val="auto"/>
        </w:rPr>
      </w:pPr>
      <w:r>
        <w:rPr>
          <w:rFonts w:ascii="Arial" w:cs="Arial" w:eastAsia="Arial" w:hAnsi="Arial"/>
          <w:sz w:val="15"/>
          <w:szCs w:val="15"/>
          <w:color w:val="auto"/>
        </w:rPr>
        <w:t>Because we have limited financial and managerial resources, we focus on developing product candidates for specific indications that we identify as most likely to succeed, in terms of both its regulatory approval and commercialization. As such, we are currently primarily focused on the development of solriamfetol for ADHD, AXS-05 for the treatment of agitation associated with AD, and smoking cessation, AXS-07 for the acute treatment of migraines, AXS-12 for the treatment of narcolepsy and AXS-14 for the treatment of fibromyalgia. As a result, we may forego or delay pursuit of opportunities with other product candidates or for other indications that may prove to have greater commercial potential. Additionally, as more fully described in “Business—Material License Agreements,” we are required to pay to an entity owned by our Chief Executive Officer and Chairman of the Board certain royalty payments related to the sales of the Company’s Auvelity product / AXS-05 portfolio product, as well as two product candidates that are not currently in active development. This may influence management’s decision concerning which product candidates or indications to pursue and/or the manner in which our products are commercialized. 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w:t>
      </w:r>
    </w:p>
    <w:p>
      <w:pPr>
        <w:spacing w:after="0" w:line="179" w:lineRule="exact"/>
        <w:rPr>
          <w:sz w:val="20"/>
          <w:szCs w:val="20"/>
          <w:color w:val="auto"/>
        </w:rPr>
      </w:pPr>
    </w:p>
    <w:p>
      <w:pPr>
        <w:ind w:right="540"/>
        <w:spacing w:after="0" w:line="293" w:lineRule="auto"/>
        <w:rPr>
          <w:sz w:val="20"/>
          <w:szCs w:val="20"/>
          <w:color w:val="auto"/>
        </w:rPr>
      </w:pPr>
      <w:r>
        <w:rPr>
          <w:rFonts w:ascii="Arial" w:cs="Arial" w:eastAsia="Arial" w:hAnsi="Arial"/>
          <w:sz w:val="16"/>
          <w:szCs w:val="16"/>
          <w:b w:val="1"/>
          <w:bCs w:val="1"/>
          <w:i w:val="1"/>
          <w:iCs w:val="1"/>
          <w:color w:val="auto"/>
        </w:rPr>
        <w:t>Our future growth may depend on our ability to identify and develop product candidates and if we do not successfully identify and develop product candidates or integrate them into our operations, we may have limited growth opportunities.</w:t>
      </w:r>
    </w:p>
    <w:p>
      <w:pPr>
        <w:spacing w:after="0" w:line="172" w:lineRule="exact"/>
        <w:rPr>
          <w:sz w:val="20"/>
          <w:szCs w:val="20"/>
          <w:color w:val="auto"/>
        </w:rPr>
      </w:pPr>
    </w:p>
    <w:p>
      <w:pPr>
        <w:ind w:firstLine="749"/>
        <w:spacing w:after="0" w:line="328" w:lineRule="auto"/>
        <w:rPr>
          <w:sz w:val="20"/>
          <w:szCs w:val="20"/>
          <w:color w:val="auto"/>
        </w:rPr>
      </w:pPr>
      <w:r>
        <w:rPr>
          <w:rFonts w:ascii="Arial" w:cs="Arial" w:eastAsia="Arial" w:hAnsi="Arial"/>
          <w:sz w:val="15"/>
          <w:szCs w:val="15"/>
          <w:color w:val="auto"/>
        </w:rPr>
        <w:t>A component of our business strategy is to continue to develop a pipeline of product candidates by developing products that we believe are a strategic fit with our focus on central nervous system, or CNS, therapeutics. However, these business activities may entail numerous operational and financial risks, including:</w:t>
      </w:r>
    </w:p>
    <w:p>
      <w:pPr>
        <w:spacing w:after="0" w:line="150" w:lineRule="exact"/>
        <w:rPr>
          <w:sz w:val="20"/>
          <w:szCs w:val="20"/>
          <w:color w:val="auto"/>
        </w:rPr>
      </w:pPr>
    </w:p>
    <w:p>
      <w:pPr>
        <w:ind w:left="760" w:hanging="378"/>
        <w:spacing w:after="0"/>
        <w:tabs>
          <w:tab w:leader="none" w:pos="7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difficulty or inability to secure financing to fund business activities for such development;</w:t>
      </w:r>
    </w:p>
    <w:p>
      <w:pPr>
        <w:spacing w:after="0" w:line="234" w:lineRule="exact"/>
        <w:rPr>
          <w:rFonts w:ascii="Arial" w:cs="Arial" w:eastAsia="Arial" w:hAnsi="Arial"/>
          <w:sz w:val="16"/>
          <w:szCs w:val="16"/>
          <w:color w:val="auto"/>
        </w:rPr>
      </w:pPr>
    </w:p>
    <w:p>
      <w:pPr>
        <w:ind w:left="760" w:hanging="378"/>
        <w:spacing w:after="0"/>
        <w:tabs>
          <w:tab w:leader="none" w:pos="7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disruption of our business and diversion of our management’s time and attention;</w:t>
      </w:r>
    </w:p>
    <w:p>
      <w:pPr>
        <w:spacing w:after="0" w:line="234" w:lineRule="exact"/>
        <w:rPr>
          <w:rFonts w:ascii="Arial" w:cs="Arial" w:eastAsia="Arial" w:hAnsi="Arial"/>
          <w:sz w:val="16"/>
          <w:szCs w:val="16"/>
          <w:color w:val="auto"/>
        </w:rPr>
      </w:pPr>
    </w:p>
    <w:p>
      <w:pPr>
        <w:ind w:left="760" w:hanging="378"/>
        <w:spacing w:after="0"/>
        <w:tabs>
          <w:tab w:leader="none" w:pos="7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higher than expected development costs;</w:t>
      </w:r>
    </w:p>
    <w:p>
      <w:pPr>
        <w:spacing w:after="0" w:line="234" w:lineRule="exact"/>
        <w:rPr>
          <w:rFonts w:ascii="Arial" w:cs="Arial" w:eastAsia="Arial" w:hAnsi="Arial"/>
          <w:sz w:val="16"/>
          <w:szCs w:val="16"/>
          <w:color w:val="auto"/>
        </w:rPr>
      </w:pPr>
    </w:p>
    <w:p>
      <w:pPr>
        <w:ind w:left="760" w:hanging="378"/>
        <w:spacing w:after="0"/>
        <w:tabs>
          <w:tab w:leader="none" w:pos="7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exposure to unknown liabilities;</w:t>
      </w:r>
    </w:p>
    <w:p>
      <w:pPr>
        <w:spacing w:after="0" w:line="234" w:lineRule="exact"/>
        <w:rPr>
          <w:rFonts w:ascii="Arial" w:cs="Arial" w:eastAsia="Arial" w:hAnsi="Arial"/>
          <w:sz w:val="16"/>
          <w:szCs w:val="16"/>
          <w:color w:val="auto"/>
        </w:rPr>
      </w:pPr>
    </w:p>
    <w:p>
      <w:pPr>
        <w:ind w:left="760" w:hanging="378"/>
        <w:spacing w:after="0"/>
        <w:tabs>
          <w:tab w:leader="none" w:pos="7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difficulty in managing multiple product development programs; and</w:t>
      </w:r>
    </w:p>
    <w:p>
      <w:pPr>
        <w:spacing w:after="0" w:line="234" w:lineRule="exact"/>
        <w:rPr>
          <w:rFonts w:ascii="Arial" w:cs="Arial" w:eastAsia="Arial" w:hAnsi="Arial"/>
          <w:sz w:val="16"/>
          <w:szCs w:val="16"/>
          <w:color w:val="auto"/>
        </w:rPr>
      </w:pPr>
    </w:p>
    <w:p>
      <w:pPr>
        <w:ind w:left="760" w:hanging="378"/>
        <w:spacing w:after="0"/>
        <w:tabs>
          <w:tab w:leader="none" w:pos="7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inability to successfully develop new products or clinical failure.</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3" w:name="page54"/>
    <w:bookmarkEnd w:id="53"/>
    <w:p>
      <w:pPr>
        <w:spacing w:after="0"/>
        <w:rPr>
          <w:sz w:val="20"/>
          <w:szCs w:val="20"/>
          <w:color w:val="auto"/>
        </w:rPr>
      </w:pPr>
      <w:r>
        <w:rPr>
          <w:rFonts w:ascii="Arial" w:cs="Arial" w:eastAsia="Arial" w:hAnsi="Arial"/>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3025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30250" cy="8255"/>
                    </a:xfrm>
                    <a:prstGeom prst="rect">
                      <a:avLst/>
                    </a:prstGeom>
                    <a:noFill/>
                  </pic:spPr>
                </pic:pic>
              </a:graphicData>
            </a:graphic>
          </wp:anchor>
        </w:drawing>
      </w:r>
    </w:p>
    <w:p>
      <w:pPr>
        <w:spacing w:after="0" w:line="215" w:lineRule="exact"/>
        <w:rPr>
          <w:sz w:val="20"/>
          <w:szCs w:val="20"/>
          <w:color w:val="auto"/>
        </w:rPr>
      </w:pPr>
    </w:p>
    <w:p>
      <w:pPr>
        <w:ind w:right="220" w:firstLine="749"/>
        <w:spacing w:after="0" w:line="271" w:lineRule="auto"/>
        <w:rPr>
          <w:sz w:val="20"/>
          <w:szCs w:val="20"/>
          <w:color w:val="auto"/>
        </w:rPr>
      </w:pPr>
      <w:r>
        <w:rPr>
          <w:rFonts w:ascii="Arial" w:cs="Arial" w:eastAsia="Arial" w:hAnsi="Arial"/>
          <w:sz w:val="16"/>
          <w:szCs w:val="16"/>
          <w:color w:val="auto"/>
        </w:rPr>
        <w:t>For instance, our prior efforts have resulted in our decision not to further develop certain product candidates that, at one time, appeared to be promising. Likewise, we received a CRL from the FDA relating to the Company’s AXS-07 portfolio product in 2022 (we intend to resubmit the NDA for AXS-07). We have limited resources to identify and execute the development of products. Moreover, we may devote resources to potential development that are never completed, or we may fail to realize the anticipated benefits of such efforts. If we do not successfully develop and commercialize product candidates, we may not be able to obtain revenues from such product candidates in future periods.</w:t>
      </w:r>
    </w:p>
    <w:p>
      <w:pPr>
        <w:spacing w:after="0" w:line="190" w:lineRule="exact"/>
        <w:rPr>
          <w:sz w:val="20"/>
          <w:szCs w:val="20"/>
          <w:color w:val="auto"/>
        </w:rPr>
      </w:pPr>
    </w:p>
    <w:p>
      <w:pPr>
        <w:ind w:right="120"/>
        <w:spacing w:after="0" w:line="305" w:lineRule="auto"/>
        <w:rPr>
          <w:sz w:val="20"/>
          <w:szCs w:val="20"/>
          <w:color w:val="auto"/>
        </w:rPr>
      </w:pPr>
      <w:r>
        <w:rPr>
          <w:rFonts w:ascii="Arial" w:cs="Arial" w:eastAsia="Arial" w:hAnsi="Arial"/>
          <w:sz w:val="15"/>
          <w:szCs w:val="15"/>
          <w:b w:val="1"/>
          <w:bCs w:val="1"/>
          <w:i w:val="1"/>
          <w:iCs w:val="1"/>
          <w:color w:val="auto"/>
        </w:rPr>
        <w:t>If safety and efficacy data for our product candidates, a reference drug, or published literature does not satisfactorily demonstrate safety and efficacy to the FDA, or if the FDA and other regulators do not permit us to rely on the data of a reference drug or published literature, we may incur additional costs or experience delays in completing, or ultimately be unable to complete, the development and commercialization of our product candidates.</w:t>
      </w:r>
    </w:p>
    <w:p>
      <w:pPr>
        <w:spacing w:after="0" w:line="166" w:lineRule="exact"/>
        <w:rPr>
          <w:sz w:val="20"/>
          <w:szCs w:val="20"/>
          <w:color w:val="auto"/>
        </w:rPr>
      </w:pPr>
    </w:p>
    <w:p>
      <w:pPr>
        <w:ind w:left="760"/>
        <w:spacing w:after="0"/>
        <w:rPr>
          <w:sz w:val="20"/>
          <w:szCs w:val="20"/>
          <w:color w:val="auto"/>
        </w:rPr>
      </w:pPr>
      <w:r>
        <w:rPr>
          <w:rFonts w:ascii="Arial" w:cs="Arial" w:eastAsia="Arial" w:hAnsi="Arial"/>
          <w:sz w:val="14"/>
          <w:szCs w:val="14"/>
          <w:color w:val="auto"/>
        </w:rPr>
        <w:t>We are not permitted to commercialize, market, promote, or sell any product candidate in the United States without obtaining marketing approval from the FDA.</w:t>
      </w:r>
    </w:p>
    <w:p>
      <w:pPr>
        <w:spacing w:after="0" w:line="45" w:lineRule="exact"/>
        <w:rPr>
          <w:sz w:val="20"/>
          <w:szCs w:val="20"/>
          <w:color w:val="auto"/>
        </w:rPr>
      </w:pPr>
    </w:p>
    <w:p>
      <w:pPr>
        <w:spacing w:after="0"/>
        <w:rPr>
          <w:sz w:val="20"/>
          <w:szCs w:val="20"/>
          <w:color w:val="auto"/>
        </w:rPr>
      </w:pPr>
      <w:r>
        <w:rPr>
          <w:rFonts w:ascii="Arial" w:cs="Arial" w:eastAsia="Arial" w:hAnsi="Arial"/>
          <w:sz w:val="16"/>
          <w:szCs w:val="16"/>
          <w:color w:val="auto"/>
        </w:rPr>
        <w:t>Comparable foreign regulatory authorities, such as the European Medicines Agency, or EMA, impose similar restrictions.</w:t>
      </w:r>
    </w:p>
    <w:p>
      <w:pPr>
        <w:spacing w:after="0" w:line="231" w:lineRule="exact"/>
        <w:rPr>
          <w:sz w:val="20"/>
          <w:szCs w:val="20"/>
          <w:color w:val="auto"/>
        </w:rPr>
      </w:pPr>
    </w:p>
    <w:p>
      <w:pPr>
        <w:ind w:right="120" w:firstLine="749"/>
        <w:spacing w:after="0" w:line="271" w:lineRule="auto"/>
        <w:rPr>
          <w:sz w:val="20"/>
          <w:szCs w:val="20"/>
          <w:color w:val="auto"/>
        </w:rPr>
      </w:pPr>
      <w:r>
        <w:rPr>
          <w:rFonts w:ascii="Arial" w:cs="Arial" w:eastAsia="Arial" w:hAnsi="Arial"/>
          <w:sz w:val="16"/>
          <w:szCs w:val="16"/>
          <w:color w:val="auto"/>
        </w:rPr>
        <w:t>In the United States, we currently plan to, at least initially, seek approval of some of our product candidates using the 505(b)(2) pathway. These 505(b)(2) product candidates include AXS-05 and AXS-07. The FDA interprets Section 505(b)(2) of the Federal Food, Drug, and Cosmetic Act, or FDCA, for purposes of approving an NDA, to permit the applicant to rely, in part, upon published literature or the FDA’s previous findings of safety and efficacy for an approved product. The FDA, though, requires companies to perform additional clinical trials or preclinical studies to support any deviation from the previously approved product and to support reliance on the FDA’s prior findings of safety and efficacy or published literature.</w:t>
      </w:r>
    </w:p>
    <w:p>
      <w:pPr>
        <w:spacing w:after="0" w:line="190" w:lineRule="exact"/>
        <w:rPr>
          <w:sz w:val="20"/>
          <w:szCs w:val="20"/>
          <w:color w:val="auto"/>
        </w:rPr>
      </w:pPr>
    </w:p>
    <w:p>
      <w:pPr>
        <w:ind w:right="280" w:firstLine="749"/>
        <w:spacing w:after="0" w:line="204" w:lineRule="exact"/>
        <w:rPr>
          <w:sz w:val="20"/>
          <w:szCs w:val="20"/>
          <w:color w:val="auto"/>
        </w:rPr>
      </w:pPr>
      <w:r>
        <w:rPr>
          <w:rFonts w:ascii="Arial" w:cs="Arial" w:eastAsia="Arial" w:hAnsi="Arial"/>
          <w:sz w:val="16"/>
          <w:szCs w:val="16"/>
          <w:color w:val="auto"/>
        </w:rPr>
        <w:t>Under the 505(b)(2) pathway, the FDA may approve our product candidates for all or some of the label indications for which the referenced product has been approved, as well as for any new indication sought pursuant to the Section 505(b)(2) process. The label, however, may require all or some of the limitations, contraindications, warnings, or precautions included in the reference product’s label, including a box warning (commonly referred to as a “black box warning”), or may require additional limitations, contraindications, warnings, or precautions, including class</w:t>
      </w:r>
      <w:r>
        <w:rPr>
          <w:rFonts w:ascii="MS PGothic" w:cs="MS PGothic" w:eastAsia="MS PGothic" w:hAnsi="MS PGothic"/>
          <w:sz w:val="16"/>
          <w:szCs w:val="16"/>
          <w:color w:val="auto"/>
        </w:rPr>
        <w:t>‑</w:t>
      </w:r>
      <w:r>
        <w:rPr>
          <w:rFonts w:ascii="Arial" w:cs="Arial" w:eastAsia="Arial" w:hAnsi="Arial"/>
          <w:sz w:val="16"/>
          <w:szCs w:val="16"/>
          <w:color w:val="auto"/>
        </w:rPr>
        <w:t>wide warnings. For instance, antidepressants, including Auvelity, include a class</w:t>
      </w:r>
      <w:r>
        <w:rPr>
          <w:rFonts w:ascii="MS PGothic" w:cs="MS PGothic" w:eastAsia="MS PGothic" w:hAnsi="MS PGothic"/>
          <w:sz w:val="16"/>
          <w:szCs w:val="16"/>
          <w:color w:val="auto"/>
        </w:rPr>
        <w:t>‑</w:t>
      </w:r>
      <w:r>
        <w:rPr>
          <w:rFonts w:ascii="Arial" w:cs="Arial" w:eastAsia="Arial" w:hAnsi="Arial"/>
          <w:sz w:val="16"/>
          <w:szCs w:val="16"/>
          <w:color w:val="auto"/>
        </w:rPr>
        <w:t>wide black box warning regarding the increased risk of suicidal thoughts and behavior.</w:t>
      </w:r>
    </w:p>
    <w:p>
      <w:pPr>
        <w:spacing w:after="0" w:line="213" w:lineRule="exact"/>
        <w:rPr>
          <w:sz w:val="20"/>
          <w:szCs w:val="20"/>
          <w:color w:val="auto"/>
        </w:rPr>
      </w:pPr>
    </w:p>
    <w:p>
      <w:pPr>
        <w:ind w:firstLine="749"/>
        <w:spacing w:after="0" w:line="288" w:lineRule="auto"/>
        <w:rPr>
          <w:sz w:val="20"/>
          <w:szCs w:val="20"/>
          <w:color w:val="auto"/>
        </w:rPr>
      </w:pPr>
      <w:r>
        <w:rPr>
          <w:rFonts w:ascii="Arial" w:cs="Arial" w:eastAsia="Arial" w:hAnsi="Arial"/>
          <w:sz w:val="15"/>
          <w:szCs w:val="15"/>
          <w:color w:val="auto"/>
        </w:rPr>
        <w:t>In addition, because we plan to file certain product candidates under an NDA submitted pursuant to 505(b)(2), we will rely, at least in part, upon a reference drug and published literature. For example, we intend to rely on third-party studies in the published literature as well as FDA findings of safety and efficacy for approved drug products containing the same active molecules in AXS-05 and AXS-07. If the FDA disagrees with our conclusions regarding the appropriateness of our reliance on a reference drug or published literature, we could be required to conduct additional clinical trials or other studies to support our NDA, which could lead to unanticipated costs and delays or to the termination of our development program. If we are unable to obtain approval for our pharmaceutical formulations through the 505(b)(2) NDA process, we may be required to pursue the more expensive and time consuming 505(b)(1) approval process, which consists of full reports of investigations of safety and effectiveness conducted by or for the applicant. In addition, because we have submitted NDAs for AXS-05 and AXS-07 pursuant to the 505(b)(2) process, we have not conducted certain additional clinical trials for these product candidates and, as such, we will have less experience with actual testing of these product candidates.</w:t>
      </w:r>
    </w:p>
    <w:p>
      <w:pPr>
        <w:spacing w:after="0" w:line="180" w:lineRule="exact"/>
        <w:rPr>
          <w:sz w:val="20"/>
          <w:szCs w:val="20"/>
          <w:color w:val="auto"/>
        </w:rPr>
      </w:pPr>
    </w:p>
    <w:p>
      <w:pPr>
        <w:ind w:right="100" w:firstLine="749"/>
        <w:spacing w:after="0" w:line="271" w:lineRule="auto"/>
        <w:rPr>
          <w:sz w:val="20"/>
          <w:szCs w:val="20"/>
          <w:color w:val="auto"/>
        </w:rPr>
      </w:pPr>
      <w:r>
        <w:rPr>
          <w:rFonts w:ascii="Arial" w:cs="Arial" w:eastAsia="Arial" w:hAnsi="Arial"/>
          <w:sz w:val="16"/>
          <w:szCs w:val="16"/>
          <w:color w:val="auto"/>
        </w:rPr>
        <w:t>There may also be circumstances under which the FDA would not allow us to pursue a 505(b)(2) application. For instance, should the FDA approve a pharmaceutically equivalent product to our product candidates before we obtain approval, we would no longer be able to use the 505(b)(2) pathway. In that case, it is the FDA’s policy that the appropriate submission would be an Abbreviated New Drug Application, or ANDA, for a generic version of the approved product. We may, however, not be able to immediately submit an ANDA or have an ANDA approval made effective, as we could be blocked by others’ periods of patent and regulatory exclusivity protection.</w:t>
      </w:r>
    </w:p>
    <w:p>
      <w:pPr>
        <w:spacing w:after="0" w:line="190" w:lineRule="exact"/>
        <w:rPr>
          <w:sz w:val="20"/>
          <w:szCs w:val="20"/>
          <w:color w:val="auto"/>
        </w:rPr>
      </w:pPr>
    </w:p>
    <w:p>
      <w:pPr>
        <w:ind w:right="120" w:firstLine="749"/>
        <w:spacing w:after="0" w:line="271" w:lineRule="auto"/>
        <w:rPr>
          <w:sz w:val="20"/>
          <w:szCs w:val="20"/>
          <w:color w:val="auto"/>
        </w:rPr>
      </w:pPr>
      <w:r>
        <w:rPr>
          <w:rFonts w:ascii="Arial" w:cs="Arial" w:eastAsia="Arial" w:hAnsi="Arial"/>
          <w:sz w:val="16"/>
          <w:szCs w:val="16"/>
          <w:color w:val="auto"/>
        </w:rPr>
        <w:t>Notwithstanding the approval of a number of products by the FDA under 505(b)(2) over the last few years, pharmaceutical companies and others have objected to the FDA’s interpretation of Section 505(b)(2). If the FDA’s interpretation of Section 505(b)(2) is successfully challenged, the FDA may change its policies and practices with respect to Section 505(b)(2) regulatory approvals, which could delay or even prevent the FDA from approving any NDA that we submit pursuant to the 505(b)(2) process. Moreover, our inability to pursue a 505(b)(2) application could result in new competitive products reaching the market more quickly than our product candidates, which could hurt our competitive position and our business prospects.</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54" w:name="page55"/>
    <w:bookmarkEnd w:id="54"/>
    <w:p>
      <w:pPr>
        <w:spacing w:after="0"/>
        <w:rPr>
          <w:sz w:val="20"/>
          <w:szCs w:val="20"/>
          <w:color w:val="auto"/>
        </w:rPr>
      </w:pPr>
      <w:r>
        <w:rPr>
          <w:rFonts w:ascii="Arial" w:cs="Arial" w:eastAsia="Arial" w:hAnsi="Arial"/>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3025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30250" cy="8255"/>
                    </a:xfrm>
                    <a:prstGeom prst="rect">
                      <a:avLst/>
                    </a:prstGeom>
                    <a:noFill/>
                  </pic:spPr>
                </pic:pic>
              </a:graphicData>
            </a:graphic>
          </wp:anchor>
        </w:drawing>
      </w:r>
    </w:p>
    <w:p>
      <w:pPr>
        <w:spacing w:after="0" w:line="215" w:lineRule="exact"/>
        <w:rPr>
          <w:sz w:val="20"/>
          <w:szCs w:val="20"/>
          <w:color w:val="auto"/>
        </w:rPr>
      </w:pPr>
    </w:p>
    <w:p>
      <w:pPr>
        <w:ind w:right="340"/>
        <w:spacing w:after="0" w:line="293" w:lineRule="auto"/>
        <w:rPr>
          <w:sz w:val="20"/>
          <w:szCs w:val="20"/>
          <w:color w:val="auto"/>
        </w:rPr>
      </w:pPr>
      <w:r>
        <w:rPr>
          <w:rFonts w:ascii="Arial" w:cs="Arial" w:eastAsia="Arial" w:hAnsi="Arial"/>
          <w:sz w:val="16"/>
          <w:szCs w:val="16"/>
          <w:b w:val="1"/>
          <w:bCs w:val="1"/>
          <w:i w:val="1"/>
          <w:iCs w:val="1"/>
          <w:color w:val="auto"/>
        </w:rPr>
        <w:t>An NDA submitted under Section 505(b)(2) subjects us to the risk that we may be subject to a patent infringement lawsuit or regulatory actions that would delay or prevent the review or approval of our product candidates.</w:t>
      </w:r>
    </w:p>
    <w:p>
      <w:pPr>
        <w:spacing w:after="0" w:line="172" w:lineRule="exact"/>
        <w:rPr>
          <w:sz w:val="20"/>
          <w:szCs w:val="20"/>
          <w:color w:val="auto"/>
        </w:rPr>
      </w:pPr>
    </w:p>
    <w:p>
      <w:pPr>
        <w:ind w:firstLine="749"/>
        <w:spacing w:after="0" w:line="287" w:lineRule="auto"/>
        <w:rPr>
          <w:sz w:val="20"/>
          <w:szCs w:val="20"/>
          <w:color w:val="auto"/>
        </w:rPr>
      </w:pPr>
      <w:r>
        <w:rPr>
          <w:rFonts w:ascii="Arial" w:cs="Arial" w:eastAsia="Arial" w:hAnsi="Arial"/>
          <w:sz w:val="15"/>
          <w:szCs w:val="15"/>
          <w:color w:val="auto"/>
        </w:rPr>
        <w:t>Under the Hatch-Waxman Act, the holder of patents listed in the Orange Book for NDAs that a 505(b)(2) application references may file a patent infringement lawsuit after receiving notice of the paragraph IV certification. Filing of a patent infringement lawsuit against the filer of the 505(b)(2) applicant within 45 days of the patent or NDA owner’s receipt of notice triggers a one time, automatic, 30 month stay of the FDA’s ability to make the 505(b)(2) NDA approval effective. In such a case, the FDA may not make the 505(b)(2) NDA approval effective until the earlier of 30 months from the receipt of the notice of the paragraph IV certification, the expiration of the patent, when the infringement case concerning each such patent was favorably decided in the applicant’s favor or settled, or such shorter or longer period as may be ordered by a court. Accordingly, we may invest a significant amount of time and expense in the development of one or more product candidates only to be subject to significant delay and patent litigation before such product candidates may be commercialized, if at all. In addition, a 505(b)(2) application approval will not be made effective until any existing non-patent exclusivity, such as exclusivity for obtaining approval of a new chemical entity, or NCE, or exclusivities for changes to NCEs listed in the Orange Book for the referenced product have expired or, if possible, are carved out from the label.</w:t>
      </w:r>
    </w:p>
    <w:p>
      <w:pPr>
        <w:spacing w:after="0" w:line="182" w:lineRule="exact"/>
        <w:rPr>
          <w:sz w:val="20"/>
          <w:szCs w:val="20"/>
          <w:color w:val="auto"/>
        </w:rPr>
      </w:pPr>
    </w:p>
    <w:p>
      <w:pPr>
        <w:ind w:firstLine="749"/>
        <w:spacing w:after="0" w:line="287" w:lineRule="auto"/>
        <w:rPr>
          <w:sz w:val="20"/>
          <w:szCs w:val="20"/>
          <w:color w:val="auto"/>
        </w:rPr>
      </w:pPr>
      <w:r>
        <w:rPr>
          <w:rFonts w:ascii="Arial" w:cs="Arial" w:eastAsia="Arial" w:hAnsi="Arial"/>
          <w:sz w:val="15"/>
          <w:szCs w:val="15"/>
          <w:color w:val="auto"/>
        </w:rPr>
        <w:t>In practice, companies that produce branded reference listed drugs often bring patent litigation against applicants that seek regulatory approval to market generic or reformulated versions of their products. Litigation to enforce or defend intellectual property rights is often complex and often involves significant expense and can delay or prevent introduction or sale of our product candidates. If a court finds patents valid and infringed by our product candidates, we may be required to cease selling, relinquish or destroy existing stock, or pay monetary damages unless we can obtain a license from the patent holder. There may also be situations where we use our business judgment and decide to market and sell our approved products, notwithstanding the fact that allegations of patent infringement have not been finally resolved by the courts, an approach known as an “at risk launch.” The risk involved in doing so can be substantial because the remedies available to the owner of a patent for infringement may include, among other things, damages measured by the profits lost by the patent owner which may be greater than the profits earned by the infringer. In the case of willful infringement, such damages may be increased up to three times. An adverse decision in patent litigation could have a material adverse effect on our business, financial position, and results of operations and could cause the market value of our common stock to decline.</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 w:right="379" w:bottom="1440" w:gutter="0" w:footer="0" w:header="0"/>
        </w:sectPr>
      </w:pPr>
    </w:p>
    <w:bookmarkStart w:id="55" w:name="page56"/>
    <w:bookmarkEnd w:id="55"/>
    <w:p>
      <w:pPr>
        <w:spacing w:after="0"/>
        <w:rPr>
          <w:sz w:val="20"/>
          <w:szCs w:val="20"/>
          <w:color w:val="auto"/>
        </w:rPr>
      </w:pPr>
      <w:r>
        <w:rPr>
          <w:rFonts w:ascii="Arial" w:cs="Arial" w:eastAsia="Arial" w:hAnsi="Arial"/>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3025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30250" cy="8255"/>
                    </a:xfrm>
                    <a:prstGeom prst="rect">
                      <a:avLst/>
                    </a:prstGeom>
                    <a:noFill/>
                  </pic:spPr>
                </pic:pic>
              </a:graphicData>
            </a:graphic>
          </wp:anchor>
        </w:drawing>
      </w:r>
    </w:p>
    <w:p>
      <w:pPr>
        <w:spacing w:after="0" w:line="215" w:lineRule="exact"/>
        <w:rPr>
          <w:sz w:val="20"/>
          <w:szCs w:val="20"/>
          <w:color w:val="auto"/>
        </w:rPr>
      </w:pPr>
    </w:p>
    <w:p>
      <w:pPr>
        <w:jc w:val="both"/>
        <w:ind w:right="320"/>
        <w:spacing w:after="0" w:line="278" w:lineRule="auto"/>
        <w:rPr>
          <w:sz w:val="20"/>
          <w:szCs w:val="20"/>
          <w:color w:val="auto"/>
        </w:rPr>
      </w:pPr>
      <w:r>
        <w:rPr>
          <w:rFonts w:ascii="Arial" w:cs="Arial" w:eastAsia="Arial" w:hAnsi="Arial"/>
          <w:sz w:val="16"/>
          <w:szCs w:val="16"/>
          <w:b w:val="1"/>
          <w:bCs w:val="1"/>
          <w:i w:val="1"/>
          <w:iCs w:val="1"/>
          <w:color w:val="auto"/>
        </w:rPr>
        <w:t>The regulatory approval processes of the FDA and comparable foreign authorities are lengthy, time consuming, and inherently unpredictable. If we are not able to obtain, or if there are delays in obtaining, required regulatory approvals, we will not be able to commercialize our product candidates as expected, and our ability to generate revenue will be materially impaired.</w:t>
      </w:r>
    </w:p>
    <w:p>
      <w:pPr>
        <w:spacing w:after="0" w:line="184" w:lineRule="exact"/>
        <w:rPr>
          <w:sz w:val="20"/>
          <w:szCs w:val="20"/>
          <w:color w:val="auto"/>
        </w:rPr>
      </w:pPr>
    </w:p>
    <w:p>
      <w:pPr>
        <w:ind w:firstLine="749"/>
        <w:spacing w:after="0" w:line="287" w:lineRule="auto"/>
        <w:rPr>
          <w:sz w:val="20"/>
          <w:szCs w:val="20"/>
          <w:color w:val="auto"/>
        </w:rPr>
      </w:pPr>
      <w:r>
        <w:rPr>
          <w:rFonts w:ascii="Arial" w:cs="Arial" w:eastAsia="Arial" w:hAnsi="Arial"/>
          <w:sz w:val="15"/>
          <w:szCs w:val="15"/>
          <w:color w:val="auto"/>
        </w:rPr>
        <w:t>The time required to obtain approval by the FDA and comparable foreign authorities is unpredictable but typically takes many years following the commencement of clinical trials and depends upon numerous factors, including the substantial discretion of the regulatory authorities and the availability and prioritization of regulatory agency resources. In addition, approval policies, regulations, or the type and amount of clinical data necessary to gain approval may change during the course of a product candidate’s clinical development and may vary among jurisdictions, and may require us to amend our clinical trial protocols or conduct additional studies that require regulatory or institutional review board, or IRB, approval, or otherwise cause delays in the approval or rejection of an application. To date, we have submitted two NDAs to the FDA and have obtained regulatory approval for one of our product candidates, Auvelity. It is possible that none of our other existing product candidates, or any product candidates we may seek to develop in the future, will ever obtain regulatory approval. Any delay in obtaining or failure to obtain required approvals could materially adversely affect our ability or that of any of our collaborators to generate revenue from the particular product candidate, which likely would result in significant harm to our financial position and adversely impact our stock price.</w:t>
      </w:r>
    </w:p>
    <w:p>
      <w:pPr>
        <w:spacing w:after="0" w:line="182" w:lineRule="exact"/>
        <w:rPr>
          <w:sz w:val="20"/>
          <w:szCs w:val="20"/>
          <w:color w:val="auto"/>
        </w:rPr>
      </w:pPr>
    </w:p>
    <w:p>
      <w:pPr>
        <w:ind w:right="40" w:firstLine="749"/>
        <w:spacing w:after="0" w:line="203" w:lineRule="exact"/>
        <w:rPr>
          <w:sz w:val="20"/>
          <w:szCs w:val="20"/>
          <w:color w:val="auto"/>
        </w:rPr>
      </w:pPr>
      <w:r>
        <w:rPr>
          <w:rFonts w:ascii="Arial" w:cs="Arial" w:eastAsia="Arial" w:hAnsi="Arial"/>
          <w:sz w:val="16"/>
          <w:szCs w:val="16"/>
          <w:color w:val="auto"/>
        </w:rPr>
        <w:t>Our products and the activities associated with their development and commercialization, including their design, testing, manufacture, safety, efficacy, recordkeeping, labeling, storage, approval, advertising, promotion, sale, and distribution, are subject to comprehensive regulation by the FDA and other regulatory agencies in the United States, and by the EMA, in Europe, and similar regulatory authorities outside the United States and Europe. Failure to obtain marketing approval for a product candidate will prevent us from commercializing the product candidate. We have limited experience in filing and supporting the applications necessary to gain marketing approvals and rely on third</w:t>
      </w:r>
      <w:r>
        <w:rPr>
          <w:rFonts w:ascii="MS PGothic" w:cs="MS PGothic" w:eastAsia="MS PGothic" w:hAnsi="MS PGothic"/>
          <w:sz w:val="16"/>
          <w:szCs w:val="16"/>
          <w:color w:val="auto"/>
        </w:rPr>
        <w:t>‑</w:t>
      </w:r>
      <w:r>
        <w:rPr>
          <w:rFonts w:ascii="Arial" w:cs="Arial" w:eastAsia="Arial" w:hAnsi="Arial"/>
          <w:sz w:val="16"/>
          <w:szCs w:val="16"/>
          <w:color w:val="auto"/>
        </w:rPr>
        <w:t>party contract research organizations, or CROs, and consultants to assist us in this process. Securing marketing approval requires the submission of extensive preclinical and clinical data and supporting information to regulatory authorities for each therapeutic indication to establish the product candidate’s safety and efficacy for that indication and the submission of information about the product manufacturing process to, and inspection of manufacturing facilities and clinical trial sites by, the regulatory authorities.</w:t>
      </w:r>
    </w:p>
    <w:p>
      <w:pPr>
        <w:spacing w:after="0" w:line="217" w:lineRule="exact"/>
        <w:rPr>
          <w:sz w:val="20"/>
          <w:szCs w:val="20"/>
          <w:color w:val="auto"/>
        </w:rPr>
      </w:pPr>
    </w:p>
    <w:p>
      <w:pPr>
        <w:ind w:right="120" w:firstLine="749"/>
        <w:spacing w:after="0" w:line="203" w:lineRule="exact"/>
        <w:rPr>
          <w:sz w:val="20"/>
          <w:szCs w:val="20"/>
          <w:color w:val="auto"/>
        </w:rPr>
      </w:pPr>
      <w:r>
        <w:rPr>
          <w:rFonts w:ascii="Arial" w:cs="Arial" w:eastAsia="Arial" w:hAnsi="Arial"/>
          <w:sz w:val="14"/>
          <w:szCs w:val="14"/>
          <w:color w:val="auto"/>
        </w:rPr>
        <w:t>Clinical testing is expensive and can take many years to complete, and its outcome is inherently uncertain. Failure can occur at any time during the clinical trial process. The results of preclinical studies; our product candidates’ mechanism of action; studies conducted by third parties in different patient populations, using different products, or using different study designs; and early clinical trials of our product candidates may not be predictive of the results of later</w:t>
      </w:r>
      <w:r>
        <w:rPr>
          <w:rFonts w:ascii="MS PGothic" w:cs="MS PGothic" w:eastAsia="MS PGothic" w:hAnsi="MS PGothic"/>
          <w:sz w:val="14"/>
          <w:szCs w:val="14"/>
          <w:color w:val="auto"/>
        </w:rPr>
        <w:t>‑</w:t>
      </w:r>
      <w:r>
        <w:rPr>
          <w:rFonts w:ascii="Arial" w:cs="Arial" w:eastAsia="Arial" w:hAnsi="Arial"/>
          <w:sz w:val="14"/>
          <w:szCs w:val="14"/>
          <w:color w:val="auto"/>
        </w:rPr>
        <w:t>stage clinical trials. Product candidates in later stages of clinical trials may fail to show the desired safety and efficacy traits despite having progressed through preclinical studies and initial clinical trials. Preclinical studies may also reveal unfavorable product candidate characteristics, including safety concerns. A number of companies in the pharmaceutical industry have suffered significant setbacks in advanced clinical trials due to lack of efficacy or adverse safety profiles, notwithstanding promising results in earlier trials. Our future clinical trial results may not be successful. Moreover, should there be a flaw in a clinical trial, it may not become apparent until the clinical trial is well advanced.</w:t>
      </w:r>
    </w:p>
    <w:p>
      <w:pPr>
        <w:spacing w:after="0" w:line="215" w:lineRule="exact"/>
        <w:rPr>
          <w:sz w:val="20"/>
          <w:szCs w:val="20"/>
          <w:color w:val="auto"/>
        </w:rPr>
      </w:pPr>
    </w:p>
    <w:p>
      <w:pPr>
        <w:ind w:right="20" w:firstLine="749"/>
        <w:spacing w:after="0" w:line="293" w:lineRule="auto"/>
        <w:rPr>
          <w:sz w:val="20"/>
          <w:szCs w:val="20"/>
          <w:color w:val="auto"/>
        </w:rPr>
      </w:pPr>
      <w:r>
        <w:rPr>
          <w:rFonts w:ascii="Arial" w:cs="Arial" w:eastAsia="Arial" w:hAnsi="Arial"/>
          <w:sz w:val="16"/>
          <w:szCs w:val="16"/>
          <w:color w:val="auto"/>
        </w:rPr>
        <w:t>We may also experience numerous unforeseen events during, or as a result of, clinical trials and in the course of our preparation, submission, and review of NDA filings that could delay or prevent our ability to receive marketing approval or commercialize our product candidates, including:</w:t>
      </w:r>
    </w:p>
    <w:p>
      <w:pPr>
        <w:spacing w:after="0" w:line="172" w:lineRule="exact"/>
        <w:rPr>
          <w:sz w:val="20"/>
          <w:szCs w:val="20"/>
          <w:color w:val="auto"/>
        </w:rPr>
      </w:pPr>
    </w:p>
    <w:p>
      <w:pPr>
        <w:ind w:left="760" w:right="500" w:hanging="378"/>
        <w:spacing w:after="0" w:line="293" w:lineRule="auto"/>
        <w:tabs>
          <w:tab w:leader="none" w:pos="7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regulators or IRBs may not authorize us or our investigators to commence a clinical trial or conduct a clinical trial at a prospective trial site or amend trial protocols;</w:t>
      </w:r>
    </w:p>
    <w:p>
      <w:pPr>
        <w:spacing w:after="0" w:line="171" w:lineRule="exact"/>
        <w:rPr>
          <w:rFonts w:ascii="Arial" w:cs="Arial" w:eastAsia="Arial" w:hAnsi="Arial"/>
          <w:sz w:val="16"/>
          <w:szCs w:val="16"/>
          <w:color w:val="auto"/>
        </w:rPr>
      </w:pPr>
    </w:p>
    <w:p>
      <w:pPr>
        <w:ind w:left="760" w:right="180" w:hanging="378"/>
        <w:spacing w:after="0" w:line="293" w:lineRule="auto"/>
        <w:tabs>
          <w:tab w:leader="none" w:pos="7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we may experience delays in reaching, or fail to reach, agreement on acceptable clinical trial contracts or clinical trial protocols with prospective trial sites and our CROs;</w:t>
      </w:r>
    </w:p>
    <w:p>
      <w:pPr>
        <w:spacing w:after="0" w:line="171" w:lineRule="exact"/>
        <w:rPr>
          <w:rFonts w:ascii="Arial" w:cs="Arial" w:eastAsia="Arial" w:hAnsi="Arial"/>
          <w:sz w:val="16"/>
          <w:szCs w:val="16"/>
          <w:color w:val="auto"/>
        </w:rPr>
      </w:pPr>
    </w:p>
    <w:p>
      <w:pPr>
        <w:ind w:left="760" w:right="80" w:hanging="378"/>
        <w:spacing w:after="0" w:line="328" w:lineRule="auto"/>
        <w:tabs>
          <w:tab w:leader="none" w:pos="760" w:val="left"/>
        </w:tabs>
        <w:numPr>
          <w:ilvl w:val="0"/>
          <w:numId w:val="21"/>
        </w:numPr>
        <w:rPr>
          <w:rFonts w:ascii="Arial" w:cs="Arial" w:eastAsia="Arial" w:hAnsi="Arial"/>
          <w:sz w:val="15"/>
          <w:szCs w:val="15"/>
          <w:color w:val="auto"/>
        </w:rPr>
      </w:pPr>
      <w:r>
        <w:rPr>
          <w:rFonts w:ascii="Arial" w:cs="Arial" w:eastAsia="Arial" w:hAnsi="Arial"/>
          <w:sz w:val="15"/>
          <w:szCs w:val="15"/>
          <w:color w:val="auto"/>
        </w:rPr>
        <w:t>clinical trials of our product candidates may produce negative or inconclusive results, or our studies may fail to reach the necessary level of statistical or clinical significance, and we may decide, or regulators may require us, to conduct additional clinical trials or abandon product development programs;</w:t>
      </w:r>
    </w:p>
    <w:p>
      <w:pPr>
        <w:spacing w:after="0" w:line="149" w:lineRule="exact"/>
        <w:rPr>
          <w:rFonts w:ascii="Arial" w:cs="Arial" w:eastAsia="Arial" w:hAnsi="Arial"/>
          <w:sz w:val="15"/>
          <w:szCs w:val="15"/>
          <w:color w:val="auto"/>
        </w:rPr>
      </w:pPr>
    </w:p>
    <w:p>
      <w:pPr>
        <w:ind w:left="760" w:right="140" w:hanging="378"/>
        <w:spacing w:after="0" w:line="293" w:lineRule="auto"/>
        <w:tabs>
          <w:tab w:leader="none" w:pos="7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interim analyses may result in our clinical trials being discontinued for safety or futility reasons or may result in modifications to our clinical trials that prolong the trials or make them difficult and more expensive to complete, such as increases in the number of subjects;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56" w:name="page57"/>
    <w:bookmarkEnd w:id="56"/>
    <w:p>
      <w:pPr>
        <w:spacing w:after="0"/>
        <w:rPr>
          <w:sz w:val="20"/>
          <w:szCs w:val="20"/>
          <w:color w:val="auto"/>
        </w:rPr>
      </w:pPr>
      <w:r>
        <w:rPr>
          <w:rFonts w:ascii="Arial" w:cs="Arial" w:eastAsia="Arial" w:hAnsi="Arial"/>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3025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30250" cy="8255"/>
                    </a:xfrm>
                    <a:prstGeom prst="rect">
                      <a:avLst/>
                    </a:prstGeom>
                    <a:noFill/>
                  </pic:spPr>
                </pic:pic>
              </a:graphicData>
            </a:graphic>
          </wp:anchor>
        </w:drawing>
      </w:r>
    </w:p>
    <w:p>
      <w:pPr>
        <w:spacing w:after="0" w:line="215" w:lineRule="exact"/>
        <w:rPr>
          <w:sz w:val="20"/>
          <w:szCs w:val="20"/>
          <w:color w:val="auto"/>
        </w:rPr>
      </w:pPr>
    </w:p>
    <w:p>
      <w:pPr>
        <w:ind w:left="760" w:right="300" w:hanging="378"/>
        <w:spacing w:after="0" w:line="293" w:lineRule="auto"/>
        <w:tabs>
          <w:tab w:leader="none" w:pos="7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number of patients required for clinical trials of our product candidates may be larger than we anticipate, enrollment in these clinical trials may be slower than we anticipate, or participants may drop out of these clinical trials at a higher rate than we anticipate;</w:t>
      </w:r>
    </w:p>
    <w:p>
      <w:pPr>
        <w:spacing w:after="0" w:line="171" w:lineRule="exact"/>
        <w:rPr>
          <w:rFonts w:ascii="Arial" w:cs="Arial" w:eastAsia="Arial" w:hAnsi="Arial"/>
          <w:sz w:val="16"/>
          <w:szCs w:val="16"/>
          <w:color w:val="auto"/>
        </w:rPr>
      </w:pPr>
    </w:p>
    <w:p>
      <w:pPr>
        <w:ind w:left="760" w:right="240" w:hanging="378"/>
        <w:spacing w:after="0" w:line="204" w:lineRule="exact"/>
        <w:tabs>
          <w:tab w:leader="none" w:pos="7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our third</w:t>
      </w:r>
      <w:r>
        <w:rPr>
          <w:rFonts w:ascii="MS PGothic" w:cs="MS PGothic" w:eastAsia="MS PGothic" w:hAnsi="MS PGothic"/>
          <w:sz w:val="16"/>
          <w:szCs w:val="16"/>
          <w:color w:val="auto"/>
        </w:rPr>
        <w:t>‑</w:t>
      </w:r>
      <w:r>
        <w:rPr>
          <w:rFonts w:ascii="Arial" w:cs="Arial" w:eastAsia="Arial" w:hAnsi="Arial"/>
          <w:sz w:val="16"/>
          <w:szCs w:val="16"/>
          <w:color w:val="auto"/>
        </w:rPr>
        <w:t>party contractors may fail to comply with regulatory requirements or the clinical trial protocol, or meet their contractual obligations to us in a timely manner, or at all, or we may be required to engage in additional clinical trial site monitoring;</w:t>
      </w:r>
    </w:p>
    <w:p>
      <w:pPr>
        <w:spacing w:after="0" w:line="213" w:lineRule="exact"/>
        <w:rPr>
          <w:rFonts w:ascii="Arial" w:cs="Arial" w:eastAsia="Arial" w:hAnsi="Arial"/>
          <w:sz w:val="16"/>
          <w:szCs w:val="16"/>
          <w:color w:val="auto"/>
        </w:rPr>
      </w:pPr>
    </w:p>
    <w:p>
      <w:pPr>
        <w:ind w:left="760" w:right="200" w:hanging="378"/>
        <w:spacing w:after="0" w:line="273" w:lineRule="auto"/>
        <w:tabs>
          <w:tab w:leader="none" w:pos="7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we, the regulators, or IRBs may require that we or our investigators suspend or terminate clinical research for various reasons, including noncompliance with regulatory requirements or a finding that the participants are being exposed to unacceptable health risks, undesirable side effects, or other unexpected characteristics of the product candidate, or due to findings of undesirable effects caused by a chemically or mechanistically similar drug or drug candidate. We may also discontinue clinical research and programs due to changing business priorities;</w:t>
      </w:r>
    </w:p>
    <w:p>
      <w:pPr>
        <w:spacing w:after="0" w:line="188" w:lineRule="exact"/>
        <w:rPr>
          <w:rFonts w:ascii="Arial" w:cs="Arial" w:eastAsia="Arial" w:hAnsi="Arial"/>
          <w:sz w:val="16"/>
          <w:szCs w:val="16"/>
          <w:color w:val="auto"/>
        </w:rPr>
      </w:pPr>
    </w:p>
    <w:p>
      <w:pPr>
        <w:ind w:left="760" w:hanging="378"/>
        <w:spacing w:after="0"/>
        <w:tabs>
          <w:tab w:leader="none" w:pos="7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changes in marketing approval policies during the development period rendering our data insufficient to obtain marketing approval;</w:t>
      </w:r>
    </w:p>
    <w:p>
      <w:pPr>
        <w:spacing w:after="0" w:line="234" w:lineRule="exact"/>
        <w:rPr>
          <w:rFonts w:ascii="Arial" w:cs="Arial" w:eastAsia="Arial" w:hAnsi="Arial"/>
          <w:sz w:val="16"/>
          <w:szCs w:val="16"/>
          <w:color w:val="auto"/>
        </w:rPr>
      </w:pPr>
    </w:p>
    <w:p>
      <w:pPr>
        <w:ind w:left="760" w:hanging="378"/>
        <w:spacing w:after="0"/>
        <w:tabs>
          <w:tab w:leader="none" w:pos="7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changes in or the enactment of additional statutes or regulations;</w:t>
      </w:r>
    </w:p>
    <w:p>
      <w:pPr>
        <w:spacing w:after="0" w:line="234" w:lineRule="exact"/>
        <w:rPr>
          <w:rFonts w:ascii="Arial" w:cs="Arial" w:eastAsia="Arial" w:hAnsi="Arial"/>
          <w:sz w:val="16"/>
          <w:szCs w:val="16"/>
          <w:color w:val="auto"/>
        </w:rPr>
      </w:pPr>
    </w:p>
    <w:p>
      <w:pPr>
        <w:ind w:left="760" w:hanging="378"/>
        <w:spacing w:after="0"/>
        <w:tabs>
          <w:tab w:leader="none" w:pos="7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changes in regulatory review for each submitted product application;</w:t>
      </w:r>
    </w:p>
    <w:p>
      <w:pPr>
        <w:spacing w:after="0" w:line="234" w:lineRule="exact"/>
        <w:rPr>
          <w:rFonts w:ascii="Arial" w:cs="Arial" w:eastAsia="Arial" w:hAnsi="Arial"/>
          <w:sz w:val="16"/>
          <w:szCs w:val="16"/>
          <w:color w:val="auto"/>
        </w:rPr>
      </w:pPr>
    </w:p>
    <w:p>
      <w:pPr>
        <w:ind w:left="760" w:right="700" w:hanging="378"/>
        <w:spacing w:after="0" w:line="293" w:lineRule="auto"/>
        <w:tabs>
          <w:tab w:leader="none" w:pos="7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cost of clinical trials of our product candidates may be greater than we anticipate, or we may have insufficient funds for a clinical trial or to pay the substantial user fees required by the FDA upon the filing of an NDA;</w:t>
      </w:r>
    </w:p>
    <w:p>
      <w:pPr>
        <w:spacing w:after="0" w:line="171" w:lineRule="exact"/>
        <w:rPr>
          <w:rFonts w:ascii="Arial" w:cs="Arial" w:eastAsia="Arial" w:hAnsi="Arial"/>
          <w:sz w:val="16"/>
          <w:szCs w:val="16"/>
          <w:color w:val="auto"/>
        </w:rPr>
      </w:pPr>
    </w:p>
    <w:p>
      <w:pPr>
        <w:ind w:left="760" w:hanging="378"/>
        <w:spacing w:after="0"/>
        <w:tabs>
          <w:tab w:leader="none" w:pos="760" w:val="left"/>
        </w:tabs>
        <w:numPr>
          <w:ilvl w:val="0"/>
          <w:numId w:val="22"/>
        </w:numPr>
        <w:rPr>
          <w:rFonts w:ascii="Arial" w:cs="Arial" w:eastAsia="Arial" w:hAnsi="Arial"/>
          <w:sz w:val="14"/>
          <w:szCs w:val="14"/>
          <w:color w:val="auto"/>
        </w:rPr>
      </w:pPr>
      <w:r>
        <w:rPr>
          <w:rFonts w:ascii="Arial" w:cs="Arial" w:eastAsia="Arial" w:hAnsi="Arial"/>
          <w:sz w:val="14"/>
          <w:szCs w:val="14"/>
          <w:color w:val="auto"/>
        </w:rPr>
        <w:t>the supply or quality of our product candidates or other materials necessary to conduct clinical trials of our product candidates may be insufficient or inadequate;</w:t>
      </w:r>
    </w:p>
    <w:p>
      <w:pPr>
        <w:spacing w:after="0" w:line="257" w:lineRule="exact"/>
        <w:rPr>
          <w:rFonts w:ascii="Arial" w:cs="Arial" w:eastAsia="Arial" w:hAnsi="Arial"/>
          <w:sz w:val="14"/>
          <w:szCs w:val="14"/>
          <w:color w:val="auto"/>
        </w:rPr>
      </w:pPr>
    </w:p>
    <w:p>
      <w:pPr>
        <w:ind w:left="760" w:right="20" w:hanging="378"/>
        <w:spacing w:after="0" w:line="293" w:lineRule="auto"/>
        <w:tabs>
          <w:tab w:leader="none" w:pos="760" w:val="left"/>
        </w:tabs>
        <w:numPr>
          <w:ilvl w:val="0"/>
          <w:numId w:val="22"/>
        </w:numPr>
        <w:rPr>
          <w:rFonts w:ascii="Arial" w:cs="Arial" w:eastAsia="Arial" w:hAnsi="Arial"/>
          <w:sz w:val="15"/>
          <w:szCs w:val="15"/>
          <w:color w:val="auto"/>
        </w:rPr>
      </w:pPr>
      <w:r>
        <w:rPr>
          <w:rFonts w:ascii="Arial" w:cs="Arial" w:eastAsia="Arial" w:hAnsi="Arial"/>
          <w:sz w:val="15"/>
          <w:szCs w:val="15"/>
          <w:color w:val="auto"/>
        </w:rPr>
        <w:t>we may decide, or regulators may require us, to conduct additional clinical trials, analyses, reports, data, or preclinical/nonclinical studies than we currently plan, or we may abandon product development programs. For instance, although we believe that we are able to rely on the Phase 2 CONCERT trial and ongoing SYMPHONY trial to support an NDA for AXS-12 for the treatment of cataplexy and narcolepsy and the completed Phase 2 trial and Phase 3 trial to support an NDA for AXS-14 for the management of fibromyalgia, the FDA could still require additional studies to support the approval of an NDA for these product candidates. The outcome of our studies may further necessitate additional clinical or preclinical work;</w:t>
      </w:r>
    </w:p>
    <w:p>
      <w:pPr>
        <w:spacing w:after="0" w:line="175" w:lineRule="exact"/>
        <w:rPr>
          <w:rFonts w:ascii="Arial" w:cs="Arial" w:eastAsia="Arial" w:hAnsi="Arial"/>
          <w:sz w:val="15"/>
          <w:szCs w:val="15"/>
          <w:color w:val="auto"/>
        </w:rPr>
      </w:pPr>
    </w:p>
    <w:p>
      <w:pPr>
        <w:ind w:left="760" w:hanging="378"/>
        <w:spacing w:after="0"/>
        <w:tabs>
          <w:tab w:leader="none" w:pos="7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we may fail to reach an agreement with regulators regarding the scope or design of our clinical trials;</w:t>
      </w:r>
    </w:p>
    <w:p>
      <w:pPr>
        <w:spacing w:after="0" w:line="234" w:lineRule="exact"/>
        <w:rPr>
          <w:rFonts w:ascii="Arial" w:cs="Arial" w:eastAsia="Arial" w:hAnsi="Arial"/>
          <w:sz w:val="16"/>
          <w:szCs w:val="16"/>
          <w:color w:val="auto"/>
        </w:rPr>
      </w:pPr>
    </w:p>
    <w:p>
      <w:pPr>
        <w:ind w:left="760" w:hanging="378"/>
        <w:spacing w:after="0"/>
        <w:tabs>
          <w:tab w:leader="none" w:pos="7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we may have delays in adding new investigators or clinical trial sites, or we may experience a withdrawal of clinical trial sites;</w:t>
      </w:r>
    </w:p>
    <w:p>
      <w:pPr>
        <w:spacing w:after="0" w:line="234" w:lineRule="exact"/>
        <w:rPr>
          <w:rFonts w:ascii="Arial" w:cs="Arial" w:eastAsia="Arial" w:hAnsi="Arial"/>
          <w:sz w:val="16"/>
          <w:szCs w:val="16"/>
          <w:color w:val="auto"/>
        </w:rPr>
      </w:pPr>
    </w:p>
    <w:p>
      <w:pPr>
        <w:ind w:left="760" w:hanging="378"/>
        <w:spacing w:after="0"/>
        <w:tabs>
          <w:tab w:leader="none" w:pos="7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we may experience delays in our clinical trials due to the ongoing COVID-19 pandemic;</w:t>
      </w:r>
    </w:p>
    <w:p>
      <w:pPr>
        <w:spacing w:after="0" w:line="234" w:lineRule="exact"/>
        <w:rPr>
          <w:rFonts w:ascii="Arial" w:cs="Arial" w:eastAsia="Arial" w:hAnsi="Arial"/>
          <w:sz w:val="16"/>
          <w:szCs w:val="16"/>
          <w:color w:val="auto"/>
        </w:rPr>
      </w:pPr>
    </w:p>
    <w:p>
      <w:pPr>
        <w:ind w:left="760" w:right="100" w:hanging="378"/>
        <w:spacing w:after="0" w:line="328" w:lineRule="auto"/>
        <w:tabs>
          <w:tab w:leader="none" w:pos="760" w:val="left"/>
        </w:tabs>
        <w:numPr>
          <w:ilvl w:val="0"/>
          <w:numId w:val="22"/>
        </w:numPr>
        <w:rPr>
          <w:rFonts w:ascii="Arial" w:cs="Arial" w:eastAsia="Arial" w:hAnsi="Arial"/>
          <w:sz w:val="15"/>
          <w:szCs w:val="15"/>
          <w:color w:val="auto"/>
        </w:rPr>
      </w:pPr>
      <w:r>
        <w:rPr>
          <w:rFonts w:ascii="Arial" w:cs="Arial" w:eastAsia="Arial" w:hAnsi="Arial"/>
          <w:sz w:val="15"/>
          <w:szCs w:val="15"/>
          <w:color w:val="auto"/>
        </w:rPr>
        <w:t>patients that enroll in our studies may misrepresent their eligibility or may otherwise not comply with the clinical trial protocol, resulting in the need to drop the patients from the study or clinical trial, increase the needed enrollment size for the study or clinical trial, or extend the study’s or clinical trial’s duration;</w:t>
      </w:r>
    </w:p>
    <w:p>
      <w:pPr>
        <w:spacing w:after="0" w:line="149" w:lineRule="exact"/>
        <w:rPr>
          <w:rFonts w:ascii="Arial" w:cs="Arial" w:eastAsia="Arial" w:hAnsi="Arial"/>
          <w:sz w:val="15"/>
          <w:szCs w:val="15"/>
          <w:color w:val="auto"/>
        </w:rPr>
      </w:pPr>
    </w:p>
    <w:p>
      <w:pPr>
        <w:ind w:left="760" w:hanging="378"/>
        <w:spacing w:after="0"/>
        <w:tabs>
          <w:tab w:leader="none" w:pos="7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there may be regulatory questions regarding interpretations of data and results, or new information may emerge regarding our product candidates;</w:t>
      </w:r>
    </w:p>
    <w:p>
      <w:pPr>
        <w:spacing w:after="0" w:line="234" w:lineRule="exact"/>
        <w:rPr>
          <w:rFonts w:ascii="Arial" w:cs="Arial" w:eastAsia="Arial" w:hAnsi="Arial"/>
          <w:sz w:val="16"/>
          <w:szCs w:val="16"/>
          <w:color w:val="auto"/>
        </w:rPr>
      </w:pPr>
    </w:p>
    <w:p>
      <w:pPr>
        <w:ind w:left="760" w:hanging="378"/>
        <w:spacing w:after="0" w:line="271" w:lineRule="auto"/>
        <w:tabs>
          <w:tab w:leader="none" w:pos="7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FDA or comparable foreign regulatory authorities may disagree with our study design or our interpretation of data from preclinical studies and clinical trials or find that a product candidate’s benefits do not outweigh its safety risks. For instance, in our communications with the FDA, the FDA has raised questions and had comments regarding our preclinical studies and clinical trials, such as comments on the acceptability of the proposed trial designs for our product candidates, the number of patients planned for our studies, our data analysis plans, the species and doses used in our preclinical studies, and the results of our preclinical studies;</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57" w:name="page58"/>
    <w:bookmarkEnd w:id="57"/>
    <w:p>
      <w:pPr>
        <w:spacing w:after="0"/>
        <w:rPr>
          <w:sz w:val="20"/>
          <w:szCs w:val="20"/>
          <w:color w:val="auto"/>
        </w:rPr>
      </w:pPr>
      <w:r>
        <w:rPr>
          <w:rFonts w:ascii="Arial" w:cs="Arial" w:eastAsia="Arial" w:hAnsi="Arial"/>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3025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30250" cy="8255"/>
                    </a:xfrm>
                    <a:prstGeom prst="rect">
                      <a:avLst/>
                    </a:prstGeom>
                    <a:noFill/>
                  </pic:spPr>
                </pic:pic>
              </a:graphicData>
            </a:graphic>
          </wp:anchor>
        </w:drawing>
      </w:r>
    </w:p>
    <w:p>
      <w:pPr>
        <w:spacing w:after="0" w:line="215" w:lineRule="exact"/>
        <w:rPr>
          <w:sz w:val="20"/>
          <w:szCs w:val="20"/>
          <w:color w:val="auto"/>
        </w:rPr>
      </w:pPr>
    </w:p>
    <w:p>
      <w:pPr>
        <w:ind w:left="760" w:hanging="378"/>
        <w:spacing w:after="0" w:line="297" w:lineRule="auto"/>
        <w:tabs>
          <w:tab w:leader="none" w:pos="760" w:val="left"/>
        </w:tabs>
        <w:numPr>
          <w:ilvl w:val="0"/>
          <w:numId w:val="23"/>
        </w:numPr>
        <w:rPr>
          <w:rFonts w:ascii="Arial" w:cs="Arial" w:eastAsia="Arial" w:hAnsi="Arial"/>
          <w:sz w:val="15"/>
          <w:szCs w:val="15"/>
          <w:color w:val="auto"/>
        </w:rPr>
      </w:pPr>
      <w:r>
        <w:rPr>
          <w:rFonts w:ascii="Arial" w:cs="Arial" w:eastAsia="Arial" w:hAnsi="Arial"/>
          <w:sz w:val="15"/>
          <w:szCs w:val="15"/>
          <w:color w:val="auto"/>
        </w:rPr>
        <w:t>the FDA or comparable foreign regulatory authorities may disagree with our belief that certain product attributes are advantageous or may require further study of product attributes that are different than our reference listed drugs. Pharmacokinetic differences between our product candidates and the reference listed drugs, may also make bridging studies more difficult or may prevent us from using the 505(b)(2) pathway. If we are prevented from using the 505(b)(2) pathway, we will need to use the more time consuming and expensive NDA pathway to receive product approval;</w:t>
      </w:r>
    </w:p>
    <w:p>
      <w:pPr>
        <w:spacing w:after="0" w:line="172" w:lineRule="exact"/>
        <w:rPr>
          <w:rFonts w:ascii="Arial" w:cs="Arial" w:eastAsia="Arial" w:hAnsi="Arial"/>
          <w:sz w:val="15"/>
          <w:szCs w:val="15"/>
          <w:color w:val="auto"/>
        </w:rPr>
      </w:pPr>
    </w:p>
    <w:p>
      <w:pPr>
        <w:ind w:left="760" w:hanging="378"/>
        <w:spacing w:after="0"/>
        <w:tabs>
          <w:tab w:leader="none" w:pos="7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FDA or comparable foreign regulatory authorities may not accept data from studies with clinical trial sites in foreign countries;</w:t>
      </w:r>
    </w:p>
    <w:p>
      <w:pPr>
        <w:spacing w:after="0" w:line="234" w:lineRule="exact"/>
        <w:rPr>
          <w:rFonts w:ascii="Arial" w:cs="Arial" w:eastAsia="Arial" w:hAnsi="Arial"/>
          <w:sz w:val="16"/>
          <w:szCs w:val="16"/>
          <w:color w:val="auto"/>
        </w:rPr>
      </w:pPr>
    </w:p>
    <w:p>
      <w:pPr>
        <w:ind w:left="760" w:hanging="378"/>
        <w:spacing w:after="0"/>
        <w:tabs>
          <w:tab w:leader="none" w:pos="7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FDA or comparable foreign regulatory authorities may disagree with our intended indications;</w:t>
      </w:r>
    </w:p>
    <w:p>
      <w:pPr>
        <w:spacing w:after="0" w:line="234" w:lineRule="exact"/>
        <w:rPr>
          <w:rFonts w:ascii="Arial" w:cs="Arial" w:eastAsia="Arial" w:hAnsi="Arial"/>
          <w:sz w:val="16"/>
          <w:szCs w:val="16"/>
          <w:color w:val="auto"/>
        </w:rPr>
      </w:pPr>
    </w:p>
    <w:p>
      <w:pPr>
        <w:ind w:left="760" w:right="340" w:hanging="378"/>
        <w:spacing w:after="0" w:line="293" w:lineRule="auto"/>
        <w:tabs>
          <w:tab w:leader="none" w:pos="7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FDA or comparable foreign regulatory authorities may fail to approve or subsequently find fault with the manufacturing processes or our manufacturing facilities for clinical and future commercial supplies;</w:t>
      </w:r>
    </w:p>
    <w:p>
      <w:pPr>
        <w:spacing w:after="0" w:line="171" w:lineRule="exact"/>
        <w:rPr>
          <w:rFonts w:ascii="Arial" w:cs="Arial" w:eastAsia="Arial" w:hAnsi="Arial"/>
          <w:sz w:val="16"/>
          <w:szCs w:val="16"/>
          <w:color w:val="auto"/>
        </w:rPr>
      </w:pPr>
    </w:p>
    <w:p>
      <w:pPr>
        <w:ind w:left="760" w:right="120" w:hanging="378"/>
        <w:spacing w:after="0" w:line="293" w:lineRule="auto"/>
        <w:tabs>
          <w:tab w:leader="none" w:pos="760" w:val="left"/>
        </w:tabs>
        <w:numPr>
          <w:ilvl w:val="0"/>
          <w:numId w:val="23"/>
        </w:numPr>
        <w:rPr>
          <w:rFonts w:ascii="Arial" w:cs="Arial" w:eastAsia="Arial" w:hAnsi="Arial"/>
          <w:sz w:val="15"/>
          <w:szCs w:val="15"/>
          <w:color w:val="auto"/>
        </w:rPr>
      </w:pPr>
      <w:r>
        <w:rPr>
          <w:rFonts w:ascii="Arial" w:cs="Arial" w:eastAsia="Arial" w:hAnsi="Arial"/>
          <w:sz w:val="15"/>
          <w:szCs w:val="15"/>
          <w:color w:val="auto"/>
        </w:rPr>
        <w:t>in connection with the chemistry, manufacturing, and controls (CMC) data necessary for our NDA filing and approval, we will need to conduct stability studies and provide stability data to establish appropriate retest or expiration dating periods applicable to all future drug substance and drug product batches manufactured, packaged, and stored under similar circumstances, to establish the long-term storage conditions, and to provide evidence of the effect of various environmental conditions on the quality of the drug substance and drug product -- our product candidates may not demonstrate sufficient long-term stability to support an NDA filing or obtain approval, or the product shelf life may be limited by stability results;</w:t>
      </w:r>
    </w:p>
    <w:p>
      <w:pPr>
        <w:spacing w:after="0" w:line="175" w:lineRule="exact"/>
        <w:rPr>
          <w:rFonts w:ascii="Arial" w:cs="Arial" w:eastAsia="Arial" w:hAnsi="Arial"/>
          <w:sz w:val="15"/>
          <w:szCs w:val="15"/>
          <w:color w:val="auto"/>
        </w:rPr>
      </w:pPr>
    </w:p>
    <w:p>
      <w:pPr>
        <w:ind w:left="760" w:right="20" w:hanging="378"/>
        <w:spacing w:after="0" w:line="328" w:lineRule="auto"/>
        <w:tabs>
          <w:tab w:leader="none" w:pos="760" w:val="left"/>
        </w:tabs>
        <w:numPr>
          <w:ilvl w:val="0"/>
          <w:numId w:val="23"/>
        </w:numPr>
        <w:rPr>
          <w:rFonts w:ascii="Arial" w:cs="Arial" w:eastAsia="Arial" w:hAnsi="Arial"/>
          <w:sz w:val="15"/>
          <w:szCs w:val="15"/>
          <w:color w:val="auto"/>
        </w:rPr>
      </w:pPr>
      <w:r>
        <w:rPr>
          <w:rFonts w:ascii="Arial" w:cs="Arial" w:eastAsia="Arial" w:hAnsi="Arial"/>
          <w:sz w:val="15"/>
          <w:szCs w:val="15"/>
          <w:color w:val="auto"/>
        </w:rPr>
        <w:t>there may be delays in the FDA’s ability to conduct necessary Pre-Approval Inspections, or PAIs, due to the COVID-19 pandemic or for other reasons, and more generally the FDA or comparable foreign regulatory authorities may take longer than we anticipate to make a decision on our product candidates; and</w:t>
      </w:r>
    </w:p>
    <w:p>
      <w:pPr>
        <w:spacing w:after="0" w:line="149" w:lineRule="exact"/>
        <w:rPr>
          <w:rFonts w:ascii="Arial" w:cs="Arial" w:eastAsia="Arial" w:hAnsi="Arial"/>
          <w:sz w:val="15"/>
          <w:szCs w:val="15"/>
          <w:color w:val="auto"/>
        </w:rPr>
      </w:pPr>
    </w:p>
    <w:p>
      <w:pPr>
        <w:ind w:left="760" w:right="260" w:hanging="378"/>
        <w:spacing w:after="0" w:line="293" w:lineRule="auto"/>
        <w:tabs>
          <w:tab w:leader="none" w:pos="7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we may not be able to demonstrate that a product candidate provides an advantage over current standards of care or current or future competitive therapies in development.</w:t>
      </w:r>
    </w:p>
    <w:p>
      <w:pPr>
        <w:spacing w:after="0" w:line="172" w:lineRule="exact"/>
        <w:rPr>
          <w:sz w:val="20"/>
          <w:szCs w:val="20"/>
          <w:color w:val="auto"/>
        </w:rPr>
      </w:pPr>
    </w:p>
    <w:p>
      <w:pPr>
        <w:jc w:val="both"/>
        <w:ind w:right="40" w:firstLine="749"/>
        <w:spacing w:after="0" w:line="278" w:lineRule="auto"/>
        <w:rPr>
          <w:sz w:val="20"/>
          <w:szCs w:val="20"/>
          <w:color w:val="auto"/>
        </w:rPr>
      </w:pPr>
      <w:r>
        <w:rPr>
          <w:rFonts w:ascii="Arial" w:cs="Arial" w:eastAsia="Arial" w:hAnsi="Arial"/>
          <w:sz w:val="16"/>
          <w:szCs w:val="16"/>
          <w:color w:val="auto"/>
        </w:rPr>
        <w:t>Moreover, if we are required to conduct additional clinical trials or other testing of our product candidates beyond those that we currently contemplate, if we are unable to successfully complete clinical trials or other testing of our product candidates, if the results of these trials or tests are not positive, or are only modestly positive or if there are safety concerns, we may:</w:t>
      </w:r>
    </w:p>
    <w:p>
      <w:pPr>
        <w:spacing w:after="0" w:line="184" w:lineRule="exact"/>
        <w:rPr>
          <w:sz w:val="20"/>
          <w:szCs w:val="20"/>
          <w:color w:val="auto"/>
        </w:rPr>
      </w:pPr>
    </w:p>
    <w:p>
      <w:pPr>
        <w:ind w:left="760" w:hanging="378"/>
        <w:spacing w:after="0"/>
        <w:tabs>
          <w:tab w:leader="none" w:pos="7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be delayed in obtaining marketing approval for our product candidates;</w:t>
      </w:r>
    </w:p>
    <w:p>
      <w:pPr>
        <w:spacing w:after="0" w:line="234" w:lineRule="exact"/>
        <w:rPr>
          <w:rFonts w:ascii="Arial" w:cs="Arial" w:eastAsia="Arial" w:hAnsi="Arial"/>
          <w:sz w:val="16"/>
          <w:szCs w:val="16"/>
          <w:color w:val="auto"/>
        </w:rPr>
      </w:pPr>
    </w:p>
    <w:p>
      <w:pPr>
        <w:ind w:left="760" w:hanging="378"/>
        <w:spacing w:after="0"/>
        <w:tabs>
          <w:tab w:leader="none" w:pos="7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not obtain marketing approval at all;</w:t>
      </w:r>
    </w:p>
    <w:p>
      <w:pPr>
        <w:spacing w:after="0" w:line="234" w:lineRule="exact"/>
        <w:rPr>
          <w:rFonts w:ascii="Arial" w:cs="Arial" w:eastAsia="Arial" w:hAnsi="Arial"/>
          <w:sz w:val="16"/>
          <w:szCs w:val="16"/>
          <w:color w:val="auto"/>
        </w:rPr>
      </w:pPr>
    </w:p>
    <w:p>
      <w:pPr>
        <w:ind w:left="760" w:hanging="378"/>
        <w:spacing w:after="0"/>
        <w:tabs>
          <w:tab w:leader="none" w:pos="7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obtain approval for indications or patient populations that are not as broad as intended or desired or are not covered by our intellectual property;</w:t>
      </w:r>
    </w:p>
    <w:p>
      <w:pPr>
        <w:spacing w:after="0" w:line="234" w:lineRule="exact"/>
        <w:rPr>
          <w:rFonts w:ascii="Arial" w:cs="Arial" w:eastAsia="Arial" w:hAnsi="Arial"/>
          <w:sz w:val="16"/>
          <w:szCs w:val="16"/>
          <w:color w:val="auto"/>
        </w:rPr>
      </w:pPr>
    </w:p>
    <w:p>
      <w:pPr>
        <w:ind w:left="760" w:right="620" w:hanging="378"/>
        <w:spacing w:after="0" w:line="278" w:lineRule="auto"/>
        <w:tabs>
          <w:tab w:leader="none" w:pos="7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obtain approval with labeling that includes significant use or distribution restrictions, including restrictions on the intended patient population, or safety warnings, including boxed warnings, contraindications, and precautions, or may not include label statements necessary or desirable for successful commercialization;</w:t>
      </w:r>
    </w:p>
    <w:p>
      <w:pPr>
        <w:spacing w:after="0" w:line="184" w:lineRule="exact"/>
        <w:rPr>
          <w:rFonts w:ascii="Arial" w:cs="Arial" w:eastAsia="Arial" w:hAnsi="Arial"/>
          <w:sz w:val="16"/>
          <w:szCs w:val="16"/>
          <w:color w:val="auto"/>
        </w:rPr>
      </w:pPr>
    </w:p>
    <w:p>
      <w:pPr>
        <w:ind w:left="760" w:hanging="378"/>
        <w:spacing w:after="0" w:line="184" w:lineRule="exact"/>
        <w:tabs>
          <w:tab w:leader="none" w:pos="7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be subject to additional post</w:t>
      </w:r>
      <w:r>
        <w:rPr>
          <w:rFonts w:ascii="MS PGothic" w:cs="MS PGothic" w:eastAsia="MS PGothic" w:hAnsi="MS PGothic"/>
          <w:sz w:val="16"/>
          <w:szCs w:val="16"/>
          <w:color w:val="auto"/>
        </w:rPr>
        <w:t>‑</w:t>
      </w:r>
      <w:r>
        <w:rPr>
          <w:rFonts w:ascii="Arial" w:cs="Arial" w:eastAsia="Arial" w:hAnsi="Arial"/>
          <w:sz w:val="16"/>
          <w:szCs w:val="16"/>
          <w:color w:val="auto"/>
        </w:rPr>
        <w:t>marketing testing and surveillance requirements, including REMS; or</w:t>
      </w:r>
    </w:p>
    <w:p>
      <w:pPr>
        <w:spacing w:after="0" w:line="234" w:lineRule="exact"/>
        <w:rPr>
          <w:rFonts w:ascii="Arial" w:cs="Arial" w:eastAsia="Arial" w:hAnsi="Arial"/>
          <w:sz w:val="16"/>
          <w:szCs w:val="16"/>
          <w:color w:val="auto"/>
        </w:rPr>
      </w:pPr>
    </w:p>
    <w:p>
      <w:pPr>
        <w:ind w:left="760" w:hanging="378"/>
        <w:spacing w:after="0"/>
        <w:tabs>
          <w:tab w:leader="none" w:pos="7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have the product removed from the market after obtaining marketing approval.</w:t>
      </w:r>
    </w:p>
    <w:p>
      <w:pPr>
        <w:spacing w:after="0" w:line="235" w:lineRule="exact"/>
        <w:rPr>
          <w:sz w:val="20"/>
          <w:szCs w:val="20"/>
          <w:color w:val="auto"/>
        </w:rPr>
      </w:pPr>
    </w:p>
    <w:p>
      <w:pPr>
        <w:ind w:right="20" w:firstLine="749"/>
        <w:spacing w:after="0" w:line="288" w:lineRule="auto"/>
        <w:rPr>
          <w:sz w:val="20"/>
          <w:szCs w:val="20"/>
          <w:color w:val="auto"/>
        </w:rPr>
      </w:pPr>
      <w:r>
        <w:rPr>
          <w:rFonts w:ascii="Arial" w:cs="Arial" w:eastAsia="Arial" w:hAnsi="Arial"/>
          <w:sz w:val="15"/>
          <w:szCs w:val="15"/>
          <w:color w:val="auto"/>
        </w:rPr>
        <w:t>Our product candidate development costs will also increase if we experience delays in testing or approvals and we may not have sufficient funding to complete the testing and approval process for any of our product candidates. We may be required to obtain additional funds to complete clinical trials and prepare for possible commercialization of our product candidates. We do not know whether any additional preclinical tests or clinical trials will be required, will begin as planned, will need to be restructured, or will be completed on schedule, or at all. Significant delays relating to any preclinical studies or clinical trials also could shorten any periods during which we may have the exclusive right to commercialize our product candidates or allow our competitors, or the competitors of our collaborators, to bring products to market before we do and impair our ability to successfully commercialize our product candidates and may harm our business and results of operations. In addition, many of the factors that cause, or lead to, such delays may ultimately lead to the denial of marketing approval of any of our product candidates. If any of this occurs, our business, financial condition, results of operations, and prospects may be materially harmed.</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 w:right="379" w:bottom="1440" w:gutter="0" w:footer="0" w:header="0"/>
        </w:sectPr>
      </w:pPr>
    </w:p>
    <w:bookmarkStart w:id="58" w:name="page59"/>
    <w:bookmarkEnd w:id="58"/>
    <w:p>
      <w:pPr>
        <w:spacing w:after="0"/>
        <w:rPr>
          <w:sz w:val="20"/>
          <w:szCs w:val="20"/>
          <w:color w:val="auto"/>
        </w:rPr>
      </w:pPr>
      <w:r>
        <w:rPr>
          <w:rFonts w:ascii="Arial" w:cs="Arial" w:eastAsia="Arial" w:hAnsi="Arial"/>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3025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30250" cy="8255"/>
                    </a:xfrm>
                    <a:prstGeom prst="rect">
                      <a:avLst/>
                    </a:prstGeom>
                    <a:noFill/>
                  </pic:spPr>
                </pic:pic>
              </a:graphicData>
            </a:graphic>
          </wp:anchor>
        </w:drawing>
      </w:r>
    </w:p>
    <w:p>
      <w:pPr>
        <w:spacing w:after="0" w:line="215" w:lineRule="exact"/>
        <w:rPr>
          <w:sz w:val="20"/>
          <w:szCs w:val="20"/>
          <w:color w:val="auto"/>
        </w:rPr>
      </w:pPr>
    </w:p>
    <w:p>
      <w:pPr>
        <w:ind w:firstLine="749"/>
        <w:spacing w:after="0" w:line="271" w:lineRule="auto"/>
        <w:rPr>
          <w:sz w:val="20"/>
          <w:szCs w:val="20"/>
          <w:color w:val="auto"/>
        </w:rPr>
      </w:pPr>
      <w:r>
        <w:rPr>
          <w:rFonts w:ascii="Arial" w:cs="Arial" w:eastAsia="Arial" w:hAnsi="Arial"/>
          <w:sz w:val="16"/>
          <w:szCs w:val="16"/>
          <w:color w:val="auto"/>
        </w:rPr>
        <w:t>Regulatory authorities have substantial discretion in the approval process and may refuse to accept any application or may decide that our data are insufficient for approval and require additional preclinical studies, clinical trials, or other studies. In addition, varying interpretations of the data obtained from preclinical and clinical testing could delay, limit, or prevent marketing approval of a product candidate. During the course of review, the FDA may also request or require additional CMC, or other data and information, and the development and provision of these data and information may be time consuming and expensive. For example, in the CRL with respect to our NDA for AXS-07, the FDA noted the need for additional CMC data.</w:t>
      </w:r>
    </w:p>
    <w:p>
      <w:pPr>
        <w:spacing w:after="0" w:line="190" w:lineRule="exact"/>
        <w:rPr>
          <w:sz w:val="20"/>
          <w:szCs w:val="20"/>
          <w:color w:val="auto"/>
        </w:rPr>
      </w:pPr>
    </w:p>
    <w:p>
      <w:pPr>
        <w:ind w:right="160" w:firstLine="749"/>
        <w:spacing w:after="0" w:line="278" w:lineRule="auto"/>
        <w:rPr>
          <w:sz w:val="20"/>
          <w:szCs w:val="20"/>
          <w:color w:val="auto"/>
        </w:rPr>
      </w:pPr>
      <w:r>
        <w:rPr>
          <w:rFonts w:ascii="Arial" w:cs="Arial" w:eastAsia="Arial" w:hAnsi="Arial"/>
          <w:sz w:val="16"/>
          <w:szCs w:val="16"/>
          <w:color w:val="auto"/>
        </w:rPr>
        <w:t>If we experience delays in obtaining approval, if we fail to obtain approval of a product candidate or if the label for a product candidate does not include the labeling claims necessary or desirable for the successful commercialization of that product candidate, the commercial prospects for such product candidate may be harmed and our ability to generate revenues from that product candidate will be materially impaired.</w:t>
      </w:r>
    </w:p>
    <w:p>
      <w:pPr>
        <w:spacing w:after="0" w:line="184"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b w:val="1"/>
          <w:bCs w:val="1"/>
          <w:i w:val="1"/>
          <w:iCs w:val="1"/>
          <w:color w:val="auto"/>
        </w:rPr>
        <w:t>If we cannot demonstrate an acceptable safety and toxicity profile for our product candidates, we will not be able to continue our clinical trials of or obtain approval for those product candidates.</w:t>
      </w:r>
    </w:p>
    <w:p>
      <w:pPr>
        <w:spacing w:after="0" w:line="172" w:lineRule="exact"/>
        <w:rPr>
          <w:sz w:val="20"/>
          <w:szCs w:val="20"/>
          <w:color w:val="auto"/>
        </w:rPr>
      </w:pPr>
    </w:p>
    <w:p>
      <w:pPr>
        <w:ind w:right="80" w:firstLine="749"/>
        <w:spacing w:after="0" w:line="269" w:lineRule="auto"/>
        <w:rPr>
          <w:sz w:val="20"/>
          <w:szCs w:val="20"/>
          <w:color w:val="auto"/>
        </w:rPr>
      </w:pPr>
      <w:r>
        <w:rPr>
          <w:rFonts w:ascii="Arial" w:cs="Arial" w:eastAsia="Arial" w:hAnsi="Arial"/>
          <w:sz w:val="16"/>
          <w:szCs w:val="16"/>
          <w:color w:val="auto"/>
        </w:rPr>
        <w:t>In order to obtain approval of a product candidate we must demonstrate safety in various nonclinical tests (including, for example, carcinogenicity studies, drug-drug interaction studies, and toxicity studies), in addition to human clinical trials. At the time of initiating human clinical trials, we may not have conducted or may not conduct all the types of nonclinical testing ultimately required by regulatory authorities, or future nonclinical tests may indicate safety concerns regarding our product candidates. Nonclinical testing and clinical testing are both expensive and time-consuming and have uncertain outcomes. Even if initial tests appear favorable, later testing may have unfavorable results. We may experience numerous unforeseen events during, or as a result of, the testing process, which could delay or prevent our ability to develop or commercialize our product candidates, including:</w:t>
      </w:r>
    </w:p>
    <w:p>
      <w:pPr>
        <w:spacing w:after="0" w:line="194" w:lineRule="exact"/>
        <w:rPr>
          <w:sz w:val="20"/>
          <w:szCs w:val="20"/>
          <w:color w:val="auto"/>
        </w:rPr>
      </w:pPr>
    </w:p>
    <w:p>
      <w:pPr>
        <w:ind w:left="760" w:right="280" w:hanging="378"/>
        <w:spacing w:after="0" w:line="293" w:lineRule="auto"/>
        <w:tabs>
          <w:tab w:leader="none" w:pos="7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our preclinical or nonclinical testing may produce inconclusive or negative safety results, which may require us to conduct additional nonclinical testing or to abandon product candidates;</w:t>
      </w:r>
    </w:p>
    <w:p>
      <w:pPr>
        <w:spacing w:after="0" w:line="171" w:lineRule="exact"/>
        <w:rPr>
          <w:rFonts w:ascii="Arial" w:cs="Arial" w:eastAsia="Arial" w:hAnsi="Arial"/>
          <w:sz w:val="16"/>
          <w:szCs w:val="16"/>
          <w:color w:val="auto"/>
        </w:rPr>
      </w:pPr>
    </w:p>
    <w:p>
      <w:pPr>
        <w:ind w:left="760" w:hanging="378"/>
        <w:spacing w:after="0"/>
        <w:tabs>
          <w:tab w:leader="none" w:pos="7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our product candidates may have unfavorable pharmacology or toxicity characteristics or suggest possible drug-drug interaction;</w:t>
      </w:r>
    </w:p>
    <w:p>
      <w:pPr>
        <w:spacing w:after="0" w:line="234" w:lineRule="exact"/>
        <w:rPr>
          <w:rFonts w:ascii="Arial" w:cs="Arial" w:eastAsia="Arial" w:hAnsi="Arial"/>
          <w:sz w:val="16"/>
          <w:szCs w:val="16"/>
          <w:color w:val="auto"/>
        </w:rPr>
      </w:pPr>
    </w:p>
    <w:p>
      <w:pPr>
        <w:ind w:left="760" w:hanging="378"/>
        <w:spacing w:after="0"/>
        <w:tabs>
          <w:tab w:leader="none" w:pos="7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our product candidates may cause undesirable side effects; and</w:t>
      </w:r>
    </w:p>
    <w:p>
      <w:pPr>
        <w:spacing w:after="0" w:line="234" w:lineRule="exact"/>
        <w:rPr>
          <w:rFonts w:ascii="Arial" w:cs="Arial" w:eastAsia="Arial" w:hAnsi="Arial"/>
          <w:sz w:val="16"/>
          <w:szCs w:val="16"/>
          <w:color w:val="auto"/>
        </w:rPr>
      </w:pPr>
    </w:p>
    <w:p>
      <w:pPr>
        <w:ind w:left="760" w:hanging="378"/>
        <w:spacing w:after="0"/>
        <w:tabs>
          <w:tab w:leader="none" w:pos="7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FDA or other regulatory authorities may determine that additional safety testing is required.</w:t>
      </w:r>
    </w:p>
    <w:p>
      <w:pPr>
        <w:spacing w:after="0" w:line="235" w:lineRule="exact"/>
        <w:rPr>
          <w:sz w:val="20"/>
          <w:szCs w:val="20"/>
          <w:color w:val="auto"/>
        </w:rPr>
      </w:pPr>
    </w:p>
    <w:p>
      <w:pPr>
        <w:ind w:right="340" w:firstLine="749"/>
        <w:spacing w:after="0" w:line="293" w:lineRule="auto"/>
        <w:rPr>
          <w:sz w:val="20"/>
          <w:szCs w:val="20"/>
          <w:color w:val="auto"/>
        </w:rPr>
      </w:pPr>
      <w:r>
        <w:rPr>
          <w:rFonts w:ascii="Arial" w:cs="Arial" w:eastAsia="Arial" w:hAnsi="Arial"/>
          <w:sz w:val="16"/>
          <w:szCs w:val="16"/>
          <w:color w:val="auto"/>
        </w:rPr>
        <w:t>Any such events would increase our costs and could delay or prevent our ability to commercialize our product candidates, which could adversely impact our business, financial condition and results of operation.</w:t>
      </w:r>
    </w:p>
    <w:p>
      <w:pPr>
        <w:spacing w:after="0" w:line="172" w:lineRule="exact"/>
        <w:rPr>
          <w:sz w:val="20"/>
          <w:szCs w:val="20"/>
          <w:color w:val="auto"/>
        </w:rPr>
      </w:pPr>
    </w:p>
    <w:p>
      <w:pPr>
        <w:ind w:right="400"/>
        <w:spacing w:after="0" w:line="293" w:lineRule="auto"/>
        <w:rPr>
          <w:sz w:val="20"/>
          <w:szCs w:val="20"/>
          <w:color w:val="auto"/>
        </w:rPr>
      </w:pPr>
      <w:r>
        <w:rPr>
          <w:rFonts w:ascii="Arial" w:cs="Arial" w:eastAsia="Arial" w:hAnsi="Arial"/>
          <w:sz w:val="16"/>
          <w:szCs w:val="16"/>
          <w:b w:val="1"/>
          <w:bCs w:val="1"/>
          <w:i w:val="1"/>
          <w:iCs w:val="1"/>
          <w:color w:val="auto"/>
        </w:rPr>
        <w:t>The FDA may determine that any of our current or future product candidates have undesirable side effects that could delay or prevent their regulatory approval or commercialization.</w:t>
      </w:r>
    </w:p>
    <w:p>
      <w:pPr>
        <w:spacing w:after="0" w:line="172" w:lineRule="exact"/>
        <w:rPr>
          <w:sz w:val="20"/>
          <w:szCs w:val="20"/>
          <w:color w:val="auto"/>
        </w:rPr>
      </w:pPr>
    </w:p>
    <w:p>
      <w:pPr>
        <w:ind w:right="160" w:firstLine="749"/>
        <w:spacing w:after="0" w:line="271" w:lineRule="auto"/>
        <w:rPr>
          <w:sz w:val="20"/>
          <w:szCs w:val="20"/>
          <w:color w:val="auto"/>
        </w:rPr>
      </w:pPr>
      <w:r>
        <w:rPr>
          <w:rFonts w:ascii="Arial" w:cs="Arial" w:eastAsia="Arial" w:hAnsi="Arial"/>
          <w:sz w:val="16"/>
          <w:szCs w:val="16"/>
          <w:color w:val="auto"/>
        </w:rPr>
        <w:t>Undesirable side effects caused by our product candidates could cause us, IRBs, and other reviewing entities or regulatory authorities to interrupt, delay, or halt clinical trials and could result in a more restrictive label or the delay or denial of regulatory approval by the FDA or other comparable foreign authorities. For example, if concerns are raised regarding the safety of a new drug as a result of undesirable side effects identified during clinical or preclinical testing, the FDA may order us to cease further development, decline to approve the drug, or issue a letter requesting additional data or information prior to making a final decision regarding whether or not to approve the drug.</w:t>
      </w:r>
    </w:p>
    <w:p>
      <w:pPr>
        <w:spacing w:after="0" w:line="190" w:lineRule="exact"/>
        <w:rPr>
          <w:sz w:val="20"/>
          <w:szCs w:val="20"/>
          <w:color w:val="auto"/>
        </w:rPr>
      </w:pPr>
    </w:p>
    <w:p>
      <w:pPr>
        <w:ind w:firstLine="749"/>
        <w:spacing w:after="0" w:line="203" w:lineRule="exact"/>
        <w:rPr>
          <w:sz w:val="20"/>
          <w:szCs w:val="20"/>
          <w:color w:val="auto"/>
        </w:rPr>
      </w:pPr>
      <w:r>
        <w:rPr>
          <w:rFonts w:ascii="Arial" w:cs="Arial" w:eastAsia="Arial" w:hAnsi="Arial"/>
          <w:sz w:val="16"/>
          <w:szCs w:val="16"/>
          <w:color w:val="auto"/>
        </w:rPr>
        <w:t>The number of requests for additional data or information issued by the FDA in recent years has increased and resulted in substantial delays in the approval of several new drugs. Undesirable side effects caused by any of our current or future product candidates could also result in denial of regulatory approval by the FDA or other comparable foreign authorities for any or all targeted indications or the inclusion of unfavorable information in our product labeling, such as limitations on the indicated uses for which the products may be marketed or distributed, a label with significant safety warnings, including boxed warnings, contraindications, and precautions, a label without statements necessary or desirable for successful commercialization, or may result in requirements for costly post</w:t>
      </w:r>
      <w:r>
        <w:rPr>
          <w:rFonts w:ascii="MS PGothic" w:cs="MS PGothic" w:eastAsia="MS PGothic" w:hAnsi="MS PGothic"/>
          <w:sz w:val="16"/>
          <w:szCs w:val="16"/>
          <w:color w:val="auto"/>
        </w:rPr>
        <w:t>‑</w:t>
      </w:r>
      <w:r>
        <w:rPr>
          <w:rFonts w:ascii="Arial" w:cs="Arial" w:eastAsia="Arial" w:hAnsi="Arial"/>
          <w:sz w:val="16"/>
          <w:szCs w:val="16"/>
          <w:color w:val="auto"/>
        </w:rPr>
        <w:t>marketing testing and surveillance, or other requirements, including REMS, to monitor the safety or efficacy of the products, and in turn prevent us from commercializing and generating revenues from the sale of any of our current or future product candidates.</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9" w:name="page60"/>
    <w:bookmarkEnd w:id="59"/>
    <w:p>
      <w:pPr>
        <w:spacing w:after="0"/>
        <w:rPr>
          <w:sz w:val="20"/>
          <w:szCs w:val="20"/>
          <w:color w:val="auto"/>
        </w:rPr>
      </w:pPr>
      <w:r>
        <w:rPr>
          <w:rFonts w:ascii="Arial" w:cs="Arial" w:eastAsia="Arial" w:hAnsi="Arial"/>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3025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30250" cy="8255"/>
                    </a:xfrm>
                    <a:prstGeom prst="rect">
                      <a:avLst/>
                    </a:prstGeom>
                    <a:noFill/>
                  </pic:spPr>
                </pic:pic>
              </a:graphicData>
            </a:graphic>
          </wp:anchor>
        </w:drawing>
      </w:r>
    </w:p>
    <w:p>
      <w:pPr>
        <w:spacing w:after="0" w:line="215" w:lineRule="exact"/>
        <w:rPr>
          <w:sz w:val="20"/>
          <w:szCs w:val="20"/>
          <w:color w:val="auto"/>
        </w:rPr>
      </w:pPr>
    </w:p>
    <w:p>
      <w:pPr>
        <w:ind w:firstLine="749"/>
        <w:spacing w:after="0" w:line="203" w:lineRule="exact"/>
        <w:rPr>
          <w:sz w:val="20"/>
          <w:szCs w:val="20"/>
          <w:color w:val="auto"/>
        </w:rPr>
      </w:pPr>
      <w:r>
        <w:rPr>
          <w:rFonts w:ascii="Arial" w:cs="Arial" w:eastAsia="Arial" w:hAnsi="Arial"/>
          <w:sz w:val="16"/>
          <w:szCs w:val="16"/>
          <w:color w:val="auto"/>
        </w:rPr>
        <w:t>Based on the side effects disclosed in FDA product labeling for marketed drugs that contain the same active molecules as our product candidate, AXS-07 may result in fatigue, confusion, dry mouth, diarrhea, nausea, insomnia, anemia, increased appetite, anxiety, sweating, dizziness, palpitations, arrythmia, tachycardia, abnormal vision, syncope, seizure, tremor, tinnitus, dizziness, somnolence, paresthesia, dysgeusia, dyspepsia, constipation, weight increase or decrease, gastritis, hematuria, flatulence, esophagitis, gastric ulcers, gastroesophageal reflux, gastrointestinal hemorrhages, colitis, rash, pain or tightness in the chest, neck, throat or jaw, upper respiratory tract infections, influenza-like symptoms, or other adverse events or potential adverse events reported or discussed in the product labels for meloxicam</w:t>
      </w:r>
      <w:r>
        <w:rPr>
          <w:rFonts w:ascii="MS PGothic" w:cs="MS PGothic" w:eastAsia="MS PGothic" w:hAnsi="MS PGothic"/>
          <w:sz w:val="16"/>
          <w:szCs w:val="16"/>
          <w:color w:val="auto"/>
        </w:rPr>
        <w:t>‑</w:t>
      </w:r>
      <w:r>
        <w:rPr>
          <w:rFonts w:ascii="Arial" w:cs="Arial" w:eastAsia="Arial" w:hAnsi="Arial"/>
          <w:sz w:val="16"/>
          <w:szCs w:val="16"/>
          <w:color w:val="auto"/>
        </w:rPr>
        <w:t>containing or rizatriptan-containing products including Anjeso, Vivlodex, Mobic, and Maxalt.</w:t>
      </w:r>
    </w:p>
    <w:p>
      <w:pPr>
        <w:spacing w:after="0" w:line="217" w:lineRule="exact"/>
        <w:rPr>
          <w:sz w:val="20"/>
          <w:szCs w:val="20"/>
          <w:color w:val="auto"/>
        </w:rPr>
      </w:pPr>
    </w:p>
    <w:p>
      <w:pPr>
        <w:ind w:right="40" w:firstLine="749"/>
        <w:spacing w:after="0" w:line="271" w:lineRule="auto"/>
        <w:rPr>
          <w:sz w:val="20"/>
          <w:szCs w:val="20"/>
          <w:color w:val="auto"/>
        </w:rPr>
      </w:pPr>
      <w:r>
        <w:rPr>
          <w:rFonts w:ascii="Arial" w:cs="Arial" w:eastAsia="Arial" w:hAnsi="Arial"/>
          <w:sz w:val="16"/>
          <w:szCs w:val="16"/>
          <w:color w:val="auto"/>
        </w:rPr>
        <w:t>Based on the side effects disclosed in the EMA required product label for marketed drugs that contain the same active molecule as our product candidate, AXS-12 and AXS-14 may result in decreased appetite, insomnia, agitation, anxiety, dizziness, headache, paresthesia, akathisia, dysgeusia, accommodation disorder, mydriasis, glaucoma, vertigo, tachycardia, palpitations, vasodilation, hypotension, hypertension, dry mouth, vomiting, hyperhidrosis, rash, sensation of incomplete bladder emptying, urinary tract infection, dysuria, urinary retention, erectile dysfunction, ejaculatory pain, ejaculatory delay, chills, or other adverse events or potential adverse events reported or discussed in the product labels for reboxetine containing products including Edronax.</w:t>
      </w:r>
    </w:p>
    <w:p>
      <w:pPr>
        <w:spacing w:after="0" w:line="190" w:lineRule="exact"/>
        <w:rPr>
          <w:sz w:val="20"/>
          <w:szCs w:val="20"/>
          <w:color w:val="auto"/>
        </w:rPr>
      </w:pPr>
    </w:p>
    <w:p>
      <w:pPr>
        <w:ind w:right="20" w:firstLine="749"/>
        <w:spacing w:after="0" w:line="273" w:lineRule="auto"/>
        <w:rPr>
          <w:sz w:val="20"/>
          <w:szCs w:val="20"/>
          <w:color w:val="auto"/>
        </w:rPr>
      </w:pPr>
      <w:r>
        <w:rPr>
          <w:rFonts w:ascii="Arial" w:cs="Arial" w:eastAsia="Arial" w:hAnsi="Arial"/>
          <w:sz w:val="16"/>
          <w:szCs w:val="16"/>
          <w:color w:val="auto"/>
        </w:rPr>
        <w:t>Known side effects for Auvelity and Sunosi are described on the approved labels for those products. In relation to further development efforts with respect to these compounds, different patient populations may react to these compounds differently. For example, AD agitation patients in the case of AXS-05 or ADHD patients in the case of solriamfetol may experience different side effects than patients taking these products for their currently approved indications. This is particularly true where different dosing, formulations or methods of administration are implicated.</w:t>
      </w:r>
    </w:p>
    <w:p>
      <w:pPr>
        <w:spacing w:after="0" w:line="189" w:lineRule="exact"/>
        <w:rPr>
          <w:sz w:val="20"/>
          <w:szCs w:val="20"/>
          <w:color w:val="auto"/>
        </w:rPr>
      </w:pPr>
    </w:p>
    <w:p>
      <w:pPr>
        <w:ind w:right="40" w:firstLine="749"/>
        <w:spacing w:after="0" w:line="204" w:lineRule="exact"/>
        <w:rPr>
          <w:sz w:val="20"/>
          <w:szCs w:val="20"/>
          <w:color w:val="auto"/>
        </w:rPr>
      </w:pPr>
      <w:r>
        <w:rPr>
          <w:rFonts w:ascii="Arial" w:cs="Arial" w:eastAsia="Arial" w:hAnsi="Arial"/>
          <w:sz w:val="16"/>
          <w:szCs w:val="16"/>
          <w:color w:val="auto"/>
        </w:rPr>
        <w:t>If any of our other product candidates are associated with serious adverse events or undesirable side effects or have properties that are unexpected, we may need to abandon development or limit development of that product candidate to certain uses or subpopulations in which the undesirable side effects or other characteristics are less prevalent, less severe, or more acceptable from a risk</w:t>
      </w:r>
      <w:r>
        <w:rPr>
          <w:rFonts w:ascii="MS PGothic" w:cs="MS PGothic" w:eastAsia="MS PGothic" w:hAnsi="MS PGothic"/>
          <w:sz w:val="16"/>
          <w:szCs w:val="16"/>
          <w:color w:val="auto"/>
        </w:rPr>
        <w:t>‑</w:t>
      </w:r>
      <w:r>
        <w:rPr>
          <w:rFonts w:ascii="Arial" w:cs="Arial" w:eastAsia="Arial" w:hAnsi="Arial"/>
          <w:sz w:val="16"/>
          <w:szCs w:val="16"/>
          <w:color w:val="auto"/>
        </w:rPr>
        <w:t>benefit perspective. The drug</w:t>
      </w:r>
      <w:r>
        <w:rPr>
          <w:rFonts w:ascii="MS PGothic" w:cs="MS PGothic" w:eastAsia="MS PGothic" w:hAnsi="MS PGothic"/>
          <w:sz w:val="16"/>
          <w:szCs w:val="16"/>
          <w:color w:val="auto"/>
        </w:rPr>
        <w:t>‑</w:t>
      </w:r>
      <w:r>
        <w:rPr>
          <w:rFonts w:ascii="Arial" w:cs="Arial" w:eastAsia="Arial" w:hAnsi="Arial"/>
          <w:sz w:val="16"/>
          <w:szCs w:val="16"/>
          <w:color w:val="auto"/>
        </w:rPr>
        <w:t>related side effects could affect patient recruitment or the ability of enrolled patients to complete the trial or result in potential product liability claims. Any of these occurrences may significantly harm our business, financial condition, results of operations, and prospects.</w:t>
      </w:r>
    </w:p>
    <w:p>
      <w:pPr>
        <w:spacing w:after="0" w:line="21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If we experience delays or difficulties in the enrollment of patients in clinical trials, our receipt of necessary regulatory approvals could be delayed or prevented.</w:t>
      </w:r>
    </w:p>
    <w:p>
      <w:pPr>
        <w:spacing w:after="0" w:line="258" w:lineRule="exact"/>
        <w:rPr>
          <w:sz w:val="20"/>
          <w:szCs w:val="20"/>
          <w:color w:val="auto"/>
        </w:rPr>
      </w:pPr>
    </w:p>
    <w:p>
      <w:pPr>
        <w:ind w:firstLine="749"/>
        <w:spacing w:after="0" w:line="273" w:lineRule="auto"/>
        <w:rPr>
          <w:sz w:val="20"/>
          <w:szCs w:val="20"/>
          <w:color w:val="auto"/>
        </w:rPr>
      </w:pPr>
      <w:r>
        <w:rPr>
          <w:rFonts w:ascii="Arial" w:cs="Arial" w:eastAsia="Arial" w:hAnsi="Arial"/>
          <w:sz w:val="16"/>
          <w:szCs w:val="16"/>
          <w:color w:val="auto"/>
        </w:rPr>
        <w:t>We may not be able to initiate or continue conducting clinical trials for our product candidates if we are unable to locate and enroll a sufficient number of eligible patients to participate in these trials as required by the FDA or similar regulatory authorities outside the United States. Some of our competitors have ongoing clinical trials for product candidates that treat the same indications as our product candidates, and patients who would otherwise be eligible for our clinical trials may instead enroll in clinical trials of our competitors’ product candidates. Patient enrollment is affected by other factors including:</w:t>
      </w:r>
    </w:p>
    <w:p>
      <w:pPr>
        <w:spacing w:after="0" w:line="189" w:lineRule="exact"/>
        <w:rPr>
          <w:sz w:val="20"/>
          <w:szCs w:val="20"/>
          <w:color w:val="auto"/>
        </w:rPr>
      </w:pPr>
    </w:p>
    <w:p>
      <w:pPr>
        <w:ind w:left="760" w:hanging="378"/>
        <w:spacing w:after="0"/>
        <w:tabs>
          <w:tab w:leader="none" w:pos="7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size and nature of the patient population;</w:t>
      </w:r>
    </w:p>
    <w:p>
      <w:pPr>
        <w:spacing w:after="0" w:line="234" w:lineRule="exact"/>
        <w:rPr>
          <w:rFonts w:ascii="Arial" w:cs="Arial" w:eastAsia="Arial" w:hAnsi="Arial"/>
          <w:sz w:val="16"/>
          <w:szCs w:val="16"/>
          <w:color w:val="auto"/>
        </w:rPr>
      </w:pPr>
    </w:p>
    <w:p>
      <w:pPr>
        <w:ind w:left="760" w:hanging="378"/>
        <w:spacing w:after="0"/>
        <w:tabs>
          <w:tab w:leader="none" w:pos="7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severity of the disease under investigation;</w:t>
      </w:r>
    </w:p>
    <w:p>
      <w:pPr>
        <w:spacing w:after="0" w:line="234" w:lineRule="exact"/>
        <w:rPr>
          <w:rFonts w:ascii="Arial" w:cs="Arial" w:eastAsia="Arial" w:hAnsi="Arial"/>
          <w:sz w:val="16"/>
          <w:szCs w:val="16"/>
          <w:color w:val="auto"/>
        </w:rPr>
      </w:pPr>
    </w:p>
    <w:p>
      <w:pPr>
        <w:ind w:left="760" w:right="520" w:hanging="378"/>
        <w:spacing w:after="0" w:line="293" w:lineRule="auto"/>
        <w:tabs>
          <w:tab w:leader="none" w:pos="7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eligibility criteria for, and design of, the clinical trial in question, including factors such as frequency of required assessments, length of the study, and ongoing monitoring requirements;</w:t>
      </w:r>
    </w:p>
    <w:p>
      <w:pPr>
        <w:spacing w:after="0" w:line="171" w:lineRule="exact"/>
        <w:rPr>
          <w:rFonts w:ascii="Arial" w:cs="Arial" w:eastAsia="Arial" w:hAnsi="Arial"/>
          <w:sz w:val="16"/>
          <w:szCs w:val="16"/>
          <w:color w:val="auto"/>
        </w:rPr>
      </w:pPr>
    </w:p>
    <w:p>
      <w:pPr>
        <w:ind w:left="760" w:right="80" w:hanging="378"/>
        <w:spacing w:after="0" w:line="293" w:lineRule="auto"/>
        <w:tabs>
          <w:tab w:leader="none" w:pos="7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perceived risks and benefits of the product candidate under study, including the potential advantages or disadvantages of the product candidate being studied in relation to other available therapies;</w:t>
      </w:r>
    </w:p>
    <w:p>
      <w:pPr>
        <w:spacing w:after="0" w:line="171" w:lineRule="exact"/>
        <w:rPr>
          <w:rFonts w:ascii="Arial" w:cs="Arial" w:eastAsia="Arial" w:hAnsi="Arial"/>
          <w:sz w:val="16"/>
          <w:szCs w:val="16"/>
          <w:color w:val="auto"/>
        </w:rPr>
      </w:pPr>
    </w:p>
    <w:p>
      <w:pPr>
        <w:ind w:left="760" w:hanging="378"/>
        <w:spacing w:after="0"/>
        <w:tabs>
          <w:tab w:leader="none" w:pos="7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competition in recruiting and enrolling patients in clinical trials;</w:t>
      </w:r>
    </w:p>
    <w:p>
      <w:pPr>
        <w:spacing w:after="0" w:line="234" w:lineRule="exact"/>
        <w:rPr>
          <w:rFonts w:ascii="Arial" w:cs="Arial" w:eastAsia="Arial" w:hAnsi="Arial"/>
          <w:sz w:val="16"/>
          <w:szCs w:val="16"/>
          <w:color w:val="auto"/>
        </w:rPr>
      </w:pPr>
    </w:p>
    <w:p>
      <w:pPr>
        <w:ind w:left="760" w:hanging="378"/>
        <w:spacing w:after="0"/>
        <w:tabs>
          <w:tab w:leader="none" w:pos="7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efforts to facilitate timely enrollment in clinical trials;</w:t>
      </w:r>
    </w:p>
    <w:p>
      <w:pPr>
        <w:spacing w:after="0" w:line="234" w:lineRule="exact"/>
        <w:rPr>
          <w:rFonts w:ascii="Arial" w:cs="Arial" w:eastAsia="Arial" w:hAnsi="Arial"/>
          <w:sz w:val="16"/>
          <w:szCs w:val="16"/>
          <w:color w:val="auto"/>
        </w:rPr>
      </w:pPr>
    </w:p>
    <w:p>
      <w:pPr>
        <w:ind w:left="760" w:hanging="378"/>
        <w:spacing w:after="0"/>
        <w:tabs>
          <w:tab w:leader="none" w:pos="7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patient referral practices of physicians;</w:t>
      </w:r>
    </w:p>
    <w:p>
      <w:pPr>
        <w:spacing w:after="0" w:line="234" w:lineRule="exact"/>
        <w:rPr>
          <w:rFonts w:ascii="Arial" w:cs="Arial" w:eastAsia="Arial" w:hAnsi="Arial"/>
          <w:sz w:val="16"/>
          <w:szCs w:val="16"/>
          <w:color w:val="auto"/>
        </w:rPr>
      </w:pPr>
    </w:p>
    <w:p>
      <w:pPr>
        <w:ind w:left="760" w:hanging="378"/>
        <w:spacing w:after="0"/>
        <w:tabs>
          <w:tab w:leader="none" w:pos="7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effectiveness of publicity created by clinical trial sites regarding the trial;</w:t>
      </w:r>
    </w:p>
    <w:p>
      <w:pPr>
        <w:spacing w:after="0" w:line="234" w:lineRule="exact"/>
        <w:rPr>
          <w:rFonts w:ascii="Arial" w:cs="Arial" w:eastAsia="Arial" w:hAnsi="Arial"/>
          <w:sz w:val="16"/>
          <w:szCs w:val="16"/>
          <w:color w:val="auto"/>
        </w:rPr>
      </w:pPr>
    </w:p>
    <w:p>
      <w:pPr>
        <w:ind w:left="760" w:hanging="378"/>
        <w:spacing w:after="0"/>
        <w:tabs>
          <w:tab w:leader="none" w:pos="7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patients’ ability to comply with the specific instructions related to the trial protocol, proper documentation, and use of the drug product;</w:t>
      </w: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60" w:name="page61"/>
    <w:bookmarkEnd w:id="60"/>
    <w:p>
      <w:pPr>
        <w:spacing w:after="0"/>
        <w:rPr>
          <w:sz w:val="20"/>
          <w:szCs w:val="20"/>
          <w:color w:val="auto"/>
        </w:rPr>
      </w:pPr>
      <w:r>
        <w:rPr>
          <w:rFonts w:ascii="Arial" w:cs="Arial" w:eastAsia="Arial" w:hAnsi="Arial"/>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3025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30250" cy="8255"/>
                    </a:xfrm>
                    <a:prstGeom prst="rect">
                      <a:avLst/>
                    </a:prstGeom>
                    <a:noFill/>
                  </pic:spPr>
                </pic:pic>
              </a:graphicData>
            </a:graphic>
          </wp:anchor>
        </w:drawing>
      </w:r>
    </w:p>
    <w:p>
      <w:pPr>
        <w:spacing w:after="0" w:line="215" w:lineRule="exact"/>
        <w:rPr>
          <w:sz w:val="20"/>
          <w:szCs w:val="20"/>
          <w:color w:val="auto"/>
        </w:rPr>
      </w:pPr>
    </w:p>
    <w:p>
      <w:pPr>
        <w:ind w:left="760" w:hanging="378"/>
        <w:spacing w:after="0"/>
        <w:tabs>
          <w:tab w:leader="none" w:pos="7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inability to obtain or maintain patient informed consents;</w:t>
      </w:r>
    </w:p>
    <w:p>
      <w:pPr>
        <w:spacing w:after="0" w:line="234" w:lineRule="exact"/>
        <w:rPr>
          <w:rFonts w:ascii="Arial" w:cs="Arial" w:eastAsia="Arial" w:hAnsi="Arial"/>
          <w:sz w:val="16"/>
          <w:szCs w:val="16"/>
          <w:color w:val="auto"/>
        </w:rPr>
      </w:pPr>
    </w:p>
    <w:p>
      <w:pPr>
        <w:ind w:left="760" w:hanging="378"/>
        <w:spacing w:after="0"/>
        <w:tabs>
          <w:tab w:leader="none" w:pos="7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risk that enrolled patients will drop out before completion;</w:t>
      </w:r>
    </w:p>
    <w:p>
      <w:pPr>
        <w:spacing w:after="0" w:line="234" w:lineRule="exact"/>
        <w:rPr>
          <w:rFonts w:ascii="Arial" w:cs="Arial" w:eastAsia="Arial" w:hAnsi="Arial"/>
          <w:sz w:val="16"/>
          <w:szCs w:val="16"/>
          <w:color w:val="auto"/>
        </w:rPr>
      </w:pPr>
    </w:p>
    <w:p>
      <w:pPr>
        <w:ind w:left="760" w:right="640" w:hanging="378"/>
        <w:spacing w:after="0" w:line="293" w:lineRule="auto"/>
        <w:tabs>
          <w:tab w:leader="none" w:pos="7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ability to identify patients for enrollment and maintain a sufficient level of patient participants in our clinical studies due to the ongoing COVID-19 pandemic;</w:t>
      </w:r>
    </w:p>
    <w:p>
      <w:pPr>
        <w:spacing w:after="0" w:line="171" w:lineRule="exact"/>
        <w:rPr>
          <w:rFonts w:ascii="Arial" w:cs="Arial" w:eastAsia="Arial" w:hAnsi="Arial"/>
          <w:sz w:val="16"/>
          <w:szCs w:val="16"/>
          <w:color w:val="auto"/>
        </w:rPr>
      </w:pPr>
    </w:p>
    <w:p>
      <w:pPr>
        <w:ind w:left="760" w:hanging="378"/>
        <w:spacing w:after="0"/>
        <w:tabs>
          <w:tab w:leader="none" w:pos="7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ability to monitor patients adequately during and after treatment; and</w:t>
      </w:r>
    </w:p>
    <w:p>
      <w:pPr>
        <w:spacing w:after="0" w:line="234" w:lineRule="exact"/>
        <w:rPr>
          <w:rFonts w:ascii="Arial" w:cs="Arial" w:eastAsia="Arial" w:hAnsi="Arial"/>
          <w:sz w:val="16"/>
          <w:szCs w:val="16"/>
          <w:color w:val="auto"/>
        </w:rPr>
      </w:pPr>
    </w:p>
    <w:p>
      <w:pPr>
        <w:ind w:left="760" w:hanging="378"/>
        <w:spacing w:after="0"/>
        <w:tabs>
          <w:tab w:leader="none" w:pos="7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proximity and availability of clinical trial sites for prospective patients.</w:t>
      </w:r>
    </w:p>
    <w:p>
      <w:pPr>
        <w:spacing w:after="0" w:line="235" w:lineRule="exact"/>
        <w:rPr>
          <w:sz w:val="20"/>
          <w:szCs w:val="20"/>
          <w:color w:val="auto"/>
        </w:rPr>
      </w:pPr>
    </w:p>
    <w:p>
      <w:pPr>
        <w:ind w:right="20" w:firstLine="749"/>
        <w:spacing w:after="0" w:line="291" w:lineRule="auto"/>
        <w:rPr>
          <w:sz w:val="20"/>
          <w:szCs w:val="20"/>
          <w:color w:val="auto"/>
        </w:rPr>
      </w:pPr>
      <w:r>
        <w:rPr>
          <w:rFonts w:ascii="Arial" w:cs="Arial" w:eastAsia="Arial" w:hAnsi="Arial"/>
          <w:sz w:val="15"/>
          <w:szCs w:val="15"/>
          <w:color w:val="auto"/>
        </w:rPr>
        <w:t>Our inability to enroll a sufficient number of patients for our clinical trials would result in significant delays which would cause us to miss our projected timelines and could require us to abandon one or more clinical trials altogether. For instance, because we are seeking regulatory approval for certain indications that may have a narrow or small patient population, it may be difficult to find patients eligible to participate in our clinical studies at a sufficient rate or in a sufficient quantity. We may be required by the FDA to modify the entry criteria for our planned Phase 3 clinical trials and these changes may make it more difficult to enroll patients in our clinical trials. Moreover, patients in our clinical trials, especially patients in our control groups, may be at risk for dropping out of our studies if they are not experiencing relief of their symptoms. A significant number of withdrawn patients would compromise the quality of our data.</w:t>
      </w:r>
    </w:p>
    <w:p>
      <w:pPr>
        <w:spacing w:after="0" w:line="176" w:lineRule="exact"/>
        <w:rPr>
          <w:sz w:val="20"/>
          <w:szCs w:val="20"/>
          <w:color w:val="auto"/>
        </w:rPr>
      </w:pPr>
    </w:p>
    <w:p>
      <w:pPr>
        <w:ind w:right="120" w:firstLine="749"/>
        <w:spacing w:after="0" w:line="278" w:lineRule="auto"/>
        <w:rPr>
          <w:sz w:val="20"/>
          <w:szCs w:val="20"/>
          <w:color w:val="auto"/>
        </w:rPr>
      </w:pPr>
      <w:r>
        <w:rPr>
          <w:rFonts w:ascii="Arial" w:cs="Arial" w:eastAsia="Arial" w:hAnsi="Arial"/>
          <w:sz w:val="16"/>
          <w:szCs w:val="16"/>
          <w:color w:val="auto"/>
        </w:rPr>
        <w:t>Enrollment delays or slower periods of enrollment in our clinical trials may result in increased development costs for our product candidates, or the inability to complete development of our product candidates, which would cause the value of our company to decline, limit our ability to obtain additional financing, and materially impair our ability to generate revenues.</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Development of combination product candidates may present more or different challenges than development of single agent product candidates.</w:t>
      </w:r>
    </w:p>
    <w:p>
      <w:pPr>
        <w:spacing w:after="0" w:line="235" w:lineRule="exact"/>
        <w:rPr>
          <w:sz w:val="20"/>
          <w:szCs w:val="20"/>
          <w:color w:val="auto"/>
        </w:rPr>
      </w:pPr>
    </w:p>
    <w:p>
      <w:pPr>
        <w:ind w:right="20" w:firstLine="749"/>
        <w:spacing w:after="0" w:line="291" w:lineRule="auto"/>
        <w:rPr>
          <w:sz w:val="20"/>
          <w:szCs w:val="20"/>
          <w:color w:val="auto"/>
        </w:rPr>
      </w:pPr>
      <w:r>
        <w:rPr>
          <w:rFonts w:ascii="Arial" w:cs="Arial" w:eastAsia="Arial" w:hAnsi="Arial"/>
          <w:sz w:val="15"/>
          <w:szCs w:val="15"/>
          <w:color w:val="auto"/>
        </w:rPr>
        <w:t>Certain product candidates of ours, including AXS-05 and AXS-07, are combination therapies. A combination therapy is a single drug product that consists of two or more active ingredients, with each component making a contribution to the claimed effect of the drug. The development of combination drugs may be more complex than the development of single agent products and generally requires that sponsors demonstrate the contribution of each component to the claimed effect and the safety and efficacy of the product as a whole. This requirement may make the design and conduct of clinical trials more complex, requiring more clinical trial subjects. We also may not be able to meet the FDA’s approval standards required for combination products. The FDA’s requirements concerning combination products may change in the future. Moreover, the applicable requirements for approval may differ from country to country.</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Changes in product candidate manufacturing or formulation may result in additional costs or delay.</w:t>
      </w:r>
    </w:p>
    <w:p>
      <w:pPr>
        <w:spacing w:after="0" w:line="235" w:lineRule="exact"/>
        <w:rPr>
          <w:sz w:val="20"/>
          <w:szCs w:val="20"/>
          <w:color w:val="auto"/>
        </w:rPr>
      </w:pPr>
    </w:p>
    <w:p>
      <w:pPr>
        <w:ind w:firstLine="749"/>
        <w:spacing w:after="0" w:line="289" w:lineRule="auto"/>
        <w:rPr>
          <w:sz w:val="20"/>
          <w:szCs w:val="20"/>
          <w:color w:val="auto"/>
        </w:rPr>
      </w:pPr>
      <w:r>
        <w:rPr>
          <w:rFonts w:ascii="Arial" w:cs="Arial" w:eastAsia="Arial" w:hAnsi="Arial"/>
          <w:sz w:val="15"/>
          <w:szCs w:val="15"/>
          <w:color w:val="auto"/>
        </w:rPr>
        <w:t>As product candidates are developed through preclinical studies to late stage clinical trials towards approval and commercialization, it is common that various aspects of the development program, such as manufacturing methods and formulation, are altered along the way in an effort to optimize processes and results. For instance, as we begin scale-up efforts for commercial-size manufacturing batches, formulation changes may be necessary to improve tablet robustness. Such changes carry the risk that they will not achieve these intended objectives. Any of these changes could cause our product candidates to perform differently and affect the results of planned clinical trials or other future clinical trials conducted with the altered materials. Such changes may also require additional testing, FDA notification, or FDA approval. This could delay completion of clinical trials; require the conduct of bridging clinical trials or studies, or the repetition of one or more clinical trials; increase clinical trial costs; delay approval of our product candidates; and jeopardize our ability to commence product sales and generate revenue.</w:t>
      </w:r>
    </w:p>
    <w:p>
      <w:pPr>
        <w:spacing w:after="0" w:line="17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0" w:right="399" w:bottom="1440" w:gutter="0" w:footer="0" w:header="0"/>
        </w:sectPr>
      </w:pPr>
    </w:p>
    <w:bookmarkStart w:id="61" w:name="page62"/>
    <w:bookmarkEnd w:id="61"/>
    <w:p>
      <w:pPr>
        <w:spacing w:after="0"/>
        <w:rPr>
          <w:sz w:val="20"/>
          <w:szCs w:val="20"/>
          <w:color w:val="auto"/>
        </w:rPr>
      </w:pPr>
      <w:r>
        <w:rPr>
          <w:rFonts w:ascii="Arial" w:cs="Arial" w:eastAsia="Arial" w:hAnsi="Arial"/>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3025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30250" cy="8255"/>
                    </a:xfrm>
                    <a:prstGeom prst="rect">
                      <a:avLst/>
                    </a:prstGeom>
                    <a:noFill/>
                  </pic:spPr>
                </pic:pic>
              </a:graphicData>
            </a:graphic>
          </wp:anchor>
        </w:drawing>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Failure to obtain marketing approval in international jurisdictions would prevent our products from being marketed abroad.</w:t>
      </w:r>
    </w:p>
    <w:p>
      <w:pPr>
        <w:spacing w:after="0" w:line="235" w:lineRule="exact"/>
        <w:rPr>
          <w:sz w:val="20"/>
          <w:szCs w:val="20"/>
          <w:color w:val="auto"/>
        </w:rPr>
      </w:pPr>
    </w:p>
    <w:p>
      <w:pPr>
        <w:ind w:firstLine="749"/>
        <w:spacing w:after="0" w:line="203" w:lineRule="exact"/>
        <w:rPr>
          <w:sz w:val="20"/>
          <w:szCs w:val="20"/>
          <w:color w:val="auto"/>
        </w:rPr>
      </w:pPr>
      <w:r>
        <w:rPr>
          <w:rFonts w:ascii="Arial" w:cs="Arial" w:eastAsia="Arial" w:hAnsi="Arial"/>
          <w:sz w:val="15"/>
          <w:szCs w:val="15"/>
          <w:color w:val="auto"/>
        </w:rPr>
        <w:t>In order to market and sell our products in the European Union, or EU, and many other jurisdictions, we or our third</w:t>
      </w:r>
      <w:r>
        <w:rPr>
          <w:rFonts w:ascii="MS PGothic" w:cs="MS PGothic" w:eastAsia="MS PGothic" w:hAnsi="MS PGothic"/>
          <w:sz w:val="15"/>
          <w:szCs w:val="15"/>
          <w:color w:val="auto"/>
        </w:rPr>
        <w:t>‑</w:t>
      </w:r>
      <w:r>
        <w:rPr>
          <w:rFonts w:ascii="Arial" w:cs="Arial" w:eastAsia="Arial" w:hAnsi="Arial"/>
          <w:sz w:val="15"/>
          <w:szCs w:val="15"/>
          <w:color w:val="auto"/>
        </w:rPr>
        <w:t>party collaborators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it is required that the product be approved for reimbursement before the product can be approved for sale in that country. We or these third parties may not obtain approvals from regulatory authorities outside the United States on a timely basis, if at all. Approval by the FDA does not ensure approval by regulatory authorities in other countries or jurisdictions, and approval by one regulatory authority outside the United States does not ensure approval by regulatory authorities in other countries or jurisdictions or by the FDA. However, the failure to obtain approval in one jurisdiction may compromise our ability to obtain approval elsewhere. We may not be able to file for marketing approvals and may not receive necessary approvals to commercialize our products in any market.</w:t>
      </w:r>
    </w:p>
    <w:p>
      <w:pPr>
        <w:spacing w:after="0" w:line="214" w:lineRule="exact"/>
        <w:rPr>
          <w:sz w:val="20"/>
          <w:szCs w:val="20"/>
          <w:color w:val="auto"/>
        </w:rPr>
      </w:pPr>
    </w:p>
    <w:p>
      <w:pPr>
        <w:ind w:right="40"/>
        <w:spacing w:after="0" w:line="305" w:lineRule="auto"/>
        <w:rPr>
          <w:sz w:val="20"/>
          <w:szCs w:val="20"/>
          <w:color w:val="auto"/>
        </w:rPr>
      </w:pPr>
      <w:r>
        <w:rPr>
          <w:rFonts w:ascii="Arial" w:cs="Arial" w:eastAsia="Arial" w:hAnsi="Arial"/>
          <w:sz w:val="15"/>
          <w:szCs w:val="15"/>
          <w:b w:val="1"/>
          <w:bCs w:val="1"/>
          <w:i w:val="1"/>
          <w:iCs w:val="1"/>
          <w:color w:val="auto"/>
        </w:rPr>
        <w:t>Although Breakthrough Therapy, Fast Track, and other designations are designed to expedite the development and review of drugs, they may not ultimately lead to a faster approval process or faster development of regulatory review and they will not increase the likelihood that our product candidates will receive marketing approval, for example, Breakthrough Therapy designation by the FDA for AXS-05 for the treatment of AD agitation.</w:t>
      </w:r>
    </w:p>
    <w:p>
      <w:pPr>
        <w:spacing w:after="0" w:line="166" w:lineRule="exact"/>
        <w:rPr>
          <w:sz w:val="20"/>
          <w:szCs w:val="20"/>
          <w:color w:val="auto"/>
        </w:rPr>
      </w:pPr>
    </w:p>
    <w:p>
      <w:pPr>
        <w:ind w:firstLine="749"/>
        <w:spacing w:after="0" w:line="269" w:lineRule="auto"/>
        <w:rPr>
          <w:sz w:val="20"/>
          <w:szCs w:val="20"/>
          <w:color w:val="auto"/>
        </w:rPr>
      </w:pPr>
      <w:r>
        <w:rPr>
          <w:rFonts w:ascii="Arial" w:cs="Arial" w:eastAsia="Arial" w:hAnsi="Arial"/>
          <w:sz w:val="16"/>
          <w:szCs w:val="16"/>
          <w:color w:val="auto"/>
        </w:rPr>
        <w:t>We have received a Fast Track product designation for AXS-05 for both the treatment of TRD as well as for the treatment of AD agitation, and we may seek Fast Track designation for other of our current or future product candidates. The FDA may designate a product for Fast Track review if it is intended, whether alone or in combination with one or more other products, for the treatment of a serious or life-threatening disease or condition, and it demonstrates the potential to address unmet medical needs for such a disease or condition. For Fast Track products, sponsors may have greater interactions with the FDA, and the FDA may initiate review of sections of a Fast Track product’s application before the application is complete. This rolling review may be available if the FDA determines, after preliminary evaluation of clinical data submitted by the sponsor, that a Fast Track product may be effective. The sponsor must also provide, and the FDA must approve, a schedule for the submission of the remaining information, and the sponsor must pay applicable user fees.</w:t>
      </w:r>
    </w:p>
    <w:p>
      <w:pPr>
        <w:spacing w:after="0" w:line="190" w:lineRule="exact"/>
        <w:rPr>
          <w:sz w:val="20"/>
          <w:szCs w:val="20"/>
          <w:color w:val="auto"/>
        </w:rPr>
      </w:pPr>
    </w:p>
    <w:p>
      <w:pPr>
        <w:ind w:right="100" w:firstLine="749"/>
        <w:spacing w:after="0" w:line="287" w:lineRule="auto"/>
        <w:rPr>
          <w:sz w:val="20"/>
          <w:szCs w:val="20"/>
          <w:color w:val="auto"/>
        </w:rPr>
      </w:pPr>
      <w:r>
        <w:rPr>
          <w:rFonts w:ascii="Arial" w:cs="Arial" w:eastAsia="Arial" w:hAnsi="Arial"/>
          <w:sz w:val="15"/>
          <w:szCs w:val="15"/>
          <w:color w:val="auto"/>
        </w:rPr>
        <w:t>We also received Breakthrough Therapy designation for AXS-05 for both the treatment of MDD and the treatment of AD agitation, and we may seek Breakthrough Therapy designation for other current or future product candidates. A Breakthrough Therapy is defined as a product candidate that is intended, alone or in combination with one or more other drugs, to treat a serious or life-threatening disease or condition, and preliminary clinical evidence indicates that the product candidate may demonstrate substantial improvement over existing therapies on one or more clinically significant endpoints, such as substantial treatment effects observed early in clinical development. For product candidates that have been designated as breakthrough therapies, interaction and communication between the FDA and the sponsor of the trial can help to identify the most efficient path for clinical development while minimizing the number of patients placed in ineffective control regimens. Breakthrough Therapy designation also allows the sponsor to request a priority review or file sections of the NDA on an ongoing basis for rolling review where the FDA may consider beginning review portions of a marketing application before the full submission is complete. Product candidates designated as Breakthrough Therapies by the FDA are also eligible for priority review if supported by clinical data at the time of the submission of the NDA.</w:t>
      </w:r>
    </w:p>
    <w:p>
      <w:pPr>
        <w:spacing w:after="0" w:line="182" w:lineRule="exact"/>
        <w:rPr>
          <w:sz w:val="20"/>
          <w:szCs w:val="20"/>
          <w:color w:val="auto"/>
        </w:rPr>
      </w:pPr>
    </w:p>
    <w:p>
      <w:pPr>
        <w:ind w:right="280" w:firstLine="749"/>
        <w:spacing w:after="0" w:line="269" w:lineRule="auto"/>
        <w:rPr>
          <w:sz w:val="20"/>
          <w:szCs w:val="20"/>
          <w:color w:val="auto"/>
        </w:rPr>
      </w:pPr>
      <w:r>
        <w:rPr>
          <w:rFonts w:ascii="Arial" w:cs="Arial" w:eastAsia="Arial" w:hAnsi="Arial"/>
          <w:sz w:val="16"/>
          <w:szCs w:val="16"/>
          <w:color w:val="auto"/>
        </w:rPr>
        <w:t>Breakthrough Therapy or Fast Track designation is within the discretion of the FDA. The receipt of a Breakthrough Therapy or Fast Track designation for a product candidate may not ultimately result in a faster development process or review, and it does not in any way assure approval of product candidates by the FDA. In addition, the FDA may later decide to rescind the Breakthrough Therapy or Fast Track designation for one or more of our applicable product candidates if such product candidates no longer meet the conditions for qualification of this program. For example, we were initially granted Breakthrough Therapy designation for AXS-12 for the treatment of cataplexy in patients with narcolepsy in August 2020. In July 2021, the FDA rescinded our Breakthrough Therapy designation due to the FDA approving an additional drug product for the treatment of cataplexy in narcolepsy.</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62" w:name="page63"/>
    <w:bookmarkEnd w:id="62"/>
    <w:p>
      <w:pPr>
        <w:spacing w:after="0"/>
        <w:rPr>
          <w:sz w:val="20"/>
          <w:szCs w:val="20"/>
          <w:color w:val="auto"/>
        </w:rPr>
      </w:pPr>
      <w:r>
        <w:rPr>
          <w:rFonts w:ascii="Arial" w:cs="Arial" w:eastAsia="Arial" w:hAnsi="Arial"/>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3025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30250" cy="8255"/>
                    </a:xfrm>
                    <a:prstGeom prst="rect">
                      <a:avLst/>
                    </a:prstGeom>
                    <a:noFill/>
                  </pic:spPr>
                </pic:pic>
              </a:graphicData>
            </a:graphic>
          </wp:anchor>
        </w:drawing>
      </w:r>
    </w:p>
    <w:p>
      <w:pPr>
        <w:spacing w:after="0" w:line="215" w:lineRule="exact"/>
        <w:rPr>
          <w:sz w:val="20"/>
          <w:szCs w:val="20"/>
          <w:color w:val="auto"/>
        </w:rPr>
      </w:pPr>
    </w:p>
    <w:p>
      <w:pPr>
        <w:ind w:right="240"/>
        <w:spacing w:after="0" w:line="204" w:lineRule="exact"/>
        <w:rPr>
          <w:sz w:val="20"/>
          <w:szCs w:val="20"/>
          <w:color w:val="auto"/>
        </w:rPr>
      </w:pPr>
      <w:r>
        <w:rPr>
          <w:rFonts w:ascii="Arial" w:cs="Arial" w:eastAsia="Arial" w:hAnsi="Arial"/>
          <w:sz w:val="16"/>
          <w:szCs w:val="16"/>
          <w:b w:val="1"/>
          <w:bCs w:val="1"/>
          <w:i w:val="1"/>
          <w:iCs w:val="1"/>
          <w:color w:val="auto"/>
        </w:rPr>
        <w:t>Regulatory approval is limited by the FDA or comparable foreign regulatory authorities to those specific indications and conditions for which clinical safety and efficacy have been demonstrated, and we may be subject to fines, penalties, injunctions, or other enforcement actions if we are determined to be promoting the use of our products for unapproved or “off</w:t>
      </w:r>
      <w:r>
        <w:rPr>
          <w:rFonts w:ascii="MS PGothic" w:cs="MS PGothic" w:eastAsia="MS PGothic" w:hAnsi="MS PGothic"/>
          <w:sz w:val="16"/>
          <w:szCs w:val="16"/>
          <w:b w:val="1"/>
          <w:bCs w:val="1"/>
          <w:i w:val="1"/>
          <w:iCs w:val="1"/>
          <w:color w:val="auto"/>
        </w:rPr>
        <w:t>‑</w:t>
      </w:r>
      <w:r>
        <w:rPr>
          <w:rFonts w:ascii="Arial" w:cs="Arial" w:eastAsia="Arial" w:hAnsi="Arial"/>
          <w:sz w:val="16"/>
          <w:szCs w:val="16"/>
          <w:b w:val="1"/>
          <w:bCs w:val="1"/>
          <w:i w:val="1"/>
          <w:iCs w:val="1"/>
          <w:color w:val="auto"/>
        </w:rPr>
        <w:t>label” uses, resulting in damage to our reputation and business.</w:t>
      </w:r>
    </w:p>
    <w:p>
      <w:pPr>
        <w:spacing w:after="0" w:line="214" w:lineRule="exact"/>
        <w:rPr>
          <w:sz w:val="20"/>
          <w:szCs w:val="20"/>
          <w:color w:val="auto"/>
        </w:rPr>
      </w:pPr>
    </w:p>
    <w:p>
      <w:pPr>
        <w:ind w:right="60" w:firstLine="749"/>
        <w:spacing w:after="0" w:line="203" w:lineRule="exact"/>
        <w:rPr>
          <w:sz w:val="20"/>
          <w:szCs w:val="20"/>
          <w:color w:val="auto"/>
        </w:rPr>
      </w:pPr>
      <w:r>
        <w:rPr>
          <w:rFonts w:ascii="Arial" w:cs="Arial" w:eastAsia="Arial" w:hAnsi="Arial"/>
          <w:sz w:val="15"/>
          <w:szCs w:val="15"/>
          <w:color w:val="auto"/>
        </w:rPr>
        <w:t>We, and any of our collaborators, must comply with requirements concerning advertising and promotion for any of our products for which we or they obtain marketing approval. Promotional communications with respect to prescription drugs are subject to a variety of legal and regulatory restrictions and continuing review by the FDA, Department of Justice, Department of Health and Human Services’ Office of Inspector General, state attorneys general, members of Congress, and the public. When the FDA or comparable foreign regulatory authorities issue regulatory approval for a product candidate, the regulatory approval is limited to those specific uses and indications for which a product is approved. If we are not able to obtain FDA approval for any desired uses or indications for our products and product candidates, we may not market or promote our products for those indications and uses, referred to as off</w:t>
      </w:r>
      <w:r>
        <w:rPr>
          <w:rFonts w:ascii="MS PGothic" w:cs="MS PGothic" w:eastAsia="MS PGothic" w:hAnsi="MS PGothic"/>
          <w:sz w:val="15"/>
          <w:szCs w:val="15"/>
          <w:color w:val="auto"/>
        </w:rPr>
        <w:t>‑</w:t>
      </w:r>
      <w:r>
        <w:rPr>
          <w:rFonts w:ascii="Arial" w:cs="Arial" w:eastAsia="Arial" w:hAnsi="Arial"/>
          <w:sz w:val="15"/>
          <w:szCs w:val="15"/>
          <w:color w:val="auto"/>
        </w:rPr>
        <w:t>label uses, and our business may be adversely affected. We further must be able to sufficiently substantiate any claims that we make for our products including claims comparing our products to other companies’ products.</w:t>
      </w:r>
    </w:p>
    <w:p>
      <w:pPr>
        <w:spacing w:after="0" w:line="215" w:lineRule="exact"/>
        <w:rPr>
          <w:sz w:val="20"/>
          <w:szCs w:val="20"/>
          <w:color w:val="auto"/>
        </w:rPr>
      </w:pPr>
    </w:p>
    <w:p>
      <w:pPr>
        <w:ind w:right="60" w:firstLine="749"/>
        <w:spacing w:after="0" w:line="203" w:lineRule="exact"/>
        <w:rPr>
          <w:sz w:val="20"/>
          <w:szCs w:val="20"/>
          <w:color w:val="auto"/>
        </w:rPr>
      </w:pPr>
      <w:r>
        <w:rPr>
          <w:rFonts w:ascii="Arial" w:cs="Arial" w:eastAsia="Arial" w:hAnsi="Arial"/>
          <w:sz w:val="16"/>
          <w:szCs w:val="16"/>
          <w:color w:val="auto"/>
        </w:rPr>
        <w:t>While physicians may choose to prescribe drugs for uses that are not described in the product’s labeling and for uses that differ from those tested in clinical studies and approved by the regulatory authorities, we are prohibited from marketing and promoting the products for indications and uses that are not specifically approved by the FDA or comparable foreign regulatory authorities. These off</w:t>
      </w:r>
      <w:r>
        <w:rPr>
          <w:rFonts w:ascii="MS PGothic" w:cs="MS PGothic" w:eastAsia="MS PGothic" w:hAnsi="MS PGothic"/>
          <w:sz w:val="16"/>
          <w:szCs w:val="16"/>
          <w:color w:val="auto"/>
        </w:rPr>
        <w:t>‑</w:t>
      </w:r>
      <w:r>
        <w:rPr>
          <w:rFonts w:ascii="Arial" w:cs="Arial" w:eastAsia="Arial" w:hAnsi="Arial"/>
          <w:sz w:val="16"/>
          <w:szCs w:val="16"/>
          <w:color w:val="auto"/>
        </w:rPr>
        <w:t>label uses are common across medical specialties and may constitute an appropriate treatment for some patients in varied circumstances. Regulatory authorities in the United States and in many other major markets do not generally restrict or regulate the behavior of physicians in their choice of treatment within the practice of medicine. Regulatory authorities do, however, restrict communications by pharmaceutical companies concerning off</w:t>
      </w:r>
      <w:r>
        <w:rPr>
          <w:rFonts w:ascii="MS PGothic" w:cs="MS PGothic" w:eastAsia="MS PGothic" w:hAnsi="MS PGothic"/>
          <w:sz w:val="16"/>
          <w:szCs w:val="16"/>
          <w:color w:val="auto"/>
        </w:rPr>
        <w:t>‑</w:t>
      </w:r>
      <w:r>
        <w:rPr>
          <w:rFonts w:ascii="Arial" w:cs="Arial" w:eastAsia="Arial" w:hAnsi="Arial"/>
          <w:sz w:val="16"/>
          <w:szCs w:val="16"/>
          <w:color w:val="auto"/>
        </w:rPr>
        <w:t>label use.</w:t>
      </w:r>
    </w:p>
    <w:p>
      <w:pPr>
        <w:spacing w:after="0" w:line="217" w:lineRule="exact"/>
        <w:rPr>
          <w:sz w:val="20"/>
          <w:szCs w:val="20"/>
          <w:color w:val="auto"/>
        </w:rPr>
      </w:pPr>
    </w:p>
    <w:p>
      <w:pPr>
        <w:ind w:right="120" w:firstLine="749"/>
        <w:spacing w:after="0" w:line="203" w:lineRule="exact"/>
        <w:rPr>
          <w:sz w:val="20"/>
          <w:szCs w:val="20"/>
          <w:color w:val="auto"/>
        </w:rPr>
      </w:pPr>
      <w:r>
        <w:rPr>
          <w:rFonts w:ascii="Arial" w:cs="Arial" w:eastAsia="Arial" w:hAnsi="Arial"/>
          <w:sz w:val="16"/>
          <w:szCs w:val="16"/>
          <w:color w:val="auto"/>
        </w:rPr>
        <w:t>If we are found to have impermissibly promoted any of our products, we may become subject to significant liability and government fines. The FDA and other agencies actively enforce the laws and regulations regarding product promotion, particularly those prohibiting the promotion of off</w:t>
      </w:r>
      <w:r>
        <w:rPr>
          <w:rFonts w:ascii="MS PGothic" w:cs="MS PGothic" w:eastAsia="MS PGothic" w:hAnsi="MS PGothic"/>
          <w:sz w:val="16"/>
          <w:szCs w:val="16"/>
          <w:color w:val="auto"/>
        </w:rPr>
        <w:t>‑</w:t>
      </w:r>
      <w:r>
        <w:rPr>
          <w:rFonts w:ascii="Arial" w:cs="Arial" w:eastAsia="Arial" w:hAnsi="Arial"/>
          <w:sz w:val="16"/>
          <w:szCs w:val="16"/>
          <w:color w:val="auto"/>
        </w:rPr>
        <w:t>label uses, and a company that is found to have improperly promoted a product may be subject to significant sanctions. The federal government has levied large civil and criminal fines against companies for alleged improper promotion and has enjoined several companies from engaging in off</w:t>
      </w:r>
      <w:r>
        <w:rPr>
          <w:rFonts w:ascii="MS PGothic" w:cs="MS PGothic" w:eastAsia="MS PGothic" w:hAnsi="MS PGothic"/>
          <w:sz w:val="16"/>
          <w:szCs w:val="16"/>
          <w:color w:val="auto"/>
        </w:rPr>
        <w:t>‑</w:t>
      </w:r>
      <w:r>
        <w:rPr>
          <w:rFonts w:ascii="Arial" w:cs="Arial" w:eastAsia="Arial" w:hAnsi="Arial"/>
          <w:sz w:val="16"/>
          <w:szCs w:val="16"/>
          <w:color w:val="auto"/>
        </w:rPr>
        <w:t>label promotion. The FDA has also requested that companies enter into consent decrees of permanent injunctions under which specified promotional conduct is changed or curtailed. Thus, we and any of our collaborators will not be able to promote any products we develop for indications or uses for which they are not approved.</w:t>
      </w:r>
    </w:p>
    <w:p>
      <w:pPr>
        <w:spacing w:after="0" w:line="217" w:lineRule="exact"/>
        <w:rPr>
          <w:sz w:val="20"/>
          <w:szCs w:val="20"/>
          <w:color w:val="auto"/>
        </w:rPr>
      </w:pPr>
    </w:p>
    <w:p>
      <w:pPr>
        <w:ind w:firstLine="749"/>
        <w:spacing w:after="0" w:line="203" w:lineRule="exact"/>
        <w:rPr>
          <w:sz w:val="20"/>
          <w:szCs w:val="20"/>
          <w:color w:val="auto"/>
        </w:rPr>
      </w:pPr>
      <w:r>
        <w:rPr>
          <w:rFonts w:ascii="Arial" w:cs="Arial" w:eastAsia="Arial" w:hAnsi="Arial"/>
          <w:sz w:val="14"/>
          <w:szCs w:val="14"/>
          <w:color w:val="auto"/>
        </w:rPr>
        <w:t>In the United States, engaging in the impermissible promotion of our products, following approval, for off</w:t>
      </w:r>
      <w:r>
        <w:rPr>
          <w:rFonts w:ascii="MS PGothic" w:cs="MS PGothic" w:eastAsia="MS PGothic" w:hAnsi="MS PGothic"/>
          <w:sz w:val="14"/>
          <w:szCs w:val="14"/>
          <w:color w:val="auto"/>
        </w:rPr>
        <w:t>‑</w:t>
      </w:r>
      <w:r>
        <w:rPr>
          <w:rFonts w:ascii="Arial" w:cs="Arial" w:eastAsia="Arial" w:hAnsi="Arial"/>
          <w:sz w:val="14"/>
          <w:szCs w:val="14"/>
          <w:color w:val="auto"/>
        </w:rPr>
        <w:t>label uses can also subject us to false claims and other litigation under federal and state statutes, including fraud and abuse and consumer protection laws, which can lead to civil and criminal penalties and fines, agreements with governmental authorities that materially restrict the manner in which we promote or distribute drug products and do business through, for example, corporate integrity agreements, suspension or exclusion from participation in federal and state healthcare programs, and debarment from government contracts and refusal of future orders under existing contracts. Recent court decisions have impacted the FDA’s enforcement activity regarding off-label promotion in light of First Amendment considerations; however, there are still significant risks in this area in part due to the potential False Claims Act exposure. The False Claims Act allows any individual to bring a lawsuit against a pharmaceutical company on behalf of the federal government alleging submission of false or fraudulent claims, or causing others to present such false or fraudulent claims, for payment by a federal program such as Medicare or Medicaid. If the government decides to intervene and prevails in the qui tam lawsuit, the individual will share in the proceeds from any fines or settlement funds. If the government declines to intervene, the individual may pursue the case alone. Under the False Claims Act, a penalty may be imposed for each false claim, for example, a claim for payment for each prescription for the product, and, when aggregated, these penalties often total millions of dollars and incentivize qui tam lawsuits. These False Claims Act lawsuits against pharmaceutical companies have increased significantly in volume and breadth, leading to several substantial civil and criminal settlements, up to $3.0 billion, pertaining to certain sales practices and promoting off</w:t>
      </w:r>
      <w:r>
        <w:rPr>
          <w:rFonts w:ascii="MS PGothic" w:cs="MS PGothic" w:eastAsia="MS PGothic" w:hAnsi="MS PGothic"/>
          <w:sz w:val="14"/>
          <w:szCs w:val="14"/>
          <w:color w:val="auto"/>
        </w:rPr>
        <w:t>‑</w:t>
      </w:r>
      <w:r>
        <w:rPr>
          <w:rFonts w:ascii="Arial" w:cs="Arial" w:eastAsia="Arial" w:hAnsi="Arial"/>
          <w:sz w:val="14"/>
          <w:szCs w:val="14"/>
          <w:color w:val="auto"/>
        </w:rPr>
        <w:t>label drug uses. This growth in litigation has increased the risk that a pharmaceutical company will have to defend a false claim action; pay settlement fines or restitution, as well as criminal and civil penalties; agree to comply with burdensome reporting and compliance obligations; and be excluded from Medicare, Medicaid, or other federal and state healthcare programs. If we or our collaborators do not lawfully promote our approved products, if any, we may become subject to such litigation and, if we do not successfully defend against such actions, those actions may have a material adverse effect on our business, financial condition, results of operations, and prospects.</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63" w:name="page64"/>
    <w:bookmarkEnd w:id="63"/>
    <w:p>
      <w:pPr>
        <w:spacing w:after="0"/>
        <w:rPr>
          <w:sz w:val="20"/>
          <w:szCs w:val="20"/>
          <w:color w:val="auto"/>
        </w:rPr>
      </w:pPr>
      <w:r>
        <w:rPr>
          <w:rFonts w:ascii="Arial" w:cs="Arial" w:eastAsia="Arial" w:hAnsi="Arial"/>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3025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30250" cy="8255"/>
                    </a:xfrm>
                    <a:prstGeom prst="rect">
                      <a:avLst/>
                    </a:prstGeom>
                    <a:noFill/>
                  </pic:spPr>
                </pic:pic>
              </a:graphicData>
            </a:graphic>
          </wp:anchor>
        </w:drawing>
      </w:r>
    </w:p>
    <w:p>
      <w:pPr>
        <w:spacing w:after="0" w:line="215" w:lineRule="exact"/>
        <w:rPr>
          <w:sz w:val="20"/>
          <w:szCs w:val="20"/>
          <w:color w:val="auto"/>
        </w:rPr>
      </w:pPr>
    </w:p>
    <w:p>
      <w:pPr>
        <w:ind w:firstLine="749"/>
        <w:spacing w:after="0" w:line="293" w:lineRule="auto"/>
        <w:rPr>
          <w:sz w:val="20"/>
          <w:szCs w:val="20"/>
          <w:color w:val="auto"/>
        </w:rPr>
      </w:pPr>
      <w:r>
        <w:rPr>
          <w:rFonts w:ascii="Arial" w:cs="Arial" w:eastAsia="Arial" w:hAnsi="Arial"/>
          <w:sz w:val="15"/>
          <w:szCs w:val="15"/>
          <w:color w:val="auto"/>
        </w:rPr>
        <w:t>In the United States, the distribution of product samples to physicians must further comply with the requirements of the U.S. Prescription Drug Marketing Act. If the FDA determines that our promotional materials or activities violate its regulations and policies pertaining to product promotion, it could request that we modify our promotional materials or activities or subject us to regulatory or other enforcement actions, including issuance of warning letters or untitled letters, suspension or withdrawal of an approved product from the market, requests for recalls, payment of civil fines, disgorgement of money, imposition of operating restrictions, injunctions, or criminal prosecution. These regulatory and enforcement actions could significantly harm our business, financial condition, results of operations, and prospects.</w:t>
      </w:r>
    </w:p>
    <w:p>
      <w:pPr>
        <w:spacing w:after="0" w:line="176" w:lineRule="exact"/>
        <w:rPr>
          <w:sz w:val="20"/>
          <w:szCs w:val="20"/>
          <w:color w:val="auto"/>
        </w:rPr>
      </w:pPr>
    </w:p>
    <w:p>
      <w:pPr>
        <w:ind w:right="40"/>
        <w:spacing w:after="0" w:line="278" w:lineRule="auto"/>
        <w:rPr>
          <w:sz w:val="20"/>
          <w:szCs w:val="20"/>
          <w:color w:val="auto"/>
        </w:rPr>
      </w:pPr>
      <w:r>
        <w:rPr>
          <w:rFonts w:ascii="Arial" w:cs="Arial" w:eastAsia="Arial" w:hAnsi="Arial"/>
          <w:sz w:val="16"/>
          <w:szCs w:val="16"/>
          <w:b w:val="1"/>
          <w:bCs w:val="1"/>
          <w:i w:val="1"/>
          <w:iCs w:val="1"/>
          <w:color w:val="auto"/>
        </w:rPr>
        <w:t>We are, and will continue to be subject to, ongoing obligations and continued regulatory review, which may result in significant additional expense. Additionally, any of our products, could be subject to labeling and other restrictions and market withdrawal and we may be subject to penalties if we fail to comply with regulatory requirements or experience unanticipated problems with our products.</w:t>
      </w:r>
    </w:p>
    <w:p>
      <w:pPr>
        <w:spacing w:after="0" w:line="184" w:lineRule="exact"/>
        <w:rPr>
          <w:sz w:val="20"/>
          <w:szCs w:val="20"/>
          <w:color w:val="auto"/>
        </w:rPr>
      </w:pPr>
    </w:p>
    <w:p>
      <w:pPr>
        <w:ind w:right="180" w:firstLine="749"/>
        <w:spacing w:after="0" w:line="291" w:lineRule="auto"/>
        <w:rPr>
          <w:sz w:val="20"/>
          <w:szCs w:val="20"/>
          <w:color w:val="auto"/>
        </w:rPr>
      </w:pPr>
      <w:r>
        <w:rPr>
          <w:rFonts w:ascii="Arial" w:cs="Arial" w:eastAsia="Arial" w:hAnsi="Arial"/>
          <w:sz w:val="15"/>
          <w:szCs w:val="15"/>
          <w:color w:val="auto"/>
        </w:rPr>
        <w:t>Our product(s) are subject to extensive and ongoing requirements of and review by the FDA and other regulatory authorities, including requirements related to the manufacturing processes, post approval clinical data, labeling, packaging, distribution, adverse event reporting, storage, recordkeeping, export, import, advertising, marketing, and promotional activities for such product. These requirements further include submissions of safety and other post-marketing information, including manufacturing deviations and reports; registration and listing requirements; the payment of annual program fees for our products; continued compliance with cGMP requirements relating to manufacturing, quality control, quality assurance, and corresponding maintenance of records and documents; requirements regarding the distribution of samples to physicians and recordkeeping; and GCP, for any clinical trials that we conduct post approval.</w:t>
      </w:r>
    </w:p>
    <w:p>
      <w:pPr>
        <w:spacing w:after="0" w:line="176" w:lineRule="exact"/>
        <w:rPr>
          <w:sz w:val="20"/>
          <w:szCs w:val="20"/>
          <w:color w:val="auto"/>
        </w:rPr>
      </w:pPr>
    </w:p>
    <w:p>
      <w:pPr>
        <w:ind w:right="100" w:firstLine="749"/>
        <w:spacing w:after="0" w:line="278" w:lineRule="auto"/>
        <w:rPr>
          <w:sz w:val="20"/>
          <w:szCs w:val="20"/>
          <w:color w:val="auto"/>
        </w:rPr>
      </w:pPr>
      <w:r>
        <w:rPr>
          <w:rFonts w:ascii="Arial" w:cs="Arial" w:eastAsia="Arial" w:hAnsi="Arial"/>
          <w:sz w:val="16"/>
          <w:szCs w:val="16"/>
          <w:color w:val="auto"/>
        </w:rPr>
        <w:t>We and any of our collaborators, including our contract manufacturers, could be subject to periodic unannounced inspections by the FDA to monitor and ensure compliance with cGMP and GCP. Application holders must further notify the FDA, and depending on the nature of the change, obtain FDA pre-approval for product and manufacturing changes. Application fees may apply to certain changes.</w:t>
      </w:r>
    </w:p>
    <w:p>
      <w:pPr>
        <w:spacing w:after="0" w:line="184" w:lineRule="exact"/>
        <w:rPr>
          <w:sz w:val="20"/>
          <w:szCs w:val="20"/>
          <w:color w:val="auto"/>
        </w:rPr>
      </w:pPr>
    </w:p>
    <w:p>
      <w:pPr>
        <w:ind w:right="120" w:firstLine="749"/>
        <w:spacing w:after="0" w:line="369" w:lineRule="auto"/>
        <w:rPr>
          <w:sz w:val="20"/>
          <w:szCs w:val="20"/>
          <w:color w:val="auto"/>
        </w:rPr>
      </w:pPr>
      <w:r>
        <w:rPr>
          <w:rFonts w:ascii="Arial" w:cs="Arial" w:eastAsia="Arial" w:hAnsi="Arial"/>
          <w:sz w:val="14"/>
          <w:szCs w:val="14"/>
          <w:color w:val="auto"/>
        </w:rPr>
        <w:t>In addition, later discovery of previously unknown adverse events or that the drug is less effective than previously thought or other problems with our products, manufacturers, or manufacturing processes, or failure to comply with regulatory requirements both before and after approval, may yield various results, including:</w:t>
      </w:r>
    </w:p>
    <w:p>
      <w:pPr>
        <w:spacing w:after="0" w:line="126" w:lineRule="exact"/>
        <w:rPr>
          <w:sz w:val="20"/>
          <w:szCs w:val="20"/>
          <w:color w:val="auto"/>
        </w:rPr>
      </w:pPr>
    </w:p>
    <w:p>
      <w:pPr>
        <w:ind w:left="760" w:hanging="378"/>
        <w:spacing w:after="0"/>
        <w:tabs>
          <w:tab w:leader="none" w:pos="7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restrictions on manufacturing or distribution, or marketing of such products;</w:t>
      </w:r>
    </w:p>
    <w:p>
      <w:pPr>
        <w:spacing w:after="0" w:line="234" w:lineRule="exact"/>
        <w:rPr>
          <w:rFonts w:ascii="Arial" w:cs="Arial" w:eastAsia="Arial" w:hAnsi="Arial"/>
          <w:sz w:val="16"/>
          <w:szCs w:val="16"/>
          <w:color w:val="auto"/>
        </w:rPr>
      </w:pPr>
    </w:p>
    <w:p>
      <w:pPr>
        <w:ind w:left="760" w:right="100" w:hanging="378"/>
        <w:spacing w:after="0" w:line="293" w:lineRule="auto"/>
        <w:tabs>
          <w:tab w:leader="none" w:pos="7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restrictions on the labeling, including required additional warnings, such as black box warnings, contraindications, precautions, and restrictions on the approved indication or use;</w:t>
      </w:r>
    </w:p>
    <w:p>
      <w:pPr>
        <w:spacing w:after="0" w:line="171" w:lineRule="exact"/>
        <w:rPr>
          <w:rFonts w:ascii="Arial" w:cs="Arial" w:eastAsia="Arial" w:hAnsi="Arial"/>
          <w:sz w:val="16"/>
          <w:szCs w:val="16"/>
          <w:color w:val="auto"/>
        </w:rPr>
      </w:pPr>
    </w:p>
    <w:p>
      <w:pPr>
        <w:ind w:left="760" w:hanging="378"/>
        <w:spacing w:after="0"/>
        <w:tabs>
          <w:tab w:leader="none" w:pos="7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modifications to promotional pieces;</w:t>
      </w:r>
    </w:p>
    <w:p>
      <w:pPr>
        <w:spacing w:after="0" w:line="234" w:lineRule="exact"/>
        <w:rPr>
          <w:rFonts w:ascii="Arial" w:cs="Arial" w:eastAsia="Arial" w:hAnsi="Arial"/>
          <w:sz w:val="16"/>
          <w:szCs w:val="16"/>
          <w:color w:val="auto"/>
        </w:rPr>
      </w:pPr>
    </w:p>
    <w:p>
      <w:pPr>
        <w:ind w:left="760" w:hanging="378"/>
        <w:spacing w:after="0" w:line="184" w:lineRule="exact"/>
        <w:tabs>
          <w:tab w:leader="none" w:pos="7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requirements to conduct post</w:t>
      </w:r>
      <w:r>
        <w:rPr>
          <w:rFonts w:ascii="MS PGothic" w:cs="MS PGothic" w:eastAsia="MS PGothic" w:hAnsi="MS PGothic"/>
          <w:sz w:val="16"/>
          <w:szCs w:val="16"/>
          <w:color w:val="auto"/>
        </w:rPr>
        <w:t>‑</w:t>
      </w:r>
      <w:r>
        <w:rPr>
          <w:rFonts w:ascii="Arial" w:cs="Arial" w:eastAsia="Arial" w:hAnsi="Arial"/>
          <w:sz w:val="16"/>
          <w:szCs w:val="16"/>
          <w:color w:val="auto"/>
        </w:rPr>
        <w:t>marketing studies or clinical trials; clinical holds or termination of clinical trials;</w:t>
      </w:r>
    </w:p>
    <w:p>
      <w:pPr>
        <w:spacing w:after="0" w:line="234" w:lineRule="exact"/>
        <w:rPr>
          <w:rFonts w:ascii="Arial" w:cs="Arial" w:eastAsia="Arial" w:hAnsi="Arial"/>
          <w:sz w:val="16"/>
          <w:szCs w:val="16"/>
          <w:color w:val="auto"/>
        </w:rPr>
      </w:pPr>
    </w:p>
    <w:p>
      <w:pPr>
        <w:jc w:val="both"/>
        <w:ind w:left="760" w:right="60" w:hanging="378"/>
        <w:spacing w:after="0" w:line="278" w:lineRule="auto"/>
        <w:tabs>
          <w:tab w:leader="none" w:pos="7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requirements to establish or modify a REMS or a comparable foreign authority may require that we establish or modify a similar strategy, that may, for instance, require us to create or modify a medication guide outlining the risks of the previously unidentified side effects for distribution to patients, or restrict distribution of the product, if and when approved, and impose burdensome implementation requirements on us;</w:t>
      </w:r>
    </w:p>
    <w:p>
      <w:pPr>
        <w:spacing w:after="0" w:line="184" w:lineRule="exact"/>
        <w:rPr>
          <w:rFonts w:ascii="Arial" w:cs="Arial" w:eastAsia="Arial" w:hAnsi="Arial"/>
          <w:sz w:val="16"/>
          <w:szCs w:val="16"/>
          <w:color w:val="auto"/>
        </w:rPr>
      </w:pPr>
    </w:p>
    <w:p>
      <w:pPr>
        <w:ind w:left="760" w:hanging="378"/>
        <w:spacing w:after="0"/>
        <w:tabs>
          <w:tab w:leader="none" w:pos="7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changes to the way the drug is administered;</w:t>
      </w:r>
    </w:p>
    <w:p>
      <w:pPr>
        <w:spacing w:after="0" w:line="234" w:lineRule="exact"/>
        <w:rPr>
          <w:rFonts w:ascii="Arial" w:cs="Arial" w:eastAsia="Arial" w:hAnsi="Arial"/>
          <w:sz w:val="16"/>
          <w:szCs w:val="16"/>
          <w:color w:val="auto"/>
        </w:rPr>
      </w:pPr>
    </w:p>
    <w:p>
      <w:pPr>
        <w:ind w:left="760" w:hanging="378"/>
        <w:spacing w:after="0"/>
        <w:tabs>
          <w:tab w:leader="none" w:pos="7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liability for harm caused to patients or subjects;</w:t>
      </w:r>
    </w:p>
    <w:p>
      <w:pPr>
        <w:spacing w:after="0" w:line="234" w:lineRule="exact"/>
        <w:rPr>
          <w:rFonts w:ascii="Arial" w:cs="Arial" w:eastAsia="Arial" w:hAnsi="Arial"/>
          <w:sz w:val="16"/>
          <w:szCs w:val="16"/>
          <w:color w:val="auto"/>
        </w:rPr>
      </w:pPr>
    </w:p>
    <w:p>
      <w:pPr>
        <w:ind w:left="760" w:hanging="378"/>
        <w:spacing w:after="0"/>
        <w:tabs>
          <w:tab w:leader="none" w:pos="7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reputational harm;</w:t>
      </w:r>
    </w:p>
    <w:p>
      <w:pPr>
        <w:spacing w:after="0" w:line="234" w:lineRule="exact"/>
        <w:rPr>
          <w:rFonts w:ascii="Arial" w:cs="Arial" w:eastAsia="Arial" w:hAnsi="Arial"/>
          <w:sz w:val="16"/>
          <w:szCs w:val="16"/>
          <w:color w:val="auto"/>
        </w:rPr>
      </w:pPr>
    </w:p>
    <w:p>
      <w:pPr>
        <w:ind w:left="760" w:hanging="378"/>
        <w:spacing w:after="0"/>
        <w:tabs>
          <w:tab w:leader="none" w:pos="7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drug becoming less competitive;</w:t>
      </w:r>
    </w:p>
    <w:p>
      <w:pPr>
        <w:spacing w:after="0" w:line="234" w:lineRule="exact"/>
        <w:rPr>
          <w:rFonts w:ascii="Arial" w:cs="Arial" w:eastAsia="Arial" w:hAnsi="Arial"/>
          <w:sz w:val="16"/>
          <w:szCs w:val="16"/>
          <w:color w:val="auto"/>
        </w:rPr>
      </w:pPr>
    </w:p>
    <w:p>
      <w:pPr>
        <w:ind w:left="760" w:hanging="378"/>
        <w:spacing w:after="0"/>
        <w:tabs>
          <w:tab w:leader="none" w:pos="7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warning or untitled letters;</w:t>
      </w:r>
    </w:p>
    <w:p>
      <w:pPr>
        <w:spacing w:after="0" w:line="234" w:lineRule="exact"/>
        <w:rPr>
          <w:rFonts w:ascii="Arial" w:cs="Arial" w:eastAsia="Arial" w:hAnsi="Arial"/>
          <w:sz w:val="16"/>
          <w:szCs w:val="16"/>
          <w:color w:val="auto"/>
        </w:rPr>
      </w:pPr>
    </w:p>
    <w:p>
      <w:pPr>
        <w:ind w:left="760" w:hanging="378"/>
        <w:spacing w:after="0"/>
        <w:tabs>
          <w:tab w:leader="none" w:pos="7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suspension of marketing or withdrawal of the products from the market;</w:t>
      </w:r>
    </w:p>
    <w:p>
      <w:pPr>
        <w:spacing w:after="0" w:line="234" w:lineRule="exact"/>
        <w:rPr>
          <w:rFonts w:ascii="Arial" w:cs="Arial" w:eastAsia="Arial" w:hAnsi="Arial"/>
          <w:sz w:val="16"/>
          <w:szCs w:val="16"/>
          <w:color w:val="auto"/>
        </w:rPr>
      </w:pPr>
    </w:p>
    <w:p>
      <w:pPr>
        <w:ind w:left="760" w:right="420" w:hanging="378"/>
        <w:spacing w:after="0" w:line="293" w:lineRule="auto"/>
        <w:tabs>
          <w:tab w:leader="none" w:pos="7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regulatory authority issuance of safety alerts, Dear Healthcare Provider letters, press releases, or other communications containing warnings or other safety information about the drug;</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64" w:name="page65"/>
    <w:bookmarkEnd w:id="64"/>
    <w:p>
      <w:pPr>
        <w:spacing w:after="0"/>
        <w:rPr>
          <w:sz w:val="20"/>
          <w:szCs w:val="20"/>
          <w:color w:val="auto"/>
        </w:rPr>
      </w:pPr>
      <w:r>
        <w:rPr>
          <w:rFonts w:ascii="Arial" w:cs="Arial" w:eastAsia="Arial" w:hAnsi="Arial"/>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3025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30250" cy="8255"/>
                    </a:xfrm>
                    <a:prstGeom prst="rect">
                      <a:avLst/>
                    </a:prstGeom>
                    <a:noFill/>
                  </pic:spPr>
                </pic:pic>
              </a:graphicData>
            </a:graphic>
          </wp:anchor>
        </w:drawing>
      </w:r>
    </w:p>
    <w:p>
      <w:pPr>
        <w:spacing w:after="0" w:line="215" w:lineRule="exact"/>
        <w:rPr>
          <w:sz w:val="20"/>
          <w:szCs w:val="20"/>
          <w:color w:val="auto"/>
        </w:rPr>
      </w:pPr>
    </w:p>
    <w:p>
      <w:pPr>
        <w:ind w:left="760" w:hanging="378"/>
        <w:spacing w:after="0"/>
        <w:tabs>
          <w:tab w:leader="none" w:pos="7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refusal to approve pending applications or supplements to approved applications that we submit;</w:t>
      </w:r>
    </w:p>
    <w:p>
      <w:pPr>
        <w:spacing w:after="0" w:line="234" w:lineRule="exact"/>
        <w:rPr>
          <w:rFonts w:ascii="Arial" w:cs="Arial" w:eastAsia="Arial" w:hAnsi="Arial"/>
          <w:sz w:val="16"/>
          <w:szCs w:val="16"/>
          <w:color w:val="auto"/>
        </w:rPr>
      </w:pPr>
    </w:p>
    <w:p>
      <w:pPr>
        <w:ind w:left="760" w:hanging="378"/>
        <w:spacing w:after="0"/>
        <w:tabs>
          <w:tab w:leader="none" w:pos="7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recall of products;</w:t>
      </w:r>
    </w:p>
    <w:p>
      <w:pPr>
        <w:spacing w:after="0" w:line="234" w:lineRule="exact"/>
        <w:rPr>
          <w:rFonts w:ascii="Arial" w:cs="Arial" w:eastAsia="Arial" w:hAnsi="Arial"/>
          <w:sz w:val="16"/>
          <w:szCs w:val="16"/>
          <w:color w:val="auto"/>
        </w:rPr>
      </w:pPr>
    </w:p>
    <w:p>
      <w:pPr>
        <w:ind w:left="760" w:hanging="378"/>
        <w:spacing w:after="0"/>
        <w:tabs>
          <w:tab w:leader="none" w:pos="7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fines, damages, restitution, or disgorgement of profits or revenues;</w:t>
      </w:r>
    </w:p>
    <w:p>
      <w:pPr>
        <w:spacing w:after="0" w:line="234" w:lineRule="exact"/>
        <w:rPr>
          <w:rFonts w:ascii="Arial" w:cs="Arial" w:eastAsia="Arial" w:hAnsi="Arial"/>
          <w:sz w:val="16"/>
          <w:szCs w:val="16"/>
          <w:color w:val="auto"/>
        </w:rPr>
      </w:pPr>
    </w:p>
    <w:p>
      <w:pPr>
        <w:ind w:left="760" w:hanging="378"/>
        <w:spacing w:after="0"/>
        <w:tabs>
          <w:tab w:leader="none" w:pos="7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suspension or withdrawal of marketing approvals;</w:t>
      </w:r>
    </w:p>
    <w:p>
      <w:pPr>
        <w:spacing w:after="0" w:line="234" w:lineRule="exact"/>
        <w:rPr>
          <w:rFonts w:ascii="Arial" w:cs="Arial" w:eastAsia="Arial" w:hAnsi="Arial"/>
          <w:sz w:val="16"/>
          <w:szCs w:val="16"/>
          <w:color w:val="auto"/>
        </w:rPr>
      </w:pPr>
    </w:p>
    <w:p>
      <w:pPr>
        <w:ind w:left="760" w:hanging="378"/>
        <w:spacing w:after="0"/>
        <w:tabs>
          <w:tab w:leader="none" w:pos="7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refusal to permit the import or export of our products;</w:t>
      </w:r>
    </w:p>
    <w:p>
      <w:pPr>
        <w:spacing w:after="0" w:line="234" w:lineRule="exact"/>
        <w:rPr>
          <w:rFonts w:ascii="Arial" w:cs="Arial" w:eastAsia="Arial" w:hAnsi="Arial"/>
          <w:sz w:val="16"/>
          <w:szCs w:val="16"/>
          <w:color w:val="auto"/>
        </w:rPr>
      </w:pPr>
    </w:p>
    <w:p>
      <w:pPr>
        <w:ind w:left="760" w:hanging="378"/>
        <w:spacing w:after="0"/>
        <w:tabs>
          <w:tab w:leader="none" w:pos="7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product seizure or detention;</w:t>
      </w:r>
    </w:p>
    <w:p>
      <w:pPr>
        <w:spacing w:after="0" w:line="234" w:lineRule="exact"/>
        <w:rPr>
          <w:rFonts w:ascii="Arial" w:cs="Arial" w:eastAsia="Arial" w:hAnsi="Arial"/>
          <w:sz w:val="16"/>
          <w:szCs w:val="16"/>
          <w:color w:val="auto"/>
        </w:rPr>
      </w:pPr>
    </w:p>
    <w:p>
      <w:pPr>
        <w:ind w:left="760" w:right="500" w:hanging="378"/>
        <w:spacing w:after="0" w:line="293" w:lineRule="auto"/>
        <w:tabs>
          <w:tab w:leader="none" w:pos="7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FDA debarment, debarment from government contracts, and refusal of future orders under existing contracts, exclusion from federal healthcare programs, consent decrees, or corporate integrity agreements; or</w:t>
      </w:r>
    </w:p>
    <w:p>
      <w:pPr>
        <w:spacing w:after="0" w:line="171" w:lineRule="exact"/>
        <w:rPr>
          <w:rFonts w:ascii="Arial" w:cs="Arial" w:eastAsia="Arial" w:hAnsi="Arial"/>
          <w:sz w:val="16"/>
          <w:szCs w:val="16"/>
          <w:color w:val="auto"/>
        </w:rPr>
      </w:pPr>
    </w:p>
    <w:p>
      <w:pPr>
        <w:ind w:left="760" w:hanging="378"/>
        <w:spacing w:after="0"/>
        <w:tabs>
          <w:tab w:leader="none" w:pos="7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injunctions or the imposition of civil or criminal penalties, including imprisonment.</w:t>
      </w:r>
    </w:p>
    <w:p>
      <w:pPr>
        <w:spacing w:after="0" w:line="235" w:lineRule="exact"/>
        <w:rPr>
          <w:sz w:val="20"/>
          <w:szCs w:val="20"/>
          <w:color w:val="auto"/>
        </w:rPr>
      </w:pPr>
    </w:p>
    <w:p>
      <w:pPr>
        <w:ind w:firstLine="749"/>
        <w:spacing w:after="0" w:line="273" w:lineRule="auto"/>
        <w:rPr>
          <w:sz w:val="20"/>
          <w:szCs w:val="20"/>
          <w:color w:val="auto"/>
        </w:rPr>
      </w:pPr>
      <w:r>
        <w:rPr>
          <w:rFonts w:ascii="Arial" w:cs="Arial" w:eastAsia="Arial" w:hAnsi="Arial"/>
          <w:sz w:val="16"/>
          <w:szCs w:val="16"/>
          <w:color w:val="auto"/>
        </w:rPr>
        <w:t>Any of these events could prevent us from achieving or maintaining market acceptance of the particular products, or could substantially increase the costs and expenses of commercializing such product, which in turn could delay or prevent us from generating significant revenues from its sale. Any of these events could further have other material and adverse effects on our operations and business and could adversely impact our stock price and could significantly harm our business, financial condition, results of operations, and prospects.</w:t>
      </w:r>
    </w:p>
    <w:p>
      <w:pPr>
        <w:spacing w:after="0" w:line="189" w:lineRule="exact"/>
        <w:rPr>
          <w:sz w:val="20"/>
          <w:szCs w:val="20"/>
          <w:color w:val="auto"/>
        </w:rPr>
      </w:pPr>
    </w:p>
    <w:p>
      <w:pPr>
        <w:ind w:right="220" w:firstLine="749"/>
        <w:spacing w:after="0" w:line="273" w:lineRule="auto"/>
        <w:rPr>
          <w:sz w:val="20"/>
          <w:szCs w:val="20"/>
          <w:color w:val="auto"/>
        </w:rPr>
      </w:pPr>
      <w:r>
        <w:rPr>
          <w:rFonts w:ascii="Arial" w:cs="Arial" w:eastAsia="Arial" w:hAnsi="Arial"/>
          <w:sz w:val="16"/>
          <w:szCs w:val="16"/>
          <w:color w:val="auto"/>
        </w:rPr>
        <w:t>The FDA’s policies may change and additional government regulations may be enacted that could prevent, limit, or delay regulatory approval of our product candidates or that could impose additional regulatory obligations on our products. If we are slow or unable to adapt to changes in existing requirements or the adoption of new requirements or policies, or if we are not able to maintain regulatory compliance, we may lose any marketing approval that we may have obtained and be subject to regulatory enforcement action.</w:t>
      </w:r>
    </w:p>
    <w:p>
      <w:pPr>
        <w:spacing w:after="0" w:line="189" w:lineRule="exact"/>
        <w:rPr>
          <w:sz w:val="20"/>
          <w:szCs w:val="20"/>
          <w:color w:val="auto"/>
        </w:rPr>
      </w:pPr>
    </w:p>
    <w:p>
      <w:pPr>
        <w:ind w:right="580" w:firstLine="749"/>
        <w:spacing w:after="0" w:line="204" w:lineRule="exact"/>
        <w:rPr>
          <w:sz w:val="20"/>
          <w:szCs w:val="20"/>
          <w:color w:val="auto"/>
        </w:rPr>
      </w:pPr>
      <w:r>
        <w:rPr>
          <w:rFonts w:ascii="Arial" w:cs="Arial" w:eastAsia="Arial" w:hAnsi="Arial"/>
          <w:sz w:val="16"/>
          <w:szCs w:val="16"/>
          <w:color w:val="auto"/>
        </w:rPr>
        <w:t>Should any of the above actions take place, they could adversely affect our ability to achieve or sustain profitability. Further, the cost of compliance with post</w:t>
      </w:r>
      <w:r>
        <w:rPr>
          <w:rFonts w:ascii="MS PGothic" w:cs="MS PGothic" w:eastAsia="MS PGothic" w:hAnsi="MS PGothic"/>
          <w:sz w:val="16"/>
          <w:szCs w:val="16"/>
          <w:color w:val="auto"/>
        </w:rPr>
        <w:t>‑</w:t>
      </w:r>
      <w:r>
        <w:rPr>
          <w:rFonts w:ascii="Arial" w:cs="Arial" w:eastAsia="Arial" w:hAnsi="Arial"/>
          <w:sz w:val="16"/>
          <w:szCs w:val="16"/>
          <w:color w:val="auto"/>
        </w:rPr>
        <w:t>approval regulations may have a negative effect on our operating results and financial condition.</w:t>
      </w:r>
    </w:p>
    <w:p>
      <w:pPr>
        <w:spacing w:after="0" w:line="213"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b w:val="1"/>
          <w:bCs w:val="1"/>
          <w:i w:val="1"/>
          <w:iCs w:val="1"/>
          <w:color w:val="auto"/>
        </w:rPr>
        <w:t>Timelines for the review of our regulatory submissions by the FDA and other regulatory agencies are subject to change and uncertainty, which may delay the potential approval of any product candidates we seek to develop or commercialize.</w:t>
      </w:r>
    </w:p>
    <w:p>
      <w:pPr>
        <w:spacing w:after="0" w:line="172" w:lineRule="exact"/>
        <w:rPr>
          <w:sz w:val="20"/>
          <w:szCs w:val="20"/>
          <w:color w:val="auto"/>
        </w:rPr>
      </w:pPr>
    </w:p>
    <w:p>
      <w:pPr>
        <w:ind w:right="20" w:firstLine="749"/>
        <w:spacing w:after="0" w:line="273" w:lineRule="auto"/>
        <w:rPr>
          <w:sz w:val="20"/>
          <w:szCs w:val="20"/>
          <w:color w:val="auto"/>
        </w:rPr>
      </w:pPr>
      <w:r>
        <w:rPr>
          <w:rFonts w:ascii="Arial" w:cs="Arial" w:eastAsia="Arial" w:hAnsi="Arial"/>
          <w:sz w:val="16"/>
          <w:szCs w:val="16"/>
          <w:color w:val="auto"/>
        </w:rPr>
        <w:t>We cannot predict the timeline for review of submissions to any regulatory authorities or when any of our product candidates will receive marketing approval, if at all. The timeline for regulatory approval can be affected by a variety of factors, including disruptive effects of the COVID-19 pandemic, budget and funding levels, agency staffing, and statutory, regulatory and policy changes. Delays or uncertainty in the timing of regulatory action in response to our submissions could adversely impact our development and commercialization efforts and our business prospects.</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 variety of risks associated with international operations could materially adversely affect our business.</w:t>
      </w:r>
    </w:p>
    <w:p>
      <w:pPr>
        <w:spacing w:after="0" w:line="235" w:lineRule="exact"/>
        <w:rPr>
          <w:sz w:val="20"/>
          <w:szCs w:val="20"/>
          <w:color w:val="auto"/>
        </w:rPr>
      </w:pPr>
    </w:p>
    <w:p>
      <w:pPr>
        <w:ind w:right="180" w:firstLine="749"/>
        <w:spacing w:after="0" w:line="328" w:lineRule="auto"/>
        <w:rPr>
          <w:sz w:val="20"/>
          <w:szCs w:val="20"/>
          <w:color w:val="auto"/>
        </w:rPr>
      </w:pPr>
      <w:r>
        <w:rPr>
          <w:rFonts w:ascii="Arial" w:cs="Arial" w:eastAsia="Arial" w:hAnsi="Arial"/>
          <w:sz w:val="15"/>
          <w:szCs w:val="15"/>
          <w:color w:val="auto"/>
        </w:rPr>
        <w:t>We are, and may become party to further agreements, pursuant to which we out-license our products outside of the United States. The Company also currently markets Sunosi in Canada. We expect that we will be subject to additional risks related to entering into international business relationships, including:</w:t>
      </w:r>
    </w:p>
    <w:p>
      <w:pPr>
        <w:spacing w:after="0" w:line="150" w:lineRule="exact"/>
        <w:rPr>
          <w:sz w:val="20"/>
          <w:szCs w:val="20"/>
          <w:color w:val="auto"/>
        </w:rPr>
      </w:pPr>
    </w:p>
    <w:p>
      <w:pPr>
        <w:ind w:left="760" w:hanging="378"/>
        <w:spacing w:after="0"/>
        <w:tabs>
          <w:tab w:leader="none" w:pos="7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different regulatory requirements for approval of drugs in foreign countries;</w:t>
      </w:r>
    </w:p>
    <w:p>
      <w:pPr>
        <w:spacing w:after="0" w:line="234" w:lineRule="exact"/>
        <w:rPr>
          <w:rFonts w:ascii="Arial" w:cs="Arial" w:eastAsia="Arial" w:hAnsi="Arial"/>
          <w:sz w:val="16"/>
          <w:szCs w:val="16"/>
          <w:color w:val="auto"/>
        </w:rPr>
      </w:pPr>
    </w:p>
    <w:p>
      <w:pPr>
        <w:ind w:left="760" w:right="20" w:hanging="378"/>
        <w:spacing w:after="0" w:line="204" w:lineRule="exact"/>
        <w:tabs>
          <w:tab w:leader="none" w:pos="7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potential for so</w:t>
      </w:r>
      <w:r>
        <w:rPr>
          <w:rFonts w:ascii="MS PGothic" w:cs="MS PGothic" w:eastAsia="MS PGothic" w:hAnsi="MS PGothic"/>
          <w:sz w:val="16"/>
          <w:szCs w:val="16"/>
          <w:color w:val="auto"/>
        </w:rPr>
        <w:t>‑</w:t>
      </w:r>
      <w:r>
        <w:rPr>
          <w:rFonts w:ascii="Arial" w:cs="Arial" w:eastAsia="Arial" w:hAnsi="Arial"/>
          <w:sz w:val="16"/>
          <w:szCs w:val="16"/>
          <w:color w:val="auto"/>
        </w:rPr>
        <w:t>called parallel importing, particularly within Europe, which is what happens when a local seller, faced with high or higher local prices, opts to import goods from a foreign market (with low or lower prices) rather than buying them locally with EU laws supporting such “free movement of goods” within the EU;</w:t>
      </w:r>
    </w:p>
    <w:p>
      <w:pPr>
        <w:spacing w:after="0" w:line="214" w:lineRule="exact"/>
        <w:rPr>
          <w:rFonts w:ascii="Arial" w:cs="Arial" w:eastAsia="Arial" w:hAnsi="Arial"/>
          <w:sz w:val="16"/>
          <w:szCs w:val="16"/>
          <w:color w:val="auto"/>
        </w:rPr>
      </w:pPr>
    </w:p>
    <w:p>
      <w:pPr>
        <w:ind w:left="760" w:right="240" w:hanging="378"/>
        <w:spacing w:after="0" w:line="293" w:lineRule="auto"/>
        <w:tabs>
          <w:tab w:leader="none" w:pos="7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stricter harmonized EU rules on data privacy particularly in relation to health data than is the case in the United States which are being further toughened with the EU General Data Protection Regulation, or the GDPR, which became enforceable beginning May 25, 2018;</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65" w:name="page66"/>
    <w:bookmarkEnd w:id="65"/>
    <w:p>
      <w:pPr>
        <w:spacing w:after="0"/>
        <w:rPr>
          <w:sz w:val="20"/>
          <w:szCs w:val="20"/>
          <w:color w:val="auto"/>
        </w:rPr>
      </w:pPr>
      <w:r>
        <w:rPr>
          <w:rFonts w:ascii="Arial" w:cs="Arial" w:eastAsia="Arial" w:hAnsi="Arial"/>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3025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30250" cy="8255"/>
                    </a:xfrm>
                    <a:prstGeom prst="rect">
                      <a:avLst/>
                    </a:prstGeom>
                    <a:noFill/>
                  </pic:spPr>
                </pic:pic>
              </a:graphicData>
            </a:graphic>
          </wp:anchor>
        </w:drawing>
      </w:r>
    </w:p>
    <w:p>
      <w:pPr>
        <w:spacing w:after="0" w:line="215" w:lineRule="exact"/>
        <w:rPr>
          <w:sz w:val="20"/>
          <w:szCs w:val="20"/>
          <w:color w:val="auto"/>
        </w:rPr>
      </w:pPr>
    </w:p>
    <w:p>
      <w:pPr>
        <w:ind w:left="760" w:right="320" w:hanging="378"/>
        <w:spacing w:after="0" w:line="293" w:lineRule="auto"/>
        <w:tabs>
          <w:tab w:leader="none" w:pos="7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challenges enforcing our contractual and intellectual property rights, especially in those foreign countries that do not respect and protect intellectual property rights to the same extent as the United States;</w:t>
      </w:r>
    </w:p>
    <w:p>
      <w:pPr>
        <w:spacing w:after="0" w:line="171" w:lineRule="exact"/>
        <w:rPr>
          <w:rFonts w:ascii="Arial" w:cs="Arial" w:eastAsia="Arial" w:hAnsi="Arial"/>
          <w:sz w:val="16"/>
          <w:szCs w:val="16"/>
          <w:color w:val="auto"/>
        </w:rPr>
      </w:pPr>
    </w:p>
    <w:p>
      <w:pPr>
        <w:ind w:left="760" w:hanging="378"/>
        <w:spacing w:after="0"/>
        <w:tabs>
          <w:tab w:leader="none" w:pos="7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unexpected changes in tariffs, trade barriers, and regulatory requirements and in the health care policies of foreign jurisdictions;</w:t>
      </w:r>
    </w:p>
    <w:p>
      <w:pPr>
        <w:spacing w:after="0" w:line="234" w:lineRule="exact"/>
        <w:rPr>
          <w:rFonts w:ascii="Arial" w:cs="Arial" w:eastAsia="Arial" w:hAnsi="Arial"/>
          <w:sz w:val="16"/>
          <w:szCs w:val="16"/>
          <w:color w:val="auto"/>
        </w:rPr>
      </w:pPr>
    </w:p>
    <w:p>
      <w:pPr>
        <w:ind w:left="760" w:hanging="378"/>
        <w:spacing w:after="0"/>
        <w:tabs>
          <w:tab w:leader="none" w:pos="7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economic weakness, including inflation, or political instability in particular foreign economies and markets;</w:t>
      </w:r>
    </w:p>
    <w:p>
      <w:pPr>
        <w:spacing w:after="0" w:line="234" w:lineRule="exact"/>
        <w:rPr>
          <w:rFonts w:ascii="Arial" w:cs="Arial" w:eastAsia="Arial" w:hAnsi="Arial"/>
          <w:sz w:val="16"/>
          <w:szCs w:val="16"/>
          <w:color w:val="auto"/>
        </w:rPr>
      </w:pPr>
    </w:p>
    <w:p>
      <w:pPr>
        <w:ind w:left="760" w:hanging="378"/>
        <w:spacing w:after="0"/>
        <w:tabs>
          <w:tab w:leader="none" w:pos="7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compliance with tax, employment, immigration, and labor laws for employees living or traveling abroad;</w:t>
      </w:r>
    </w:p>
    <w:p>
      <w:pPr>
        <w:spacing w:after="0" w:line="234" w:lineRule="exact"/>
        <w:rPr>
          <w:rFonts w:ascii="Arial" w:cs="Arial" w:eastAsia="Arial" w:hAnsi="Arial"/>
          <w:sz w:val="16"/>
          <w:szCs w:val="16"/>
          <w:color w:val="auto"/>
        </w:rPr>
      </w:pPr>
    </w:p>
    <w:p>
      <w:pPr>
        <w:ind w:left="760" w:hanging="378"/>
        <w:spacing w:after="0"/>
        <w:tabs>
          <w:tab w:leader="none" w:pos="7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foreign taxes, including withholding of payroll taxes;</w:t>
      </w:r>
    </w:p>
    <w:p>
      <w:pPr>
        <w:spacing w:after="0" w:line="234" w:lineRule="exact"/>
        <w:rPr>
          <w:rFonts w:ascii="Arial" w:cs="Arial" w:eastAsia="Arial" w:hAnsi="Arial"/>
          <w:sz w:val="16"/>
          <w:szCs w:val="16"/>
          <w:color w:val="auto"/>
        </w:rPr>
      </w:pPr>
    </w:p>
    <w:p>
      <w:pPr>
        <w:ind w:left="760" w:right="440" w:hanging="378"/>
        <w:spacing w:after="0" w:line="293" w:lineRule="auto"/>
        <w:tabs>
          <w:tab w:leader="none" w:pos="7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foreign currency fluctuations, which could result in increased operating expenses and reduced revenues, and other obligations incident to doing business in another country;</w:t>
      </w:r>
    </w:p>
    <w:p>
      <w:pPr>
        <w:spacing w:after="0" w:line="171" w:lineRule="exact"/>
        <w:rPr>
          <w:rFonts w:ascii="Arial" w:cs="Arial" w:eastAsia="Arial" w:hAnsi="Arial"/>
          <w:sz w:val="16"/>
          <w:szCs w:val="16"/>
          <w:color w:val="auto"/>
        </w:rPr>
      </w:pPr>
    </w:p>
    <w:p>
      <w:pPr>
        <w:ind w:left="760" w:hanging="378"/>
        <w:spacing w:after="0"/>
        <w:tabs>
          <w:tab w:leader="none" w:pos="7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difficulties staffing and managing foreign operations;</w:t>
      </w:r>
    </w:p>
    <w:p>
      <w:pPr>
        <w:spacing w:after="0" w:line="234" w:lineRule="exact"/>
        <w:rPr>
          <w:rFonts w:ascii="Arial" w:cs="Arial" w:eastAsia="Arial" w:hAnsi="Arial"/>
          <w:sz w:val="16"/>
          <w:szCs w:val="16"/>
          <w:color w:val="auto"/>
        </w:rPr>
      </w:pPr>
    </w:p>
    <w:p>
      <w:pPr>
        <w:ind w:left="760" w:hanging="378"/>
        <w:spacing w:after="0"/>
        <w:tabs>
          <w:tab w:leader="none" w:pos="7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workforce uncertainty in countries where labor unrest is more common than in the United States and worker rights tend to be stronger;</w:t>
      </w:r>
    </w:p>
    <w:p>
      <w:pPr>
        <w:spacing w:after="0" w:line="234" w:lineRule="exact"/>
        <w:rPr>
          <w:rFonts w:ascii="Arial" w:cs="Arial" w:eastAsia="Arial" w:hAnsi="Arial"/>
          <w:sz w:val="16"/>
          <w:szCs w:val="16"/>
          <w:color w:val="auto"/>
        </w:rPr>
      </w:pPr>
    </w:p>
    <w:p>
      <w:pPr>
        <w:ind w:left="760" w:hanging="378"/>
        <w:spacing w:after="0" w:line="293" w:lineRule="auto"/>
        <w:tabs>
          <w:tab w:leader="none" w:pos="7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costs of compliance with U.S. laws and regulations for foreign operations, including the Foreign Corrupt Practices Act or comparable foreign regulations, and the risks and costs of noncompliance;</w:t>
      </w:r>
    </w:p>
    <w:p>
      <w:pPr>
        <w:spacing w:after="0" w:line="171" w:lineRule="exact"/>
        <w:rPr>
          <w:rFonts w:ascii="Arial" w:cs="Arial" w:eastAsia="Arial" w:hAnsi="Arial"/>
          <w:sz w:val="16"/>
          <w:szCs w:val="16"/>
          <w:color w:val="auto"/>
        </w:rPr>
      </w:pPr>
    </w:p>
    <w:p>
      <w:pPr>
        <w:ind w:left="760" w:hanging="378"/>
        <w:spacing w:after="0"/>
        <w:tabs>
          <w:tab w:leader="none" w:pos="7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production shortages resulting from any events affecting raw material supply or manufacturing capabilities abroad; and</w:t>
      </w:r>
    </w:p>
    <w:p>
      <w:pPr>
        <w:spacing w:after="0" w:line="234" w:lineRule="exact"/>
        <w:rPr>
          <w:rFonts w:ascii="Arial" w:cs="Arial" w:eastAsia="Arial" w:hAnsi="Arial"/>
          <w:sz w:val="16"/>
          <w:szCs w:val="16"/>
          <w:color w:val="auto"/>
        </w:rPr>
      </w:pPr>
    </w:p>
    <w:p>
      <w:pPr>
        <w:ind w:left="760" w:hanging="378"/>
        <w:spacing w:after="0"/>
        <w:tabs>
          <w:tab w:leader="none" w:pos="760" w:val="left"/>
        </w:tabs>
        <w:numPr>
          <w:ilvl w:val="0"/>
          <w:numId w:val="31"/>
        </w:numPr>
        <w:rPr>
          <w:rFonts w:ascii="Arial" w:cs="Arial" w:eastAsia="Arial" w:hAnsi="Arial"/>
          <w:sz w:val="15"/>
          <w:szCs w:val="15"/>
          <w:color w:val="auto"/>
        </w:rPr>
      </w:pPr>
      <w:r>
        <w:rPr>
          <w:rFonts w:ascii="Arial" w:cs="Arial" w:eastAsia="Arial" w:hAnsi="Arial"/>
          <w:sz w:val="15"/>
          <w:szCs w:val="15"/>
          <w:color w:val="auto"/>
        </w:rPr>
        <w:t>business interruptions resulting from geopolitical actions, including war and terrorism, or natural disasters including earthquakes, typhoons, floods, and fires.</w:t>
      </w:r>
    </w:p>
    <w:p>
      <w:pPr>
        <w:spacing w:after="0" w:line="246" w:lineRule="exact"/>
        <w:rPr>
          <w:sz w:val="20"/>
          <w:szCs w:val="20"/>
          <w:color w:val="auto"/>
        </w:rPr>
      </w:pPr>
    </w:p>
    <w:p>
      <w:pPr>
        <w:ind w:left="760"/>
        <w:spacing w:after="0"/>
        <w:rPr>
          <w:sz w:val="20"/>
          <w:szCs w:val="20"/>
          <w:color w:val="auto"/>
        </w:rPr>
      </w:pPr>
      <w:r>
        <w:rPr>
          <w:rFonts w:ascii="Arial" w:cs="Arial" w:eastAsia="Arial" w:hAnsi="Arial"/>
          <w:sz w:val="15"/>
          <w:szCs w:val="15"/>
          <w:color w:val="auto"/>
        </w:rPr>
        <w:t>These and other risks associated with our international operations may materially adversely affect our ability to attain or maintain profitable operations.</w:t>
      </w:r>
    </w:p>
    <w:p>
      <w:pPr>
        <w:spacing w:after="0" w:line="246"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b w:val="1"/>
          <w:bCs w:val="1"/>
          <w:i w:val="1"/>
          <w:iCs w:val="1"/>
          <w:color w:val="auto"/>
        </w:rPr>
        <w:t>We will need to obtain FDA approval (and that of comparable foreign regulatory authorities) of any proposed product names, and any failure or delay associated with such approval may adversely affect our business.</w:t>
      </w:r>
    </w:p>
    <w:p>
      <w:pPr>
        <w:spacing w:after="0" w:line="172" w:lineRule="exact"/>
        <w:rPr>
          <w:sz w:val="20"/>
          <w:szCs w:val="20"/>
          <w:color w:val="auto"/>
        </w:rPr>
      </w:pPr>
    </w:p>
    <w:p>
      <w:pPr>
        <w:ind w:right="20" w:firstLine="749"/>
        <w:spacing w:after="0" w:line="268" w:lineRule="auto"/>
        <w:rPr>
          <w:sz w:val="20"/>
          <w:szCs w:val="20"/>
          <w:color w:val="auto"/>
        </w:rPr>
      </w:pPr>
      <w:r>
        <w:rPr>
          <w:rFonts w:ascii="Arial" w:cs="Arial" w:eastAsia="Arial" w:hAnsi="Arial"/>
          <w:sz w:val="16"/>
          <w:szCs w:val="16"/>
          <w:color w:val="auto"/>
        </w:rPr>
        <w:t>Any name we intend to use for our product candidates will require approval from the FDA regardless of whether we have secured a formal trademark registration from the U.S. Patent and Trademark Office, or USPTO. The FDA typically conducts a review of proposed product names, including an evaluation of the potential for confusion with other product names. The FDA may also object to a product name if it believes the name inappropriately implies medical claims or contributes to an overstatement of efficacy. If the FDA objects to any of our proposed product names, we may be required to adopt alternative names for our product candidates. If we adopt alternative names, we would lose the benefit of any existing trademark applications for such product candidate and may be required to expend significant additional resources in an effort to identify a suitable product name that would qualify under applicable trademark laws, not infringe the existing rights of third parties, and be acceptable to the FDA. We may be unable to build a successful brand identity for a new trademark in a timely manner or at all, which would limit our ability to commercialize our product candidates.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RELATED TO THE COMMERCIALIZATION OF OUR PRODUCTS</w:t>
      </w:r>
    </w:p>
    <w:p>
      <w:pPr>
        <w:spacing w:after="0" w:line="239" w:lineRule="exact"/>
        <w:rPr>
          <w:sz w:val="20"/>
          <w:szCs w:val="20"/>
          <w:color w:val="auto"/>
        </w:rPr>
      </w:pPr>
    </w:p>
    <w:p>
      <w:pPr>
        <w:ind w:right="940"/>
        <w:spacing w:after="0" w:line="293" w:lineRule="auto"/>
        <w:rPr>
          <w:sz w:val="20"/>
          <w:szCs w:val="20"/>
          <w:color w:val="auto"/>
        </w:rPr>
      </w:pPr>
      <w:r>
        <w:rPr>
          <w:rFonts w:ascii="Arial" w:cs="Arial" w:eastAsia="Arial" w:hAnsi="Arial"/>
          <w:sz w:val="16"/>
          <w:szCs w:val="16"/>
          <w:b w:val="1"/>
          <w:bCs w:val="1"/>
          <w:i w:val="1"/>
          <w:iCs w:val="1"/>
          <w:color w:val="auto"/>
        </w:rPr>
        <w:t>We face significant competition from other pharmaceutical and biotechnology companies, academic institutions, government agencies, and other research organizations. Our operating results will suffer if we fail to compete effectively.</w:t>
      </w:r>
    </w:p>
    <w:p>
      <w:pPr>
        <w:spacing w:after="0" w:line="172" w:lineRule="exact"/>
        <w:rPr>
          <w:sz w:val="20"/>
          <w:szCs w:val="20"/>
          <w:color w:val="auto"/>
        </w:rPr>
      </w:pPr>
    </w:p>
    <w:p>
      <w:pPr>
        <w:ind w:right="80" w:firstLine="749"/>
        <w:spacing w:after="0" w:line="269" w:lineRule="auto"/>
        <w:rPr>
          <w:sz w:val="20"/>
          <w:szCs w:val="20"/>
          <w:color w:val="auto"/>
        </w:rPr>
      </w:pPr>
      <w:r>
        <w:rPr>
          <w:rFonts w:ascii="Arial" w:cs="Arial" w:eastAsia="Arial" w:hAnsi="Arial"/>
          <w:sz w:val="16"/>
          <w:szCs w:val="16"/>
          <w:color w:val="auto"/>
        </w:rPr>
        <w:t>The development and commercialization of new drug products is highly competitive. We face competition with respect to our current products and product candidates and will face competition with respect to any product candidates that we may seek to develop or commercialize in the future, from major pharmaceutical companies, specialty pharmaceutical companies, and biotechnology companies worldwide. There are a number of large pharmaceutical and biotechnology companies that currently market and sell products or are pursuing the development of products for the treatment of CNS disorders.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66" w:name="page67"/>
    <w:bookmarkEnd w:id="66"/>
    <w:p>
      <w:pPr>
        <w:spacing w:after="0"/>
        <w:rPr>
          <w:sz w:val="20"/>
          <w:szCs w:val="20"/>
          <w:color w:val="auto"/>
        </w:rPr>
      </w:pPr>
      <w:r>
        <w:rPr>
          <w:rFonts w:ascii="Arial" w:cs="Arial" w:eastAsia="Arial" w:hAnsi="Arial"/>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3025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30250" cy="8255"/>
                    </a:xfrm>
                    <a:prstGeom prst="rect">
                      <a:avLst/>
                    </a:prstGeom>
                    <a:noFill/>
                  </pic:spPr>
                </pic:pic>
              </a:graphicData>
            </a:graphic>
          </wp:anchor>
        </w:drawing>
      </w:r>
    </w:p>
    <w:p>
      <w:pPr>
        <w:spacing w:after="0" w:line="215" w:lineRule="exact"/>
        <w:rPr>
          <w:sz w:val="20"/>
          <w:szCs w:val="20"/>
          <w:color w:val="auto"/>
        </w:rPr>
      </w:pPr>
    </w:p>
    <w:p>
      <w:pPr>
        <w:ind w:firstLine="749"/>
        <w:spacing w:after="0" w:line="271" w:lineRule="auto"/>
        <w:rPr>
          <w:sz w:val="20"/>
          <w:szCs w:val="20"/>
          <w:color w:val="auto"/>
        </w:rPr>
      </w:pPr>
      <w:r>
        <w:rPr>
          <w:rFonts w:ascii="Arial" w:cs="Arial" w:eastAsia="Arial" w:hAnsi="Arial"/>
          <w:sz w:val="16"/>
          <w:szCs w:val="16"/>
          <w:color w:val="auto"/>
        </w:rPr>
        <w:t>Specifically, there are a large number of companies developing or marketing therapies for CNS disorders, including many major pharmaceutical and biotechnology companies. Among the companies that currently market or are developing therapies that, if approved, our product candidates would potentially compete with include: AbbVie Inc.; Amgen Inc.; Avadel Pharmaceuticals plc; Biogen Inc.; Eli Lilly and Company; H. Lundbeck A/S; Harmony Biosciences; Intra-Cellular Therapies, Inc.; Janssen; Jazz Pharmaceuticals plc; Otsuka Pharmaceutical Co. Ltd.; Pfizer Inc.; Relmada Therapeutics Inc.; Sage Therapeutics, Inc.; and Takeda Pharmaceutical Company Limited.</w:t>
      </w:r>
    </w:p>
    <w:p>
      <w:pPr>
        <w:spacing w:after="0" w:line="190" w:lineRule="exact"/>
        <w:rPr>
          <w:sz w:val="20"/>
          <w:szCs w:val="20"/>
          <w:color w:val="auto"/>
        </w:rPr>
      </w:pPr>
    </w:p>
    <w:p>
      <w:pPr>
        <w:ind w:right="40" w:firstLine="749"/>
        <w:spacing w:after="0" w:line="203" w:lineRule="exact"/>
        <w:rPr>
          <w:sz w:val="20"/>
          <w:szCs w:val="20"/>
          <w:color w:val="auto"/>
        </w:rPr>
      </w:pPr>
      <w:r>
        <w:rPr>
          <w:rFonts w:ascii="Arial" w:cs="Arial" w:eastAsia="Arial" w:hAnsi="Arial"/>
          <w:sz w:val="15"/>
          <w:szCs w:val="15"/>
          <w:color w:val="auto"/>
        </w:rPr>
        <w:t>Our commercial opportunities could be reduced or eliminated if our competitors develop and commercialize products that are safer, are more effective, have fewer or less severe side effects, are more convenient, or are less expensive than any products that we may develop. Our competitors also may obtain FDA or other regulatory approval for their products more rapidly than we may obtain approval for ours, which could result in our competitors establishing a strong market position before we are able to enter the market. In addition, our ability to compete may be affected in many cases by insurers or other third</w:t>
      </w:r>
      <w:r>
        <w:rPr>
          <w:rFonts w:ascii="MS PGothic" w:cs="MS PGothic" w:eastAsia="MS PGothic" w:hAnsi="MS PGothic"/>
          <w:sz w:val="15"/>
          <w:szCs w:val="15"/>
          <w:color w:val="auto"/>
        </w:rPr>
        <w:t>‑</w:t>
      </w:r>
      <w:r>
        <w:rPr>
          <w:rFonts w:ascii="Arial" w:cs="Arial" w:eastAsia="Arial" w:hAnsi="Arial"/>
          <w:sz w:val="15"/>
          <w:szCs w:val="15"/>
          <w:color w:val="auto"/>
        </w:rPr>
        <w:t>party payors seeking to encourage the use of generic products or therapeutically similar lower cost brands. If our product candidates achieve marketing approval, we expect that they will be priced at a significant premium over competitive generic products, which would further impact our commercialization efforts.</w:t>
      </w:r>
    </w:p>
    <w:p>
      <w:pPr>
        <w:spacing w:after="0" w:line="215" w:lineRule="exact"/>
        <w:rPr>
          <w:sz w:val="20"/>
          <w:szCs w:val="20"/>
          <w:color w:val="auto"/>
        </w:rPr>
      </w:pPr>
    </w:p>
    <w:p>
      <w:pPr>
        <w:ind w:right="80" w:firstLine="749"/>
        <w:spacing w:after="0" w:line="271" w:lineRule="auto"/>
        <w:rPr>
          <w:sz w:val="20"/>
          <w:szCs w:val="20"/>
          <w:color w:val="auto"/>
        </w:rPr>
      </w:pPr>
      <w:r>
        <w:rPr>
          <w:rFonts w:ascii="Arial" w:cs="Arial" w:eastAsia="Arial" w:hAnsi="Arial"/>
          <w:sz w:val="16"/>
          <w:szCs w:val="16"/>
          <w:color w:val="auto"/>
        </w:rPr>
        <w:t>Generic forms of the active ingredients of our product candidates, including dextromethorphan, bupropion, meloxicam, rizatriptan, and reboxetine, are available in the United States and/or abroad and could be used off-label. Any such off-label use could adversely affect our profitability and have a negative effect on our operating results and financial condition. For example, even though meloxicam is not currently approved for the treatment of acute migraine, we would not be able to prevent a physician from prescribing it for such treatment. Nor could we prevent a payor from offering favorable coverage for such product and disadvantaging our product candidates, even if the generics would be used off-label.</w:t>
      </w:r>
    </w:p>
    <w:p>
      <w:pPr>
        <w:spacing w:after="0" w:line="190" w:lineRule="exact"/>
        <w:rPr>
          <w:sz w:val="20"/>
          <w:szCs w:val="20"/>
          <w:color w:val="auto"/>
        </w:rPr>
      </w:pPr>
    </w:p>
    <w:p>
      <w:pPr>
        <w:ind w:right="80" w:firstLine="749"/>
        <w:spacing w:after="0" w:line="291" w:lineRule="auto"/>
        <w:rPr>
          <w:sz w:val="20"/>
          <w:szCs w:val="20"/>
          <w:color w:val="auto"/>
        </w:rPr>
      </w:pPr>
      <w:r>
        <w:rPr>
          <w:rFonts w:ascii="Arial" w:cs="Arial" w:eastAsia="Arial" w:hAnsi="Arial"/>
          <w:sz w:val="15"/>
          <w:szCs w:val="15"/>
          <w:color w:val="auto"/>
        </w:rPr>
        <w:t>Many of the companies against which we are competing or against which we may compete in the future have significantly greater financial resources and expertise in research and development, manufacturing, preclinical testing, conducting clinical trials, obtaining regulatory approvals, and marketing approved products than we do. Mergers and acquisitions in the pharmaceutical and biotechnology industries may result in even more resources being concentrated among a smaller number of our competitors. Early-stage companies may also prove to be significant competitors, particularly through collaborative arrangements with, or acquisition by large and established companies. These third parties compete with us in recruiting and retaining qualified scientific and management personnel and establishing clinical trial sites and patient registration for clinical trials, as well as in acquiring technologies complementary to, or necessary for, our programs.</w:t>
      </w:r>
    </w:p>
    <w:p>
      <w:pPr>
        <w:spacing w:after="0" w:line="176" w:lineRule="exact"/>
        <w:rPr>
          <w:sz w:val="20"/>
          <w:szCs w:val="20"/>
          <w:color w:val="auto"/>
        </w:rPr>
      </w:pPr>
    </w:p>
    <w:p>
      <w:pPr>
        <w:ind w:right="40"/>
        <w:spacing w:after="0" w:line="278" w:lineRule="auto"/>
        <w:rPr>
          <w:sz w:val="20"/>
          <w:szCs w:val="20"/>
          <w:color w:val="auto"/>
        </w:rPr>
      </w:pPr>
      <w:r>
        <w:rPr>
          <w:rFonts w:ascii="Arial" w:cs="Arial" w:eastAsia="Arial" w:hAnsi="Arial"/>
          <w:sz w:val="16"/>
          <w:szCs w:val="16"/>
          <w:b w:val="1"/>
          <w:bCs w:val="1"/>
          <w:i w:val="1"/>
          <w:iCs w:val="1"/>
          <w:color w:val="auto"/>
        </w:rPr>
        <w:t>If the FDA or comparable foreign regulatory authorities approve generic or similar versions of any of our products that receive marketing approval, or such authorities do not grant our products appropriate periods of exclusivity before approving generic or similar versions of our products, the sales of our products could be adversely affected.</w:t>
      </w:r>
    </w:p>
    <w:p>
      <w:pPr>
        <w:spacing w:after="0" w:line="184" w:lineRule="exact"/>
        <w:rPr>
          <w:sz w:val="20"/>
          <w:szCs w:val="20"/>
          <w:color w:val="auto"/>
        </w:rPr>
      </w:pPr>
    </w:p>
    <w:p>
      <w:pPr>
        <w:ind w:firstLine="749"/>
        <w:spacing w:after="0" w:line="288" w:lineRule="auto"/>
        <w:rPr>
          <w:sz w:val="20"/>
          <w:szCs w:val="20"/>
          <w:color w:val="auto"/>
        </w:rPr>
      </w:pPr>
      <w:r>
        <w:rPr>
          <w:rFonts w:ascii="Arial" w:cs="Arial" w:eastAsia="Arial" w:hAnsi="Arial"/>
          <w:sz w:val="15"/>
          <w:szCs w:val="15"/>
          <w:color w:val="auto"/>
        </w:rPr>
        <w:t>Once an NDA is approved, the covered product becomes a “reference listed drug” in the FDA’s Orange Book. Manufacturers may seek approval of generic versions of reference listed drugs through submission of ANDAs in the United States. In support of an ANDA, a generic manufacturer need not conduct full clinical studies. Rather, the applicant generally must show that its product has the same active ingredient(s), dosage form, strength, route of administration, and conditions of use or labeling, among other commonalities, as the reference listed drug and that the generic version is bioequivalent to the reference listed drug, meaning it is absorbed in the body at the same rate and to the same extent. For example, in February 2023, we received a paragraph IV certification notice letter from Teva Pharmaceuticals, Inc., or Teva, providing notification to the Company that Teva has submitted an ANDA to the FDA seeking approval to manufacture, use, or sell a generic version of Auvelity. Additionally, in August 2023, we received a paragraph IV certification notice letter from Hikma Pharmaceuticals USA Inc., or Hikma, providing notification to the Company that Hikma has submitted an ANDA to the FDA seeking approval to manufacture, use, or sell a generic version of Sunosi.</w:t>
      </w:r>
    </w:p>
    <w:p>
      <w:pPr>
        <w:spacing w:after="0" w:line="180" w:lineRule="exact"/>
        <w:rPr>
          <w:sz w:val="20"/>
          <w:szCs w:val="20"/>
          <w:color w:val="auto"/>
        </w:rPr>
      </w:pPr>
    </w:p>
    <w:p>
      <w:pPr>
        <w:ind w:right="20" w:firstLine="749"/>
        <w:spacing w:after="0" w:line="204" w:lineRule="exact"/>
        <w:rPr>
          <w:sz w:val="20"/>
          <w:szCs w:val="20"/>
          <w:color w:val="auto"/>
        </w:rPr>
      </w:pPr>
      <w:r>
        <w:rPr>
          <w:rFonts w:ascii="Arial" w:cs="Arial" w:eastAsia="Arial" w:hAnsi="Arial"/>
          <w:sz w:val="16"/>
          <w:szCs w:val="16"/>
          <w:color w:val="auto"/>
        </w:rPr>
        <w:t>Recently, the FDA and Congress have also taken steps to encourage increased generic drug competition in the market. Generic products may be significantly less costly to bring to market than the reference listed drug and companies that produce generic products are generally able to offer them at lower prices, and are generally preferred by third</w:t>
      </w:r>
      <w:r>
        <w:rPr>
          <w:rFonts w:ascii="MS PGothic" w:cs="MS PGothic" w:eastAsia="MS PGothic" w:hAnsi="MS PGothic"/>
          <w:sz w:val="16"/>
          <w:szCs w:val="16"/>
          <w:color w:val="auto"/>
        </w:rPr>
        <w:t>‑</w:t>
      </w:r>
      <w:r>
        <w:rPr>
          <w:rFonts w:ascii="Arial" w:cs="Arial" w:eastAsia="Arial" w:hAnsi="Arial"/>
          <w:sz w:val="16"/>
          <w:szCs w:val="16"/>
          <w:color w:val="auto"/>
        </w:rPr>
        <w:t>party payors. Thus, following the introduction of a generic drug, a significant percentage of the sales of any branded product or reference listed drug is typically lost to the generic product.</w:t>
      </w:r>
    </w:p>
    <w:p>
      <w:pPr>
        <w:spacing w:after="0" w:line="213" w:lineRule="exact"/>
        <w:rPr>
          <w:sz w:val="20"/>
          <w:szCs w:val="20"/>
          <w:color w:val="auto"/>
        </w:rPr>
      </w:pPr>
    </w:p>
    <w:p>
      <w:pPr>
        <w:ind w:right="20" w:firstLine="749"/>
        <w:spacing w:after="0" w:line="278" w:lineRule="auto"/>
        <w:rPr>
          <w:sz w:val="20"/>
          <w:szCs w:val="20"/>
          <w:color w:val="auto"/>
        </w:rPr>
      </w:pPr>
      <w:r>
        <w:rPr>
          <w:rFonts w:ascii="Arial" w:cs="Arial" w:eastAsia="Arial" w:hAnsi="Arial"/>
          <w:sz w:val="16"/>
          <w:szCs w:val="16"/>
          <w:color w:val="auto"/>
        </w:rPr>
        <w:t>Moreover, in addition to generic competition, we could face competition from other companies seeking approval of drug products that are similar to ours using the 505(b)(2) pathway. Such applicants may be able to rely on our products, or other approved drug products or published literature to develop drug products that are similar to ours. The introduction of a drug product similar to our product candidates could expose us to increased competition.</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67" w:name="page68"/>
    <w:bookmarkEnd w:id="67"/>
    <w:p>
      <w:pPr>
        <w:spacing w:after="0"/>
        <w:rPr>
          <w:sz w:val="20"/>
          <w:szCs w:val="20"/>
          <w:color w:val="auto"/>
        </w:rPr>
      </w:pPr>
      <w:r>
        <w:rPr>
          <w:rFonts w:ascii="Arial" w:cs="Arial" w:eastAsia="Arial" w:hAnsi="Arial"/>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3025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30250" cy="8255"/>
                    </a:xfrm>
                    <a:prstGeom prst="rect">
                      <a:avLst/>
                    </a:prstGeom>
                    <a:noFill/>
                  </pic:spPr>
                </pic:pic>
              </a:graphicData>
            </a:graphic>
          </wp:anchor>
        </w:drawing>
      </w:r>
    </w:p>
    <w:p>
      <w:pPr>
        <w:spacing w:after="0" w:line="215" w:lineRule="exact"/>
        <w:rPr>
          <w:sz w:val="20"/>
          <w:szCs w:val="20"/>
          <w:color w:val="auto"/>
        </w:rPr>
      </w:pPr>
    </w:p>
    <w:p>
      <w:pPr>
        <w:ind w:firstLine="749"/>
        <w:spacing w:after="0" w:line="204" w:lineRule="exact"/>
        <w:rPr>
          <w:sz w:val="20"/>
          <w:szCs w:val="20"/>
          <w:color w:val="auto"/>
        </w:rPr>
      </w:pPr>
      <w:r>
        <w:rPr>
          <w:rFonts w:ascii="Arial" w:cs="Arial" w:eastAsia="Arial" w:hAnsi="Arial"/>
          <w:sz w:val="16"/>
          <w:szCs w:val="16"/>
          <w:color w:val="auto"/>
        </w:rPr>
        <w:t>Further, if we do not file a patent infringement lawsuit against a generic manufacturer within 45 days of receiving notice of its paragraph IV certification, the ANDA or 505(b)(2) applicant may not be subject to a 30</w:t>
      </w:r>
      <w:r>
        <w:rPr>
          <w:rFonts w:ascii="MS PGothic" w:cs="MS PGothic" w:eastAsia="MS PGothic" w:hAnsi="MS PGothic"/>
          <w:sz w:val="16"/>
          <w:szCs w:val="16"/>
          <w:color w:val="auto"/>
        </w:rPr>
        <w:t>‑</w:t>
      </w:r>
      <w:r>
        <w:rPr>
          <w:rFonts w:ascii="Arial" w:cs="Arial" w:eastAsia="Arial" w:hAnsi="Arial"/>
          <w:sz w:val="16"/>
          <w:szCs w:val="16"/>
          <w:color w:val="auto"/>
        </w:rPr>
        <w:t>month stay. Litigation or other proceedings to enforce or defend intellectual property rights are often very complex in nature, may be expensive and time consuming, may divert our management’s attention from our core business, and may result in unfavorable results that could adversely impact our ability to prevent third parties from competing with our products. Accordingly, we may be subject to generic competition or competition from similar products, or may need to commence patent infringement proceedings, which would divert our resources.</w:t>
      </w:r>
    </w:p>
    <w:p>
      <w:pPr>
        <w:spacing w:after="0" w:line="213" w:lineRule="exact"/>
        <w:rPr>
          <w:sz w:val="20"/>
          <w:szCs w:val="20"/>
          <w:color w:val="auto"/>
        </w:rPr>
      </w:pPr>
    </w:p>
    <w:p>
      <w:pPr>
        <w:ind w:right="120" w:firstLine="749"/>
        <w:spacing w:after="0" w:line="293" w:lineRule="auto"/>
        <w:rPr>
          <w:sz w:val="20"/>
          <w:szCs w:val="20"/>
          <w:color w:val="auto"/>
        </w:rPr>
      </w:pPr>
      <w:r>
        <w:rPr>
          <w:rFonts w:ascii="Arial" w:cs="Arial" w:eastAsia="Arial" w:hAnsi="Arial"/>
          <w:sz w:val="16"/>
          <w:szCs w:val="16"/>
          <w:color w:val="auto"/>
        </w:rPr>
        <w:t>Competition that our products may face from generic or similar versions of our products could materially and adversely impact our future revenue, profitability, and cash flows and substantially limit our ability to obtain a return on the investments we have made in our product candidates.</w:t>
      </w:r>
    </w:p>
    <w:p>
      <w:pPr>
        <w:spacing w:after="0" w:line="172" w:lineRule="exact"/>
        <w:rPr>
          <w:sz w:val="20"/>
          <w:szCs w:val="20"/>
          <w:color w:val="auto"/>
        </w:rPr>
      </w:pPr>
    </w:p>
    <w:p>
      <w:pPr>
        <w:ind w:right="80"/>
        <w:spacing w:after="0" w:line="278" w:lineRule="auto"/>
        <w:rPr>
          <w:sz w:val="20"/>
          <w:szCs w:val="20"/>
          <w:color w:val="auto"/>
        </w:rPr>
      </w:pPr>
      <w:r>
        <w:rPr>
          <w:rFonts w:ascii="Arial" w:cs="Arial" w:eastAsia="Arial" w:hAnsi="Arial"/>
          <w:sz w:val="16"/>
          <w:szCs w:val="16"/>
          <w:b w:val="1"/>
          <w:bCs w:val="1"/>
          <w:i w:val="1"/>
          <w:iCs w:val="1"/>
          <w:color w:val="auto"/>
        </w:rPr>
        <w:t>AXS-12 received Orphan Drug Designation from the FDA. However, there is no guarantee that we will receive this designation for any of our other product candidates or receive or maintain any corresponding benefits for any of our other product candidates that may receive Orphan Drug Designation in the future, including periods of exclusivity.</w:t>
      </w:r>
    </w:p>
    <w:p>
      <w:pPr>
        <w:spacing w:after="0" w:line="184" w:lineRule="exact"/>
        <w:rPr>
          <w:sz w:val="20"/>
          <w:szCs w:val="20"/>
          <w:color w:val="auto"/>
        </w:rPr>
      </w:pPr>
    </w:p>
    <w:p>
      <w:pPr>
        <w:ind w:right="260" w:firstLine="749"/>
        <w:spacing w:after="0" w:line="293" w:lineRule="auto"/>
        <w:rPr>
          <w:sz w:val="20"/>
          <w:szCs w:val="20"/>
          <w:color w:val="auto"/>
        </w:rPr>
      </w:pPr>
      <w:r>
        <w:rPr>
          <w:rFonts w:ascii="Arial" w:cs="Arial" w:eastAsia="Arial" w:hAnsi="Arial"/>
          <w:sz w:val="16"/>
          <w:szCs w:val="16"/>
          <w:color w:val="auto"/>
        </w:rPr>
        <w:t>AXS-12 received Orphan Drug Designation from FDA for the treatment of narcolepsy. We may also seek Orphan Drug Designation for our other products, as appropriate.</w:t>
      </w:r>
    </w:p>
    <w:p>
      <w:pPr>
        <w:spacing w:after="0" w:line="172" w:lineRule="exact"/>
        <w:rPr>
          <w:sz w:val="20"/>
          <w:szCs w:val="20"/>
          <w:color w:val="auto"/>
        </w:rPr>
      </w:pPr>
    </w:p>
    <w:p>
      <w:pPr>
        <w:ind w:right="60" w:firstLine="749"/>
        <w:spacing w:after="0" w:line="269" w:lineRule="auto"/>
        <w:rPr>
          <w:sz w:val="20"/>
          <w:szCs w:val="20"/>
          <w:color w:val="auto"/>
        </w:rPr>
      </w:pPr>
      <w:r>
        <w:rPr>
          <w:rFonts w:ascii="Arial" w:cs="Arial" w:eastAsia="Arial" w:hAnsi="Arial"/>
          <w:sz w:val="16"/>
          <w:szCs w:val="16"/>
          <w:color w:val="auto"/>
        </w:rPr>
        <w:t>Orphan Drug Designation, however, may be lost if the indications for which we develop any of our future product candidates do not meet the orphan drug criteria. Moreover, following product approval, orphan drug exclusivity may be lost if the FDA determines, among other reasons, that the request for designation was materially defective or if the manufacturer is unable to assure sufficient quantity of the product to meet the needs of patients with the rare disease or condition. Even if we obtain orphan drug exclusivity for any of our current or future product candidates, that exclusivity may not effectively protect the product from competition because different products can be approved for the same condition. Even after an orphan product is approved, the FDA can subsequently approve a product containing the same principal molecular features for the same condition if the FDA concludes that the later product is clinically superior in that it is shown to be safer or more effective or makes a major contribution to patient care.</w:t>
      </w:r>
    </w:p>
    <w:p>
      <w:pPr>
        <w:spacing w:after="0" w:line="190" w:lineRule="exact"/>
        <w:rPr>
          <w:sz w:val="20"/>
          <w:szCs w:val="20"/>
          <w:color w:val="auto"/>
        </w:rPr>
      </w:pPr>
    </w:p>
    <w:p>
      <w:pPr>
        <w:ind w:right="120" w:firstLine="749"/>
        <w:spacing w:after="0" w:line="293" w:lineRule="auto"/>
        <w:rPr>
          <w:sz w:val="20"/>
          <w:szCs w:val="20"/>
          <w:color w:val="auto"/>
        </w:rPr>
      </w:pPr>
      <w:r>
        <w:rPr>
          <w:rFonts w:ascii="Arial" w:cs="Arial" w:eastAsia="Arial" w:hAnsi="Arial"/>
          <w:sz w:val="15"/>
          <w:szCs w:val="15"/>
          <w:color w:val="auto"/>
        </w:rPr>
        <w:t>The FDA or the EMA may grant orphan exclusivity to two different sponsors for the same compound or active molecule and for the same indication. For example, if another sponsor receives FDA approval for a reboxetine containing product for the treatment of narcolepsy before we obtain FDA approval for AXS-12 for the treatment of narcolepsy, we would be prevented from launching our product in the United States for this indication for a period of at least 7 years. If another sponsor receives EMA approval for a reboxetine containing product for the treatment of narcolepsy before we obtain EMA approval for AXS-12 for the treatment of narcolepsy, we would be prevented from launching our product in the EU for this indication for a period of at least 10 to 12 years.</w:t>
      </w:r>
    </w:p>
    <w:p>
      <w:pPr>
        <w:spacing w:after="0" w:line="176" w:lineRule="exact"/>
        <w:rPr>
          <w:sz w:val="20"/>
          <w:szCs w:val="20"/>
          <w:color w:val="auto"/>
        </w:rPr>
      </w:pPr>
    </w:p>
    <w:p>
      <w:pPr>
        <w:ind w:right="180" w:firstLine="749"/>
        <w:spacing w:after="0" w:line="273" w:lineRule="auto"/>
        <w:rPr>
          <w:sz w:val="20"/>
          <w:szCs w:val="20"/>
          <w:color w:val="auto"/>
        </w:rPr>
      </w:pPr>
      <w:r>
        <w:rPr>
          <w:rFonts w:ascii="Arial" w:cs="Arial" w:eastAsia="Arial" w:hAnsi="Arial"/>
          <w:sz w:val="16"/>
          <w:szCs w:val="16"/>
          <w:color w:val="auto"/>
        </w:rPr>
        <w:t>The FDA may undertake a reevaluation of aspects of its orphan drug regulations and policies at any time and may possibly do so in response to a recent court decision regarding the plain meaning of the exclusivity provision of the Orphan Drug Act. We do not know if, when, or how the FDA may change the orphan drug regulations and policies, and it is uncertain how any changes might affect our business. Depending on what changes the FDA may make to its orphan drug regulations and policies, our business, financial condition, results of operations, and prospects could be harmed.</w:t>
      </w:r>
    </w:p>
    <w:p>
      <w:pPr>
        <w:spacing w:after="0" w:line="189" w:lineRule="exact"/>
        <w:rPr>
          <w:sz w:val="20"/>
          <w:szCs w:val="20"/>
          <w:color w:val="auto"/>
        </w:rPr>
      </w:pPr>
    </w:p>
    <w:p>
      <w:pPr>
        <w:ind w:right="640"/>
        <w:spacing w:after="0" w:line="293" w:lineRule="auto"/>
        <w:rPr>
          <w:sz w:val="20"/>
          <w:szCs w:val="20"/>
          <w:color w:val="auto"/>
        </w:rPr>
      </w:pPr>
      <w:r>
        <w:rPr>
          <w:rFonts w:ascii="Arial" w:cs="Arial" w:eastAsia="Arial" w:hAnsi="Arial"/>
          <w:sz w:val="16"/>
          <w:szCs w:val="16"/>
          <w:b w:val="1"/>
          <w:bCs w:val="1"/>
          <w:i w:val="1"/>
          <w:iCs w:val="1"/>
          <w:color w:val="auto"/>
        </w:rPr>
        <w:t>If we are unable to establish effective marketing, sales and distribution capabilities or enter into agreements with third parties to market, sell and distribute our products, we may be unable to generate substantial product revenues.</w:t>
      </w:r>
    </w:p>
    <w:p>
      <w:pPr>
        <w:spacing w:after="0" w:line="172" w:lineRule="exact"/>
        <w:rPr>
          <w:sz w:val="20"/>
          <w:szCs w:val="20"/>
          <w:color w:val="auto"/>
        </w:rPr>
      </w:pPr>
    </w:p>
    <w:p>
      <w:pPr>
        <w:ind w:right="140" w:firstLine="749"/>
        <w:spacing w:after="0" w:line="305" w:lineRule="auto"/>
        <w:rPr>
          <w:sz w:val="20"/>
          <w:szCs w:val="20"/>
          <w:color w:val="auto"/>
        </w:rPr>
      </w:pPr>
      <w:r>
        <w:rPr>
          <w:rFonts w:ascii="Arial" w:cs="Arial" w:eastAsia="Arial" w:hAnsi="Arial"/>
          <w:sz w:val="15"/>
          <w:szCs w:val="15"/>
          <w:color w:val="auto"/>
        </w:rPr>
        <w:t>We recently expanded our commercial infrastructure for the marketing, sale, and distribution of pharmaceutical products, which included the creation of a sales force to launch our commercial stage products throughout the United States. This requires additional compliance with a range of federal and state laws. Additionally, we currently commercialize Sunosi outside the United States. Each global market we commercialize Sunosi in has its own set of applicable laws.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68" w:name="page69"/>
    <w:bookmarkEnd w:id="68"/>
    <w:p>
      <w:pPr>
        <w:spacing w:after="0"/>
        <w:rPr>
          <w:sz w:val="20"/>
          <w:szCs w:val="20"/>
          <w:color w:val="auto"/>
        </w:rPr>
      </w:pPr>
      <w:r>
        <w:rPr>
          <w:rFonts w:ascii="Arial" w:cs="Arial" w:eastAsia="Arial" w:hAnsi="Arial"/>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3025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30250" cy="8255"/>
                    </a:xfrm>
                    <a:prstGeom prst="rect">
                      <a:avLst/>
                    </a:prstGeom>
                    <a:noFill/>
                  </pic:spPr>
                </pic:pic>
              </a:graphicData>
            </a:graphic>
          </wp:anchor>
        </w:drawing>
      </w:r>
    </w:p>
    <w:p>
      <w:pPr>
        <w:spacing w:after="0" w:line="215" w:lineRule="exact"/>
        <w:rPr>
          <w:sz w:val="20"/>
          <w:szCs w:val="20"/>
          <w:color w:val="auto"/>
        </w:rPr>
      </w:pPr>
    </w:p>
    <w:p>
      <w:pPr>
        <w:ind w:right="20" w:firstLine="749"/>
        <w:spacing w:after="0" w:line="271" w:lineRule="auto"/>
        <w:rPr>
          <w:sz w:val="20"/>
          <w:szCs w:val="20"/>
          <w:color w:val="auto"/>
        </w:rPr>
      </w:pPr>
      <w:r>
        <w:rPr>
          <w:rFonts w:ascii="Arial" w:cs="Arial" w:eastAsia="Arial" w:hAnsi="Arial"/>
          <w:sz w:val="16"/>
          <w:szCs w:val="16"/>
          <w:color w:val="auto"/>
        </w:rPr>
        <w:t>We have limited experience in the marketing, sale, and distribution of pharmaceutical products, and there are significant risks involved in the building and managing of a commercial infrastructure. We have to compete with other pharmaceutical and biotechnology companies to recruit, hire, train, manage, and retain marketing and sales personnel. In the event we are unable to maintain our marketing and sales infrastructure, we may not be able to successfully commercialize any of our existing commercial stage products or future product candidates, which would limit our ability to generate revenue. Factors that may inhibit our efforts to commercialize any of our products on our own include:</w:t>
      </w:r>
    </w:p>
    <w:p>
      <w:pPr>
        <w:spacing w:after="0" w:line="190" w:lineRule="exact"/>
        <w:rPr>
          <w:sz w:val="20"/>
          <w:szCs w:val="20"/>
          <w:color w:val="auto"/>
        </w:rPr>
      </w:pPr>
    </w:p>
    <w:p>
      <w:pPr>
        <w:ind w:left="760" w:hanging="378"/>
        <w:spacing w:after="0"/>
        <w:tabs>
          <w:tab w:leader="none" w:pos="7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our inability to recruit, train, manage, and retain adequate numbers of effective sales and marketing personnel;</w:t>
      </w:r>
    </w:p>
    <w:p>
      <w:pPr>
        <w:spacing w:after="0" w:line="234" w:lineRule="exact"/>
        <w:rPr>
          <w:rFonts w:ascii="Arial" w:cs="Arial" w:eastAsia="Arial" w:hAnsi="Arial"/>
          <w:sz w:val="16"/>
          <w:szCs w:val="16"/>
          <w:color w:val="auto"/>
        </w:rPr>
      </w:pPr>
    </w:p>
    <w:p>
      <w:pPr>
        <w:ind w:left="760" w:right="420" w:hanging="378"/>
        <w:spacing w:after="0" w:line="293" w:lineRule="auto"/>
        <w:tabs>
          <w:tab w:leader="none" w:pos="7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inability of sales personnel to obtain access to physicians or persuade adequate numbers of physicians to prescribe any of our current or future product candidates;</w:t>
      </w:r>
    </w:p>
    <w:p>
      <w:pPr>
        <w:spacing w:after="0" w:line="171" w:lineRule="exact"/>
        <w:rPr>
          <w:rFonts w:ascii="Arial" w:cs="Arial" w:eastAsia="Arial" w:hAnsi="Arial"/>
          <w:sz w:val="16"/>
          <w:szCs w:val="16"/>
          <w:color w:val="auto"/>
        </w:rPr>
      </w:pPr>
    </w:p>
    <w:p>
      <w:pPr>
        <w:ind w:left="760" w:hanging="378"/>
        <w:spacing w:after="0"/>
        <w:tabs>
          <w:tab w:leader="none" w:pos="7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our inability to effectively oversee a geographically dispersed sales and marketing team;</w:t>
      </w:r>
    </w:p>
    <w:p>
      <w:pPr>
        <w:spacing w:after="0" w:line="234" w:lineRule="exact"/>
        <w:rPr>
          <w:rFonts w:ascii="Arial" w:cs="Arial" w:eastAsia="Arial" w:hAnsi="Arial"/>
          <w:sz w:val="16"/>
          <w:szCs w:val="16"/>
          <w:color w:val="auto"/>
        </w:rPr>
      </w:pPr>
    </w:p>
    <w:p>
      <w:pPr>
        <w:ind w:left="760" w:hanging="378"/>
        <w:spacing w:after="0"/>
        <w:tabs>
          <w:tab w:leader="none" w:pos="7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application of federal and state drug distribution and supply chain requirements to our business;</w:t>
      </w:r>
    </w:p>
    <w:p>
      <w:pPr>
        <w:spacing w:after="0" w:line="234" w:lineRule="exact"/>
        <w:rPr>
          <w:rFonts w:ascii="Arial" w:cs="Arial" w:eastAsia="Arial" w:hAnsi="Arial"/>
          <w:sz w:val="16"/>
          <w:szCs w:val="16"/>
          <w:color w:val="auto"/>
        </w:rPr>
      </w:pPr>
    </w:p>
    <w:p>
      <w:pPr>
        <w:ind w:left="760" w:hanging="378"/>
        <w:spacing w:after="0"/>
        <w:tabs>
          <w:tab w:leader="none" w:pos="7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costs associated with training sales and marketing personnel on legal and regulatory compliance matters and monitoring their actions;</w:t>
      </w:r>
    </w:p>
    <w:p>
      <w:pPr>
        <w:spacing w:after="0" w:line="234" w:lineRule="exact"/>
        <w:rPr>
          <w:rFonts w:ascii="Arial" w:cs="Arial" w:eastAsia="Arial" w:hAnsi="Arial"/>
          <w:sz w:val="16"/>
          <w:szCs w:val="16"/>
          <w:color w:val="auto"/>
        </w:rPr>
      </w:pPr>
    </w:p>
    <w:p>
      <w:pPr>
        <w:ind w:left="760" w:hanging="378"/>
        <w:spacing w:after="0"/>
        <w:tabs>
          <w:tab w:leader="none" w:pos="7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an inability to secure adequate coverage and reimbursement by government and private health plans;</w:t>
      </w:r>
    </w:p>
    <w:p>
      <w:pPr>
        <w:spacing w:after="0" w:line="234" w:lineRule="exact"/>
        <w:rPr>
          <w:rFonts w:ascii="Arial" w:cs="Arial" w:eastAsia="Arial" w:hAnsi="Arial"/>
          <w:sz w:val="16"/>
          <w:szCs w:val="16"/>
          <w:color w:val="auto"/>
        </w:rPr>
      </w:pPr>
    </w:p>
    <w:p>
      <w:pPr>
        <w:ind w:left="760" w:hanging="378"/>
        <w:spacing w:after="0"/>
        <w:tabs>
          <w:tab w:leader="none" w:pos="7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clinical indications and labeled claims for which the product is approved;</w:t>
      </w:r>
    </w:p>
    <w:p>
      <w:pPr>
        <w:spacing w:after="0" w:line="234" w:lineRule="exact"/>
        <w:rPr>
          <w:rFonts w:ascii="Arial" w:cs="Arial" w:eastAsia="Arial" w:hAnsi="Arial"/>
          <w:sz w:val="16"/>
          <w:szCs w:val="16"/>
          <w:color w:val="auto"/>
        </w:rPr>
      </w:pPr>
    </w:p>
    <w:p>
      <w:pPr>
        <w:ind w:left="760" w:hanging="378"/>
        <w:spacing w:after="0"/>
        <w:tabs>
          <w:tab w:leader="none" w:pos="7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limitations or warnings, including distribution or use restrictions, contained in the product’s approved labeling;</w:t>
      </w:r>
    </w:p>
    <w:p>
      <w:pPr>
        <w:spacing w:after="0" w:line="234" w:lineRule="exact"/>
        <w:rPr>
          <w:rFonts w:ascii="Arial" w:cs="Arial" w:eastAsia="Arial" w:hAnsi="Arial"/>
          <w:sz w:val="16"/>
          <w:szCs w:val="16"/>
          <w:color w:val="auto"/>
        </w:rPr>
      </w:pPr>
    </w:p>
    <w:p>
      <w:pPr>
        <w:ind w:left="760" w:hanging="378"/>
        <w:spacing w:after="0"/>
        <w:tabs>
          <w:tab w:leader="none" w:pos="7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any distribution and use restrictions imposed by the FDA or to which we agree as part of a mandatory REMS or voluntary risk management plan;</w:t>
      </w:r>
    </w:p>
    <w:p>
      <w:pPr>
        <w:spacing w:after="0" w:line="234" w:lineRule="exact"/>
        <w:rPr>
          <w:rFonts w:ascii="Arial" w:cs="Arial" w:eastAsia="Arial" w:hAnsi="Arial"/>
          <w:sz w:val="16"/>
          <w:szCs w:val="16"/>
          <w:color w:val="auto"/>
        </w:rPr>
      </w:pPr>
    </w:p>
    <w:p>
      <w:pPr>
        <w:ind w:left="760" w:hanging="378"/>
        <w:spacing w:after="0"/>
        <w:tabs>
          <w:tab w:leader="none" w:pos="7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liability for sales or marketing personnel who fail to comply with the applicable legal and regulatory requirements;</w:t>
      </w:r>
    </w:p>
    <w:p>
      <w:pPr>
        <w:spacing w:after="0" w:line="234" w:lineRule="exact"/>
        <w:rPr>
          <w:rFonts w:ascii="Arial" w:cs="Arial" w:eastAsia="Arial" w:hAnsi="Arial"/>
          <w:sz w:val="16"/>
          <w:szCs w:val="16"/>
          <w:color w:val="auto"/>
        </w:rPr>
      </w:pPr>
    </w:p>
    <w:p>
      <w:pPr>
        <w:ind w:left="760" w:hanging="378"/>
        <w:spacing w:after="0" w:line="293" w:lineRule="auto"/>
        <w:tabs>
          <w:tab w:leader="none" w:pos="7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lack of complementary products to be offered by sales personnel, which may put us at a competitive disadvantage relative to companies with more extensive product lines; and</w:t>
      </w:r>
    </w:p>
    <w:p>
      <w:pPr>
        <w:spacing w:after="0" w:line="171" w:lineRule="exact"/>
        <w:rPr>
          <w:rFonts w:ascii="Arial" w:cs="Arial" w:eastAsia="Arial" w:hAnsi="Arial"/>
          <w:sz w:val="16"/>
          <w:szCs w:val="16"/>
          <w:color w:val="auto"/>
        </w:rPr>
      </w:pPr>
    </w:p>
    <w:p>
      <w:pPr>
        <w:ind w:left="760" w:hanging="378"/>
        <w:spacing w:after="0"/>
        <w:tabs>
          <w:tab w:leader="none" w:pos="760" w:val="left"/>
        </w:tabs>
        <w:numPr>
          <w:ilvl w:val="0"/>
          <w:numId w:val="32"/>
        </w:numPr>
        <w:rPr>
          <w:rFonts w:ascii="Arial" w:cs="Arial" w:eastAsia="Arial" w:hAnsi="Arial"/>
          <w:sz w:val="15"/>
          <w:szCs w:val="15"/>
          <w:color w:val="auto"/>
        </w:rPr>
      </w:pPr>
      <w:r>
        <w:rPr>
          <w:rFonts w:ascii="Arial" w:cs="Arial" w:eastAsia="Arial" w:hAnsi="Arial"/>
          <w:sz w:val="15"/>
          <w:szCs w:val="15"/>
          <w:color w:val="auto"/>
        </w:rPr>
        <w:t>unforeseen costs and expenses associated with creating an independent sales and marketing organization or engaging a contract sales organization.</w:t>
      </w:r>
    </w:p>
    <w:p>
      <w:pPr>
        <w:spacing w:after="0" w:line="246" w:lineRule="exact"/>
        <w:rPr>
          <w:sz w:val="20"/>
          <w:szCs w:val="20"/>
          <w:color w:val="auto"/>
        </w:rPr>
      </w:pPr>
    </w:p>
    <w:p>
      <w:pPr>
        <w:jc w:val="both"/>
        <w:ind w:right="160" w:firstLine="749"/>
        <w:spacing w:after="0" w:line="273" w:lineRule="auto"/>
        <w:rPr>
          <w:sz w:val="20"/>
          <w:szCs w:val="20"/>
          <w:color w:val="auto"/>
        </w:rPr>
      </w:pPr>
      <w:r>
        <w:rPr>
          <w:rFonts w:ascii="Arial" w:cs="Arial" w:eastAsia="Arial" w:hAnsi="Arial"/>
          <w:sz w:val="16"/>
          <w:szCs w:val="16"/>
          <w:color w:val="auto"/>
        </w:rPr>
        <w:t>If additional product candidates are approved, we may incur expenses prior to product launch in expanding our sales force and compliant marketing and sales infrastructure. If a commercial launch is delayed as a result of FDA requirements or other reasons, we may incur these expenses prior to being able to realize any revenue from sales of such product candidate(s). Furthermore, our sales force and marketing teams may not be successful in commercializing any of our current or future product candidates.</w:t>
      </w:r>
    </w:p>
    <w:p>
      <w:pPr>
        <w:spacing w:after="0" w:line="18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30" w:right="419" w:bottom="1440" w:gutter="0" w:footer="0" w:header="0"/>
        </w:sectPr>
      </w:pPr>
    </w:p>
    <w:bookmarkStart w:id="69" w:name="page70"/>
    <w:bookmarkEnd w:id="69"/>
    <w:p>
      <w:pPr>
        <w:spacing w:after="0"/>
        <w:rPr>
          <w:sz w:val="20"/>
          <w:szCs w:val="20"/>
          <w:color w:val="auto"/>
        </w:rPr>
      </w:pPr>
      <w:r>
        <w:rPr>
          <w:rFonts w:ascii="Arial" w:cs="Arial" w:eastAsia="Arial" w:hAnsi="Arial"/>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3025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30250" cy="8255"/>
                    </a:xfrm>
                    <a:prstGeom prst="rect">
                      <a:avLst/>
                    </a:prstGeom>
                    <a:noFill/>
                  </pic:spPr>
                </pic:pic>
              </a:graphicData>
            </a:graphic>
          </wp:anchor>
        </w:drawing>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any of our products do not achieve broad market acceptance, the revenues that we generate from their sales will be limited.</w:t>
      </w:r>
    </w:p>
    <w:p>
      <w:pPr>
        <w:spacing w:after="0" w:line="235" w:lineRule="exact"/>
        <w:rPr>
          <w:sz w:val="20"/>
          <w:szCs w:val="20"/>
          <w:color w:val="auto"/>
        </w:rPr>
      </w:pPr>
    </w:p>
    <w:p>
      <w:pPr>
        <w:ind w:firstLine="749"/>
        <w:spacing w:after="0" w:line="311" w:lineRule="auto"/>
        <w:rPr>
          <w:sz w:val="20"/>
          <w:szCs w:val="20"/>
          <w:color w:val="auto"/>
        </w:rPr>
      </w:pPr>
      <w:r>
        <w:rPr>
          <w:rFonts w:ascii="Arial" w:cs="Arial" w:eastAsia="Arial" w:hAnsi="Arial"/>
          <w:sz w:val="14"/>
          <w:szCs w:val="14"/>
          <w:color w:val="auto"/>
        </w:rPr>
        <w:t>Our products, and, if approved, our product candidates, may not gain acceptance among physicians, patients, third-party payors, and others in the medical community. If any of our products or product candidates, for which we obtain regulatory approval, do not gain an adequate level of market acceptance, we may not generate significant product revenues or become profitable. Market acceptance of any of our products by the medical community, patients, and third-party payors will depend on a number of factors, some of which are beyond our control. For example, physicians are often reluctant to switch their patients from existing therapies even when new and potentially more effective or convenient treatments enter the market. Further, patients often acclimate to the therapy that they are currently taking and do not want to switch unless their physicians recommend switching products or they are required to switch therapies due to lack of reimbursement for existing therapies. Even if physicians prescribe our products, third-party payors may not consider them cost effective without a significant price concession, which could negatively impact our revenue. Third-party payors may also implement onerous access controls, which could further impede our efforts to effectively transition eligible patients to our therapies.</w:t>
      </w:r>
    </w:p>
    <w:p>
      <w:pPr>
        <w:spacing w:after="0" w:line="167" w:lineRule="exact"/>
        <w:rPr>
          <w:sz w:val="20"/>
          <w:szCs w:val="20"/>
          <w:color w:val="auto"/>
        </w:rPr>
      </w:pPr>
    </w:p>
    <w:p>
      <w:pPr>
        <w:jc w:val="both"/>
        <w:ind w:right="80" w:firstLine="749"/>
        <w:spacing w:after="0" w:line="278" w:lineRule="auto"/>
        <w:rPr>
          <w:sz w:val="20"/>
          <w:szCs w:val="20"/>
          <w:color w:val="auto"/>
        </w:rPr>
      </w:pPr>
      <w:r>
        <w:rPr>
          <w:rFonts w:ascii="Arial" w:cs="Arial" w:eastAsia="Arial" w:hAnsi="Arial"/>
          <w:sz w:val="16"/>
          <w:szCs w:val="16"/>
          <w:color w:val="auto"/>
        </w:rPr>
        <w:t>Efforts to educate the medical community and third-party payors on the benefits of our products may require significant resources and may not be successful. If any of our product candidates is approved but does not achieve an adequate level of market acceptance, we may not generate significant revenues and we may not become profitable. The degree of market acceptance of any of our products will depend on a number of factors, including:</w:t>
      </w:r>
    </w:p>
    <w:p>
      <w:pPr>
        <w:spacing w:after="0" w:line="184" w:lineRule="exact"/>
        <w:rPr>
          <w:sz w:val="20"/>
          <w:szCs w:val="20"/>
          <w:color w:val="auto"/>
        </w:rPr>
      </w:pPr>
    </w:p>
    <w:p>
      <w:pPr>
        <w:ind w:left="760" w:hanging="378"/>
        <w:spacing w:after="0"/>
        <w:tabs>
          <w:tab w:leader="none" w:pos="7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efficacy of our products;</w:t>
      </w:r>
    </w:p>
    <w:p>
      <w:pPr>
        <w:spacing w:after="0" w:line="234" w:lineRule="exact"/>
        <w:rPr>
          <w:rFonts w:ascii="Arial" w:cs="Arial" w:eastAsia="Arial" w:hAnsi="Arial"/>
          <w:sz w:val="16"/>
          <w:szCs w:val="16"/>
          <w:color w:val="auto"/>
        </w:rPr>
      </w:pPr>
    </w:p>
    <w:p>
      <w:pPr>
        <w:ind w:left="760" w:hanging="378"/>
        <w:spacing w:after="0"/>
        <w:tabs>
          <w:tab w:leader="none" w:pos="7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prevalence and severity of adverse events associated with such product;</w:t>
      </w:r>
    </w:p>
    <w:p>
      <w:pPr>
        <w:spacing w:after="0" w:line="234" w:lineRule="exact"/>
        <w:rPr>
          <w:rFonts w:ascii="Arial" w:cs="Arial" w:eastAsia="Arial" w:hAnsi="Arial"/>
          <w:sz w:val="16"/>
          <w:szCs w:val="16"/>
          <w:color w:val="auto"/>
        </w:rPr>
      </w:pPr>
    </w:p>
    <w:p>
      <w:pPr>
        <w:ind w:left="760" w:hanging="378"/>
        <w:spacing w:after="0"/>
        <w:tabs>
          <w:tab w:leader="none" w:pos="7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clinical indications for which the product is approved and the approved claims that we may make for the product;</w:t>
      </w:r>
    </w:p>
    <w:p>
      <w:pPr>
        <w:spacing w:after="0" w:line="234" w:lineRule="exact"/>
        <w:rPr>
          <w:rFonts w:ascii="Arial" w:cs="Arial" w:eastAsia="Arial" w:hAnsi="Arial"/>
          <w:sz w:val="16"/>
          <w:szCs w:val="16"/>
          <w:color w:val="auto"/>
        </w:rPr>
      </w:pPr>
    </w:p>
    <w:p>
      <w:pPr>
        <w:ind w:left="760" w:right="180" w:hanging="378"/>
        <w:spacing w:after="0" w:line="204" w:lineRule="exact"/>
        <w:tabs>
          <w:tab w:leader="none" w:pos="7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limitations or warnings contained in the product’s FDA</w:t>
      </w:r>
      <w:r>
        <w:rPr>
          <w:rFonts w:ascii="MS PGothic" w:cs="MS PGothic" w:eastAsia="MS PGothic" w:hAnsi="MS PGothic"/>
          <w:sz w:val="16"/>
          <w:szCs w:val="16"/>
          <w:color w:val="auto"/>
        </w:rPr>
        <w:t>‑</w:t>
      </w:r>
      <w:r>
        <w:rPr>
          <w:rFonts w:ascii="Arial" w:cs="Arial" w:eastAsia="Arial" w:hAnsi="Arial"/>
          <w:sz w:val="16"/>
          <w:szCs w:val="16"/>
          <w:color w:val="auto"/>
        </w:rPr>
        <w:t>approved labeling, including potential limitations or warnings for such product candidate, that may be more restrictive than other competitive products;</w:t>
      </w:r>
    </w:p>
    <w:p>
      <w:pPr>
        <w:spacing w:after="0" w:line="213" w:lineRule="exact"/>
        <w:rPr>
          <w:rFonts w:ascii="Arial" w:cs="Arial" w:eastAsia="Arial" w:hAnsi="Arial"/>
          <w:sz w:val="16"/>
          <w:szCs w:val="16"/>
          <w:color w:val="auto"/>
        </w:rPr>
      </w:pPr>
    </w:p>
    <w:p>
      <w:pPr>
        <w:ind w:left="760" w:right="280" w:hanging="378"/>
        <w:spacing w:after="0" w:line="293" w:lineRule="auto"/>
        <w:tabs>
          <w:tab w:leader="none" w:pos="7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changes in the standard of care for the targeted indications for such product candidate, which could reduce the marketing impact of any claims that we could make following FDA approval, if obtained;</w:t>
      </w:r>
    </w:p>
    <w:p>
      <w:pPr>
        <w:spacing w:after="0" w:line="171" w:lineRule="exact"/>
        <w:rPr>
          <w:rFonts w:ascii="Arial" w:cs="Arial" w:eastAsia="Arial" w:hAnsi="Arial"/>
          <w:sz w:val="16"/>
          <w:szCs w:val="16"/>
          <w:color w:val="auto"/>
        </w:rPr>
      </w:pPr>
    </w:p>
    <w:p>
      <w:pPr>
        <w:ind w:left="760" w:hanging="378"/>
        <w:spacing w:after="0"/>
        <w:tabs>
          <w:tab w:leader="none" w:pos="7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relative convenience and ease of administration of such product;</w:t>
      </w:r>
    </w:p>
    <w:p>
      <w:pPr>
        <w:spacing w:after="0" w:line="234" w:lineRule="exact"/>
        <w:rPr>
          <w:rFonts w:ascii="Arial" w:cs="Arial" w:eastAsia="Arial" w:hAnsi="Arial"/>
          <w:sz w:val="16"/>
          <w:szCs w:val="16"/>
          <w:color w:val="auto"/>
        </w:rPr>
      </w:pPr>
    </w:p>
    <w:p>
      <w:pPr>
        <w:ind w:left="760" w:hanging="378"/>
        <w:spacing w:after="0"/>
        <w:tabs>
          <w:tab w:leader="none" w:pos="7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cost of treatment versus economic and clinical benefit in relation to alternative treatments or therapies;</w:t>
      </w:r>
    </w:p>
    <w:p>
      <w:pPr>
        <w:spacing w:after="0" w:line="234" w:lineRule="exact"/>
        <w:rPr>
          <w:rFonts w:ascii="Arial" w:cs="Arial" w:eastAsia="Arial" w:hAnsi="Arial"/>
          <w:sz w:val="16"/>
          <w:szCs w:val="16"/>
          <w:color w:val="auto"/>
        </w:rPr>
      </w:pPr>
    </w:p>
    <w:p>
      <w:pPr>
        <w:ind w:left="760" w:right="20" w:hanging="378"/>
        <w:spacing w:after="0" w:line="293" w:lineRule="auto"/>
        <w:tabs>
          <w:tab w:leader="none" w:pos="7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availability of adequate coverage or reimbursement by third parties, such as insurance companies and other healthcare payors, and by government healthcare programs, including Medicare and Medicaid;</w:t>
      </w:r>
    </w:p>
    <w:p>
      <w:pPr>
        <w:spacing w:after="0" w:line="171" w:lineRule="exact"/>
        <w:rPr>
          <w:rFonts w:ascii="Arial" w:cs="Arial" w:eastAsia="Arial" w:hAnsi="Arial"/>
          <w:sz w:val="16"/>
          <w:szCs w:val="16"/>
          <w:color w:val="auto"/>
        </w:rPr>
      </w:pPr>
    </w:p>
    <w:p>
      <w:pPr>
        <w:ind w:left="760" w:hanging="378"/>
        <w:spacing w:after="0"/>
        <w:tabs>
          <w:tab w:leader="none" w:pos="7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willingness of third-party payors to prefer similar but less expensive products even if not approved for our product’s indication;</w:t>
      </w:r>
    </w:p>
    <w:p>
      <w:pPr>
        <w:spacing w:after="0" w:line="234" w:lineRule="exact"/>
        <w:rPr>
          <w:rFonts w:ascii="Arial" w:cs="Arial" w:eastAsia="Arial" w:hAnsi="Arial"/>
          <w:sz w:val="16"/>
          <w:szCs w:val="16"/>
          <w:color w:val="auto"/>
        </w:rPr>
      </w:pPr>
    </w:p>
    <w:p>
      <w:pPr>
        <w:ind w:left="760" w:hanging="378"/>
        <w:spacing w:after="0"/>
        <w:tabs>
          <w:tab w:leader="none" w:pos="7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extent and strength of our marketing and distribution of such product;</w:t>
      </w:r>
    </w:p>
    <w:p>
      <w:pPr>
        <w:spacing w:after="0" w:line="234" w:lineRule="exact"/>
        <w:rPr>
          <w:rFonts w:ascii="Arial" w:cs="Arial" w:eastAsia="Arial" w:hAnsi="Arial"/>
          <w:sz w:val="16"/>
          <w:szCs w:val="16"/>
          <w:color w:val="auto"/>
        </w:rPr>
      </w:pPr>
    </w:p>
    <w:p>
      <w:pPr>
        <w:ind w:left="760" w:right="360" w:hanging="378"/>
        <w:spacing w:after="0" w:line="293" w:lineRule="auto"/>
        <w:tabs>
          <w:tab w:leader="none" w:pos="7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safety, efficacy, and other potential advantages over, and availability of, alternative treatments already used or that may later be approved for any of our intended indications;</w:t>
      </w:r>
    </w:p>
    <w:p>
      <w:pPr>
        <w:spacing w:after="0" w:line="171" w:lineRule="exact"/>
        <w:rPr>
          <w:rFonts w:ascii="Arial" w:cs="Arial" w:eastAsia="Arial" w:hAnsi="Arial"/>
          <w:sz w:val="16"/>
          <w:szCs w:val="16"/>
          <w:color w:val="auto"/>
        </w:rPr>
      </w:pPr>
    </w:p>
    <w:p>
      <w:pPr>
        <w:ind w:left="760" w:right="260" w:hanging="378"/>
        <w:spacing w:after="0" w:line="293" w:lineRule="auto"/>
        <w:tabs>
          <w:tab w:leader="none" w:pos="7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distribution and use restrictions imposed by the FDA with respect to such product or to which we agree as part of a mandatory risk evaluation and mitigation strategy or voluntary risk management plan;</w:t>
      </w:r>
    </w:p>
    <w:p>
      <w:pPr>
        <w:spacing w:after="0" w:line="171" w:lineRule="exact"/>
        <w:rPr>
          <w:rFonts w:ascii="Arial" w:cs="Arial" w:eastAsia="Arial" w:hAnsi="Arial"/>
          <w:sz w:val="16"/>
          <w:szCs w:val="16"/>
          <w:color w:val="auto"/>
        </w:rPr>
      </w:pPr>
    </w:p>
    <w:p>
      <w:pPr>
        <w:ind w:left="760" w:hanging="378"/>
        <w:spacing w:after="0"/>
        <w:tabs>
          <w:tab w:leader="none" w:pos="7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timing of market introduction of such product, as well as competitive products;</w:t>
      </w:r>
    </w:p>
    <w:p>
      <w:pPr>
        <w:spacing w:after="0" w:line="234" w:lineRule="exact"/>
        <w:rPr>
          <w:rFonts w:ascii="Arial" w:cs="Arial" w:eastAsia="Arial" w:hAnsi="Arial"/>
          <w:sz w:val="16"/>
          <w:szCs w:val="16"/>
          <w:color w:val="auto"/>
        </w:rPr>
      </w:pPr>
    </w:p>
    <w:p>
      <w:pPr>
        <w:ind w:left="760" w:hanging="378"/>
        <w:spacing w:after="0"/>
        <w:tabs>
          <w:tab w:leader="none" w:pos="7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our ability to offer such product candidate for sale at competitive prices, including prices that are competitive with generic products;</w:t>
      </w:r>
    </w:p>
    <w:p>
      <w:pPr>
        <w:spacing w:after="0" w:line="234" w:lineRule="exact"/>
        <w:rPr>
          <w:rFonts w:ascii="Arial" w:cs="Arial" w:eastAsia="Arial" w:hAnsi="Arial"/>
          <w:sz w:val="16"/>
          <w:szCs w:val="16"/>
          <w:color w:val="auto"/>
        </w:rPr>
      </w:pPr>
    </w:p>
    <w:p>
      <w:pPr>
        <w:ind w:left="760" w:hanging="378"/>
        <w:spacing w:after="0"/>
        <w:tabs>
          <w:tab w:leader="none" w:pos="7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willingness of the target patient population to try new therapies and of physicians to prescribe these therapies;</w:t>
      </w:r>
    </w:p>
    <w:p>
      <w:pPr>
        <w:spacing w:after="0" w:line="234" w:lineRule="exact"/>
        <w:rPr>
          <w:rFonts w:ascii="Arial" w:cs="Arial" w:eastAsia="Arial" w:hAnsi="Arial"/>
          <w:sz w:val="16"/>
          <w:szCs w:val="16"/>
          <w:color w:val="auto"/>
        </w:rPr>
      </w:pPr>
    </w:p>
    <w:p>
      <w:pPr>
        <w:ind w:left="760" w:hanging="378"/>
        <w:spacing w:after="0" w:line="184" w:lineRule="exact"/>
        <w:tabs>
          <w:tab w:leader="none" w:pos="7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extent and strength of our third</w:t>
      </w:r>
      <w:r>
        <w:rPr>
          <w:rFonts w:ascii="MS PGothic" w:cs="MS PGothic" w:eastAsia="MS PGothic" w:hAnsi="MS PGothic"/>
          <w:sz w:val="16"/>
          <w:szCs w:val="16"/>
          <w:color w:val="auto"/>
        </w:rPr>
        <w:t>‑</w:t>
      </w:r>
      <w:r>
        <w:rPr>
          <w:rFonts w:ascii="Arial" w:cs="Arial" w:eastAsia="Arial" w:hAnsi="Arial"/>
          <w:sz w:val="16"/>
          <w:szCs w:val="16"/>
          <w:color w:val="auto"/>
        </w:rPr>
        <w:t>party manufacturer and supplier support;</w:t>
      </w:r>
    </w:p>
    <w:p>
      <w:pPr>
        <w:spacing w:after="0" w:line="23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0" w:right="399" w:bottom="1440" w:gutter="0" w:footer="0" w:header="0"/>
        </w:sectPr>
      </w:pPr>
    </w:p>
    <w:bookmarkStart w:id="70" w:name="page71"/>
    <w:bookmarkEnd w:id="70"/>
    <w:p>
      <w:pPr>
        <w:spacing w:after="0"/>
        <w:rPr>
          <w:sz w:val="20"/>
          <w:szCs w:val="20"/>
          <w:color w:val="auto"/>
        </w:rPr>
      </w:pPr>
      <w:r>
        <w:rPr>
          <w:rFonts w:ascii="Arial" w:cs="Arial" w:eastAsia="Arial" w:hAnsi="Arial"/>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3025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30250" cy="8255"/>
                    </a:xfrm>
                    <a:prstGeom prst="rect">
                      <a:avLst/>
                    </a:prstGeom>
                    <a:noFill/>
                  </pic:spPr>
                </pic:pic>
              </a:graphicData>
            </a:graphic>
          </wp:anchor>
        </w:drawing>
      </w:r>
    </w:p>
    <w:p>
      <w:pPr>
        <w:spacing w:after="0" w:line="215" w:lineRule="exact"/>
        <w:rPr>
          <w:sz w:val="20"/>
          <w:szCs w:val="20"/>
          <w:color w:val="auto"/>
        </w:rPr>
      </w:pPr>
    </w:p>
    <w:p>
      <w:pPr>
        <w:ind w:left="760" w:hanging="378"/>
        <w:spacing w:after="0"/>
        <w:tabs>
          <w:tab w:leader="none" w:pos="7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approval of other new products for the same indications;</w:t>
      </w:r>
    </w:p>
    <w:p>
      <w:pPr>
        <w:spacing w:after="0" w:line="234" w:lineRule="exact"/>
        <w:rPr>
          <w:rFonts w:ascii="Arial" w:cs="Arial" w:eastAsia="Arial" w:hAnsi="Arial"/>
          <w:sz w:val="16"/>
          <w:szCs w:val="16"/>
          <w:color w:val="auto"/>
        </w:rPr>
      </w:pPr>
    </w:p>
    <w:p>
      <w:pPr>
        <w:ind w:left="760" w:hanging="378"/>
        <w:spacing w:after="0"/>
        <w:tabs>
          <w:tab w:leader="none" w:pos="7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adverse publicity about the product or favorable publicity about competitive products; and</w:t>
      </w:r>
    </w:p>
    <w:p>
      <w:pPr>
        <w:spacing w:after="0" w:line="234" w:lineRule="exact"/>
        <w:rPr>
          <w:rFonts w:ascii="Arial" w:cs="Arial" w:eastAsia="Arial" w:hAnsi="Arial"/>
          <w:sz w:val="16"/>
          <w:szCs w:val="16"/>
          <w:color w:val="auto"/>
        </w:rPr>
      </w:pPr>
    </w:p>
    <w:p>
      <w:pPr>
        <w:ind w:left="760" w:hanging="378"/>
        <w:spacing w:after="0"/>
        <w:tabs>
          <w:tab w:leader="none" w:pos="7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potential product liability claims.</w:t>
      </w:r>
    </w:p>
    <w:p>
      <w:pPr>
        <w:spacing w:after="0" w:line="235" w:lineRule="exact"/>
        <w:rPr>
          <w:sz w:val="20"/>
          <w:szCs w:val="20"/>
          <w:color w:val="auto"/>
        </w:rPr>
      </w:pPr>
    </w:p>
    <w:p>
      <w:pPr>
        <w:ind w:firstLine="749"/>
        <w:spacing w:after="0" w:line="204" w:lineRule="exact"/>
        <w:rPr>
          <w:sz w:val="20"/>
          <w:szCs w:val="20"/>
          <w:color w:val="auto"/>
        </w:rPr>
      </w:pPr>
      <w:r>
        <w:rPr>
          <w:rFonts w:ascii="Arial" w:cs="Arial" w:eastAsia="Arial" w:hAnsi="Arial"/>
          <w:sz w:val="16"/>
          <w:szCs w:val="16"/>
          <w:color w:val="auto"/>
        </w:rPr>
        <w:t>Our efforts to educate the medical community and third</w:t>
      </w:r>
      <w:r>
        <w:rPr>
          <w:rFonts w:ascii="MS PGothic" w:cs="MS PGothic" w:eastAsia="MS PGothic" w:hAnsi="MS PGothic"/>
          <w:sz w:val="16"/>
          <w:szCs w:val="16"/>
          <w:color w:val="auto"/>
        </w:rPr>
        <w:t>‑</w:t>
      </w:r>
      <w:r>
        <w:rPr>
          <w:rFonts w:ascii="Arial" w:cs="Arial" w:eastAsia="Arial" w:hAnsi="Arial"/>
          <w:sz w:val="16"/>
          <w:szCs w:val="16"/>
          <w:color w:val="auto"/>
        </w:rPr>
        <w:t>party payors on the benefits of our products may require significant resources and may never be successful. Even if the medical community accepts that one of our product candidates is safe and effective for its approved indications, physicians and patients may not immediately be receptive to such product candidate and may be slow to adopt it as an accepted treatment of the approved indication. It is unlikely that any labeling approved by the FDA will contain claims that one of our product candidates is safer or more effective than competitive products or will permit us to promote such product candidate as being superior to competing products.</w:t>
      </w:r>
    </w:p>
    <w:p>
      <w:pPr>
        <w:spacing w:after="0" w:line="213" w:lineRule="exact"/>
        <w:rPr>
          <w:sz w:val="20"/>
          <w:szCs w:val="20"/>
          <w:color w:val="auto"/>
        </w:rPr>
      </w:pPr>
    </w:p>
    <w:p>
      <w:pPr>
        <w:ind w:right="80" w:firstLine="749"/>
        <w:spacing w:after="0" w:line="204" w:lineRule="exact"/>
        <w:rPr>
          <w:sz w:val="20"/>
          <w:szCs w:val="20"/>
          <w:color w:val="auto"/>
        </w:rPr>
      </w:pPr>
      <w:r>
        <w:rPr>
          <w:rFonts w:ascii="Arial" w:cs="Arial" w:eastAsia="Arial" w:hAnsi="Arial"/>
          <w:sz w:val="16"/>
          <w:szCs w:val="16"/>
          <w:color w:val="auto"/>
        </w:rPr>
        <w:t>The potential market opportunities for our products and/or product candidates are difficult to precisely estimate. Our estimates of the potential market opportunities are predicated on many assumptions including industry knowledge and publications, third</w:t>
      </w:r>
      <w:r>
        <w:rPr>
          <w:rFonts w:ascii="MS PGothic" w:cs="MS PGothic" w:eastAsia="MS PGothic" w:hAnsi="MS PGothic"/>
          <w:sz w:val="16"/>
          <w:szCs w:val="16"/>
          <w:color w:val="auto"/>
        </w:rPr>
        <w:t>‑</w:t>
      </w:r>
      <w:r>
        <w:rPr>
          <w:rFonts w:ascii="Arial" w:cs="Arial" w:eastAsia="Arial" w:hAnsi="Arial"/>
          <w:sz w:val="16"/>
          <w:szCs w:val="16"/>
          <w:color w:val="auto"/>
        </w:rPr>
        <w:t>party research reports, and other surveys. While we believe that our internal assumptions are reasonable, these assumptions involve the exercise of significant judgment on the part of our management and are inherently uncertain, and the reasonableness of these assumptions has not been assessed by an independent source. If any of the assumptions proves to be inaccurate, the actual markets for our product candidates could be smaller than our estimates of the potential market opportunities.</w:t>
      </w:r>
    </w:p>
    <w:p>
      <w:pPr>
        <w:spacing w:after="0" w:line="213" w:lineRule="exact"/>
        <w:rPr>
          <w:sz w:val="20"/>
          <w:szCs w:val="20"/>
          <w:color w:val="auto"/>
        </w:rPr>
      </w:pPr>
    </w:p>
    <w:p>
      <w:pPr>
        <w:ind w:right="400"/>
        <w:spacing w:after="0" w:line="293" w:lineRule="auto"/>
        <w:rPr>
          <w:sz w:val="20"/>
          <w:szCs w:val="20"/>
          <w:color w:val="auto"/>
        </w:rPr>
      </w:pPr>
      <w:r>
        <w:rPr>
          <w:rFonts w:ascii="Arial" w:cs="Arial" w:eastAsia="Arial" w:hAnsi="Arial"/>
          <w:sz w:val="16"/>
          <w:szCs w:val="16"/>
          <w:b w:val="1"/>
          <w:bCs w:val="1"/>
          <w:i w:val="1"/>
          <w:iCs w:val="1"/>
          <w:color w:val="auto"/>
        </w:rPr>
        <w:t>We face potential product liability exposure, and if successful claims are brought against us, we may incur substantial liability and may have to limit our products’ commercialization.</w:t>
      </w:r>
    </w:p>
    <w:p>
      <w:pPr>
        <w:spacing w:after="0" w:line="172" w:lineRule="exact"/>
        <w:rPr>
          <w:sz w:val="20"/>
          <w:szCs w:val="20"/>
          <w:color w:val="auto"/>
        </w:rPr>
      </w:pPr>
    </w:p>
    <w:p>
      <w:pPr>
        <w:ind w:right="180" w:firstLine="749"/>
        <w:spacing w:after="0" w:line="288" w:lineRule="auto"/>
        <w:rPr>
          <w:sz w:val="20"/>
          <w:szCs w:val="20"/>
          <w:color w:val="auto"/>
        </w:rPr>
      </w:pPr>
      <w:r>
        <w:rPr>
          <w:rFonts w:ascii="Arial" w:cs="Arial" w:eastAsia="Arial" w:hAnsi="Arial"/>
          <w:sz w:val="15"/>
          <w:szCs w:val="15"/>
          <w:color w:val="auto"/>
        </w:rPr>
        <w:t>The use of any of our current or future product candidates in clinical trials, and the sale of any of our products exposes us to the risk of product liability claims. We face inherent risk of product liability related to the testing of our product candidates in human clinical trials and face an even greater risk for our commercialized products. For example, we may be sued if any products we develop allegedly causes injury or is found to be otherwise unsuitable during clinical testing,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Product liability claims might be brought against us by consumers, healthcare providers, or others using, administering, or selling our products. If we cannot successfully defend ourselves against these claims, we will incur substantial liabilities or be required to limit commercialization of our products. Even successful defense would require significant financial and management resources. Regardless of merit or eventual outcome, liability claims may result in loss of revenue from including from:</w:t>
      </w:r>
    </w:p>
    <w:p>
      <w:pPr>
        <w:spacing w:after="0" w:line="180" w:lineRule="exact"/>
        <w:rPr>
          <w:sz w:val="20"/>
          <w:szCs w:val="20"/>
          <w:color w:val="auto"/>
        </w:rPr>
      </w:pPr>
    </w:p>
    <w:p>
      <w:pPr>
        <w:ind w:left="760" w:hanging="378"/>
        <w:spacing w:after="0"/>
        <w:tabs>
          <w:tab w:leader="none" w:pos="7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decreased demand for our products;</w:t>
      </w:r>
    </w:p>
    <w:p>
      <w:pPr>
        <w:spacing w:after="0" w:line="234" w:lineRule="exact"/>
        <w:rPr>
          <w:rFonts w:ascii="Arial" w:cs="Arial" w:eastAsia="Arial" w:hAnsi="Arial"/>
          <w:sz w:val="16"/>
          <w:szCs w:val="16"/>
          <w:color w:val="auto"/>
        </w:rPr>
      </w:pPr>
    </w:p>
    <w:p>
      <w:pPr>
        <w:ind w:left="760" w:hanging="378"/>
        <w:spacing w:after="0"/>
        <w:tabs>
          <w:tab w:leader="none" w:pos="7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impairment of our business reputation or financial stability;</w:t>
      </w:r>
    </w:p>
    <w:p>
      <w:pPr>
        <w:spacing w:after="0" w:line="234" w:lineRule="exact"/>
        <w:rPr>
          <w:rFonts w:ascii="Arial" w:cs="Arial" w:eastAsia="Arial" w:hAnsi="Arial"/>
          <w:sz w:val="16"/>
          <w:szCs w:val="16"/>
          <w:color w:val="auto"/>
        </w:rPr>
      </w:pPr>
    </w:p>
    <w:p>
      <w:pPr>
        <w:ind w:left="760" w:hanging="378"/>
        <w:spacing w:after="0"/>
        <w:tabs>
          <w:tab w:leader="none" w:pos="7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costs of related litigation;</w:t>
      </w:r>
    </w:p>
    <w:p>
      <w:pPr>
        <w:spacing w:after="0" w:line="234" w:lineRule="exact"/>
        <w:rPr>
          <w:rFonts w:ascii="Arial" w:cs="Arial" w:eastAsia="Arial" w:hAnsi="Arial"/>
          <w:sz w:val="16"/>
          <w:szCs w:val="16"/>
          <w:color w:val="auto"/>
        </w:rPr>
      </w:pPr>
    </w:p>
    <w:p>
      <w:pPr>
        <w:ind w:left="760" w:hanging="378"/>
        <w:spacing w:after="0"/>
        <w:tabs>
          <w:tab w:leader="none" w:pos="7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substantial monetary awards to patients or other claimants;</w:t>
      </w:r>
    </w:p>
    <w:p>
      <w:pPr>
        <w:spacing w:after="0" w:line="234" w:lineRule="exact"/>
        <w:rPr>
          <w:rFonts w:ascii="Arial" w:cs="Arial" w:eastAsia="Arial" w:hAnsi="Arial"/>
          <w:sz w:val="16"/>
          <w:szCs w:val="16"/>
          <w:color w:val="auto"/>
        </w:rPr>
      </w:pPr>
    </w:p>
    <w:p>
      <w:pPr>
        <w:ind w:left="760" w:hanging="378"/>
        <w:spacing w:after="0"/>
        <w:tabs>
          <w:tab w:leader="none" w:pos="7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diversion of management attention;</w:t>
      </w:r>
    </w:p>
    <w:p>
      <w:pPr>
        <w:spacing w:after="0" w:line="234" w:lineRule="exact"/>
        <w:rPr>
          <w:rFonts w:ascii="Arial" w:cs="Arial" w:eastAsia="Arial" w:hAnsi="Arial"/>
          <w:sz w:val="16"/>
          <w:szCs w:val="16"/>
          <w:color w:val="auto"/>
        </w:rPr>
      </w:pPr>
    </w:p>
    <w:p>
      <w:pPr>
        <w:ind w:left="760" w:hanging="378"/>
        <w:spacing w:after="0"/>
        <w:tabs>
          <w:tab w:leader="none" w:pos="7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loss of revenues;</w:t>
      </w:r>
    </w:p>
    <w:p>
      <w:pPr>
        <w:spacing w:after="0" w:line="234" w:lineRule="exact"/>
        <w:rPr>
          <w:rFonts w:ascii="Arial" w:cs="Arial" w:eastAsia="Arial" w:hAnsi="Arial"/>
          <w:sz w:val="16"/>
          <w:szCs w:val="16"/>
          <w:color w:val="auto"/>
        </w:rPr>
      </w:pPr>
    </w:p>
    <w:p>
      <w:pPr>
        <w:ind w:left="760" w:hanging="378"/>
        <w:spacing w:after="0"/>
        <w:tabs>
          <w:tab w:leader="none" w:pos="7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withdrawal of clinical trial participants and potential termination of clinical trial sites or entire clinical programs;</w:t>
      </w:r>
    </w:p>
    <w:p>
      <w:pPr>
        <w:spacing w:after="0" w:line="234" w:lineRule="exact"/>
        <w:rPr>
          <w:rFonts w:ascii="Arial" w:cs="Arial" w:eastAsia="Arial" w:hAnsi="Arial"/>
          <w:sz w:val="16"/>
          <w:szCs w:val="16"/>
          <w:color w:val="auto"/>
        </w:rPr>
      </w:pPr>
    </w:p>
    <w:p>
      <w:pPr>
        <w:ind w:left="760" w:hanging="378"/>
        <w:spacing w:after="0"/>
        <w:tabs>
          <w:tab w:leader="none" w:pos="7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inability to commercialize our product candidates;</w:t>
      </w:r>
    </w:p>
    <w:p>
      <w:pPr>
        <w:spacing w:after="0" w:line="234" w:lineRule="exact"/>
        <w:rPr>
          <w:rFonts w:ascii="Arial" w:cs="Arial" w:eastAsia="Arial" w:hAnsi="Arial"/>
          <w:sz w:val="16"/>
          <w:szCs w:val="16"/>
          <w:color w:val="auto"/>
        </w:rPr>
      </w:pPr>
    </w:p>
    <w:p>
      <w:pPr>
        <w:ind w:left="760" w:hanging="378"/>
        <w:spacing w:after="0"/>
        <w:tabs>
          <w:tab w:leader="none" w:pos="7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significant negative media attention;</w:t>
      </w:r>
    </w:p>
    <w:p>
      <w:pPr>
        <w:spacing w:after="0" w:line="234" w:lineRule="exact"/>
        <w:rPr>
          <w:rFonts w:ascii="Arial" w:cs="Arial" w:eastAsia="Arial" w:hAnsi="Arial"/>
          <w:sz w:val="16"/>
          <w:szCs w:val="16"/>
          <w:color w:val="auto"/>
        </w:rPr>
      </w:pPr>
    </w:p>
    <w:p>
      <w:pPr>
        <w:ind w:left="760" w:hanging="378"/>
        <w:spacing w:after="0"/>
        <w:tabs>
          <w:tab w:leader="none" w:pos="7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decrease in our stock price;</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71" w:name="page72"/>
    <w:bookmarkEnd w:id="71"/>
    <w:p>
      <w:pPr>
        <w:spacing w:after="0"/>
        <w:rPr>
          <w:sz w:val="20"/>
          <w:szCs w:val="20"/>
          <w:color w:val="auto"/>
        </w:rPr>
      </w:pPr>
      <w:r>
        <w:rPr>
          <w:rFonts w:ascii="Arial" w:cs="Arial" w:eastAsia="Arial" w:hAnsi="Arial"/>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3025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30250" cy="8255"/>
                    </a:xfrm>
                    <a:prstGeom prst="rect">
                      <a:avLst/>
                    </a:prstGeom>
                    <a:noFill/>
                  </pic:spPr>
                </pic:pic>
              </a:graphicData>
            </a:graphic>
          </wp:anchor>
        </w:drawing>
      </w:r>
    </w:p>
    <w:p>
      <w:pPr>
        <w:spacing w:after="0" w:line="215" w:lineRule="exact"/>
        <w:rPr>
          <w:sz w:val="20"/>
          <w:szCs w:val="20"/>
          <w:color w:val="auto"/>
        </w:rPr>
      </w:pPr>
    </w:p>
    <w:p>
      <w:pPr>
        <w:ind w:left="760" w:hanging="378"/>
        <w:spacing w:after="0"/>
        <w:tabs>
          <w:tab w:leader="none" w:pos="7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initiation of investigations and enforcement actions by regulators; and</w:t>
      </w:r>
    </w:p>
    <w:p>
      <w:pPr>
        <w:spacing w:after="0" w:line="234" w:lineRule="exact"/>
        <w:rPr>
          <w:rFonts w:ascii="Arial" w:cs="Arial" w:eastAsia="Arial" w:hAnsi="Arial"/>
          <w:sz w:val="16"/>
          <w:szCs w:val="16"/>
          <w:color w:val="auto"/>
        </w:rPr>
      </w:pPr>
    </w:p>
    <w:p>
      <w:pPr>
        <w:ind w:left="760" w:hanging="378"/>
        <w:spacing w:after="0"/>
        <w:tabs>
          <w:tab w:leader="none" w:pos="7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product recalls, withdrawals, or labeling, marketing, or promotional restrictions.</w:t>
      </w:r>
    </w:p>
    <w:p>
      <w:pPr>
        <w:spacing w:after="0" w:line="235" w:lineRule="exact"/>
        <w:rPr>
          <w:sz w:val="20"/>
          <w:szCs w:val="20"/>
          <w:color w:val="auto"/>
        </w:rPr>
      </w:pPr>
    </w:p>
    <w:p>
      <w:pPr>
        <w:ind w:right="160" w:firstLine="749"/>
        <w:spacing w:after="0" w:line="291" w:lineRule="auto"/>
        <w:rPr>
          <w:sz w:val="20"/>
          <w:szCs w:val="20"/>
          <w:color w:val="auto"/>
        </w:rPr>
      </w:pPr>
      <w:r>
        <w:rPr>
          <w:rFonts w:ascii="Arial" w:cs="Arial" w:eastAsia="Arial" w:hAnsi="Arial"/>
          <w:sz w:val="15"/>
          <w:szCs w:val="15"/>
          <w:color w:val="auto"/>
        </w:rPr>
        <w:t>We have obtained limited product liability insurance coverage for our products and our clinical trials. We have also obtained local policies in those foreign jurisdictions where it was appropriate. However, our insurance coverage may not reimburse us or may not be sufficient to reimburse us for any expenses or losses we may suffer. Moreover, insurance coverage is becoming increasingly expensive, and, in the future, we may not be able to maintain insurance coverage at a reasonable cost or in sufficient amounts to protect us against losses due to liability. On occasion, large judgments have been awarded in class action lawsuits based on drugs that had unanticipated side effects. A successful product liability claim or series of claims brought against us could cause our stock price to fall and, if judgments exceed our insurance coverage, could decrease our cash and adversely affect our business and our prospects.</w:t>
      </w:r>
    </w:p>
    <w:p>
      <w:pPr>
        <w:spacing w:after="0" w:line="176" w:lineRule="exact"/>
        <w:rPr>
          <w:sz w:val="20"/>
          <w:szCs w:val="20"/>
          <w:color w:val="auto"/>
        </w:rPr>
      </w:pPr>
    </w:p>
    <w:p>
      <w:pPr>
        <w:ind w:right="40"/>
        <w:spacing w:after="0" w:line="278" w:lineRule="auto"/>
        <w:rPr>
          <w:sz w:val="20"/>
          <w:szCs w:val="20"/>
          <w:color w:val="auto"/>
        </w:rPr>
      </w:pPr>
      <w:r>
        <w:rPr>
          <w:rFonts w:ascii="Arial" w:cs="Arial" w:eastAsia="Arial" w:hAnsi="Arial"/>
          <w:sz w:val="16"/>
          <w:szCs w:val="16"/>
          <w:b w:val="1"/>
          <w:bCs w:val="1"/>
          <w:i w:val="1"/>
          <w:iCs w:val="1"/>
          <w:color w:val="auto"/>
        </w:rPr>
        <w:t>Sunosi is a controlled substance and may be subject to U.S. federal and state controlled substance laws and regulations, and our failure to comply with these laws and regulations, or the cost of compliance with these laws and regulations, could materially and adversely affect our business, results of operations, financial condition and growth prospects.</w:t>
      </w:r>
    </w:p>
    <w:p>
      <w:pPr>
        <w:spacing w:after="0" w:line="184" w:lineRule="exact"/>
        <w:rPr>
          <w:sz w:val="20"/>
          <w:szCs w:val="20"/>
          <w:color w:val="auto"/>
        </w:rPr>
      </w:pPr>
    </w:p>
    <w:p>
      <w:pPr>
        <w:ind w:right="20" w:firstLine="749"/>
        <w:spacing w:after="0" w:line="287" w:lineRule="auto"/>
        <w:rPr>
          <w:sz w:val="20"/>
          <w:szCs w:val="20"/>
          <w:color w:val="auto"/>
        </w:rPr>
      </w:pPr>
      <w:r>
        <w:rPr>
          <w:rFonts w:ascii="Arial" w:cs="Arial" w:eastAsia="Arial" w:hAnsi="Arial"/>
          <w:sz w:val="15"/>
          <w:szCs w:val="15"/>
          <w:color w:val="auto"/>
        </w:rPr>
        <w:t>Sunosi contains controlled substances as defined in the Federal Controlled Substances Act, or CSA. Controlled substances are subject to a number of requirements and restrictions under the CSA and implementing regulations, including certain registration, security, recordkeeping, reporting, import, export and other requirements administered by the U.S. Drug Enforcement Administration, or DEA. The DEA classifies controlled substances into five schedules: Schedule I, II, III, IV or V substances. Schedule I substances by definition have a high potential for abuse, no currently “accepted medical use” in the U.S., lack accepted safety for use under medical supervision, and may not be prescribed, marketed or sold in the U.S. Pharmaceutical products approved for use in the U.S. which contain a controlled substance are listed as Schedule II, III, IV or V, with Schedule II substances considered to present the highest potential for abuse or dependence and Schedule V substances the lowest relative risk of abuse among such substances. Schedule I and II drugs are subject to the strictest controls under the CSA, including manufacturing and procurement quotas, heightened security requirements and additional criteria for importation. In addition, dispensing of Schedule II drugs is further restricted. For example, they may not be refilled without a new prescription. Sunosi is a Schedule IV controlled substance.</w:t>
      </w:r>
    </w:p>
    <w:p>
      <w:pPr>
        <w:spacing w:after="0" w:line="182" w:lineRule="exact"/>
        <w:rPr>
          <w:sz w:val="20"/>
          <w:szCs w:val="20"/>
          <w:color w:val="auto"/>
        </w:rPr>
      </w:pPr>
    </w:p>
    <w:p>
      <w:pPr>
        <w:ind w:firstLine="749"/>
        <w:spacing w:after="0" w:line="297" w:lineRule="auto"/>
        <w:rPr>
          <w:sz w:val="20"/>
          <w:szCs w:val="20"/>
          <w:color w:val="auto"/>
        </w:rPr>
      </w:pPr>
      <w:r>
        <w:rPr>
          <w:rFonts w:ascii="Arial" w:cs="Arial" w:eastAsia="Arial" w:hAnsi="Arial"/>
          <w:sz w:val="15"/>
          <w:szCs w:val="15"/>
          <w:color w:val="auto"/>
        </w:rPr>
        <w:t>Individual states have also established controlled substance laws and regulations. Though state-controlled substances laws often mirror federal law, they may separately schedule our products or our product candidates as well. We or our partners may also be required to obtain separate state registrations, permits or licenses in order to be able to manufacture, distribute, administer or prescribe controlled substances for clinical trials or commercial sale, and failure to meet applicable regulatory requirements could lead to enforcement and sanctions by the states in addition to those from the DEA or otherwise arising under federal law.</w:t>
      </w:r>
    </w:p>
    <w:p>
      <w:pPr>
        <w:spacing w:after="0" w:line="172" w:lineRule="exact"/>
        <w:rPr>
          <w:sz w:val="20"/>
          <w:szCs w:val="20"/>
          <w:color w:val="auto"/>
        </w:rPr>
      </w:pPr>
    </w:p>
    <w:p>
      <w:pPr>
        <w:ind w:right="20" w:firstLine="749"/>
        <w:spacing w:after="0" w:line="287" w:lineRule="auto"/>
        <w:rPr>
          <w:sz w:val="20"/>
          <w:szCs w:val="20"/>
          <w:color w:val="auto"/>
        </w:rPr>
      </w:pPr>
      <w:r>
        <w:rPr>
          <w:rFonts w:ascii="Arial" w:cs="Arial" w:eastAsia="Arial" w:hAnsi="Arial"/>
          <w:sz w:val="15"/>
          <w:szCs w:val="15"/>
          <w:color w:val="auto"/>
        </w:rPr>
        <w:t>U.S facilities conducting research, manufacturing, distributing, importing or exporting, or dispensing controlled substances must be registered (licensed) to perform these activities and must comply with the security, control, recordkeeping and reporting obligations under the CSA, DEA regulations and corresponding state requirements. DEA and state regulatory bodies conduct periodic inspections of certain registered establishments that handle controlled substances. Obtaining and maintaining the necessary registrations and complying with the regulatory obligations may result in delay of the importation, manufacturing, distribution or clinical research of our products and products candidates. Furthermore, failure to maintain compliance with the CSA and DEA and state regulations by us or any of our contractors, distributors or pharmacies can result in regulatory action that could have a material adverse effect on our business, financial condition and results of operations. DEA and state regulatory bodies may seek civil penalties, refuse to renew necessary registrations, or initiate proceedings to restrict, suspend or revoke those registrations. In certain circumstances, violations could lead to criminal penalties. Any penalties imposed by the DEA to us or our third-party manufacturers which could have a material adverse effect on our business, results of operations, financial condition and growth prospects.</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 w:right="379" w:bottom="1440" w:gutter="0" w:footer="0" w:header="0"/>
        </w:sectPr>
      </w:pPr>
    </w:p>
    <w:bookmarkStart w:id="72" w:name="page73"/>
    <w:bookmarkEnd w:id="72"/>
    <w:p>
      <w:pPr>
        <w:spacing w:after="0"/>
        <w:rPr>
          <w:sz w:val="20"/>
          <w:szCs w:val="20"/>
          <w:color w:val="auto"/>
        </w:rPr>
      </w:pPr>
      <w:r>
        <w:rPr>
          <w:rFonts w:ascii="Arial" w:cs="Arial" w:eastAsia="Arial" w:hAnsi="Arial"/>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3025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30250" cy="8255"/>
                    </a:xfrm>
                    <a:prstGeom prst="rect">
                      <a:avLst/>
                    </a:prstGeom>
                    <a:noFill/>
                  </pic:spPr>
                </pic:pic>
              </a:graphicData>
            </a:graphic>
          </wp:anchor>
        </w:drawing>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RELATED TO OUR DEPENDENCE ON THIRD PARTIES</w:t>
      </w:r>
    </w:p>
    <w:p>
      <w:pPr>
        <w:spacing w:after="0" w:line="239" w:lineRule="exact"/>
        <w:rPr>
          <w:sz w:val="20"/>
          <w:szCs w:val="20"/>
          <w:color w:val="auto"/>
        </w:rPr>
      </w:pPr>
    </w:p>
    <w:p>
      <w:pPr>
        <w:ind w:right="340"/>
        <w:spacing w:after="0" w:line="369" w:lineRule="auto"/>
        <w:rPr>
          <w:sz w:val="20"/>
          <w:szCs w:val="20"/>
          <w:color w:val="auto"/>
        </w:rPr>
      </w:pPr>
      <w:r>
        <w:rPr>
          <w:rFonts w:ascii="Arial" w:cs="Arial" w:eastAsia="Arial" w:hAnsi="Arial"/>
          <w:sz w:val="14"/>
          <w:szCs w:val="14"/>
          <w:b w:val="1"/>
          <w:bCs w:val="1"/>
          <w:i w:val="1"/>
          <w:iCs w:val="1"/>
          <w:color w:val="auto"/>
        </w:rPr>
        <w:t>We rely, and expect to continue to rely, on third parties to conduct, supervise, and monitor our preclinical studies and clinical trials, and those third parties may not perform satisfactorily, including by failing to meet deadlines for the completion of such trials or failing to comply with regulatory requirements.</w:t>
      </w:r>
    </w:p>
    <w:p>
      <w:pPr>
        <w:spacing w:after="0" w:line="126" w:lineRule="exact"/>
        <w:rPr>
          <w:sz w:val="20"/>
          <w:szCs w:val="20"/>
          <w:color w:val="auto"/>
        </w:rPr>
      </w:pPr>
    </w:p>
    <w:p>
      <w:pPr>
        <w:ind w:right="20" w:firstLine="749"/>
        <w:spacing w:after="0" w:line="203" w:lineRule="exact"/>
        <w:rPr>
          <w:sz w:val="20"/>
          <w:szCs w:val="20"/>
          <w:color w:val="auto"/>
        </w:rPr>
      </w:pPr>
      <w:r>
        <w:rPr>
          <w:rFonts w:ascii="Arial" w:cs="Arial" w:eastAsia="Arial" w:hAnsi="Arial"/>
          <w:sz w:val="15"/>
          <w:szCs w:val="15"/>
          <w:color w:val="auto"/>
        </w:rPr>
        <w:t>We rely on third</w:t>
      </w:r>
      <w:r>
        <w:rPr>
          <w:rFonts w:ascii="MS PGothic" w:cs="MS PGothic" w:eastAsia="MS PGothic" w:hAnsi="MS PGothic"/>
          <w:sz w:val="15"/>
          <w:szCs w:val="15"/>
          <w:color w:val="auto"/>
        </w:rPr>
        <w:t>‑</w:t>
      </w:r>
      <w:r>
        <w:rPr>
          <w:rFonts w:ascii="Arial" w:cs="Arial" w:eastAsia="Arial" w:hAnsi="Arial"/>
          <w:sz w:val="15"/>
          <w:szCs w:val="15"/>
          <w:color w:val="auto"/>
        </w:rPr>
        <w:t>parties to conduct, supervise, and monitor our preclinical studies and certain clinical trials for our product candidates and do not currently plan to independently conduct preclinical studies or clinical trials of any other potential product candidates. We expect to continue to rely on third parties, such as CROs, clinical data management organizations, medical institutions, and clinical investigators, to conduct our preclinical studies and clinical trials. While we have agreements governing their activities, we have limited influence over their actual performance and control only certain aspects of their activities. The failure of these third parties to successfully carry out their contractual duties or meet expected deadlines could substantially harm our business because we may not obtain marketing approval for or commercialize our product candidates in a timely manner or at all. Moreover, these agreements might terminate for a variety of reasons, including a failure to perform by the third parties. If we need to enter into alternative arrangements, that could delay our product development activities and adversely affect our business.</w:t>
      </w:r>
    </w:p>
    <w:p>
      <w:pPr>
        <w:spacing w:after="0" w:line="215" w:lineRule="exact"/>
        <w:rPr>
          <w:sz w:val="20"/>
          <w:szCs w:val="20"/>
          <w:color w:val="auto"/>
        </w:rPr>
      </w:pPr>
    </w:p>
    <w:p>
      <w:pPr>
        <w:ind w:right="20" w:firstLine="749"/>
        <w:spacing w:after="0" w:line="287" w:lineRule="auto"/>
        <w:rPr>
          <w:sz w:val="20"/>
          <w:szCs w:val="20"/>
          <w:color w:val="auto"/>
        </w:rPr>
      </w:pPr>
      <w:r>
        <w:rPr>
          <w:rFonts w:ascii="Arial" w:cs="Arial" w:eastAsia="Arial" w:hAnsi="Arial"/>
          <w:sz w:val="15"/>
          <w:szCs w:val="15"/>
          <w:color w:val="auto"/>
        </w:rPr>
        <w:t>Our reliance on these third parties for development activities will reduce our control over these activities. Nevertheless, we are responsible for ensuring that each of our studies is conducted in accordance with the applicable protocol, legal, regulatory, and scientific standards and our reliance on third parties does not relieve us of our regulatory responsibilities. For example, we will remain responsible for ensuring that each of our clinical trials is conducted in accordance with the general investigational plan and protocols for the trial and for ensuring that our preclinical trials are conducted in accordance with good laboratory practice, or GLP, as appropriate. Moreover, the FDA and comparable foreign regulatory authorities require us to comply with standards, such as GCP for conducting, monitoring, recording, and reporting the results of clinical trials to assure that data and reported results are credible and accurate and that the rights, integrity, and confidentiality of trial participants are protected. As a clinical trial sponsor, we also have regulatory requirements that directly apply to us. Regulatory authorities enforce these requirements through periodic inspections of trial sponsors, clinical investigators, and trial sites. If we or any of the third parties we engage fail to comply with applicable GCP, we or those third parties may be subject to enforcement or other legal actions, the clinical data generated in our clinical trials may be deemed unreliable and the FDA or comparable foreign regulatory authorities may require us to perform additional clinical trials.</w:t>
      </w:r>
    </w:p>
    <w:p>
      <w:pPr>
        <w:spacing w:after="0" w:line="178" w:lineRule="exact"/>
        <w:rPr>
          <w:sz w:val="20"/>
          <w:szCs w:val="20"/>
          <w:color w:val="auto"/>
        </w:rPr>
      </w:pPr>
    </w:p>
    <w:p>
      <w:pPr>
        <w:ind w:firstLine="749"/>
        <w:spacing w:after="0" w:line="204" w:lineRule="exact"/>
        <w:rPr>
          <w:sz w:val="20"/>
          <w:szCs w:val="20"/>
          <w:color w:val="auto"/>
        </w:rPr>
      </w:pPr>
      <w:r>
        <w:rPr>
          <w:rFonts w:ascii="Arial" w:cs="Arial" w:eastAsia="Arial" w:hAnsi="Arial"/>
          <w:sz w:val="16"/>
          <w:szCs w:val="16"/>
          <w:color w:val="auto"/>
        </w:rPr>
        <w:t>In addition, when we submit an NDA for review, we are required to report certain financial interests of our third</w:t>
      </w:r>
      <w:r>
        <w:rPr>
          <w:rFonts w:ascii="MS PGothic" w:cs="MS PGothic" w:eastAsia="MS PGothic" w:hAnsi="MS PGothic"/>
          <w:sz w:val="16"/>
          <w:szCs w:val="16"/>
          <w:color w:val="auto"/>
        </w:rPr>
        <w:t>‑</w:t>
      </w:r>
      <w:r>
        <w:rPr>
          <w:rFonts w:ascii="Arial" w:cs="Arial" w:eastAsia="Arial" w:hAnsi="Arial"/>
          <w:sz w:val="16"/>
          <w:szCs w:val="16"/>
          <w:color w:val="auto"/>
        </w:rPr>
        <w:t>party investigators if these relationships exceed certain financial thresholds or meet other criteria. The FDA and comparable foreign regulatory authorities may question the integrity of the data from those clinical trials conducted by investigators who previously served or currently serve as scientific advisors or consultants to us from time to time and receive cash compensation in connection with such services or otherwise receive compensation from us that could be deemed to impact study outcome, proprietary interests in a product candidate, certain company equity interests, or significant payments of other sorts.</w:t>
      </w:r>
    </w:p>
    <w:p>
      <w:pPr>
        <w:spacing w:after="0" w:line="213" w:lineRule="exact"/>
        <w:rPr>
          <w:sz w:val="20"/>
          <w:szCs w:val="20"/>
          <w:color w:val="auto"/>
        </w:rPr>
      </w:pPr>
    </w:p>
    <w:p>
      <w:pPr>
        <w:ind w:right="140" w:firstLine="749"/>
        <w:spacing w:after="0" w:line="293" w:lineRule="auto"/>
        <w:rPr>
          <w:sz w:val="20"/>
          <w:szCs w:val="20"/>
          <w:color w:val="auto"/>
        </w:rPr>
      </w:pPr>
      <w:r>
        <w:rPr>
          <w:rFonts w:ascii="Arial" w:cs="Arial" w:eastAsia="Arial" w:hAnsi="Arial"/>
          <w:sz w:val="15"/>
          <w:szCs w:val="15"/>
          <w:color w:val="auto"/>
        </w:rPr>
        <w:t>We cannot assure you that upon inspection by a given regulatory authority, such regulatory authority will determine that any of our clinical trials complies with GCP regulations. In addition, our clinical trials must be conducted with product candidates that were produced under cGMP regulations. Our failure to comply with these regulations may require us to repeat clinical trials, which would delay the regulatory approval process. We also are required to register certain clinical trials and post the results of certain completed clinical trials on a government sponsored database, ClinicalTrials.gov, within specified timeframes. Failure to do so or to meet the related submission requirements can result in enforcement actions, including civil monetary penalties and adverse publicity.</w:t>
      </w:r>
    </w:p>
    <w:p>
      <w:pPr>
        <w:spacing w:after="0" w:line="176" w:lineRule="exact"/>
        <w:rPr>
          <w:sz w:val="20"/>
          <w:szCs w:val="20"/>
          <w:color w:val="auto"/>
        </w:rPr>
      </w:pPr>
    </w:p>
    <w:p>
      <w:pPr>
        <w:ind w:right="40" w:firstLine="749"/>
        <w:spacing w:after="0" w:line="309" w:lineRule="auto"/>
        <w:rPr>
          <w:sz w:val="20"/>
          <w:szCs w:val="20"/>
          <w:color w:val="auto"/>
        </w:rPr>
      </w:pPr>
      <w:r>
        <w:rPr>
          <w:rFonts w:ascii="Arial" w:cs="Arial" w:eastAsia="Arial" w:hAnsi="Arial"/>
          <w:sz w:val="14"/>
          <w:szCs w:val="14"/>
          <w:color w:val="auto"/>
        </w:rPr>
        <w:t>Third parties we engage to conduct research may also have relationships with other entities, some of which may be our competitors, for whom they may also be conducting clinical trials or other drug development activities that could harm our competitive position. In addition, these third parties are not our employees, and except for remedies available to us under our agreements with such third parties, we cannot control whether or not they devote sufficient time and resources to our ongoing clinical, non-clinical, and preclinical programs. If these third parties do not successfully carry out their contractual duties, meet expected deadlines or conduct our preclinical studies or clinical trials in accordance with regulatory requirements or our stated protocols, if they need to be replaced or if the quality or accuracy of the clinical data they obtain is compromised due to the failure to adhere to our clinical protocols or regulatory requirements or for other reasons, our clinical trials may be extended, delayed, or terminated and we may not be able to obtain, or may be delayed in obtaining, marketing approvals for our product candidates and will not be able to, or may be delayed in our efforts to, successfully commercialize our product candidates, or we or they may be subject to regulatory enforcement actions. As a result, our results of operations and the commercial prospects for our product candidates would be harmed, our costs could increase and our ability to generate revenues could be delayed. To the extent we are unable to successfully identify and manage the performance of third-party service providers in the future, our business may be materially and adversely affected.</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73" w:name="page74"/>
    <w:bookmarkEnd w:id="73"/>
    <w:p>
      <w:pPr>
        <w:spacing w:after="0"/>
        <w:rPr>
          <w:sz w:val="20"/>
          <w:szCs w:val="20"/>
          <w:color w:val="auto"/>
        </w:rPr>
      </w:pPr>
      <w:r>
        <w:rPr>
          <w:rFonts w:ascii="Arial" w:cs="Arial" w:eastAsia="Arial" w:hAnsi="Arial"/>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3025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30250" cy="8255"/>
                    </a:xfrm>
                    <a:prstGeom prst="rect">
                      <a:avLst/>
                    </a:prstGeom>
                    <a:noFill/>
                  </pic:spPr>
                </pic:pic>
              </a:graphicData>
            </a:graphic>
          </wp:anchor>
        </w:drawing>
      </w:r>
    </w:p>
    <w:p>
      <w:pPr>
        <w:spacing w:after="0" w:line="215" w:lineRule="exact"/>
        <w:rPr>
          <w:sz w:val="20"/>
          <w:szCs w:val="20"/>
          <w:color w:val="auto"/>
        </w:rPr>
      </w:pPr>
    </w:p>
    <w:p>
      <w:pPr>
        <w:ind w:right="60" w:firstLine="749"/>
        <w:spacing w:after="0" w:line="318" w:lineRule="auto"/>
        <w:rPr>
          <w:sz w:val="20"/>
          <w:szCs w:val="20"/>
          <w:color w:val="auto"/>
        </w:rPr>
      </w:pPr>
      <w:r>
        <w:rPr>
          <w:rFonts w:ascii="Arial" w:cs="Arial" w:eastAsia="Arial" w:hAnsi="Arial"/>
          <w:sz w:val="14"/>
          <w:szCs w:val="14"/>
          <w:color w:val="auto"/>
        </w:rPr>
        <w:t>If any of our relationships with these third parties terminates, we may not be able to enter into arrangements with alternative resources or to do so on commercially reasonable terms. Switching or adding additional third parties involves additional cost and requires management time and focus. In addition, there is a natural transition period when a new third-party commences work. As a result, delays could occur, which could compromise our ability to meet our desired development timelines. Though we carefully manage our relationships with these third-party vendors, there can be no assurance that we will not encounter similar challenges or delays in the future or that these delays or challenges will not have a material adverse impact on our business, financial condition and prospects, and results of operations.</w:t>
      </w:r>
    </w:p>
    <w:p>
      <w:pPr>
        <w:spacing w:after="0" w:line="162" w:lineRule="exact"/>
        <w:rPr>
          <w:sz w:val="20"/>
          <w:szCs w:val="20"/>
          <w:color w:val="auto"/>
        </w:rPr>
      </w:pPr>
    </w:p>
    <w:p>
      <w:pPr>
        <w:ind w:right="20"/>
        <w:spacing w:after="0" w:line="278" w:lineRule="auto"/>
        <w:rPr>
          <w:sz w:val="20"/>
          <w:szCs w:val="20"/>
          <w:color w:val="auto"/>
        </w:rPr>
      </w:pPr>
      <w:r>
        <w:rPr>
          <w:rFonts w:ascii="Arial" w:cs="Arial" w:eastAsia="Arial" w:hAnsi="Arial"/>
          <w:sz w:val="16"/>
          <w:szCs w:val="16"/>
          <w:b w:val="1"/>
          <w:bCs w:val="1"/>
          <w:i w:val="1"/>
          <w:iCs w:val="1"/>
          <w:color w:val="auto"/>
        </w:rPr>
        <w:t>If the manufacturers upon whom we rely fail to produce our products in the volumes that we require on a timely basis, or to comply with stringent regulations applicable to pharmaceutical drug manufacturers, we may face delays in the development and commercialization of, or be unable to meet demand for, our products and may lose potential revenues.</w:t>
      </w:r>
    </w:p>
    <w:p>
      <w:pPr>
        <w:spacing w:after="0" w:line="184" w:lineRule="exact"/>
        <w:rPr>
          <w:sz w:val="20"/>
          <w:szCs w:val="20"/>
          <w:color w:val="auto"/>
        </w:rPr>
      </w:pPr>
    </w:p>
    <w:p>
      <w:pPr>
        <w:ind w:right="60" w:firstLine="749"/>
        <w:spacing w:after="0" w:line="318" w:lineRule="auto"/>
        <w:rPr>
          <w:sz w:val="20"/>
          <w:szCs w:val="20"/>
          <w:color w:val="auto"/>
        </w:rPr>
      </w:pPr>
      <w:r>
        <w:rPr>
          <w:rFonts w:ascii="Arial" w:cs="Arial" w:eastAsia="Arial" w:hAnsi="Arial"/>
          <w:sz w:val="14"/>
          <w:szCs w:val="14"/>
          <w:color w:val="auto"/>
        </w:rPr>
        <w:t>We do not manufacture any of our products, and we do not currently plan to develop any capacity to do so. We currently outsource all manufacturing of our products to third parties typically without any guarantee that there will be sufficient supplies to fulfill our requirements or that we may obtain such supplies on acceptable terms. Any delays in obtaining adequate supplies with respect to our products may delay or disrupt the development or commercialization of our products. Moreover, we do not yet in all cases have agreements established regarding commercial supply of our product candidates, and we may not be able to establish or maintain commercial manufacturing arrangements on commercially reasonable terms for any of our current or future product candidates for which we obtain approval in the future.</w:t>
      </w:r>
    </w:p>
    <w:p>
      <w:pPr>
        <w:spacing w:after="0" w:line="162" w:lineRule="exact"/>
        <w:rPr>
          <w:sz w:val="20"/>
          <w:szCs w:val="20"/>
          <w:color w:val="auto"/>
        </w:rPr>
      </w:pPr>
    </w:p>
    <w:p>
      <w:pPr>
        <w:ind w:right="60" w:firstLine="749"/>
        <w:spacing w:after="0" w:line="203" w:lineRule="exact"/>
        <w:rPr>
          <w:sz w:val="20"/>
          <w:szCs w:val="20"/>
          <w:color w:val="auto"/>
        </w:rPr>
      </w:pPr>
      <w:r>
        <w:rPr>
          <w:rFonts w:ascii="Arial" w:cs="Arial" w:eastAsia="Arial" w:hAnsi="Arial"/>
          <w:sz w:val="16"/>
          <w:szCs w:val="16"/>
          <w:color w:val="auto"/>
        </w:rPr>
        <w:t>We may not succeed in our efforts to establish manufacturing relationships or other alternative arrangements for any of our existing or future products and programs. Our products may compete with other products and product candidates for access to manufacturing facilities. There are a limited number of manufacturers that operate under cGMP regulations and that are both capable of manufacturing for us and willing to do so. If our existing third</w:t>
      </w:r>
      <w:r>
        <w:rPr>
          <w:rFonts w:ascii="MS PGothic" w:cs="MS PGothic" w:eastAsia="MS PGothic" w:hAnsi="MS PGothic"/>
          <w:sz w:val="16"/>
          <w:szCs w:val="16"/>
          <w:color w:val="auto"/>
        </w:rPr>
        <w:t>‑</w:t>
      </w:r>
      <w:r>
        <w:rPr>
          <w:rFonts w:ascii="Arial" w:cs="Arial" w:eastAsia="Arial" w:hAnsi="Arial"/>
          <w:sz w:val="16"/>
          <w:szCs w:val="16"/>
          <w:color w:val="auto"/>
        </w:rPr>
        <w:t>party manufacturers, or the third parties that we engage in the future to manufacture a product for commercial sale or for our clinical trials, should cease to continue to do so for any reason, we likely would experience delays in obtaining sufficient quantities of our product for us to meet commercial demand or to advance our clinical trials while we identify and qualify replacement suppliers. If for any reason we are unable to obtain adequate supplies of our products or the drug substances used to manufacture them, it will be more difficult for us to develop our products and compete effectively. Further, even if we do establish such collaborations or arrangements, our third</w:t>
      </w:r>
      <w:r>
        <w:rPr>
          <w:rFonts w:ascii="MS PGothic" w:cs="MS PGothic" w:eastAsia="MS PGothic" w:hAnsi="MS PGothic"/>
          <w:sz w:val="16"/>
          <w:szCs w:val="16"/>
          <w:color w:val="auto"/>
        </w:rPr>
        <w:t>‑</w:t>
      </w:r>
      <w:r>
        <w:rPr>
          <w:rFonts w:ascii="Arial" w:cs="Arial" w:eastAsia="Arial" w:hAnsi="Arial"/>
          <w:sz w:val="16"/>
          <w:szCs w:val="16"/>
          <w:color w:val="auto"/>
        </w:rPr>
        <w:t>party manufacturers may breach, terminate, or not renew these agreements.</w:t>
      </w:r>
    </w:p>
    <w:p>
      <w:pPr>
        <w:spacing w:after="0" w:line="217" w:lineRule="exact"/>
        <w:rPr>
          <w:sz w:val="20"/>
          <w:szCs w:val="20"/>
          <w:color w:val="auto"/>
        </w:rPr>
      </w:pPr>
    </w:p>
    <w:p>
      <w:pPr>
        <w:ind w:right="60" w:firstLine="749"/>
        <w:spacing w:after="0" w:line="203" w:lineRule="exact"/>
        <w:rPr>
          <w:sz w:val="20"/>
          <w:szCs w:val="20"/>
          <w:color w:val="auto"/>
        </w:rPr>
      </w:pPr>
      <w:r>
        <w:rPr>
          <w:rFonts w:ascii="Arial" w:cs="Arial" w:eastAsia="Arial" w:hAnsi="Arial"/>
          <w:sz w:val="15"/>
          <w:szCs w:val="15"/>
          <w:color w:val="auto"/>
        </w:rPr>
        <w:t>Any problems or delays we experience in preparing for commercial</w:t>
      </w:r>
      <w:r>
        <w:rPr>
          <w:rFonts w:ascii="MS PGothic" w:cs="MS PGothic" w:eastAsia="MS PGothic" w:hAnsi="MS PGothic"/>
          <w:sz w:val="15"/>
          <w:szCs w:val="15"/>
          <w:color w:val="auto"/>
        </w:rPr>
        <w:t>‑</w:t>
      </w:r>
      <w:r>
        <w:rPr>
          <w:rFonts w:ascii="Arial" w:cs="Arial" w:eastAsia="Arial" w:hAnsi="Arial"/>
          <w:sz w:val="15"/>
          <w:szCs w:val="15"/>
          <w:color w:val="auto"/>
        </w:rPr>
        <w:t>scale manufacturing of a product candidate may result in a delay in FDA approval of the product candidate or may impair our ability to manufacture commercial quantities or such quantities at an acceptable cost, which could result in the delay, prevention, or impairment of clinical development and commercialization of our product candidates and could adversely affect our business. For example, our manufacturers will need to produce specific batches of our product candidates to demonstrate acceptable stability under various conditions and for commercially viable lengths of time. We and our contract manufacturers will need to demonstrate to the FDA and other regulatory authorities that this is acceptable stability data for our product candidates, as well as validate methods and manufacturing processes, in order to receive regulatory approval to commercialize any of our current or future product candidates. Furthermore, if our commercial manufacturers fail to deliver the required commercial quantities of bulk drug substance or finished product on a timely basis and at commercially reasonable prices, we would likely be unable to meet demand for our products and we would lose potential revenues.</w:t>
      </w:r>
    </w:p>
    <w:p>
      <w:pPr>
        <w:spacing w:after="0" w:line="215" w:lineRule="exact"/>
        <w:rPr>
          <w:sz w:val="20"/>
          <w:szCs w:val="20"/>
          <w:color w:val="auto"/>
        </w:rPr>
      </w:pPr>
    </w:p>
    <w:p>
      <w:pPr>
        <w:ind w:firstLine="749"/>
        <w:spacing w:after="0" w:line="203" w:lineRule="exact"/>
        <w:rPr>
          <w:sz w:val="20"/>
          <w:szCs w:val="20"/>
          <w:color w:val="auto"/>
        </w:rPr>
      </w:pPr>
      <w:r>
        <w:rPr>
          <w:rFonts w:ascii="Arial" w:cs="Arial" w:eastAsia="Arial" w:hAnsi="Arial"/>
          <w:sz w:val="15"/>
          <w:szCs w:val="15"/>
          <w:color w:val="auto"/>
        </w:rPr>
        <w:t>We have a limited number of contract manufacturers for our products. At times we may have only one manufacturer for a product. In addition, we do not have any long</w:t>
      </w:r>
      <w:r>
        <w:rPr>
          <w:rFonts w:ascii="MS PGothic" w:cs="MS PGothic" w:eastAsia="MS PGothic" w:hAnsi="MS PGothic"/>
          <w:sz w:val="15"/>
          <w:szCs w:val="15"/>
          <w:color w:val="auto"/>
        </w:rPr>
        <w:t>‑</w:t>
      </w:r>
      <w:r>
        <w:rPr>
          <w:rFonts w:ascii="Arial" w:cs="Arial" w:eastAsia="Arial" w:hAnsi="Arial"/>
          <w:sz w:val="15"/>
          <w:szCs w:val="15"/>
          <w:color w:val="auto"/>
        </w:rPr>
        <w:t>term commitments from our suppliers of clinical trial material or guaranteed prices for our product candidates. The manufacture of pharmaceutical products requires significant expertise and capital investment, including the development of advanced manufacturing techniques and process controls. Manufacturers of pharmaceutical products often encounter difficulties in production, particularly in scaling up initial production. These problems include difficulties with production costs and yields; quality control, including stability of the product candidate and quality assurance testing; shortages of qualified personnel; and compliance with strictly enforced federal, state, and foreign regulations. Our manufacturers may not perform as agreed. If our manufacturers were to encounter any of these difficulties, our ability to provide product candidates to patients in our clinical trials and for commercial use, if approved, would be jeopardized.</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74" w:name="page75"/>
    <w:bookmarkEnd w:id="74"/>
    <w:p>
      <w:pPr>
        <w:spacing w:after="0"/>
        <w:rPr>
          <w:sz w:val="20"/>
          <w:szCs w:val="20"/>
          <w:color w:val="auto"/>
        </w:rPr>
      </w:pPr>
      <w:r>
        <w:rPr>
          <w:rFonts w:ascii="Arial" w:cs="Arial" w:eastAsia="Arial" w:hAnsi="Arial"/>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3025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30250" cy="8255"/>
                    </a:xfrm>
                    <a:prstGeom prst="rect">
                      <a:avLst/>
                    </a:prstGeom>
                    <a:noFill/>
                  </pic:spPr>
                </pic:pic>
              </a:graphicData>
            </a:graphic>
          </wp:anchor>
        </w:drawing>
      </w:r>
    </w:p>
    <w:p>
      <w:pPr>
        <w:spacing w:after="0" w:line="215" w:lineRule="exact"/>
        <w:rPr>
          <w:sz w:val="20"/>
          <w:szCs w:val="20"/>
          <w:color w:val="auto"/>
        </w:rPr>
      </w:pPr>
    </w:p>
    <w:p>
      <w:pPr>
        <w:ind w:firstLine="749"/>
        <w:spacing w:after="0" w:line="284" w:lineRule="auto"/>
        <w:rPr>
          <w:sz w:val="20"/>
          <w:szCs w:val="20"/>
          <w:color w:val="auto"/>
        </w:rPr>
      </w:pPr>
      <w:r>
        <w:rPr>
          <w:rFonts w:ascii="Arial" w:cs="Arial" w:eastAsia="Arial" w:hAnsi="Arial"/>
          <w:sz w:val="15"/>
          <w:szCs w:val="15"/>
          <w:color w:val="auto"/>
        </w:rPr>
        <w:t>In addition, all manufacturers of our products must comply with cGMP requirements enforced by the FDA and comparable foreign regulatory authorities that are applicable to both finished drug products and active pharmaceutical ingredients used both for clinical and commercial supply, through its facilities inspection program. The FDA must verify our contract manufacturers’ compliance with cGMP requirements and comparable foreign regulatory authorities will similarly inspect our contract manufacturers’ facilities after we submit our marketing applications to the agency and comparable foreign regulatory authorities. The cGMP requirements include quality control, quality assurance, and the maintenance of records and documentation. Manufacturers of our products may be unable to comply with our specifications, these cGMP requirements and with other FDA, state, and foreign regulatory requirements. If our contract manufacturers cannot successfully manufacture material that conforms to our specifications and the strict regulatory requirements of the FDA or other regulatory authorities, they will not be able to secure or maintain regulatory approval for their manufacturing facilities. While we are ultimately responsible for the manufacture of our products, other than through our contractual arrangements, we have little control over our manufacturers’ compliance with these regulations and standards. If the FDA or a comparable foreign regulatory authority does not approve these facilities for the manufacture of our products or if it withdraws any such approval in the future, we may need to find alternative manufacturing facilities, which would significantly impact our ability to develop or market our products, or obtain regulatory approval for, our product candidates. A failure to comply with these requirements may result in regulatory enforcement actions against our manufacturers or us, including fines and civil and criminal penalties, including imprisonment; suspension or restrictions of production; suspension, delay, or denial of product approval or supplements to approved products; clinical holds or termination of clinical studies; warning or untitled letters; regulatory authority communications warning the public about safety issues with the drug; refusal to permit the import or export of the products; product seizure, detention, or recall; suits under the civil False Claims Act; corporate integrity agreements; consent decrees; or withdrawal of product approval. If the safety of any quantities supplied is compromised due to our manufacturers’ failure to adhere to applicable laws or for other reasons, we may not be able to obtain regulatory approval for our product candidates or successfully commercialize our products.</w:t>
      </w:r>
    </w:p>
    <w:p>
      <w:pPr>
        <w:spacing w:after="0" w:line="189" w:lineRule="exact"/>
        <w:rPr>
          <w:sz w:val="20"/>
          <w:szCs w:val="20"/>
          <w:color w:val="auto"/>
        </w:rPr>
      </w:pPr>
    </w:p>
    <w:p>
      <w:pPr>
        <w:ind w:right="60" w:firstLine="749"/>
        <w:spacing w:after="0" w:line="278" w:lineRule="auto"/>
        <w:rPr>
          <w:sz w:val="20"/>
          <w:szCs w:val="20"/>
          <w:color w:val="auto"/>
        </w:rPr>
      </w:pPr>
      <w:r>
        <w:rPr>
          <w:rFonts w:ascii="Arial" w:cs="Arial" w:eastAsia="Arial" w:hAnsi="Arial"/>
          <w:sz w:val="16"/>
          <w:szCs w:val="16"/>
          <w:color w:val="auto"/>
        </w:rPr>
        <w:t>Any failure or refusal to supply our products or components for our current or future product candidates that we may develop could delay, prevent, or impair our clinical development or commercialization efforts. Any change in our manufacturers could be costly because the commercial terms of any new arrangement could be less favorable and because the expenses relating to the transfer of necessary technology and processes could be significant.</w:t>
      </w:r>
    </w:p>
    <w:p>
      <w:pPr>
        <w:spacing w:after="0" w:line="184" w:lineRule="exact"/>
        <w:rPr>
          <w:sz w:val="20"/>
          <w:szCs w:val="20"/>
          <w:color w:val="auto"/>
        </w:rPr>
      </w:pPr>
    </w:p>
    <w:p>
      <w:pPr>
        <w:ind w:right="220"/>
        <w:spacing w:after="0" w:line="297" w:lineRule="auto"/>
        <w:rPr>
          <w:sz w:val="20"/>
          <w:szCs w:val="20"/>
          <w:color w:val="auto"/>
        </w:rPr>
      </w:pPr>
      <w:r>
        <w:rPr>
          <w:rFonts w:ascii="Arial" w:cs="Arial" w:eastAsia="Arial" w:hAnsi="Arial"/>
          <w:sz w:val="15"/>
          <w:szCs w:val="15"/>
          <w:b w:val="1"/>
          <w:bCs w:val="1"/>
          <w:i w:val="1"/>
          <w:iCs w:val="1"/>
          <w:color w:val="auto"/>
        </w:rPr>
        <w:t>As an NDA applicant and a potential commercial “virtual manufacturer,” we may rely in many cases on third parties to perform many essential services for any products that we commercialize, including services related to warehousing and inventory control, distribution, government price reporting, customer service, and adverse event reporting. If these third parties fail to perform as expected or to comply with legal and regulatory requirements, our ability to commercialize any of our current or future product candidates will be significantly impacted and we may be subject to regulatory sanctions.</w:t>
      </w:r>
    </w:p>
    <w:p>
      <w:pPr>
        <w:spacing w:after="0" w:line="172" w:lineRule="exact"/>
        <w:rPr>
          <w:sz w:val="20"/>
          <w:szCs w:val="20"/>
          <w:color w:val="auto"/>
        </w:rPr>
      </w:pPr>
    </w:p>
    <w:p>
      <w:pPr>
        <w:ind w:right="40" w:firstLine="749"/>
        <w:spacing w:after="0" w:line="203" w:lineRule="exact"/>
        <w:rPr>
          <w:sz w:val="20"/>
          <w:szCs w:val="20"/>
          <w:color w:val="auto"/>
        </w:rPr>
      </w:pPr>
      <w:r>
        <w:rPr>
          <w:rFonts w:ascii="Arial" w:cs="Arial" w:eastAsia="Arial" w:hAnsi="Arial"/>
          <w:sz w:val="16"/>
          <w:szCs w:val="16"/>
          <w:color w:val="auto"/>
        </w:rPr>
        <w:t>We have retained third</w:t>
      </w:r>
      <w:r>
        <w:rPr>
          <w:rFonts w:ascii="MS PGothic" w:cs="MS PGothic" w:eastAsia="MS PGothic" w:hAnsi="MS PGothic"/>
          <w:sz w:val="16"/>
          <w:szCs w:val="16"/>
          <w:color w:val="auto"/>
        </w:rPr>
        <w:t>‑</w:t>
      </w:r>
      <w:r>
        <w:rPr>
          <w:rFonts w:ascii="Arial" w:cs="Arial" w:eastAsia="Arial" w:hAnsi="Arial"/>
          <w:sz w:val="16"/>
          <w:szCs w:val="16"/>
          <w:color w:val="auto"/>
        </w:rPr>
        <w:t>party service providers to perform a variety of functions related to the sale and distribution of our products, key aspects of which are out of our direct control. These service providers provide key services related to warehousing and inventory control, distribution, government price reporting, and customer service and, as a result, much of our inventory is stored at a single warehouse maintained by one such service provider. We substantially rely on this service provider as well as other third</w:t>
      </w:r>
      <w:r>
        <w:rPr>
          <w:rFonts w:ascii="MS PGothic" w:cs="MS PGothic" w:eastAsia="MS PGothic" w:hAnsi="MS PGothic"/>
          <w:sz w:val="16"/>
          <w:szCs w:val="16"/>
          <w:color w:val="auto"/>
        </w:rPr>
        <w:t>‑</w:t>
      </w:r>
      <w:r>
        <w:rPr>
          <w:rFonts w:ascii="Arial" w:cs="Arial" w:eastAsia="Arial" w:hAnsi="Arial"/>
          <w:sz w:val="16"/>
          <w:szCs w:val="16"/>
          <w:color w:val="auto"/>
        </w:rPr>
        <w:t>party providers that perform services for us, including entrusting our inventories of products to their care and handling. If these third</w:t>
      </w:r>
      <w:r>
        <w:rPr>
          <w:rFonts w:ascii="MS PGothic" w:cs="MS PGothic" w:eastAsia="MS PGothic" w:hAnsi="MS PGothic"/>
          <w:sz w:val="16"/>
          <w:szCs w:val="16"/>
          <w:color w:val="auto"/>
        </w:rPr>
        <w:t>‑</w:t>
      </w:r>
      <w:r>
        <w:rPr>
          <w:rFonts w:ascii="Arial" w:cs="Arial" w:eastAsia="Arial" w:hAnsi="Arial"/>
          <w:sz w:val="16"/>
          <w:szCs w:val="16"/>
          <w:color w:val="auto"/>
        </w:rPr>
        <w:t>party service providers fail to comply with applicable laws and regulations, fail to meet expected deadlines, or otherwise do not carry out their contractual duties to us, or encounter physical or natural damage at their facilities, our ability to deliver product to meet commercial demand would be significantly impaired and we may be subject to regulatory enforcement action.</w:t>
      </w:r>
    </w:p>
    <w:p>
      <w:pPr>
        <w:spacing w:after="0" w:line="217" w:lineRule="exact"/>
        <w:rPr>
          <w:sz w:val="20"/>
          <w:szCs w:val="20"/>
          <w:color w:val="auto"/>
        </w:rPr>
      </w:pPr>
    </w:p>
    <w:p>
      <w:pPr>
        <w:ind w:right="100" w:firstLine="749"/>
        <w:spacing w:after="0" w:line="305" w:lineRule="auto"/>
        <w:rPr>
          <w:sz w:val="20"/>
          <w:szCs w:val="20"/>
          <w:color w:val="auto"/>
        </w:rPr>
      </w:pPr>
      <w:r>
        <w:rPr>
          <w:rFonts w:ascii="Arial" w:cs="Arial" w:eastAsia="Arial" w:hAnsi="Arial"/>
          <w:sz w:val="15"/>
          <w:szCs w:val="15"/>
          <w:color w:val="auto"/>
        </w:rPr>
        <w:t>In addition, we may engage third parties to perform various other services for us relating to adverse event reporting, safety database management, fulfillment of requests for medical information regarding our products and related services. If the quality or accuracy of the data maintained by these service providers is insufficient, or these third parties otherwise fail to comply with regulatory requirements related to adverse event reporting, we could be subject to regulatory sanctions.</w:t>
      </w:r>
    </w:p>
    <w:p>
      <w:pPr>
        <w:spacing w:after="0" w:line="166" w:lineRule="exact"/>
        <w:rPr>
          <w:sz w:val="20"/>
          <w:szCs w:val="20"/>
          <w:color w:val="auto"/>
        </w:rPr>
      </w:pPr>
    </w:p>
    <w:p>
      <w:pPr>
        <w:ind w:right="60" w:firstLine="749"/>
        <w:spacing w:after="0" w:line="278" w:lineRule="auto"/>
        <w:rPr>
          <w:sz w:val="20"/>
          <w:szCs w:val="20"/>
          <w:color w:val="auto"/>
        </w:rPr>
      </w:pPr>
      <w:r>
        <w:rPr>
          <w:rFonts w:ascii="Arial" w:cs="Arial" w:eastAsia="Arial" w:hAnsi="Arial"/>
          <w:sz w:val="16"/>
          <w:szCs w:val="16"/>
          <w:color w:val="auto"/>
        </w:rPr>
        <w:t>Additionally, if a third-party errs in calculating government pricing information from transactional data in our financial records, it could impact our discount and rebate liability and potentially cause government programs to overpay providers for our products, which could expose us to significant False Claims Act liability and other civil monetary penalties.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75" w:name="page76"/>
    <w:bookmarkEnd w:id="75"/>
    <w:p>
      <w:pPr>
        <w:spacing w:after="0"/>
        <w:rPr>
          <w:sz w:val="20"/>
          <w:szCs w:val="20"/>
          <w:color w:val="auto"/>
        </w:rPr>
      </w:pPr>
      <w:r>
        <w:rPr>
          <w:rFonts w:ascii="Arial" w:cs="Arial" w:eastAsia="Arial" w:hAnsi="Arial"/>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3025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30250" cy="8255"/>
                    </a:xfrm>
                    <a:prstGeom prst="rect">
                      <a:avLst/>
                    </a:prstGeom>
                    <a:noFill/>
                  </pic:spPr>
                </pic:pic>
              </a:graphicData>
            </a:graphic>
          </wp:anchor>
        </w:drawing>
      </w:r>
    </w:p>
    <w:p>
      <w:pPr>
        <w:spacing w:after="0" w:line="215" w:lineRule="exact"/>
        <w:rPr>
          <w:sz w:val="20"/>
          <w:szCs w:val="20"/>
          <w:color w:val="auto"/>
        </w:rPr>
      </w:pPr>
    </w:p>
    <w:p>
      <w:pPr>
        <w:ind w:right="260"/>
        <w:spacing w:after="0" w:line="293" w:lineRule="auto"/>
        <w:rPr>
          <w:sz w:val="20"/>
          <w:szCs w:val="20"/>
          <w:color w:val="auto"/>
        </w:rPr>
      </w:pPr>
      <w:r>
        <w:rPr>
          <w:rFonts w:ascii="Arial" w:cs="Arial" w:eastAsia="Arial" w:hAnsi="Arial"/>
          <w:sz w:val="16"/>
          <w:szCs w:val="16"/>
          <w:b w:val="1"/>
          <w:bCs w:val="1"/>
          <w:i w:val="1"/>
          <w:iCs w:val="1"/>
          <w:color w:val="auto"/>
        </w:rPr>
        <w:t>Any collaboration arrangements that we are a party to or may enter into in the future may not be successful, which could adversely affect our ability to develop and commercialize our product candidates.</w:t>
      </w:r>
    </w:p>
    <w:p>
      <w:pPr>
        <w:spacing w:after="0" w:line="172" w:lineRule="exact"/>
        <w:rPr>
          <w:sz w:val="20"/>
          <w:szCs w:val="20"/>
          <w:color w:val="auto"/>
        </w:rPr>
      </w:pPr>
    </w:p>
    <w:p>
      <w:pPr>
        <w:ind w:firstLine="749"/>
        <w:spacing w:after="0" w:line="287" w:lineRule="auto"/>
        <w:rPr>
          <w:sz w:val="20"/>
          <w:szCs w:val="20"/>
          <w:color w:val="auto"/>
        </w:rPr>
      </w:pPr>
      <w:r>
        <w:rPr>
          <w:rFonts w:ascii="Arial" w:cs="Arial" w:eastAsia="Arial" w:hAnsi="Arial"/>
          <w:sz w:val="15"/>
          <w:szCs w:val="15"/>
          <w:color w:val="auto"/>
        </w:rPr>
        <w:t>Our business model is to commercialize our product candidates in the United States, and we may either commercialize products outside the United States ourselves or collaborate with pharmaceutical or biotechnology companies, or academic institutions, for the development or commercialization of our product candidates in the rest of the world. For example, we currently commercialize Sunosi in Canada. In February 2023, we announced a licensing transaction with Pharmanovia to market Sunosi in Europe and certain countries in the Middle East / North Africa. Our current and future collaboration arrangements may not be successful, and the success of them will depend heavily on the efforts and activities of our collaborators. Collaborators generally have significant discretion in determining the efforts and resources that they will apply to these collaboration arrangements. For clinical trials of our product candidates being conducted by our collaborators, for example, the Phase 2 clinical trial of AXS-05 for smoking cessation in collaboration with Duke University, we relied on timeline estimates provided by our collaborators for these trials. Such timeline estimates may differ materially from actual trial completion dates. Disagreements between parties to a collaboration arrangement regarding clinical development and commercialization matters can lead to delays in the development process or commercializing the applicable product candidate and, in some cases, termination of the collaboration arrangement. These disagreements can be difficult to resolve if neither of the parties has final decision-making authority.</w:t>
      </w:r>
    </w:p>
    <w:p>
      <w:pPr>
        <w:spacing w:after="0" w:line="178" w:lineRule="exact"/>
        <w:rPr>
          <w:sz w:val="20"/>
          <w:szCs w:val="20"/>
          <w:color w:val="auto"/>
        </w:rPr>
      </w:pPr>
    </w:p>
    <w:p>
      <w:pPr>
        <w:ind w:right="340" w:firstLine="749"/>
        <w:spacing w:after="0" w:line="278" w:lineRule="auto"/>
        <w:rPr>
          <w:sz w:val="20"/>
          <w:szCs w:val="20"/>
          <w:color w:val="auto"/>
        </w:rPr>
      </w:pPr>
      <w:r>
        <w:rPr>
          <w:rFonts w:ascii="Arial" w:cs="Arial" w:eastAsia="Arial" w:hAnsi="Arial"/>
          <w:sz w:val="16"/>
          <w:szCs w:val="16"/>
          <w:color w:val="auto"/>
        </w:rPr>
        <w:t>We may license the right to market and sell our product candidates under our collaborators’ labeler codes. Alternatively, we may enter into agreements with collaborators to market and sell our product candidates under our own labeler code, in which case errors and omissions by collaborators in capturing and transmitting transactional data may impact the accuracy of our government price reporting.</w:t>
      </w:r>
    </w:p>
    <w:p>
      <w:pPr>
        <w:spacing w:after="0" w:line="184" w:lineRule="exact"/>
        <w:rPr>
          <w:sz w:val="20"/>
          <w:szCs w:val="20"/>
          <w:color w:val="auto"/>
        </w:rPr>
      </w:pPr>
    </w:p>
    <w:p>
      <w:pPr>
        <w:ind w:right="380" w:firstLine="749"/>
        <w:spacing w:after="0" w:line="278" w:lineRule="auto"/>
        <w:rPr>
          <w:sz w:val="20"/>
          <w:szCs w:val="20"/>
          <w:color w:val="auto"/>
        </w:rPr>
      </w:pPr>
      <w:r>
        <w:rPr>
          <w:rFonts w:ascii="Arial" w:cs="Arial" w:eastAsia="Arial" w:hAnsi="Arial"/>
          <w:sz w:val="16"/>
          <w:szCs w:val="16"/>
          <w:color w:val="auto"/>
        </w:rPr>
        <w:t>Collaborations with pharmaceutical companies and other third parties often are terminated or allowed to expire by the other party. Any such termination or expiration would adversely affect us financially and could harm our business reputation. Any future collaborations we might enter into may pose a number of risks, including:</w:t>
      </w:r>
    </w:p>
    <w:p>
      <w:pPr>
        <w:spacing w:after="0" w:line="184" w:lineRule="exact"/>
        <w:rPr>
          <w:sz w:val="20"/>
          <w:szCs w:val="20"/>
          <w:color w:val="auto"/>
        </w:rPr>
      </w:pPr>
    </w:p>
    <w:p>
      <w:pPr>
        <w:ind w:left="760" w:hanging="378"/>
        <w:spacing w:after="0"/>
        <w:tabs>
          <w:tab w:leader="none" w:pos="7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collaborators may not perform their obligations as expected;</w:t>
      </w:r>
    </w:p>
    <w:p>
      <w:pPr>
        <w:spacing w:after="0" w:line="234" w:lineRule="exact"/>
        <w:rPr>
          <w:rFonts w:ascii="Arial" w:cs="Arial" w:eastAsia="Arial" w:hAnsi="Arial"/>
          <w:sz w:val="16"/>
          <w:szCs w:val="16"/>
          <w:color w:val="auto"/>
        </w:rPr>
      </w:pPr>
    </w:p>
    <w:p>
      <w:pPr>
        <w:jc w:val="both"/>
        <w:ind w:left="760" w:right="100" w:hanging="378"/>
        <w:spacing w:after="0" w:line="278" w:lineRule="auto"/>
        <w:tabs>
          <w:tab w:leader="none" w:pos="7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collaborators may not pursue development and commercialization of any product candidates which achieve regulatory approval or may elect not to continue or renew development or commercialization programs based on clinical trial results, changes in the collaborators’ strategic focus or available funding, or external factors, such as an acquisition, that divert resources or create competing priorities;</w:t>
      </w:r>
    </w:p>
    <w:p>
      <w:pPr>
        <w:spacing w:after="0" w:line="184" w:lineRule="exact"/>
        <w:rPr>
          <w:rFonts w:ascii="Arial" w:cs="Arial" w:eastAsia="Arial" w:hAnsi="Arial"/>
          <w:sz w:val="16"/>
          <w:szCs w:val="16"/>
          <w:color w:val="auto"/>
        </w:rPr>
      </w:pPr>
    </w:p>
    <w:p>
      <w:pPr>
        <w:ind w:left="760" w:right="320" w:hanging="378"/>
        <w:spacing w:after="0" w:line="293" w:lineRule="auto"/>
        <w:tabs>
          <w:tab w:leader="none" w:pos="7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171" w:lineRule="exact"/>
        <w:rPr>
          <w:rFonts w:ascii="Arial" w:cs="Arial" w:eastAsia="Arial" w:hAnsi="Arial"/>
          <w:sz w:val="16"/>
          <w:szCs w:val="16"/>
          <w:color w:val="auto"/>
        </w:rPr>
      </w:pPr>
    </w:p>
    <w:p>
      <w:pPr>
        <w:ind w:left="760" w:hanging="378"/>
        <w:spacing w:after="0"/>
        <w:tabs>
          <w:tab w:leader="none" w:pos="7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collaborators could fail to make timely regulatory submissions for a product candidate;</w:t>
      </w:r>
    </w:p>
    <w:p>
      <w:pPr>
        <w:spacing w:after="0" w:line="234" w:lineRule="exact"/>
        <w:rPr>
          <w:rFonts w:ascii="Arial" w:cs="Arial" w:eastAsia="Arial" w:hAnsi="Arial"/>
          <w:sz w:val="16"/>
          <w:szCs w:val="16"/>
          <w:color w:val="auto"/>
        </w:rPr>
      </w:pPr>
    </w:p>
    <w:p>
      <w:pPr>
        <w:ind w:left="760" w:right="680" w:hanging="378"/>
        <w:spacing w:after="0" w:line="293" w:lineRule="auto"/>
        <w:tabs>
          <w:tab w:leader="none" w:pos="7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collaborators may not comply with all applicable regulatory requirements or may fail to report safety data in accordance with all applicable regulatory requirements;</w:t>
      </w:r>
    </w:p>
    <w:p>
      <w:pPr>
        <w:spacing w:after="0" w:line="171" w:lineRule="exact"/>
        <w:rPr>
          <w:rFonts w:ascii="Arial" w:cs="Arial" w:eastAsia="Arial" w:hAnsi="Arial"/>
          <w:sz w:val="16"/>
          <w:szCs w:val="16"/>
          <w:color w:val="auto"/>
        </w:rPr>
      </w:pPr>
    </w:p>
    <w:p>
      <w:pPr>
        <w:ind w:left="760" w:right="80" w:hanging="378"/>
        <w:spacing w:after="0" w:line="278" w:lineRule="auto"/>
        <w:tabs>
          <w:tab w:leader="none" w:pos="7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collaborators could independently develop, or develop with third parties, products that compete directly or indirectly with our products or product candidates if the collaborators believe that competitive products are more likely to be successfully developed or can be commercialized under terms that are more economically attractive than ours;</w:t>
      </w:r>
    </w:p>
    <w:p>
      <w:pPr>
        <w:spacing w:after="0" w:line="184" w:lineRule="exact"/>
        <w:rPr>
          <w:rFonts w:ascii="Arial" w:cs="Arial" w:eastAsia="Arial" w:hAnsi="Arial"/>
          <w:sz w:val="16"/>
          <w:szCs w:val="16"/>
          <w:color w:val="auto"/>
        </w:rPr>
      </w:pPr>
    </w:p>
    <w:p>
      <w:pPr>
        <w:ind w:left="760" w:right="20" w:hanging="378"/>
        <w:spacing w:after="0" w:line="293" w:lineRule="auto"/>
        <w:tabs>
          <w:tab w:leader="none" w:pos="7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product candidates discovered in collaboration with us may be viewed by our collaborators as competitive with their own product candidates or products, which may cause collaborators to cease to devote resources to the commercialization of our product candidates;</w:t>
      </w:r>
    </w:p>
    <w:p>
      <w:pPr>
        <w:spacing w:after="0" w:line="171" w:lineRule="exact"/>
        <w:rPr>
          <w:rFonts w:ascii="Arial" w:cs="Arial" w:eastAsia="Arial" w:hAnsi="Arial"/>
          <w:sz w:val="16"/>
          <w:szCs w:val="16"/>
          <w:color w:val="auto"/>
        </w:rPr>
      </w:pPr>
    </w:p>
    <w:p>
      <w:pPr>
        <w:ind w:left="760" w:right="440" w:hanging="378"/>
        <w:spacing w:after="0" w:line="293" w:lineRule="auto"/>
        <w:tabs>
          <w:tab w:leader="none" w:pos="7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a collaborator with marketing and distribution rights to one or more of our product candidates that achieve regulatory approval may not commit sufficient resources to the marketing and distribution of such product candidate or product;</w:t>
      </w:r>
    </w:p>
    <w:p>
      <w:pPr>
        <w:spacing w:after="0" w:line="171" w:lineRule="exact"/>
        <w:rPr>
          <w:rFonts w:ascii="Arial" w:cs="Arial" w:eastAsia="Arial" w:hAnsi="Arial"/>
          <w:sz w:val="16"/>
          <w:szCs w:val="16"/>
          <w:color w:val="auto"/>
        </w:rPr>
      </w:pPr>
    </w:p>
    <w:p>
      <w:pPr>
        <w:ind w:left="760" w:right="40" w:hanging="378"/>
        <w:spacing w:after="0" w:line="278" w:lineRule="auto"/>
        <w:tabs>
          <w:tab w:leader="none" w:pos="7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disagreements with collaborators, including disagreements over proprietary rights, contract interpretation, or the preferred course of development, might cause delays or termination of the research, development, or commercialization of product candidates, lead to additional responsibilities for us with respect to product candidates, or result in litigation or arbitration, any of which would be time consuming and expensive;</w:t>
      </w:r>
    </w:p>
    <w:p>
      <w:pPr>
        <w:spacing w:after="0" w:line="18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30" w:right="419" w:bottom="1440" w:gutter="0" w:footer="0" w:header="0"/>
        </w:sectPr>
      </w:pPr>
    </w:p>
    <w:bookmarkStart w:id="76" w:name="page77"/>
    <w:bookmarkEnd w:id="76"/>
    <w:p>
      <w:pPr>
        <w:spacing w:after="0"/>
        <w:rPr>
          <w:sz w:val="20"/>
          <w:szCs w:val="20"/>
          <w:color w:val="auto"/>
        </w:rPr>
      </w:pPr>
      <w:r>
        <w:rPr>
          <w:rFonts w:ascii="Arial" w:cs="Arial" w:eastAsia="Arial" w:hAnsi="Arial"/>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3025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30250" cy="8255"/>
                    </a:xfrm>
                    <a:prstGeom prst="rect">
                      <a:avLst/>
                    </a:prstGeom>
                    <a:noFill/>
                  </pic:spPr>
                </pic:pic>
              </a:graphicData>
            </a:graphic>
          </wp:anchor>
        </w:drawing>
      </w:r>
    </w:p>
    <w:p>
      <w:pPr>
        <w:spacing w:after="0" w:line="215" w:lineRule="exact"/>
        <w:rPr>
          <w:sz w:val="20"/>
          <w:szCs w:val="20"/>
          <w:color w:val="auto"/>
        </w:rPr>
      </w:pPr>
    </w:p>
    <w:p>
      <w:pPr>
        <w:ind w:left="760" w:right="40" w:hanging="378"/>
        <w:spacing w:after="0" w:line="293" w:lineRule="auto"/>
        <w:tabs>
          <w:tab w:leader="none" w:pos="7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collaborators may not properly maintain or defend our intellectual property rights or may use our proprietary information in such a way as to invite litigation that could jeopardize or invalidate our intellectual property or proprietary information or expose us to potential litigation; and</w:t>
      </w:r>
    </w:p>
    <w:p>
      <w:pPr>
        <w:spacing w:after="0" w:line="171" w:lineRule="exact"/>
        <w:rPr>
          <w:rFonts w:ascii="Arial" w:cs="Arial" w:eastAsia="Arial" w:hAnsi="Arial"/>
          <w:sz w:val="16"/>
          <w:szCs w:val="16"/>
          <w:color w:val="auto"/>
        </w:rPr>
      </w:pPr>
    </w:p>
    <w:p>
      <w:pPr>
        <w:ind w:left="760" w:hanging="378"/>
        <w:spacing w:after="0"/>
        <w:tabs>
          <w:tab w:leader="none" w:pos="7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collaborators may infringe the intellectual property rights of third parties, which may expose us to litigation and potential liability.</w:t>
      </w:r>
    </w:p>
    <w:p>
      <w:pPr>
        <w:spacing w:after="0" w:line="235" w:lineRule="exact"/>
        <w:rPr>
          <w:sz w:val="20"/>
          <w:szCs w:val="20"/>
          <w:color w:val="auto"/>
        </w:rPr>
      </w:pPr>
    </w:p>
    <w:p>
      <w:pPr>
        <w:ind w:right="40" w:firstLine="749"/>
        <w:spacing w:after="0" w:line="273" w:lineRule="auto"/>
        <w:rPr>
          <w:sz w:val="20"/>
          <w:szCs w:val="20"/>
          <w:color w:val="auto"/>
        </w:rPr>
      </w:pPr>
      <w:r>
        <w:rPr>
          <w:rFonts w:ascii="Arial" w:cs="Arial" w:eastAsia="Arial" w:hAnsi="Arial"/>
          <w:sz w:val="16"/>
          <w:szCs w:val="16"/>
          <w:color w:val="auto"/>
        </w:rPr>
        <w:t>If any collaborations we might enter into in the future do not result in the successful development and commercialization of products or if one of our collaborators subsequently terminates its agreement with us, we may not receive any future research funding or milestone or royalty payments under the collaboration. If we do not receive the funding we expect under the agreements, our development of our product candidates could be delayed and we may need additional resources to develop our product candidates and our product platform.</w:t>
      </w:r>
    </w:p>
    <w:p>
      <w:pPr>
        <w:spacing w:after="0" w:line="189" w:lineRule="exact"/>
        <w:rPr>
          <w:sz w:val="20"/>
          <w:szCs w:val="20"/>
          <w:color w:val="auto"/>
        </w:rPr>
      </w:pPr>
    </w:p>
    <w:p>
      <w:pPr>
        <w:ind w:right="340" w:firstLine="749"/>
        <w:spacing w:after="0" w:line="278" w:lineRule="auto"/>
        <w:rPr>
          <w:sz w:val="20"/>
          <w:szCs w:val="20"/>
          <w:color w:val="auto"/>
        </w:rPr>
      </w:pPr>
      <w:r>
        <w:rPr>
          <w:rFonts w:ascii="Arial" w:cs="Arial" w:eastAsia="Arial" w:hAnsi="Arial"/>
          <w:sz w:val="16"/>
          <w:szCs w:val="16"/>
          <w:color w:val="auto"/>
        </w:rPr>
        <w:t>Additionally, if any future collaborator of ours is involved in a business combination, the collaborator might deemphasize or terminate development or commercialization of any product candidate licensed to it by us. If one of our collaborators terminates its agreement with us, we may find it more difficult to attract new collaborators and our reputation in the business and financial communities could be adversely affected.</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RELATED TO INTELLECTUAL PROPERTY</w:t>
      </w:r>
    </w:p>
    <w:p>
      <w:pPr>
        <w:spacing w:after="0" w:line="239"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b w:val="1"/>
          <w:bCs w:val="1"/>
          <w:i w:val="1"/>
          <w:iCs w:val="1"/>
          <w:color w:val="auto"/>
        </w:rPr>
        <w:t>It is difficult and costly to protect our proprietary rights, and, as a result, we may not be able to ensure their protection. In addition, patents have a limited lifespan and will eventually expire.</w:t>
      </w:r>
    </w:p>
    <w:p>
      <w:pPr>
        <w:spacing w:after="0" w:line="172" w:lineRule="exact"/>
        <w:rPr>
          <w:sz w:val="20"/>
          <w:szCs w:val="20"/>
          <w:color w:val="auto"/>
        </w:rPr>
      </w:pPr>
    </w:p>
    <w:p>
      <w:pPr>
        <w:ind w:right="80" w:firstLine="749"/>
        <w:spacing w:after="0" w:line="269" w:lineRule="auto"/>
        <w:rPr>
          <w:sz w:val="20"/>
          <w:szCs w:val="20"/>
          <w:color w:val="auto"/>
        </w:rPr>
      </w:pPr>
      <w:r>
        <w:rPr>
          <w:rFonts w:ascii="Arial" w:cs="Arial" w:eastAsia="Arial" w:hAnsi="Arial"/>
          <w:sz w:val="16"/>
          <w:szCs w:val="16"/>
          <w:color w:val="auto"/>
        </w:rPr>
        <w:t>Market exclusivity awarded by the FDA upon the approval of an NDA is limited in scope and duration. For example, our New Chemical Entity exclusivity for Sunosi expires on June 17, 2024 with an Orphan Drug Exclusivity relating to the product’s narcolepsy indication expiring on June 17, 2026. For Auvelity, the New Product Exclusivity expires on August 18, 2025. Neither of these expiry dates take into account the effect of the statutory 30-month stay should we timely commence litigation against any generic filer. A generic filer may be permitted to launch a generic version of either of our products following expiry of these exclusivities if our patents do not preclude a generic launch. Patent litigation is inherently uncertain, and we cannot guarantee the outcome of any such proceedings or that we would succeed in stopping the “at risk” launch of a generic version of either of our currently commercialized products during the pendency of litigation following expiry of the 30-month stay. Such a generic launch could materially impact our commercial success.</w:t>
      </w:r>
    </w:p>
    <w:p>
      <w:pPr>
        <w:spacing w:after="0" w:line="190" w:lineRule="exact"/>
        <w:rPr>
          <w:sz w:val="20"/>
          <w:szCs w:val="20"/>
          <w:color w:val="auto"/>
        </w:rPr>
      </w:pPr>
    </w:p>
    <w:p>
      <w:pPr>
        <w:ind w:firstLine="749"/>
        <w:spacing w:after="0" w:line="203" w:lineRule="exact"/>
        <w:rPr>
          <w:sz w:val="20"/>
          <w:szCs w:val="20"/>
          <w:color w:val="auto"/>
        </w:rPr>
      </w:pPr>
      <w:r>
        <w:rPr>
          <w:rFonts w:ascii="Arial" w:cs="Arial" w:eastAsia="Arial" w:hAnsi="Arial"/>
          <w:sz w:val="14"/>
          <w:szCs w:val="14"/>
          <w:color w:val="auto"/>
        </w:rPr>
        <w:t>We seek to protect intellectual property relating to our products and portfolio products by prosecuting patents in the United States and elsewhere. The patent prosecution process is expensive and time consuming, and we may not be able to file and prosecute all necessary or desirable patent applications at a reasonable cost or in a timely manner. It is also possible that we will fail to identify patentable aspects of our research and development output before it is too late to obtain patent protection. Moreover, should we enter into additional collaborations we may be required to consult with or cede control to collaborators regarding the prosecution, maintenance, and enforcement of our patent applications and patents. Therefore, these patents and patent applications may not be prosecuted and enforced in a manner consistent with the best interests of our business. The patent positions of pharmaceutical and biotechnology companies can be highly uncertain and involve complex legal and factual questions for which important legal principles remain unresolved. No consistent policy regarding the breadth of claims allowed in pharmaceutical or biotechnology patents has emerged to date in the United States. The patent situation outside the United States is even more uncertain. Changes in either the patent laws or in interpretations of patent laws in the United States and other countries may diminish the value of our intellectual property. Accordingly, we cannot predict the breadth of claims that may be allowed or enforced in our patents and patent applications or in third</w:t>
      </w:r>
      <w:r>
        <w:rPr>
          <w:rFonts w:ascii="MS PGothic" w:cs="MS PGothic" w:eastAsia="MS PGothic" w:hAnsi="MS PGothic"/>
          <w:sz w:val="14"/>
          <w:szCs w:val="14"/>
          <w:color w:val="auto"/>
        </w:rPr>
        <w:t>‑</w:t>
      </w:r>
      <w:r>
        <w:rPr>
          <w:rFonts w:ascii="Arial" w:cs="Arial" w:eastAsia="Arial" w:hAnsi="Arial"/>
          <w:sz w:val="14"/>
          <w:szCs w:val="14"/>
          <w:color w:val="auto"/>
        </w:rPr>
        <w:t>party patents and patent applications. The degree of future protection for our proprietary rights is uncertain because legal means afford only limited protection and may not adequately protect our rights or permit us to gain or keep our competitive advantage. Moreover, the patent application process is also subject to numerous risks and uncertainties, and there can be no assurance that we or any of our future development partners will be successful in protecting any of our current or future product candidates that we may develop, license, or acquire by obtaining and defending patents. For example:</w:t>
      </w:r>
    </w:p>
    <w:p>
      <w:pPr>
        <w:spacing w:after="0" w:line="215" w:lineRule="exact"/>
        <w:rPr>
          <w:sz w:val="20"/>
          <w:szCs w:val="20"/>
          <w:color w:val="auto"/>
        </w:rPr>
      </w:pPr>
    </w:p>
    <w:p>
      <w:pPr>
        <w:ind w:left="760" w:hanging="378"/>
        <w:spacing w:after="0"/>
        <w:tabs>
          <w:tab w:leader="none" w:pos="760" w:val="left"/>
        </w:tabs>
        <w:numPr>
          <w:ilvl w:val="0"/>
          <w:numId w:val="39"/>
        </w:numPr>
        <w:rPr>
          <w:rFonts w:ascii="Arial" w:cs="Arial" w:eastAsia="Arial" w:hAnsi="Arial"/>
          <w:sz w:val="15"/>
          <w:szCs w:val="15"/>
          <w:color w:val="auto"/>
        </w:rPr>
      </w:pPr>
      <w:r>
        <w:rPr>
          <w:rFonts w:ascii="Arial" w:cs="Arial" w:eastAsia="Arial" w:hAnsi="Arial"/>
          <w:sz w:val="15"/>
          <w:szCs w:val="15"/>
          <w:color w:val="auto"/>
        </w:rPr>
        <w:t>we may not have been the first to conceive of and reduce to practice the inventions covered by each of our pending patent applications and issued patents;</w:t>
      </w:r>
    </w:p>
    <w:p>
      <w:pPr>
        <w:spacing w:after="0" w:line="246" w:lineRule="exact"/>
        <w:rPr>
          <w:rFonts w:ascii="Arial" w:cs="Arial" w:eastAsia="Arial" w:hAnsi="Arial"/>
          <w:sz w:val="15"/>
          <w:szCs w:val="15"/>
          <w:color w:val="auto"/>
        </w:rPr>
      </w:pPr>
    </w:p>
    <w:p>
      <w:pPr>
        <w:ind w:left="760" w:hanging="378"/>
        <w:spacing w:after="0"/>
        <w:tabs>
          <w:tab w:leader="none" w:pos="7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we may not have been the first to file patent applications for these inventions;</w:t>
      </w:r>
    </w:p>
    <w:p>
      <w:pPr>
        <w:spacing w:after="0" w:line="234" w:lineRule="exact"/>
        <w:rPr>
          <w:rFonts w:ascii="Arial" w:cs="Arial" w:eastAsia="Arial" w:hAnsi="Arial"/>
          <w:sz w:val="16"/>
          <w:szCs w:val="16"/>
          <w:color w:val="auto"/>
        </w:rPr>
      </w:pPr>
    </w:p>
    <w:p>
      <w:pPr>
        <w:ind w:left="760" w:hanging="378"/>
        <w:spacing w:after="0"/>
        <w:tabs>
          <w:tab w:leader="none" w:pos="7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others may independently develop similar or alternative technologies or duplicate any of our product candidates or technologies;</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77" w:name="page78"/>
    <w:bookmarkEnd w:id="77"/>
    <w:p>
      <w:pPr>
        <w:spacing w:after="0"/>
        <w:rPr>
          <w:sz w:val="20"/>
          <w:szCs w:val="20"/>
          <w:color w:val="auto"/>
        </w:rPr>
      </w:pPr>
      <w:r>
        <w:rPr>
          <w:rFonts w:ascii="Arial" w:cs="Arial" w:eastAsia="Arial" w:hAnsi="Arial"/>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3025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30250" cy="8255"/>
                    </a:xfrm>
                    <a:prstGeom prst="rect">
                      <a:avLst/>
                    </a:prstGeom>
                    <a:noFill/>
                  </pic:spPr>
                </pic:pic>
              </a:graphicData>
            </a:graphic>
          </wp:anchor>
        </w:drawing>
      </w:r>
    </w:p>
    <w:p>
      <w:pPr>
        <w:spacing w:after="0" w:line="215" w:lineRule="exact"/>
        <w:rPr>
          <w:sz w:val="20"/>
          <w:szCs w:val="20"/>
          <w:color w:val="auto"/>
        </w:rPr>
      </w:pPr>
    </w:p>
    <w:p>
      <w:pPr>
        <w:ind w:left="760" w:hanging="378"/>
        <w:spacing w:after="0"/>
        <w:tabs>
          <w:tab w:leader="none" w:pos="7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it is possible that none of the pending patent applications will result in issued patents;</w:t>
      </w:r>
    </w:p>
    <w:p>
      <w:pPr>
        <w:spacing w:after="0" w:line="234" w:lineRule="exact"/>
        <w:rPr>
          <w:rFonts w:ascii="Arial" w:cs="Arial" w:eastAsia="Arial" w:hAnsi="Arial"/>
          <w:sz w:val="16"/>
          <w:szCs w:val="16"/>
          <w:color w:val="auto"/>
        </w:rPr>
      </w:pPr>
    </w:p>
    <w:p>
      <w:pPr>
        <w:ind w:left="760" w:right="180" w:hanging="378"/>
        <w:spacing w:after="0" w:line="293" w:lineRule="auto"/>
        <w:tabs>
          <w:tab w:leader="none" w:pos="7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issued patents may not cover commercially viable active products, may not provide us with any competitive advantages, or may be successfully challenged by third parties;</w:t>
      </w:r>
    </w:p>
    <w:p>
      <w:pPr>
        <w:spacing w:after="0" w:line="171" w:lineRule="exact"/>
        <w:rPr>
          <w:rFonts w:ascii="Arial" w:cs="Arial" w:eastAsia="Arial" w:hAnsi="Arial"/>
          <w:sz w:val="16"/>
          <w:szCs w:val="16"/>
          <w:color w:val="auto"/>
        </w:rPr>
      </w:pPr>
    </w:p>
    <w:p>
      <w:pPr>
        <w:ind w:left="760" w:hanging="378"/>
        <w:spacing w:after="0"/>
        <w:tabs>
          <w:tab w:leader="none" w:pos="7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we may not develop additional proprietary technologies that are patentable;</w:t>
      </w:r>
    </w:p>
    <w:p>
      <w:pPr>
        <w:spacing w:after="0" w:line="234" w:lineRule="exact"/>
        <w:rPr>
          <w:rFonts w:ascii="Arial" w:cs="Arial" w:eastAsia="Arial" w:hAnsi="Arial"/>
          <w:sz w:val="16"/>
          <w:szCs w:val="16"/>
          <w:color w:val="auto"/>
        </w:rPr>
      </w:pPr>
    </w:p>
    <w:p>
      <w:pPr>
        <w:ind w:left="760" w:hanging="378"/>
        <w:spacing w:after="0"/>
        <w:tabs>
          <w:tab w:leader="none" w:pos="7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patents of others may have an adverse effect on our business;</w:t>
      </w:r>
    </w:p>
    <w:p>
      <w:pPr>
        <w:spacing w:after="0" w:line="234" w:lineRule="exact"/>
        <w:rPr>
          <w:rFonts w:ascii="Arial" w:cs="Arial" w:eastAsia="Arial" w:hAnsi="Arial"/>
          <w:sz w:val="16"/>
          <w:szCs w:val="16"/>
          <w:color w:val="auto"/>
        </w:rPr>
      </w:pPr>
    </w:p>
    <w:p>
      <w:pPr>
        <w:ind w:left="760" w:right="200" w:hanging="378"/>
        <w:spacing w:after="0" w:line="369" w:lineRule="auto"/>
        <w:tabs>
          <w:tab w:leader="none" w:pos="760" w:val="left"/>
        </w:tabs>
        <w:numPr>
          <w:ilvl w:val="0"/>
          <w:numId w:val="40"/>
        </w:numPr>
        <w:rPr>
          <w:rFonts w:ascii="Arial" w:cs="Arial" w:eastAsia="Arial" w:hAnsi="Arial"/>
          <w:sz w:val="14"/>
          <w:szCs w:val="14"/>
          <w:color w:val="auto"/>
        </w:rPr>
      </w:pPr>
      <w:r>
        <w:rPr>
          <w:rFonts w:ascii="Arial" w:cs="Arial" w:eastAsia="Arial" w:hAnsi="Arial"/>
          <w:sz w:val="14"/>
          <w:szCs w:val="14"/>
          <w:color w:val="auto"/>
        </w:rPr>
        <w:t>noncompliance with requirements of governmental patent agencies can result in abandonment or lapse of a patent or patent application, resulting in partial or complete loss of patent rights in the relevant jurisdiction, potentially allowing competitors to enter the market earlier than would otherwise have been the case;</w:t>
      </w:r>
    </w:p>
    <w:p>
      <w:pPr>
        <w:spacing w:after="0" w:line="125" w:lineRule="exact"/>
        <w:rPr>
          <w:rFonts w:ascii="Arial" w:cs="Arial" w:eastAsia="Arial" w:hAnsi="Arial"/>
          <w:sz w:val="14"/>
          <w:szCs w:val="14"/>
          <w:color w:val="auto"/>
        </w:rPr>
      </w:pPr>
    </w:p>
    <w:p>
      <w:pPr>
        <w:ind w:left="760" w:right="240" w:hanging="378"/>
        <w:spacing w:after="0" w:line="278" w:lineRule="auto"/>
        <w:tabs>
          <w:tab w:leader="none" w:pos="7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our competitors, many of whom have substantially greater resources than we do and many of whom have made significant investments in competing technologies, may seek or may have already obtained patents that will limit, interfere with, or eliminate our ability to make, use, and sell our potential product candidates; or</w:t>
      </w:r>
    </w:p>
    <w:p>
      <w:pPr>
        <w:spacing w:after="0" w:line="184" w:lineRule="exact"/>
        <w:rPr>
          <w:rFonts w:ascii="Arial" w:cs="Arial" w:eastAsia="Arial" w:hAnsi="Arial"/>
          <w:sz w:val="16"/>
          <w:szCs w:val="16"/>
          <w:color w:val="auto"/>
        </w:rPr>
      </w:pPr>
    </w:p>
    <w:p>
      <w:pPr>
        <w:ind w:left="760" w:right="100" w:hanging="378"/>
        <w:spacing w:after="0" w:line="328" w:lineRule="auto"/>
        <w:tabs>
          <w:tab w:leader="none" w:pos="760" w:val="left"/>
        </w:tabs>
        <w:numPr>
          <w:ilvl w:val="0"/>
          <w:numId w:val="40"/>
        </w:numPr>
        <w:rPr>
          <w:rFonts w:ascii="Arial" w:cs="Arial" w:eastAsia="Arial" w:hAnsi="Arial"/>
          <w:sz w:val="15"/>
          <w:szCs w:val="15"/>
          <w:color w:val="auto"/>
        </w:rPr>
      </w:pPr>
      <w:r>
        <w:rPr>
          <w:rFonts w:ascii="Arial" w:cs="Arial" w:eastAsia="Arial" w:hAnsi="Arial"/>
          <w:sz w:val="15"/>
          <w:szCs w:val="15"/>
          <w:color w:val="auto"/>
        </w:rPr>
        <w:t>there may be significant pressure on the U.S. government and international governmental bodies to limit the scope of available patent protection both inside and outside the United States for disease treatments that prove successful, as a matter of public policy regarding worldwide health concerns.</w:t>
      </w:r>
    </w:p>
    <w:p>
      <w:pPr>
        <w:spacing w:after="0" w:line="150" w:lineRule="exact"/>
        <w:rPr>
          <w:sz w:val="20"/>
          <w:szCs w:val="20"/>
          <w:color w:val="auto"/>
        </w:rPr>
      </w:pPr>
    </w:p>
    <w:p>
      <w:pPr>
        <w:ind w:firstLine="749"/>
        <w:spacing w:after="0" w:line="203" w:lineRule="exact"/>
        <w:rPr>
          <w:sz w:val="20"/>
          <w:szCs w:val="20"/>
          <w:color w:val="auto"/>
        </w:rPr>
      </w:pPr>
      <w:r>
        <w:rPr>
          <w:rFonts w:ascii="Arial" w:cs="Arial" w:eastAsia="Arial" w:hAnsi="Arial"/>
          <w:sz w:val="15"/>
          <w:szCs w:val="15"/>
          <w:color w:val="auto"/>
        </w:rPr>
        <w:t>Patents have a limited lifespan. In most countries, including the United States, the expiration of a patent is typically 20 years from the date that the application for the patent is filed. Various extensions of patent term may be available in particular countries; however, in all circumstances the life of a patent, and the protection it affords, has a limited term. If we encounter delays in obtaining regulatory approvals, the period of time during which we could market a product under patent protection could be reduced. We expect to seek extensions of patent terms where these are available in any countries where we are prosecuting patents. Such possible extensions include those permitted under the Drug Price Competition and Patent Term Restoration Act of 1984 in the United States, which permits a patent term extension of up to five years to cover an FDA</w:t>
      </w:r>
      <w:r>
        <w:rPr>
          <w:rFonts w:ascii="MS PGothic" w:cs="MS PGothic" w:eastAsia="MS PGothic" w:hAnsi="MS PGothic"/>
          <w:sz w:val="15"/>
          <w:szCs w:val="15"/>
          <w:color w:val="auto"/>
        </w:rPr>
        <w:t>‑</w:t>
      </w:r>
      <w:r>
        <w:rPr>
          <w:rFonts w:ascii="Arial" w:cs="Arial" w:eastAsia="Arial" w:hAnsi="Arial"/>
          <w:sz w:val="15"/>
          <w:szCs w:val="15"/>
          <w:color w:val="auto"/>
        </w:rPr>
        <w:t>approved product. The actual length of the extension will depend on the amount of patent term lost while the product was in clinical trials. However, the applicable authorities, including the U.S. Patent and Trademark Office, or USPTO and the FDA in the United States, and any equivalent regulatory authority in other countries, may not agree with our assessment of whether such extensions are available, and may refuse to grant extensions to our patents, or may grant more limited extensions than we request. If this occurs, our competitors may be able to take advantage of our investment in development and clinical trials by referencing our clinical and preclinical data, and then may be able to launch their product earlier than might otherwise be the case.</w:t>
      </w:r>
    </w:p>
    <w:p>
      <w:pPr>
        <w:spacing w:after="0" w:line="214" w:lineRule="exact"/>
        <w:rPr>
          <w:sz w:val="20"/>
          <w:szCs w:val="20"/>
          <w:color w:val="auto"/>
        </w:rPr>
      </w:pPr>
    </w:p>
    <w:p>
      <w:pPr>
        <w:ind w:right="440"/>
        <w:spacing w:after="0" w:line="293" w:lineRule="auto"/>
        <w:rPr>
          <w:sz w:val="20"/>
          <w:szCs w:val="20"/>
          <w:color w:val="auto"/>
        </w:rPr>
      </w:pPr>
      <w:r>
        <w:rPr>
          <w:rFonts w:ascii="Arial" w:cs="Arial" w:eastAsia="Arial" w:hAnsi="Arial"/>
          <w:sz w:val="16"/>
          <w:szCs w:val="16"/>
          <w:b w:val="1"/>
          <w:bCs w:val="1"/>
          <w:i w:val="1"/>
          <w:iCs w:val="1"/>
          <w:color w:val="auto"/>
        </w:rPr>
        <w:t>Patent reform legislation could increase the uncertainties and costs surrounding the prosecution of our patent applications and the enforcement or defense of our issued patents.</w:t>
      </w:r>
    </w:p>
    <w:p>
      <w:pPr>
        <w:spacing w:after="0" w:line="172" w:lineRule="exact"/>
        <w:rPr>
          <w:sz w:val="20"/>
          <w:szCs w:val="20"/>
          <w:color w:val="auto"/>
        </w:rPr>
      </w:pPr>
    </w:p>
    <w:p>
      <w:pPr>
        <w:ind w:right="100" w:firstLine="749"/>
        <w:spacing w:after="0" w:line="269" w:lineRule="auto"/>
        <w:rPr>
          <w:sz w:val="20"/>
          <w:szCs w:val="20"/>
          <w:color w:val="auto"/>
        </w:rPr>
      </w:pPr>
      <w:r>
        <w:rPr>
          <w:rFonts w:ascii="Arial" w:cs="Arial" w:eastAsia="Arial" w:hAnsi="Arial"/>
          <w:sz w:val="16"/>
          <w:szCs w:val="16"/>
          <w:color w:val="auto"/>
        </w:rPr>
        <w:t>On September 16, 2011, the Leahy-Smith America Invents Act, or the Leahy-Smith Act, was signed into law. The Leahy-Smith Act includes a number of significant changes to U.S. patent law. These include provisions that affect the way patent applications are prosecuted and may also affect patent litigation. In particular, under the Leahy-Smith Act, the United States transitioned in March 2013 to a "first to file" system in which the first inventor to file a patent application will be entitled to the patent. Third parties are allowed to submit prior art before the issuance of a patent by the USPTO and may become involved in post-grant proceedings including reexamination, post-grant review, inter-partes review, or derivation or interference proceedings challenging our patent rights or the patent rights of others. An adverse determination in any such submission, proceeding, or litigation could reduce the scope or enforceability of, or invalidate, our patent rights, which could adversely affect our competitive position.</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78" w:name="page79"/>
    <w:bookmarkEnd w:id="78"/>
    <w:p>
      <w:pPr>
        <w:spacing w:after="0"/>
        <w:rPr>
          <w:sz w:val="20"/>
          <w:szCs w:val="20"/>
          <w:color w:val="auto"/>
        </w:rPr>
      </w:pPr>
      <w:r>
        <w:rPr>
          <w:rFonts w:ascii="Arial" w:cs="Arial" w:eastAsia="Arial" w:hAnsi="Arial"/>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3025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30250" cy="8255"/>
                    </a:xfrm>
                    <a:prstGeom prst="rect">
                      <a:avLst/>
                    </a:prstGeom>
                    <a:noFill/>
                  </pic:spPr>
                </pic:pic>
              </a:graphicData>
            </a:graphic>
          </wp:anchor>
        </w:drawing>
      </w:r>
    </w:p>
    <w:p>
      <w:pPr>
        <w:spacing w:after="0" w:line="215" w:lineRule="exact"/>
        <w:rPr>
          <w:sz w:val="20"/>
          <w:szCs w:val="20"/>
          <w:color w:val="auto"/>
        </w:rPr>
      </w:pPr>
    </w:p>
    <w:p>
      <w:pPr>
        <w:ind w:right="400"/>
        <w:spacing w:after="0" w:line="328" w:lineRule="auto"/>
        <w:rPr>
          <w:sz w:val="20"/>
          <w:szCs w:val="20"/>
          <w:color w:val="auto"/>
        </w:rPr>
      </w:pPr>
      <w:r>
        <w:rPr>
          <w:rFonts w:ascii="Arial" w:cs="Arial" w:eastAsia="Arial" w:hAnsi="Arial"/>
          <w:sz w:val="15"/>
          <w:szCs w:val="15"/>
          <w:b w:val="1"/>
          <w:bCs w:val="1"/>
          <w:i w:val="1"/>
          <w:iCs w:val="1"/>
          <w:color w:val="auto"/>
        </w:rPr>
        <w:t>Obtaining and maintaining our patent protection depends on compliance with various procedural, documentary, fee payment, and other requirements imposed by governmental patent agencies, and our patent protection could be reduced or eliminated for noncompliance with these requirements.</w:t>
      </w:r>
    </w:p>
    <w:p>
      <w:pPr>
        <w:spacing w:after="0" w:line="150" w:lineRule="exact"/>
        <w:rPr>
          <w:sz w:val="20"/>
          <w:szCs w:val="20"/>
          <w:color w:val="auto"/>
        </w:rPr>
      </w:pPr>
    </w:p>
    <w:p>
      <w:pPr>
        <w:ind w:right="40" w:firstLine="749"/>
        <w:spacing w:after="0" w:line="203" w:lineRule="exact"/>
        <w:rPr>
          <w:sz w:val="20"/>
          <w:szCs w:val="20"/>
          <w:color w:val="auto"/>
        </w:rPr>
      </w:pPr>
      <w:r>
        <w:rPr>
          <w:rFonts w:ascii="Arial" w:cs="Arial" w:eastAsia="Arial" w:hAnsi="Arial"/>
          <w:sz w:val="14"/>
          <w:szCs w:val="14"/>
          <w:color w:val="auto"/>
        </w:rPr>
        <w:t>The USPTO and various foreign governmental patent agencies require compliance with a number of procedural, documentary, fee payment, and other similar provisions during the patent prosecution process. Periodic maintenance fees, renewal fees, annuity fees, and various other governmental fees on patents or patent applications will be due to be paid to the USPTO and various patent agencies outside of the United States in several stages over the lifetime of the patents and applications. We have systems in place to remind us to pay these fees, and we employ and rely on reputable law firms and other professionals to effect payment of these fees to the USPTO and non</w:t>
      </w:r>
      <w:r>
        <w:rPr>
          <w:rFonts w:ascii="MS PGothic" w:cs="MS PGothic" w:eastAsia="MS PGothic" w:hAnsi="MS PGothic"/>
          <w:sz w:val="14"/>
          <w:szCs w:val="14"/>
          <w:color w:val="auto"/>
        </w:rPr>
        <w:t>‑</w:t>
      </w:r>
      <w:r>
        <w:rPr>
          <w:rFonts w:ascii="Arial" w:cs="Arial" w:eastAsia="Arial" w:hAnsi="Arial"/>
          <w:sz w:val="14"/>
          <w:szCs w:val="14"/>
          <w:color w:val="auto"/>
        </w:rPr>
        <w:t>U.S. patent agencies for the patents and patent applications we own and those that we in</w:t>
      </w:r>
      <w:r>
        <w:rPr>
          <w:rFonts w:ascii="MS PGothic" w:cs="MS PGothic" w:eastAsia="MS PGothic" w:hAnsi="MS PGothic"/>
          <w:sz w:val="14"/>
          <w:szCs w:val="14"/>
          <w:color w:val="auto"/>
        </w:rPr>
        <w:t>‑</w:t>
      </w:r>
      <w:r>
        <w:rPr>
          <w:rFonts w:ascii="Arial" w:cs="Arial" w:eastAsia="Arial" w:hAnsi="Arial"/>
          <w:sz w:val="14"/>
          <w:szCs w:val="14"/>
          <w:color w:val="auto"/>
        </w:rPr>
        <w:t>license. We also employ reputable law firms and other professionals to help us comply with the various documentary and other procedural requirements with respect to the patents and patent applications that we own and those that we in</w:t>
      </w:r>
      <w:r>
        <w:rPr>
          <w:rFonts w:ascii="MS PGothic" w:cs="MS PGothic" w:eastAsia="MS PGothic" w:hAnsi="MS PGothic"/>
          <w:sz w:val="14"/>
          <w:szCs w:val="14"/>
          <w:color w:val="auto"/>
        </w:rPr>
        <w:t>‑</w:t>
      </w:r>
      <w:r>
        <w:rPr>
          <w:rFonts w:ascii="Arial" w:cs="Arial" w:eastAsia="Arial" w:hAnsi="Arial"/>
          <w:sz w:val="14"/>
          <w:szCs w:val="14"/>
          <w:color w:val="auto"/>
        </w:rPr>
        <w:t>license. In some cases, an inadvertent lapse can be cured by payment of a late fee or by other means in accordance with the applicable rules. However, there are situations in which noncompliance can result in abandonment or lapse of the patent or patent application, resulting in partial or complete loss of patent rights in the relevant jurisdiction. In such an event, our competitors might be able to enter the market and this circumstance would have a material adverse effect on our business.</w:t>
      </w:r>
    </w:p>
    <w:p>
      <w:pPr>
        <w:spacing w:after="0" w:line="215"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b w:val="1"/>
          <w:bCs w:val="1"/>
          <w:i w:val="1"/>
          <w:iCs w:val="1"/>
          <w:color w:val="auto"/>
        </w:rPr>
        <w:t>If we or any future collaboration partner are sued for infringing intellectual property rights of third parties, it will be costly and time consuming, and an unfavorable outcome in any litigation would harm our business.</w:t>
      </w:r>
    </w:p>
    <w:p>
      <w:pPr>
        <w:spacing w:after="0" w:line="172" w:lineRule="exact"/>
        <w:rPr>
          <w:sz w:val="20"/>
          <w:szCs w:val="20"/>
          <w:color w:val="auto"/>
        </w:rPr>
      </w:pPr>
    </w:p>
    <w:p>
      <w:pPr>
        <w:ind w:firstLine="749"/>
        <w:spacing w:after="0" w:line="286" w:lineRule="auto"/>
        <w:rPr>
          <w:sz w:val="20"/>
          <w:szCs w:val="20"/>
          <w:color w:val="auto"/>
        </w:rPr>
      </w:pPr>
      <w:r>
        <w:rPr>
          <w:rFonts w:ascii="Arial" w:cs="Arial" w:eastAsia="Arial" w:hAnsi="Arial"/>
          <w:sz w:val="15"/>
          <w:szCs w:val="15"/>
          <w:color w:val="auto"/>
        </w:rPr>
        <w:t>Our ability to develop, manufacture, market, and sell any of our current and future products depends upon our ability to avoid infringing the proprietary rights of third parties, and our commercial success depends upon our ability, and the ability of our collaborators, to develop, manufacture, market, and sell our products and use our proprietary technologies without infringing the proprietary rights of third parties. There is considerable intellectual property litigation in the biotechnology and pharmaceutical industries. Numerous U.S. and foreign issued patents and pending patent applications owned by third parties, exist in the general field of treatment and management of CNS disorders and cover the use of numerous compounds and formulations in our targeted markets. Third parties may assert infringement claims against us based on existing patents or patents that may be granted in the future. Because of the uncertainty inherent in any patent or other litigation involving proprietary rights, we and our licensors may not be successful in defending intellectual property claims by third parties, which could have a material adverse effect on our business, financial condition, results of operations, and prospects. Regardless of the outcome of any litigation, defending against litigation may be expensive, time consuming, and distracting to management. In addition, because patent applications can take many years to issue, there may be currently pending applications, unknown to us, which may later result in issued patents that any of our current or future products may infringe. There could also be existing patents of which we are not aware that any of our current or future products may inadvertently infringe.</w:t>
      </w:r>
    </w:p>
    <w:p>
      <w:pPr>
        <w:spacing w:after="0" w:line="183" w:lineRule="exact"/>
        <w:rPr>
          <w:sz w:val="20"/>
          <w:szCs w:val="20"/>
          <w:color w:val="auto"/>
        </w:rPr>
      </w:pPr>
    </w:p>
    <w:p>
      <w:pPr>
        <w:ind w:left="760"/>
        <w:spacing w:after="0"/>
        <w:rPr>
          <w:sz w:val="20"/>
          <w:szCs w:val="20"/>
          <w:color w:val="auto"/>
        </w:rPr>
      </w:pPr>
      <w:r>
        <w:rPr>
          <w:rFonts w:ascii="Arial" w:cs="Arial" w:eastAsia="Arial" w:hAnsi="Arial"/>
          <w:sz w:val="16"/>
          <w:szCs w:val="16"/>
          <w:color w:val="auto"/>
        </w:rPr>
        <w:t>If a third-party claims that we infringe their intellectual property rights, we could face a number of issues, including:</w:t>
      </w:r>
    </w:p>
    <w:p>
      <w:pPr>
        <w:spacing w:after="0" w:line="235" w:lineRule="exact"/>
        <w:rPr>
          <w:sz w:val="20"/>
          <w:szCs w:val="20"/>
          <w:color w:val="auto"/>
        </w:rPr>
      </w:pPr>
    </w:p>
    <w:p>
      <w:pPr>
        <w:ind w:left="760" w:right="720" w:hanging="378"/>
        <w:spacing w:after="0" w:line="293" w:lineRule="auto"/>
        <w:tabs>
          <w:tab w:leader="none" w:pos="7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infringement and other intellectual property claims which, whether meritorious or not, can be expensive and time consuming to litigate and can divert management’s attention from our core business;</w:t>
      </w:r>
    </w:p>
    <w:p>
      <w:pPr>
        <w:spacing w:after="0" w:line="171" w:lineRule="exact"/>
        <w:rPr>
          <w:rFonts w:ascii="Arial" w:cs="Arial" w:eastAsia="Arial" w:hAnsi="Arial"/>
          <w:sz w:val="16"/>
          <w:szCs w:val="16"/>
          <w:color w:val="auto"/>
        </w:rPr>
      </w:pPr>
    </w:p>
    <w:p>
      <w:pPr>
        <w:ind w:left="760" w:hanging="378"/>
        <w:spacing w:after="0"/>
        <w:tabs>
          <w:tab w:leader="none" w:pos="7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substantial damages for past infringement which we may have to pay if a court decides that our product infringes on a competitor’s patent;</w:t>
      </w:r>
    </w:p>
    <w:p>
      <w:pPr>
        <w:spacing w:after="0" w:line="234" w:lineRule="exact"/>
        <w:rPr>
          <w:rFonts w:ascii="Arial" w:cs="Arial" w:eastAsia="Arial" w:hAnsi="Arial"/>
          <w:sz w:val="16"/>
          <w:szCs w:val="16"/>
          <w:color w:val="auto"/>
        </w:rPr>
      </w:pPr>
    </w:p>
    <w:p>
      <w:pPr>
        <w:ind w:left="760" w:hanging="378"/>
        <w:spacing w:after="0"/>
        <w:tabs>
          <w:tab w:leader="none" w:pos="7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a court prohibiting us from selling or licensing our product unless the patent holder licenses the patent to us, which it would not be required to do;</w:t>
      </w:r>
    </w:p>
    <w:p>
      <w:pPr>
        <w:spacing w:after="0" w:line="234" w:lineRule="exact"/>
        <w:rPr>
          <w:rFonts w:ascii="Arial" w:cs="Arial" w:eastAsia="Arial" w:hAnsi="Arial"/>
          <w:sz w:val="16"/>
          <w:szCs w:val="16"/>
          <w:color w:val="auto"/>
        </w:rPr>
      </w:pPr>
    </w:p>
    <w:p>
      <w:pPr>
        <w:ind w:left="760" w:hanging="378"/>
        <w:spacing w:after="0"/>
        <w:tabs>
          <w:tab w:leader="none" w:pos="7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if a license is available from a patent holder, we may have to pay substantial royalties or grant cross licenses to our patents; and</w:t>
      </w:r>
    </w:p>
    <w:p>
      <w:pPr>
        <w:spacing w:after="0" w:line="234" w:lineRule="exact"/>
        <w:rPr>
          <w:rFonts w:ascii="Arial" w:cs="Arial" w:eastAsia="Arial" w:hAnsi="Arial"/>
          <w:sz w:val="16"/>
          <w:szCs w:val="16"/>
          <w:color w:val="auto"/>
        </w:rPr>
      </w:pPr>
    </w:p>
    <w:p>
      <w:pPr>
        <w:ind w:left="760" w:hanging="378"/>
        <w:spacing w:after="0"/>
        <w:tabs>
          <w:tab w:leader="none" w:pos="7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redesigning our products and processes so they do not infringe, which may not be possible or could require substantial funds and time.</w:t>
      </w:r>
    </w:p>
    <w:p>
      <w:pPr>
        <w:spacing w:after="0" w:line="2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0" w:right="399" w:bottom="1440" w:gutter="0" w:footer="0" w:header="0"/>
        </w:sectPr>
      </w:pPr>
    </w:p>
    <w:bookmarkStart w:id="79" w:name="page80"/>
    <w:bookmarkEnd w:id="79"/>
    <w:p>
      <w:pPr>
        <w:spacing w:after="0"/>
        <w:rPr>
          <w:sz w:val="20"/>
          <w:szCs w:val="20"/>
          <w:color w:val="auto"/>
        </w:rPr>
      </w:pPr>
      <w:r>
        <w:rPr>
          <w:rFonts w:ascii="Arial" w:cs="Arial" w:eastAsia="Arial" w:hAnsi="Arial"/>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3025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30250" cy="8255"/>
                    </a:xfrm>
                    <a:prstGeom prst="rect">
                      <a:avLst/>
                    </a:prstGeom>
                    <a:noFill/>
                  </pic:spPr>
                </pic:pic>
              </a:graphicData>
            </a:graphic>
          </wp:anchor>
        </w:drawing>
      </w:r>
    </w:p>
    <w:p>
      <w:pPr>
        <w:spacing w:after="0" w:line="215" w:lineRule="exact"/>
        <w:rPr>
          <w:sz w:val="20"/>
          <w:szCs w:val="20"/>
          <w:color w:val="auto"/>
        </w:rPr>
      </w:pPr>
    </w:p>
    <w:p>
      <w:pPr>
        <w:ind w:right="20" w:firstLine="749"/>
        <w:spacing w:after="0" w:line="203" w:lineRule="exact"/>
        <w:rPr>
          <w:sz w:val="20"/>
          <w:szCs w:val="20"/>
          <w:color w:val="auto"/>
        </w:rPr>
      </w:pPr>
      <w:r>
        <w:rPr>
          <w:rFonts w:ascii="Arial" w:cs="Arial" w:eastAsia="Arial" w:hAnsi="Arial"/>
          <w:sz w:val="15"/>
          <w:szCs w:val="15"/>
          <w:color w:val="auto"/>
        </w:rPr>
        <w:t>If we are found to infringe a third-party’s intellectual property rights, we could be required to obtain a license from such third-party to continue developing and marketing our products and technology. However, we may not be able to obtain any required license on commercially reasonable terms, or at all. Even if we were able to obtain a license, it could be non</w:t>
      </w:r>
      <w:r>
        <w:rPr>
          <w:rFonts w:ascii="MS PGothic" w:cs="MS PGothic" w:eastAsia="MS PGothic" w:hAnsi="MS PGothic"/>
          <w:sz w:val="15"/>
          <w:szCs w:val="15"/>
          <w:color w:val="auto"/>
        </w:rPr>
        <w:t>‑</w:t>
      </w:r>
      <w:r>
        <w:rPr>
          <w:rFonts w:ascii="Arial" w:cs="Arial" w:eastAsia="Arial" w:hAnsi="Arial"/>
          <w:sz w:val="15"/>
          <w:szCs w:val="15"/>
          <w:color w:val="auto"/>
        </w:rPr>
        <w:t>exclusive, thereby giving our competitors access to the same technologies licensed to us. We could be forced, including by court order, to cease commercializing the infringing technology or product. In addition, we could be found liable for monetary damages, including treble damages and attorneys’ fees if we are found to have willfully infringed a patent. A finding of infringement could prevent us from commercializing our products or force us to cease some of our business operations, which could materially harm our business. Claims that we have misappropriated the confidential information or trade secrets of third parties could have a similar negative impact on our business, financial condition, results of operations, and prospects.</w:t>
      </w:r>
    </w:p>
    <w:p>
      <w:pPr>
        <w:spacing w:after="0" w:line="21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be involved in lawsuits to protect or enforce our patents or the patents of our licensors, which could be expensive, time consuming, and unsuccessful.</w:t>
      </w:r>
    </w:p>
    <w:p>
      <w:pPr>
        <w:spacing w:after="0" w:line="258" w:lineRule="exact"/>
        <w:rPr>
          <w:sz w:val="20"/>
          <w:szCs w:val="20"/>
          <w:color w:val="auto"/>
        </w:rPr>
      </w:pPr>
    </w:p>
    <w:p>
      <w:pPr>
        <w:ind w:right="40" w:firstLine="749"/>
        <w:spacing w:after="0" w:line="288" w:lineRule="auto"/>
        <w:rPr>
          <w:sz w:val="20"/>
          <w:szCs w:val="20"/>
          <w:color w:val="auto"/>
        </w:rPr>
      </w:pPr>
      <w:r>
        <w:rPr>
          <w:rFonts w:ascii="Arial" w:cs="Arial" w:eastAsia="Arial" w:hAnsi="Arial"/>
          <w:sz w:val="15"/>
          <w:szCs w:val="15"/>
          <w:color w:val="auto"/>
        </w:rPr>
        <w:t>Competitors may infringe our issued patents, our in-licensed patents, or other intellectual property that we own or in-license. Under the terms of our license agreements with Antecip, if we believe a third-party is infringing on the patents subject to the licenses, we are obligated, at our own expense, to initiate suit against those third parties. To counter infringement or unauthorized use, we may be required to file infringement claims, which can be expensive and time consuming. Any claims we assert against perceived infringers could provoke these parties to assert counterclaims against us alleging that we infringe their patents. In addition, in a patent infringement proceeding, a court may decide that a patent of ours is invalid or unenforceable, in whole or in part; construe the patent’s claims narrowly; or refuse to stop the other party from using the technology at issue on the grounds that our patents do not cover the technology in question. An adverse result in any litigation proceeding could put one or more of our patents at risk of being invalidated or interpreted narrowly. Furthermore, because of the substantial amount of discovery required in connection with intellectual property litigation, there is a risk that some of our confidential information could be compromised by disclosure during this type of litigation.</w:t>
      </w:r>
    </w:p>
    <w:p>
      <w:pPr>
        <w:spacing w:after="0" w:line="180" w:lineRule="exact"/>
        <w:rPr>
          <w:sz w:val="20"/>
          <w:szCs w:val="20"/>
          <w:color w:val="auto"/>
        </w:rPr>
      </w:pPr>
    </w:p>
    <w:p>
      <w:pPr>
        <w:jc w:val="both"/>
        <w:ind w:right="160" w:firstLine="749"/>
        <w:spacing w:after="0" w:line="273" w:lineRule="auto"/>
        <w:rPr>
          <w:sz w:val="20"/>
          <w:szCs w:val="20"/>
          <w:color w:val="auto"/>
        </w:rPr>
      </w:pPr>
      <w:r>
        <w:rPr>
          <w:rFonts w:ascii="Arial" w:cs="Arial" w:eastAsia="Arial" w:hAnsi="Arial"/>
          <w:sz w:val="16"/>
          <w:szCs w:val="16"/>
          <w:color w:val="auto"/>
        </w:rPr>
        <w:t>Many of our competitors are larger than we are and have substantially greater resources than we do. They are, therefore, likely to be able to sustain the costs of complex patent litigation longer than we could. In addition, the uncertainties associated with litigation could have a material adverse effect on our ability to raise the funds necessary to continue our clinical trials, continue our internal research programs, in-license needed technology, or enter into development partnerships that would help us bring our products to market.</w:t>
      </w:r>
    </w:p>
    <w:p>
      <w:pPr>
        <w:spacing w:after="0" w:line="189" w:lineRule="exact"/>
        <w:rPr>
          <w:sz w:val="20"/>
          <w:szCs w:val="20"/>
          <w:color w:val="auto"/>
        </w:rPr>
      </w:pPr>
    </w:p>
    <w:p>
      <w:pPr>
        <w:ind w:right="240"/>
        <w:spacing w:after="0" w:line="328" w:lineRule="auto"/>
        <w:rPr>
          <w:sz w:val="20"/>
          <w:szCs w:val="20"/>
          <w:color w:val="auto"/>
        </w:rPr>
      </w:pPr>
      <w:r>
        <w:rPr>
          <w:rFonts w:ascii="Arial" w:cs="Arial" w:eastAsia="Arial" w:hAnsi="Arial"/>
          <w:sz w:val="15"/>
          <w:szCs w:val="15"/>
          <w:b w:val="1"/>
          <w:bCs w:val="1"/>
          <w:i w:val="1"/>
          <w:iCs w:val="1"/>
          <w:color w:val="auto"/>
        </w:rPr>
        <w:t>We have licensed and may need to license certain intellectual property from third parties in the future. Such licenses may not be available or may not be available on commercially reasonable terms. Our business may be materially harmed if the licenses are not available or terminated for any reason.</w:t>
      </w:r>
    </w:p>
    <w:p>
      <w:pPr>
        <w:spacing w:after="0" w:line="150" w:lineRule="exact"/>
        <w:rPr>
          <w:sz w:val="20"/>
          <w:szCs w:val="20"/>
          <w:color w:val="auto"/>
        </w:rPr>
      </w:pPr>
    </w:p>
    <w:p>
      <w:pPr>
        <w:ind w:firstLine="749"/>
        <w:spacing w:after="0" w:line="289" w:lineRule="auto"/>
        <w:rPr>
          <w:sz w:val="20"/>
          <w:szCs w:val="20"/>
          <w:color w:val="auto"/>
        </w:rPr>
      </w:pPr>
      <w:r>
        <w:rPr>
          <w:rFonts w:ascii="Arial" w:cs="Arial" w:eastAsia="Arial" w:hAnsi="Arial"/>
          <w:sz w:val="15"/>
          <w:szCs w:val="15"/>
          <w:color w:val="auto"/>
        </w:rPr>
        <w:t>We are a party to certain license agreements under which we are granted rights to intellectual property, including patent rights that are important to our business. We expect that we may need to enter into additional license agreements in the future to commercialize our products, in which case we would be required to obtain a license from additional third parties. Such licenses may not be available on commercially reasonable terms, or at all, which could materially harm our business, financial condition, results of operations, and prospects. We rely on these licenses to use intellectual property that may be material to our business and important or necessary to the development or commercialization of our products. Our existing license agreements impose, and we expect that future license agreements will impose on us, various exclusivity obligations. If we fail to comply with our obligations under these agreements, the applicable licensor may have the right to terminate our license, in which case we may not be able to develop or commercialize the products covered by such license.</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80" w:name="page81"/>
    <w:bookmarkEnd w:id="80"/>
    <w:p>
      <w:pPr>
        <w:spacing w:after="0"/>
        <w:rPr>
          <w:sz w:val="20"/>
          <w:szCs w:val="20"/>
          <w:color w:val="auto"/>
        </w:rPr>
      </w:pPr>
      <w:r>
        <w:rPr>
          <w:rFonts w:ascii="Arial" w:cs="Arial" w:eastAsia="Arial" w:hAnsi="Arial"/>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3025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30250" cy="8255"/>
                    </a:xfrm>
                    <a:prstGeom prst="rect">
                      <a:avLst/>
                    </a:prstGeom>
                    <a:noFill/>
                  </pic:spPr>
                </pic:pic>
              </a:graphicData>
            </a:graphic>
          </wp:anchor>
        </w:drawing>
      </w:r>
    </w:p>
    <w:p>
      <w:pPr>
        <w:spacing w:after="0" w:line="215" w:lineRule="exact"/>
        <w:rPr>
          <w:sz w:val="20"/>
          <w:szCs w:val="20"/>
          <w:color w:val="auto"/>
        </w:rPr>
      </w:pPr>
    </w:p>
    <w:p>
      <w:pPr>
        <w:ind w:right="20" w:firstLine="749"/>
        <w:spacing w:after="0" w:line="284" w:lineRule="auto"/>
        <w:rPr>
          <w:sz w:val="20"/>
          <w:szCs w:val="20"/>
          <w:color w:val="auto"/>
        </w:rPr>
      </w:pPr>
      <w:r>
        <w:rPr>
          <w:rFonts w:ascii="Arial" w:cs="Arial" w:eastAsia="Arial" w:hAnsi="Arial"/>
          <w:sz w:val="15"/>
          <w:szCs w:val="15"/>
          <w:color w:val="auto"/>
        </w:rPr>
        <w:t>In January 2020, we entered into an agreement with Pfizer Inc., or Pfizer, for an exclusive U.S. license to Pfizer’s clinical and nonclinical data, and intellectual property for reboxetine, the active pharmaceutical ingredient in AXS-12 which Axsome is developing for the treatment of narcolepsy. The agreement also provides Axsome exclusive rights to develop and commercialize esreboxetine, a new late-stage product candidate now referred to as AXS-14, in the U.S. for the treatment of fibromyalgia. Under the terms of the agreement, we received from Pfizer an exclusive U.S. license to Pfizer data for reboxetine and esreboxetine encompassing a full range of nonclinical studies, and short-term and long-term clinical trials involving more than five thousand patients. The licensed data includes results of a positive Phase 3 trial and a positive Phase 2 trial of esreboxetine in the treatment of fibromyalgia. We will have the exclusive right and sole responsibility of developing AXS-14 (esreboxetine) in the U.S. for the treatment of fibromyalgia and for other indications. Pfizer received 82,019 shares of our common stock having a value of $8.0 million, based on the average closing price of our common stock for the 10 prior trading days of $97.538, in consideration for the license and rights. Pfizer also received an upfront cash payment of $3.0 million and will receive up to $323 million in regulatory and sales milestones, and tiered mid-single to low double-digit royalties on future sales. Pfizer will also have a right of first negotiation on any potential future strategic transactions involving AXS-12 and AXS-14. Under the agreement, we are obligated to use commercially reasonable efforts to develop, manufacture and commercialize the compounds and products in the United States and to seek and maintain regulatory approvals for the compounds and products. The agreement will expire on a product-by-product basis upon expiration of the last-to-expire royalty term for such product. On expiration (but not earlier termination), we will have a perpetual, non-exclusive, fully paid, royalty-free and irrevocable license under the licensed patent rights and related data to develop, manufacture, use, commercialize and otherwise exploit the compounds. Either party may terminate the agreement for the other party’s material breach following a cure period. Pfizer may immediately terminate the agreement upon certain insolvency events relating to us. We may terminate the agreement for any reason upon ninety days written notice to Pfizer at any time after the first anniversary of the agreement. If the license agreement with Pfizer is terminated for any reason, our business, financial condition, results of operations, and prospects will be materially harmed.</w:t>
      </w:r>
    </w:p>
    <w:p>
      <w:pPr>
        <w:spacing w:after="0" w:line="189" w:lineRule="exact"/>
        <w:rPr>
          <w:sz w:val="20"/>
          <w:szCs w:val="20"/>
          <w:color w:val="auto"/>
        </w:rPr>
      </w:pPr>
    </w:p>
    <w:p>
      <w:pPr>
        <w:ind w:right="20" w:firstLine="749"/>
        <w:spacing w:after="0" w:line="203" w:lineRule="exact"/>
        <w:rPr>
          <w:sz w:val="20"/>
          <w:szCs w:val="20"/>
          <w:color w:val="auto"/>
        </w:rPr>
      </w:pPr>
      <w:r>
        <w:rPr>
          <w:rFonts w:ascii="Arial" w:cs="Arial" w:eastAsia="Arial" w:hAnsi="Arial"/>
          <w:sz w:val="15"/>
          <w:szCs w:val="15"/>
          <w:color w:val="auto"/>
        </w:rPr>
        <w:t>In 2012, we entered into three exclusive license agreements with Antecip Bioventures II LLC, or Antecip, an entity owned by our Chief Executive Officer and Chairman of the Board, Herriot Tabuteau, M.D., in which we were granted exclusive licenses to develop, manufacture, and commercialize Antecip’s patents and applications related to the development of AXS-05, as well as two product candidates that are not currently in development, anywhere in the world for human therapeutic, veterinary, and diagnostic use. The agreements were amended in August 2015 to update the schedule of patents and applications subject to the license agreements. Pursuant to the agreements, we are required to use commercially reasonable efforts to develop, obtain regulatory approval for, and commercialize AXS-05. Under the terms of the agreements, we are required to pay to Antecip a royalty equal to 3.0% for AXS-05, of net sales of products containing the licensed technology by us, our affiliates, or permitted sublicensees. These royalty payments are subject to reduction by an amount up to 50.0% of any required payments to third parties. Unless earlier terminated by a party for cause or by us for convenience, the agreements remain in effect on a product-by-product and country-by-country basis until the later to occur of (1) the applicable product is no longer covered by a valid claim in that country or (2) 10 years from the first commercial sale of the applicable product in that country. Upon expiration of the agreements with respect to a product in a country, our license grant for that product in that country will become a fully paid up, royalty free, perpetual non</w:t>
      </w:r>
      <w:r>
        <w:rPr>
          <w:rFonts w:ascii="MS PGothic" w:cs="MS PGothic" w:eastAsia="MS PGothic" w:hAnsi="MS PGothic"/>
          <w:sz w:val="15"/>
          <w:szCs w:val="15"/>
          <w:color w:val="auto"/>
        </w:rPr>
        <w:t>‑</w:t>
      </w:r>
      <w:r>
        <w:rPr>
          <w:rFonts w:ascii="Arial" w:cs="Arial" w:eastAsia="Arial" w:hAnsi="Arial"/>
          <w:sz w:val="15"/>
          <w:szCs w:val="15"/>
          <w:color w:val="auto"/>
        </w:rPr>
        <w:t>exclusive license. If Antecip terminates any of the agreements for cause, or if we exercise our right to terminate any of the agreements for convenience, the rights granted to us under such terminated agreement will revert to Antecip. We are dependent upon the license agreements with Antecip and if any of the license agreements with Antecip are terminated for any reason, our business, financial condition, results of operations, and prospects will be materially harmed.</w:t>
      </w:r>
    </w:p>
    <w:p>
      <w:pPr>
        <w:spacing w:after="0" w:line="214" w:lineRule="exact"/>
        <w:rPr>
          <w:sz w:val="20"/>
          <w:szCs w:val="20"/>
          <w:color w:val="auto"/>
        </w:rPr>
      </w:pPr>
    </w:p>
    <w:p>
      <w:pPr>
        <w:ind w:firstLine="749"/>
        <w:spacing w:after="0" w:line="271" w:lineRule="auto"/>
        <w:rPr>
          <w:sz w:val="20"/>
          <w:szCs w:val="20"/>
          <w:color w:val="auto"/>
        </w:rPr>
      </w:pPr>
      <w:r>
        <w:rPr>
          <w:rFonts w:ascii="Arial" w:cs="Arial" w:eastAsia="Arial" w:hAnsi="Arial"/>
          <w:sz w:val="16"/>
          <w:szCs w:val="16"/>
          <w:color w:val="auto"/>
        </w:rPr>
        <w:t>In connection with the acquisition of Sunosi, in addition to the upfront purchase price, we assumed certain liabilities in connection with the acquisition and agreed to make non-refundable, non-creditable royalty payments to Jazz on U.S. net sales. There are no royalty payments due to Jazz for net sales outside of the U.S. In addition, we assumed all of the commitments of Jazz to SK and Aerial. The assumed commitments to SK and Aerial include single-digit tiered royalties and certain sales and development milestones. We are dependent on these agreements, and if we breach these agreements, our business, financial condition, results of operations, and prospects will be materially harmed.</w:t>
      </w:r>
    </w:p>
    <w:p>
      <w:pPr>
        <w:spacing w:after="0" w:line="190" w:lineRule="exact"/>
        <w:rPr>
          <w:sz w:val="20"/>
          <w:szCs w:val="20"/>
          <w:color w:val="auto"/>
        </w:rPr>
      </w:pPr>
    </w:p>
    <w:p>
      <w:pPr>
        <w:ind w:right="620"/>
        <w:spacing w:after="0" w:line="293" w:lineRule="auto"/>
        <w:rPr>
          <w:sz w:val="20"/>
          <w:szCs w:val="20"/>
          <w:color w:val="auto"/>
        </w:rPr>
      </w:pPr>
      <w:r>
        <w:rPr>
          <w:rFonts w:ascii="Arial" w:cs="Arial" w:eastAsia="Arial" w:hAnsi="Arial"/>
          <w:sz w:val="16"/>
          <w:szCs w:val="16"/>
          <w:b w:val="1"/>
          <w:bCs w:val="1"/>
          <w:i w:val="1"/>
          <w:iCs w:val="1"/>
          <w:color w:val="auto"/>
        </w:rPr>
        <w:t>We may be subject to claims that our employees, independent contractors, or consultants have wrongfully used or disclosed alleged trade secrets of their former employers or other third parties.</w:t>
      </w:r>
    </w:p>
    <w:p>
      <w:pPr>
        <w:spacing w:after="0" w:line="172" w:lineRule="exact"/>
        <w:rPr>
          <w:sz w:val="20"/>
          <w:szCs w:val="20"/>
          <w:color w:val="auto"/>
        </w:rPr>
      </w:pPr>
    </w:p>
    <w:p>
      <w:pPr>
        <w:ind w:right="120" w:firstLine="749"/>
        <w:spacing w:after="0" w:line="324" w:lineRule="auto"/>
        <w:rPr>
          <w:sz w:val="20"/>
          <w:szCs w:val="20"/>
          <w:color w:val="auto"/>
        </w:rPr>
      </w:pPr>
      <w:r>
        <w:rPr>
          <w:rFonts w:ascii="Arial" w:cs="Arial" w:eastAsia="Arial" w:hAnsi="Arial"/>
          <w:sz w:val="14"/>
          <w:szCs w:val="14"/>
          <w:color w:val="auto"/>
        </w:rPr>
        <w:t>As is common in the biotechnology and pharmaceutical industry, we employ individuals who were previously employed at other biotechnology or pharmaceutical companies, including our competitors or potential competitors. Although no claims against us are currently pending, we may be subject to claims that these individuals or we have inadvertently or otherwise used or disclosed trade secrets or other proprietary information of their former employers. Litigation may be necessary to defend against these claims. Even if we are successful in defending against these claims, litigation could result in substantial costs and be a distraction to management.</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81" w:name="page82"/>
    <w:bookmarkEnd w:id="81"/>
    <w:p>
      <w:pPr>
        <w:spacing w:after="0"/>
        <w:rPr>
          <w:sz w:val="20"/>
          <w:szCs w:val="20"/>
          <w:color w:val="auto"/>
        </w:rPr>
      </w:pPr>
      <w:r>
        <w:rPr>
          <w:rFonts w:ascii="Arial" w:cs="Arial" w:eastAsia="Arial" w:hAnsi="Arial"/>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3025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30250" cy="8255"/>
                    </a:xfrm>
                    <a:prstGeom prst="rect">
                      <a:avLst/>
                    </a:prstGeom>
                    <a:noFill/>
                  </pic:spPr>
                </pic:pic>
              </a:graphicData>
            </a:graphic>
          </wp:anchor>
        </w:drawing>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be unable to adequately prevent disclosure of trade secrets and other proprietary information.</w:t>
      </w:r>
    </w:p>
    <w:p>
      <w:pPr>
        <w:spacing w:after="0" w:line="235" w:lineRule="exact"/>
        <w:rPr>
          <w:sz w:val="20"/>
          <w:szCs w:val="20"/>
          <w:color w:val="auto"/>
        </w:rPr>
      </w:pPr>
    </w:p>
    <w:p>
      <w:pPr>
        <w:ind w:firstLine="749"/>
        <w:spacing w:after="0" w:line="203" w:lineRule="exact"/>
        <w:rPr>
          <w:sz w:val="20"/>
          <w:szCs w:val="20"/>
          <w:color w:val="auto"/>
        </w:rPr>
      </w:pPr>
      <w:r>
        <w:rPr>
          <w:rFonts w:ascii="Arial" w:cs="Arial" w:eastAsia="Arial" w:hAnsi="Arial"/>
          <w:sz w:val="15"/>
          <w:szCs w:val="15"/>
          <w:color w:val="auto"/>
        </w:rPr>
        <w:t>We rely on trade secrets to protect our proprietary technological advances and know</w:t>
      </w:r>
      <w:r>
        <w:rPr>
          <w:rFonts w:ascii="MS PGothic" w:cs="MS PGothic" w:eastAsia="MS PGothic" w:hAnsi="MS PGothic"/>
          <w:sz w:val="15"/>
          <w:szCs w:val="15"/>
          <w:color w:val="auto"/>
        </w:rPr>
        <w:t>‑</w:t>
      </w:r>
      <w:r>
        <w:rPr>
          <w:rFonts w:ascii="Arial" w:cs="Arial" w:eastAsia="Arial" w:hAnsi="Arial"/>
          <w:sz w:val="15"/>
          <w:szCs w:val="15"/>
          <w:color w:val="auto"/>
        </w:rPr>
        <w:t>how, especially where we do not believe patent protection is appropriate or obtainable. However, trade secrets are difficult to protect. We rely in part on confidentiality agreements with our employees, consultants, contractors, outside scientific collaborators, sponsored researchers, and other advisors, including the third parties we rely on to manufacture our products, to protect our trade secrets and other proprietary information. However, any party with whom we have executed such an agreement may breach that agreement and disclose our proprietary information, including our trade secrets. Accordingly, these agreements may not effectively prevent disclosure of confidential information and may not provide an adequate remedy in the event of unauthorized disclosure of confidential information. Costly and time</w:t>
      </w:r>
      <w:r>
        <w:rPr>
          <w:rFonts w:ascii="MS PGothic" w:cs="MS PGothic" w:eastAsia="MS PGothic" w:hAnsi="MS PGothic"/>
          <w:sz w:val="15"/>
          <w:szCs w:val="15"/>
          <w:color w:val="auto"/>
        </w:rPr>
        <w:t>‑</w:t>
      </w:r>
      <w:r>
        <w:rPr>
          <w:rFonts w:ascii="Arial" w:cs="Arial" w:eastAsia="Arial" w:hAnsi="Arial"/>
          <w:sz w:val="15"/>
          <w:szCs w:val="15"/>
          <w:color w:val="auto"/>
        </w:rPr>
        <w:t>consuming litigation could be necessary to enforce and determine the scope of our proprietary rights. In addition, others may independently discover our trade secrets and proprietary information. Further, the FDA, as part of its Transparency Initiative, a proposal to increase disclosure and make data more accessible to the public, is currently considering whether to make additional information publicly available on a routine basis, including information that we may consider to be trade secrets or other proprietary information, and it is not clear at the present time how the FDA’s disclosure policies may change in the future, if at all. Failure to obtain or maintain trade secret protection could enable competitors to use our proprietary information to develop products that compete with our products or cause additional, material adverse effects upon our competitive business position and financial results.</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or our licensors may not be able to protect our intellectual property rights throughout the world.</w:t>
      </w:r>
    </w:p>
    <w:p>
      <w:pPr>
        <w:spacing w:after="0" w:line="235" w:lineRule="exact"/>
        <w:rPr>
          <w:sz w:val="20"/>
          <w:szCs w:val="20"/>
          <w:color w:val="auto"/>
        </w:rPr>
      </w:pPr>
    </w:p>
    <w:p>
      <w:pPr>
        <w:ind w:right="140" w:firstLine="749"/>
        <w:spacing w:after="0" w:line="313" w:lineRule="auto"/>
        <w:rPr>
          <w:sz w:val="20"/>
          <w:szCs w:val="20"/>
          <w:color w:val="auto"/>
        </w:rPr>
      </w:pPr>
      <w:r>
        <w:rPr>
          <w:rFonts w:ascii="Arial" w:cs="Arial" w:eastAsia="Arial" w:hAnsi="Arial"/>
          <w:sz w:val="14"/>
          <w:szCs w:val="14"/>
          <w:color w:val="auto"/>
        </w:rPr>
        <w:t>Filing, prosecuting, and defending patent applications and patents on products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where enforcement rights are not as strong as those in the United States. These products may compete with our products and our patents or other intellectual property rights may not be effective or sufficient to prevent them from competing.</w:t>
      </w:r>
    </w:p>
    <w:p>
      <w:pPr>
        <w:spacing w:after="0" w:line="164" w:lineRule="exact"/>
        <w:rPr>
          <w:sz w:val="20"/>
          <w:szCs w:val="20"/>
          <w:color w:val="auto"/>
        </w:rPr>
      </w:pPr>
    </w:p>
    <w:p>
      <w:pPr>
        <w:ind w:right="140" w:firstLine="749"/>
        <w:spacing w:after="0" w:line="269" w:lineRule="auto"/>
        <w:rPr>
          <w:sz w:val="20"/>
          <w:szCs w:val="20"/>
          <w:color w:val="auto"/>
        </w:rPr>
      </w:pPr>
      <w:r>
        <w:rPr>
          <w:rFonts w:ascii="Arial" w:cs="Arial" w:eastAsia="Arial" w:hAnsi="Arial"/>
          <w:sz w:val="16"/>
          <w:szCs w:val="16"/>
          <w:color w:val="auto"/>
        </w:rPr>
        <w:t>Many companies have encountered significant problems in protecting and defending intellectual property rights in foreign jurisdictions. The legal systems of certain countries do not favor the enforcement of patents and other intellectual property protection, which could make it difficult for us to stop the infringement of our patents generally.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or our licensors’ intellectual property rights around the world may be inadequate to obtain a significant commercial advantage from the intellectual property that we develop or license.</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RELATED TO LEGAL AND COMPLIANCE MATTERS</w:t>
      </w:r>
    </w:p>
    <w:p>
      <w:pPr>
        <w:spacing w:after="0" w:line="239" w:lineRule="exact"/>
        <w:rPr>
          <w:sz w:val="20"/>
          <w:szCs w:val="20"/>
          <w:color w:val="auto"/>
        </w:rPr>
      </w:pPr>
    </w:p>
    <w:p>
      <w:pPr>
        <w:jc w:val="both"/>
        <w:ind w:right="300"/>
        <w:spacing w:after="0" w:line="416" w:lineRule="auto"/>
        <w:rPr>
          <w:sz w:val="20"/>
          <w:szCs w:val="20"/>
          <w:color w:val="auto"/>
        </w:rPr>
      </w:pPr>
      <w:r>
        <w:rPr>
          <w:rFonts w:ascii="Arial" w:cs="Arial" w:eastAsia="Arial" w:hAnsi="Arial"/>
          <w:sz w:val="13"/>
          <w:szCs w:val="13"/>
          <w:b w:val="1"/>
          <w:bCs w:val="1"/>
          <w:i w:val="1"/>
          <w:iCs w:val="1"/>
          <w:color w:val="auto"/>
        </w:rPr>
        <w:t>If we fail to comply with federal, state, and foreign healthcare laws, including fraud and abuse and transparency and health and other data protection, information privacy and security laws, we could face substantial penalties and our business, financial condition, results of operations, and prospects could be adversely affected.</w:t>
      </w:r>
    </w:p>
    <w:p>
      <w:pPr>
        <w:spacing w:after="0" w:line="103" w:lineRule="exact"/>
        <w:rPr>
          <w:sz w:val="20"/>
          <w:szCs w:val="20"/>
          <w:color w:val="auto"/>
        </w:rPr>
      </w:pPr>
    </w:p>
    <w:p>
      <w:pPr>
        <w:ind w:right="20" w:firstLine="749"/>
        <w:spacing w:after="0" w:line="203" w:lineRule="exact"/>
        <w:rPr>
          <w:sz w:val="20"/>
          <w:szCs w:val="20"/>
          <w:color w:val="auto"/>
        </w:rPr>
      </w:pPr>
      <w:r>
        <w:rPr>
          <w:rFonts w:ascii="Arial" w:cs="Arial" w:eastAsia="Arial" w:hAnsi="Arial"/>
          <w:sz w:val="16"/>
          <w:szCs w:val="16"/>
          <w:color w:val="auto"/>
        </w:rPr>
        <w:t>As a pharmaceutical company, we are subject to many federal and state healthcare laws, including those described in the “Business—Government Regulation and Product Approval” section of the filed Annual Report on Form 10</w:t>
      </w:r>
      <w:r>
        <w:rPr>
          <w:rFonts w:ascii="MS PGothic" w:cs="MS PGothic" w:eastAsia="MS PGothic" w:hAnsi="MS PGothic"/>
          <w:sz w:val="16"/>
          <w:szCs w:val="16"/>
          <w:color w:val="auto"/>
        </w:rPr>
        <w:t>‑</w:t>
      </w:r>
      <w:r>
        <w:rPr>
          <w:rFonts w:ascii="Arial" w:cs="Arial" w:eastAsia="Arial" w:hAnsi="Arial"/>
          <w:sz w:val="16"/>
          <w:szCs w:val="16"/>
          <w:color w:val="auto"/>
        </w:rPr>
        <w:t>K, such as the federal Anti-Kickback Statute, the federal civil and criminal False Claims Act, the civil monetary penalties statute, the Medicaid Drug Rebate statute and other price reporting requirements, the Veterans Health Care Act of 1992, the Physician Payments Sunshine Act, the Foreign Corrupt Practices Act of 1977, the Patient Protection and Affordable Care Act of 2010, and similar state and foreign laws. Even though we do not and will not control referrals of healthcare services or bill directly to Medicare, Medicaid, or other third-party payors, certain federal and state healthcare laws and regulations pertaining to fraud and abuse and patients’ rights are and will be applicable to our business. We are subject to healthcare fraud and abuse laws by both the federal government and the states in which we conduct our business.</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82" w:name="page83"/>
    <w:bookmarkEnd w:id="82"/>
    <w:p>
      <w:pPr>
        <w:spacing w:after="0"/>
        <w:rPr>
          <w:sz w:val="20"/>
          <w:szCs w:val="20"/>
          <w:color w:val="auto"/>
        </w:rPr>
      </w:pPr>
      <w:r>
        <w:rPr>
          <w:rFonts w:ascii="Arial" w:cs="Arial" w:eastAsia="Arial" w:hAnsi="Arial"/>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3025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30250" cy="8255"/>
                    </a:xfrm>
                    <a:prstGeom prst="rect">
                      <a:avLst/>
                    </a:prstGeom>
                    <a:noFill/>
                  </pic:spPr>
                </pic:pic>
              </a:graphicData>
            </a:graphic>
          </wp:anchor>
        </w:drawing>
      </w:r>
    </w:p>
    <w:p>
      <w:pPr>
        <w:spacing w:after="0" w:line="215" w:lineRule="exact"/>
        <w:rPr>
          <w:sz w:val="20"/>
          <w:szCs w:val="20"/>
          <w:color w:val="auto"/>
        </w:rPr>
      </w:pPr>
    </w:p>
    <w:p>
      <w:pPr>
        <w:ind w:right="20" w:firstLine="749"/>
        <w:spacing w:after="0" w:line="268" w:lineRule="auto"/>
        <w:rPr>
          <w:sz w:val="20"/>
          <w:szCs w:val="20"/>
          <w:color w:val="auto"/>
        </w:rPr>
      </w:pPr>
      <w:r>
        <w:rPr>
          <w:rFonts w:ascii="Arial" w:cs="Arial" w:eastAsia="Arial" w:hAnsi="Arial"/>
          <w:sz w:val="16"/>
          <w:szCs w:val="16"/>
          <w:color w:val="auto"/>
        </w:rPr>
        <w:t>There are numerous other laws and legislative and regulatory initiatives at the federal and state levels addressing privacy and security concerns, and some state privacy and security laws apply more broadly than the Health Insurance Portability and Accountability Act (HIPAA) and its implementing regulations. For example, California enacted legislation – the California Consumer Privacy Act, or CCPA – which went into effect in January 2020. The CCPA, among other things, creates data privacy obligations for covered companies and provides new privacy rights to California residents, including the right to opt out of certain disclosures of their information. The CCPA also creates a private right of action with statutory damages for certain data breaches, thereby potentially increasing risks associated with a data breach. Further, many data privacy and security laws within the U.S. have concurrent jurisdiction, which could subject us to enforcement by multiple agencies under multiple statutes for the same conduct (e.g., FTC enforcement under Section 5, HHS-Office for Civil Rights enforcement under HIPAA, and actions by state Attorneys General for violation of applicable state laws).</w:t>
      </w:r>
    </w:p>
    <w:p>
      <w:pPr>
        <w:spacing w:after="0" w:line="192" w:lineRule="exact"/>
        <w:rPr>
          <w:sz w:val="20"/>
          <w:szCs w:val="20"/>
          <w:color w:val="auto"/>
        </w:rPr>
      </w:pPr>
    </w:p>
    <w:p>
      <w:pPr>
        <w:ind w:firstLine="749"/>
        <w:spacing w:after="0" w:line="285" w:lineRule="auto"/>
        <w:rPr>
          <w:sz w:val="20"/>
          <w:szCs w:val="20"/>
          <w:color w:val="auto"/>
        </w:rPr>
      </w:pPr>
      <w:r>
        <w:rPr>
          <w:rFonts w:ascii="Arial" w:cs="Arial" w:eastAsia="Arial" w:hAnsi="Arial"/>
          <w:sz w:val="15"/>
          <w:szCs w:val="15"/>
          <w:color w:val="auto"/>
        </w:rPr>
        <w:t>In addition, EU member states and other foreign jurisdictions, including Switzerland, have adopted data protection laws and regulations which impose significant compliance obligations. Moreover, the collection and use of personal health data in the EU, which was formerly governed by the provisions of the EU Data Protection Directive, was replaced with the EU General Data Protection Regulation, or the GDPR, in May 2018. The GDPR, which is wide-ranging in scope, imposes several requirements relating to the consent of the individuals to whom the personal data relates, the information provided to the individuals, the security and confidentiality of the personal data, data breach notification and the use of third-party processors in connection with the processing of personal data. The GDPR also imposes strict rules on the transfer of personal data out of the EU to the U.S., provides an enforcement authority and imposes large penalties for noncompliance, including the potential for fines of up to €20 million or 4% of the annual global revenues of the noncompliant company, whichever is greater. The GDPR requirements apply not only to third-party transactions, but also to transfers of information between us and our subsidiaries, including employee information. The recent implementation of the GDPR has increased our responsibility and liability in relation to personal data that we process, including in clinical trials, and we may in the future be required to put in place additional mechanisms to ensure compliance with the GDPR, which could divert management’s attention and increase our cost of doing business. Moreover, new regulation or legislative actions regarding data privacy and security (together with applicable industry standards) may increase our costs of doing business. In this regard, we expect that there will continue to be new proposed laws, regulations and industry standards relating to privacy and data protection in the United States, the EU and other jurisdictions, and we cannot determine the impact such future laws, regulations and standards may have on our business.</w:t>
      </w:r>
    </w:p>
    <w:p>
      <w:pPr>
        <w:spacing w:after="0" w:line="186" w:lineRule="exact"/>
        <w:rPr>
          <w:sz w:val="20"/>
          <w:szCs w:val="20"/>
          <w:color w:val="auto"/>
        </w:rPr>
      </w:pPr>
    </w:p>
    <w:p>
      <w:pPr>
        <w:ind w:right="20" w:firstLine="749"/>
        <w:spacing w:after="0" w:line="269" w:lineRule="auto"/>
        <w:rPr>
          <w:sz w:val="20"/>
          <w:szCs w:val="20"/>
          <w:color w:val="auto"/>
        </w:rPr>
      </w:pPr>
      <w:r>
        <w:rPr>
          <w:rFonts w:ascii="Arial" w:cs="Arial" w:eastAsia="Arial" w:hAnsi="Arial"/>
          <w:sz w:val="16"/>
          <w:szCs w:val="16"/>
          <w:color w:val="auto"/>
        </w:rPr>
        <w:t>If we or our operations are found to be in violation of any federal or state healthcare, data or information privacy law, or any other governmental regulations that apply to us, we may be subject to penalties, including civil, criminal, and administrative penalties, damages, fines, disgorgement, debarment from government contracts, refusal of orders under existing contracts, exclusion from participation in U.S. federal or state health care programs, corporate integrity agreements, and the curtailment or restructuring of our operations, any of which could materially adversely affect our ability to operate our business and our financial results. If any of the physicians or other healthcare providers or entities with whom we expect to do business, including our collaborators, is found not to be in compliance with applicable laws, it may be subject to criminal, civil, or administrative sanctions, including but not limited to, exclusions from participation in government healthcare programs, which could also materially affect our business.</w:t>
      </w:r>
    </w:p>
    <w:p>
      <w:pPr>
        <w:spacing w:after="0" w:line="190" w:lineRule="exact"/>
        <w:rPr>
          <w:sz w:val="20"/>
          <w:szCs w:val="20"/>
          <w:color w:val="auto"/>
        </w:rPr>
      </w:pPr>
    </w:p>
    <w:p>
      <w:pPr>
        <w:ind w:right="100" w:firstLine="749"/>
        <w:spacing w:after="0" w:line="335" w:lineRule="auto"/>
        <w:rPr>
          <w:sz w:val="20"/>
          <w:szCs w:val="20"/>
          <w:color w:val="auto"/>
        </w:rPr>
      </w:pPr>
      <w:r>
        <w:rPr>
          <w:rFonts w:ascii="Arial" w:cs="Arial" w:eastAsia="Arial" w:hAnsi="Arial"/>
          <w:sz w:val="14"/>
          <w:szCs w:val="14"/>
          <w:color w:val="auto"/>
        </w:rPr>
        <w:t>Although an effective compliance program can mitigate the risk of investigation and prosecution for violations of these laws, the risks cannot be entirely eliminated. Moreover, achieving and sustaining compliance with applicable federal and state fraud laws may prove costly. Any action against us for violation of these laws, even if we successfully defend against it, could cause us to incur significant legal expenses and divert our management’s attention from the operation of our business.</w:t>
      </w:r>
    </w:p>
    <w:p>
      <w:pPr>
        <w:spacing w:after="0" w:line="149" w:lineRule="exact"/>
        <w:rPr>
          <w:sz w:val="20"/>
          <w:szCs w:val="20"/>
          <w:color w:val="auto"/>
        </w:rPr>
      </w:pPr>
    </w:p>
    <w:p>
      <w:pPr>
        <w:ind w:right="20"/>
        <w:spacing w:after="0" w:line="369" w:lineRule="auto"/>
        <w:rPr>
          <w:sz w:val="20"/>
          <w:szCs w:val="20"/>
          <w:color w:val="auto"/>
        </w:rPr>
      </w:pPr>
      <w:r>
        <w:rPr>
          <w:rFonts w:ascii="Arial" w:cs="Arial" w:eastAsia="Arial" w:hAnsi="Arial"/>
          <w:sz w:val="14"/>
          <w:szCs w:val="14"/>
          <w:b w:val="1"/>
          <w:bCs w:val="1"/>
          <w:i w:val="1"/>
          <w:iCs w:val="1"/>
          <w:color w:val="auto"/>
        </w:rPr>
        <w:t>If the government or third-party payors fail to provide adequate coverage and payment rates for any of our current or future product candidates, or if health maintenance organization (HMOs) or long-term care facilities choose to use therapies that are less expensive, our revenue and prospects for profitability will be limited.</w:t>
      </w:r>
    </w:p>
    <w:p>
      <w:pPr>
        <w:spacing w:after="0" w:line="126" w:lineRule="exact"/>
        <w:rPr>
          <w:sz w:val="20"/>
          <w:szCs w:val="20"/>
          <w:color w:val="auto"/>
        </w:rPr>
      </w:pPr>
    </w:p>
    <w:p>
      <w:pPr>
        <w:ind w:right="20" w:firstLine="749"/>
        <w:spacing w:after="0" w:line="267" w:lineRule="auto"/>
        <w:rPr>
          <w:sz w:val="20"/>
          <w:szCs w:val="20"/>
          <w:color w:val="auto"/>
        </w:rPr>
      </w:pPr>
      <w:r>
        <w:rPr>
          <w:rFonts w:ascii="Arial" w:cs="Arial" w:eastAsia="Arial" w:hAnsi="Arial"/>
          <w:sz w:val="16"/>
          <w:szCs w:val="16"/>
          <w:color w:val="auto"/>
        </w:rPr>
        <w:t>In both domestic and foreign markets, sales of our products depend in part upon the availability of coverage and reimbursement from third-party payors. Such third-party payors include government health programs such as Medicare and Medicaid, managed care providers, private health insurers, and other organizations. Coverage decisions may depend upon clinical and economic standards that disfavor new drug products when more established or lower cost therapeutic alternatives are already available or subsequently become available. Many private payors employ “new-to-market blocks” for newly launched medications and other products until the payors have had the opportunity to make a coverage decision based upon their internal review of such products. When a medication or other product is not covered, the patient is responsible to pay the full price, which can significantly limit utilization. If reimbursement is not available, or is available only to limited levels, our product candidates may be competitively disadvantaged, and we, or our collaborators, may not be able to successfully commercialize our product candidates. Even if coverage is provided, the approved reimbursement amount may not be high enough to allow us, or our collaborators, to establish or maintain a market share sufficient to realize a sufficient return on our or their investments. Alternatively, securing favorable reimbursement terms may require us to compromise pricing and prevent us from realizing an adequate margin over cost.</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83" w:name="page84"/>
    <w:bookmarkEnd w:id="83"/>
    <w:p>
      <w:pPr>
        <w:spacing w:after="0"/>
        <w:rPr>
          <w:sz w:val="20"/>
          <w:szCs w:val="20"/>
          <w:color w:val="auto"/>
        </w:rPr>
      </w:pPr>
      <w:r>
        <w:rPr>
          <w:rFonts w:ascii="Arial" w:cs="Arial" w:eastAsia="Arial" w:hAnsi="Arial"/>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3025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30250" cy="8255"/>
                    </a:xfrm>
                    <a:prstGeom prst="rect">
                      <a:avLst/>
                    </a:prstGeom>
                    <a:noFill/>
                  </pic:spPr>
                </pic:pic>
              </a:graphicData>
            </a:graphic>
          </wp:anchor>
        </w:drawing>
      </w:r>
    </w:p>
    <w:p>
      <w:pPr>
        <w:spacing w:after="0" w:line="215" w:lineRule="exact"/>
        <w:rPr>
          <w:sz w:val="20"/>
          <w:szCs w:val="20"/>
          <w:color w:val="auto"/>
        </w:rPr>
      </w:pPr>
    </w:p>
    <w:p>
      <w:pPr>
        <w:ind w:right="20" w:firstLine="749"/>
        <w:spacing w:after="0" w:line="284" w:lineRule="auto"/>
        <w:rPr>
          <w:sz w:val="20"/>
          <w:szCs w:val="20"/>
          <w:color w:val="auto"/>
        </w:rPr>
      </w:pPr>
      <w:r>
        <w:rPr>
          <w:rFonts w:ascii="Arial" w:cs="Arial" w:eastAsia="Arial" w:hAnsi="Arial"/>
          <w:sz w:val="15"/>
          <w:szCs w:val="15"/>
          <w:color w:val="auto"/>
        </w:rPr>
        <w:t>There is significant uncertainty related to third-party payor coverage and reimbursement of newly approved drugs. Marketing approvals, pricing, and reimbursement for new drug products vary widely from country to country. Current and future legislation may significantly change the approval requirements in ways that could involve additional costs and cause delays in obtaining approvals. 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might obtain marketing approval for a product in a particular country, but then be subject to price regulations that delay commercial launch of the product, possibly for lengthy time periods, which may negatively impact the revenues we are able to generate from the sale of the product in that country. Additionally, drug pricing is a key state and federal issue within the U.S., with recent legislation and additional proposals designed to bring more transparency to drug pricing, reduce the cost of prescription drugs under Medicare and Medicaid, review the relationship between pricing and manufacturer patient programs and reform government program reimbursement methodologies for drugs. We expect continued focus and pressure on drug pricing going forward. Adverse pricing limitations may hinder our ability or the ability of our collaborators to recoup our or their investment in one or more of our products or product candidates. Our ability, and the ability of our collaborators, to commercialize our product candidates will depend in part on the extent to which coverage and reimbursement for these products and related treatments will be available from government health administration authorities, private health insurers, and other organizations. Regulatory authorities and third-party payors, such as private health insurers and health maintenance organizations, decide which medications they will cover and establish reimbursement levels. The healthcare industry is acutely focused on cost containment, both in the United States and elsewhere. Several third-party payors are requiring that drug companies provide them with predetermined discounts from list prices, are using preferred drug lists to leverage greater discounts in competitive classes, are disregarding therapeutic differentiators within classes, and are challenging the prices charged for drugs. Brand drugs without generic equivalents are often included in therapeutic classes with other brands that have generic versions and may be similarly disadvantaged by the availability of low-cost alternatives within the class, particularly if a generic version of the same agent is available in another form.</w:t>
      </w:r>
    </w:p>
    <w:p>
      <w:pPr>
        <w:spacing w:after="0" w:line="187" w:lineRule="exact"/>
        <w:rPr>
          <w:sz w:val="20"/>
          <w:szCs w:val="20"/>
          <w:color w:val="auto"/>
        </w:rPr>
      </w:pPr>
    </w:p>
    <w:p>
      <w:pPr>
        <w:ind w:right="60" w:firstLine="749"/>
        <w:spacing w:after="0" w:line="269" w:lineRule="auto"/>
        <w:rPr>
          <w:sz w:val="20"/>
          <w:szCs w:val="20"/>
          <w:color w:val="auto"/>
        </w:rPr>
      </w:pPr>
      <w:r>
        <w:rPr>
          <w:rFonts w:ascii="Arial" w:cs="Arial" w:eastAsia="Arial" w:hAnsi="Arial"/>
          <w:sz w:val="16"/>
          <w:szCs w:val="16"/>
          <w:color w:val="auto"/>
        </w:rPr>
        <w:t>Third-party payors, whether foreign or domestic, or governmental or commercial, are developing increasingly sophisticated methods of controlling healthcare costs. In addition, in the United States, no uniform policy of coverage and reimbursement for drug products exists among third-party payors. Therefore, coverage and reimbursement for drug products can differ significantly from payor to payor. Further, we believe that future coverage and reimbursement will likely be subject to increased restrictions both in the United States and in international markets. Third-party coverage and reimbursement for our products or product candidates for which we receive regulatory approval may not be available or adequate in either the United States or international markets, which could have a negative effect on our business, financial condition, results of operations, and prospects.</w:t>
      </w:r>
    </w:p>
    <w:p>
      <w:pPr>
        <w:spacing w:after="0" w:line="194" w:lineRule="exact"/>
        <w:rPr>
          <w:sz w:val="20"/>
          <w:szCs w:val="20"/>
          <w:color w:val="auto"/>
        </w:rPr>
      </w:pPr>
    </w:p>
    <w:p>
      <w:pPr>
        <w:ind w:firstLine="749"/>
        <w:spacing w:after="0" w:line="269" w:lineRule="auto"/>
        <w:rPr>
          <w:sz w:val="20"/>
          <w:szCs w:val="20"/>
          <w:color w:val="auto"/>
        </w:rPr>
      </w:pPr>
      <w:r>
        <w:rPr>
          <w:rFonts w:ascii="Arial" w:cs="Arial" w:eastAsia="Arial" w:hAnsi="Arial"/>
          <w:sz w:val="16"/>
          <w:szCs w:val="16"/>
          <w:color w:val="auto"/>
        </w:rPr>
        <w:t>Assuming coverage is approved, the resulting reimbursement payment rates might not be adequate. If payors subject our products to maximum payment amounts or impose limitations that make it difficult to obtain reimbursement, providers may choose to use therapies which are less expensive or have fewer access restrictions when compared to our product candidates. Additionally, if payors require high copayments, beneficiaries may decline prescriptions and seek alternative therapies. We may need to conduct post-marketing studies in order to demonstrate the cost effectiveness of any our products to the satisfaction of hospitals and other target customers and their third-party payors. Such studies might require us to commit a significant amount of management time and financial and other resources. Our products might not ultimately be considered cost effective. Adequate third-party coverage and reimbursement might not be available to enable us to maintain price levels sufficient to realize an appropriate return on investment in product development.</w:t>
      </w:r>
    </w:p>
    <w:p>
      <w:pPr>
        <w:spacing w:after="0" w:line="190" w:lineRule="exact"/>
        <w:rPr>
          <w:sz w:val="20"/>
          <w:szCs w:val="20"/>
          <w:color w:val="auto"/>
        </w:rPr>
      </w:pPr>
    </w:p>
    <w:p>
      <w:pPr>
        <w:ind w:right="100" w:firstLine="749"/>
        <w:spacing w:after="0" w:line="311" w:lineRule="auto"/>
        <w:rPr>
          <w:sz w:val="20"/>
          <w:szCs w:val="20"/>
          <w:color w:val="auto"/>
        </w:rPr>
      </w:pPr>
      <w:r>
        <w:rPr>
          <w:rFonts w:ascii="Arial" w:cs="Arial" w:eastAsia="Arial" w:hAnsi="Arial"/>
          <w:sz w:val="14"/>
          <w:szCs w:val="14"/>
          <w:color w:val="auto"/>
        </w:rPr>
        <w:t>In addition, federal programs impose penalties on manufacturers of drugs marketed under an NDA, including 505(b)(2) drugs, in the form of mandatory additional rebates and/or discounts if commercial prices increase at a rate greater than the Consumer Price Index Urban, and these rebates and/or discounts, which can be substantial, may impact our ability to raise commercial prices. Regulatory authorities and third-party payors have attempted to control costs by limiting coverage and the amount of reimbursement for particular medications, which could affect our ability or that of our collaborators to sell our product candidates profitably. These payors may not view our products, if any, as cost effective, and coverage and reimbursement may not be available to our customers, or those of our collaborators, or may not be sufficient to allow our products, if any, to be marketed on a competitive basis. Cost control initiatives could cause us, or our collaborators, to decrease, discount, or rebate a portion of the price we, or they, might establish for products, which could result in lower than anticipated product revenues. If the realized prices for our products, if any, decrease or if governmental and other third-party payors do not provide adequate coverage or reimbursement, our prospects for revenue and profitability will suffer.</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84" w:name="page85"/>
    <w:bookmarkEnd w:id="84"/>
    <w:p>
      <w:pPr>
        <w:spacing w:after="0"/>
        <w:rPr>
          <w:sz w:val="20"/>
          <w:szCs w:val="20"/>
          <w:color w:val="auto"/>
        </w:rPr>
      </w:pPr>
      <w:r>
        <w:rPr>
          <w:rFonts w:ascii="Arial" w:cs="Arial" w:eastAsia="Arial" w:hAnsi="Arial"/>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3025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30250" cy="8255"/>
                    </a:xfrm>
                    <a:prstGeom prst="rect">
                      <a:avLst/>
                    </a:prstGeom>
                    <a:noFill/>
                  </pic:spPr>
                </pic:pic>
              </a:graphicData>
            </a:graphic>
          </wp:anchor>
        </w:drawing>
      </w:r>
    </w:p>
    <w:p>
      <w:pPr>
        <w:spacing w:after="0" w:line="215" w:lineRule="exact"/>
        <w:rPr>
          <w:sz w:val="20"/>
          <w:szCs w:val="20"/>
          <w:color w:val="auto"/>
        </w:rPr>
      </w:pPr>
    </w:p>
    <w:p>
      <w:pPr>
        <w:ind w:right="80" w:firstLine="749"/>
        <w:spacing w:after="0" w:line="269" w:lineRule="auto"/>
        <w:rPr>
          <w:sz w:val="20"/>
          <w:szCs w:val="20"/>
          <w:color w:val="auto"/>
        </w:rPr>
      </w:pPr>
      <w:r>
        <w:rPr>
          <w:rFonts w:ascii="Arial" w:cs="Arial" w:eastAsia="Arial" w:hAnsi="Arial"/>
          <w:sz w:val="16"/>
          <w:szCs w:val="16"/>
          <w:color w:val="auto"/>
        </w:rPr>
        <w:t>There may also be delays in obtaining coverage and reimbursement for newly approved drugs, and coverage may be more limited than the indications for which the drug is approved by the FDA or comparable foreign regulatory authorities. Moreover, eligibility for reimbursement does not imply that any drug will be paid for in all cases or at a rate that covers our costs, including research, development, manufacture, sale, and distribution. Interim reimbursement levels for new drugs, if applicable, may also not be sufficient to cover our costs and may only be temporary. Reimbursement rates may vary, by way of example, according to the use of the drug and the clinical setting in which it is used. Reimbursement rates may also be based on reimbursement levels already set for lower cost drugs or may be incorporated into existing payments for other services.</w:t>
      </w:r>
    </w:p>
    <w:p>
      <w:pPr>
        <w:spacing w:after="0" w:line="194" w:lineRule="exact"/>
        <w:rPr>
          <w:sz w:val="20"/>
          <w:szCs w:val="20"/>
          <w:color w:val="auto"/>
        </w:rPr>
      </w:pPr>
    </w:p>
    <w:p>
      <w:pPr>
        <w:ind w:firstLine="749"/>
        <w:spacing w:after="0" w:line="269" w:lineRule="auto"/>
        <w:rPr>
          <w:sz w:val="20"/>
          <w:szCs w:val="20"/>
          <w:color w:val="auto"/>
        </w:rPr>
      </w:pPr>
      <w:r>
        <w:rPr>
          <w:rFonts w:ascii="Arial" w:cs="Arial" w:eastAsia="Arial" w:hAnsi="Arial"/>
          <w:sz w:val="16"/>
          <w:szCs w:val="16"/>
          <w:color w:val="auto"/>
        </w:rPr>
        <w:t>Prices paid for a drug also vary depending on the class of trade. Prices charged to government customers are subject to price controls, including ceilings, and private institutions obtain discounts through group purchasing organizations. Net prices for drugs may be further reduced by mandatory discounts or rebates required by government healthcare programs and demanded by private payors. Drugs approved under NDAs, including 505(b)(2) drugs, are subject to greater discounts and reporting obligations under federal programs than drugs approved under ANDAs, and the inflation penalty applicable to these products can equal the selling price. It is also not uncommon for market conditions to warrant multiple discounts to different customers on the same unit, such as purchase discounts to institutional care providers and rebates to the health plans that pay them, which reduces the net realization on the original sale.</w:t>
      </w:r>
    </w:p>
    <w:p>
      <w:pPr>
        <w:spacing w:after="0" w:line="194" w:lineRule="exact"/>
        <w:rPr>
          <w:sz w:val="20"/>
          <w:szCs w:val="20"/>
          <w:color w:val="auto"/>
        </w:rPr>
      </w:pPr>
    </w:p>
    <w:p>
      <w:pPr>
        <w:ind w:right="40" w:firstLine="749"/>
        <w:spacing w:after="0" w:line="291" w:lineRule="auto"/>
        <w:rPr>
          <w:sz w:val="20"/>
          <w:szCs w:val="20"/>
          <w:color w:val="auto"/>
        </w:rPr>
      </w:pPr>
      <w:r>
        <w:rPr>
          <w:rFonts w:ascii="Arial" w:cs="Arial" w:eastAsia="Arial" w:hAnsi="Arial"/>
          <w:sz w:val="15"/>
          <w:szCs w:val="15"/>
          <w:color w:val="auto"/>
        </w:rPr>
        <w:t>In addition, increasingly, third-party payors are requiring higher levels of evidence of the benefits and clinical outcomes of new technologies and are challenging the prices charged. We, and our collaborators, cannot be sure that coverage will be available for any product that we, or they, commercialize and, if available, that the reimbursement rates will be adequate. Further, the net reimbursement for drug products may be subject to additional reductions if there are changes to laws that presently restrict imports of drugs from countries where they may be sold at lower prices than in the United States. An inability to promptly obtain coverage and adequate payment rates from both government funded and private payors for any our product candidates for which we obtain marketing approval could have a material adverse effect on our operating results, our ability to raise capital needed to commercialize products, and our overall financial condition.</w:t>
      </w:r>
    </w:p>
    <w:p>
      <w:pPr>
        <w:spacing w:after="0" w:line="176" w:lineRule="exact"/>
        <w:rPr>
          <w:sz w:val="20"/>
          <w:szCs w:val="20"/>
          <w:color w:val="auto"/>
        </w:rPr>
      </w:pPr>
    </w:p>
    <w:p>
      <w:pPr>
        <w:ind w:right="240"/>
        <w:spacing w:after="0" w:line="293" w:lineRule="auto"/>
        <w:rPr>
          <w:sz w:val="20"/>
          <w:szCs w:val="20"/>
          <w:color w:val="auto"/>
        </w:rPr>
      </w:pPr>
      <w:r>
        <w:rPr>
          <w:rFonts w:ascii="Arial" w:cs="Arial" w:eastAsia="Arial" w:hAnsi="Arial"/>
          <w:sz w:val="16"/>
          <w:szCs w:val="16"/>
          <w:b w:val="1"/>
          <w:bCs w:val="1"/>
          <w:i w:val="1"/>
          <w:iCs w:val="1"/>
          <w:color w:val="auto"/>
        </w:rPr>
        <w:t>We are subject to new legislation, regulatory proposals, and healthcare payor initiatives that may increase our costs of compliance, and adversely affect our ability to market our products, obtain collaborators, and raise capital.</w:t>
      </w:r>
    </w:p>
    <w:p>
      <w:pPr>
        <w:spacing w:after="0" w:line="172" w:lineRule="exact"/>
        <w:rPr>
          <w:sz w:val="20"/>
          <w:szCs w:val="20"/>
          <w:color w:val="auto"/>
        </w:rPr>
      </w:pPr>
    </w:p>
    <w:p>
      <w:pPr>
        <w:ind w:right="80" w:firstLine="749"/>
        <w:spacing w:after="0" w:line="203" w:lineRule="exact"/>
        <w:rPr>
          <w:sz w:val="20"/>
          <w:szCs w:val="20"/>
          <w:color w:val="auto"/>
        </w:rPr>
      </w:pPr>
      <w:r>
        <w:rPr>
          <w:rFonts w:ascii="Arial" w:cs="Arial" w:eastAsia="Arial" w:hAnsi="Arial"/>
          <w:sz w:val="15"/>
          <w:szCs w:val="15"/>
          <w:color w:val="auto"/>
        </w:rPr>
        <w:t>In the United States and some foreign jurisdictions, there have been a number of legislative and regulatory changes and proposed changes regarding the healthcare system that could prevent or delay marketing approval of our product candidates, restrict or regulate post</w:t>
      </w:r>
      <w:r>
        <w:rPr>
          <w:rFonts w:ascii="MS PGothic" w:cs="MS PGothic" w:eastAsia="MS PGothic" w:hAnsi="MS PGothic"/>
          <w:sz w:val="15"/>
          <w:szCs w:val="15"/>
          <w:color w:val="auto"/>
        </w:rPr>
        <w:t>‑</w:t>
      </w:r>
      <w:r>
        <w:rPr>
          <w:rFonts w:ascii="Arial" w:cs="Arial" w:eastAsia="Arial" w:hAnsi="Arial"/>
          <w:sz w:val="15"/>
          <w:szCs w:val="15"/>
          <w:color w:val="auto"/>
        </w:rPr>
        <w:t>approval activities, and affect our ability, or the ability of our collaborators, to profitably sell any products for which we obtain marketing approval. It is unclear what impact these various efforts have and will have on our business operations and resulting financial condition. We expect that current laws, as well as other healthcare reform measures that may be adopted in the future, may result in more rigorous coverage criteria and in additional downward pressure on the price that we, or our collaborators, may receive for any approved products.</w:t>
      </w:r>
    </w:p>
    <w:p>
      <w:pPr>
        <w:spacing w:after="0" w:line="215" w:lineRule="exact"/>
        <w:rPr>
          <w:sz w:val="20"/>
          <w:szCs w:val="20"/>
          <w:color w:val="auto"/>
        </w:rPr>
      </w:pPr>
    </w:p>
    <w:p>
      <w:pPr>
        <w:ind w:right="80" w:firstLine="749"/>
        <w:spacing w:after="0" w:line="271" w:lineRule="auto"/>
        <w:rPr>
          <w:sz w:val="20"/>
          <w:szCs w:val="20"/>
          <w:color w:val="auto"/>
        </w:rPr>
      </w:pPr>
      <w:r>
        <w:rPr>
          <w:rFonts w:ascii="Arial" w:cs="Arial" w:eastAsia="Arial" w:hAnsi="Arial"/>
          <w:sz w:val="16"/>
          <w:szCs w:val="16"/>
          <w:color w:val="auto"/>
        </w:rPr>
        <w:t>It is unclear how regulations and sub-regulatory policy, which fluctuate continually, may affect interpretation and further implementation of the Patient Protection and Affordable Care Act, or the ACA, and its practical effects on our business. We are unable to predict the future course of federal or state healthcare legislation in the United States directed at broadening the availability of healthcare and containing or lowering the cost of healthcare, including drugs and biologics. Any further changes in the law or regulatory framework that reduce our revenue or increase our costs could also have a material and adverse effect on our business, financial condition and results of operations.</w:t>
      </w:r>
    </w:p>
    <w:p>
      <w:pPr>
        <w:spacing w:after="0" w:line="190" w:lineRule="exact"/>
        <w:rPr>
          <w:sz w:val="20"/>
          <w:szCs w:val="20"/>
          <w:color w:val="auto"/>
        </w:rPr>
      </w:pPr>
    </w:p>
    <w:p>
      <w:pPr>
        <w:ind w:right="40" w:firstLine="749"/>
        <w:spacing w:after="0" w:line="286" w:lineRule="auto"/>
        <w:rPr>
          <w:sz w:val="20"/>
          <w:szCs w:val="20"/>
          <w:color w:val="auto"/>
        </w:rPr>
      </w:pPr>
      <w:r>
        <w:rPr>
          <w:rFonts w:ascii="Arial" w:cs="Arial" w:eastAsia="Arial" w:hAnsi="Arial"/>
          <w:sz w:val="15"/>
          <w:szCs w:val="15"/>
          <w:color w:val="auto"/>
        </w:rPr>
        <w:t>While the full effect that the ACA may have on our business continues to evolve, we expect that the ACA, as well as other federal and state healthcare reform measures that may be adopted in the future, may result in more rigorous coverage criteria, increased regulatory burdens and operating costs, decreased net revenue from our pharmaceutical products, decreased potential returns from our development efforts, and additional downward pressure on the price that we receive for any approved drug. There is also an increasing focus on the price of drugs, both at the state and federal levels, and it is likely that additional pricing controls will be enacted and could harm our business, financial condition and results of operations. For instance, states such as California have begun enacting transparency laws aimed at curbing drug price increases. We continue to monitor the potential impact of proposals and recently enacted legislation to lower prescription drug costs at the federal and state level. For example, the Inflation Reduction Act, or the IRA, was recently signed into law by President Biden, which makes significant changes to how drugs are covered and paid for under the Medicare program, including the creation of financial penalties for drugs whose prices rise faster than the rate of inflation, redesign of the Medicare Part D program to require manufacturers to bear more of the liability for certain drug benefits, and government price-setting for certain Medicare Part D drugs, starting in 2026, and Medicare Part B drugs starting in 2028. We are evaluating what effect, if any, the IRA may have on our business. Any reduction in reimbursement from Medicare or other government healthcare programs may result in a similar reduction in payments from private payors. The implementation of cost containment measures or other healthcare reforms may prevent us from being able to generate revenue, attain profitability or commercialize our drugs.</w:t>
      </w:r>
    </w:p>
    <w:p>
      <w:pPr>
        <w:spacing w:after="0" w:line="1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85" w:name="page86"/>
    <w:bookmarkEnd w:id="85"/>
    <w:p>
      <w:pPr>
        <w:spacing w:after="0"/>
        <w:rPr>
          <w:sz w:val="20"/>
          <w:szCs w:val="20"/>
          <w:color w:val="auto"/>
        </w:rPr>
      </w:pPr>
      <w:r>
        <w:rPr>
          <w:rFonts w:ascii="Arial" w:cs="Arial" w:eastAsia="Arial" w:hAnsi="Arial"/>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3025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30250" cy="8255"/>
                    </a:xfrm>
                    <a:prstGeom prst="rect">
                      <a:avLst/>
                    </a:prstGeom>
                    <a:noFill/>
                  </pic:spPr>
                </pic:pic>
              </a:graphicData>
            </a:graphic>
          </wp:anchor>
        </w:drawing>
      </w:r>
    </w:p>
    <w:p>
      <w:pPr>
        <w:spacing w:after="0" w:line="215" w:lineRule="exact"/>
        <w:rPr>
          <w:sz w:val="20"/>
          <w:szCs w:val="20"/>
          <w:color w:val="auto"/>
        </w:rPr>
      </w:pPr>
    </w:p>
    <w:p>
      <w:pPr>
        <w:ind w:right="200" w:firstLine="749"/>
        <w:spacing w:after="0" w:line="324" w:lineRule="auto"/>
        <w:rPr>
          <w:sz w:val="20"/>
          <w:szCs w:val="20"/>
          <w:color w:val="auto"/>
        </w:rPr>
      </w:pPr>
      <w:r>
        <w:rPr>
          <w:rFonts w:ascii="Arial" w:cs="Arial" w:eastAsia="Arial" w:hAnsi="Arial"/>
          <w:sz w:val="14"/>
          <w:szCs w:val="14"/>
          <w:color w:val="auto"/>
        </w:rPr>
        <w:t>Legislative and regulatory proposals may also be made to expand post approval requirements and restrict sales and promotional activities for drugs. We cannot be sure whether additional legislative changes will be enacted, or whether the FDA regulations, guidance, or interpretations will be changed, or what the impact of such changes on the marketing approvals of our product candidates, if any, may be. In addition, increased scrutiny by the U.S. Congress of the FDA’s approval process may significantly delay or prevent marketing approval, as well as subject us to more stringent product labeling and post-marketing testing and other requirements.</w:t>
      </w:r>
    </w:p>
    <w:p>
      <w:pPr>
        <w:spacing w:after="0" w:line="157" w:lineRule="exact"/>
        <w:rPr>
          <w:sz w:val="20"/>
          <w:szCs w:val="20"/>
          <w:color w:val="auto"/>
        </w:rPr>
      </w:pPr>
    </w:p>
    <w:p>
      <w:pPr>
        <w:ind w:firstLine="749"/>
        <w:spacing w:after="0" w:line="287" w:lineRule="auto"/>
        <w:rPr>
          <w:sz w:val="20"/>
          <w:szCs w:val="20"/>
          <w:color w:val="auto"/>
        </w:rPr>
      </w:pPr>
      <w:r>
        <w:rPr>
          <w:rFonts w:ascii="Arial" w:cs="Arial" w:eastAsia="Arial" w:hAnsi="Arial"/>
          <w:sz w:val="15"/>
          <w:szCs w:val="15"/>
          <w:color w:val="auto"/>
        </w:rPr>
        <w:t>In addition, there have been a number of other legislative and regulatory proposals aimed at changing the pharmaceutical industry. For instance, the enacted Drug Supply Chain Security Act, or DSCSA imposes obligations on manufacturers of prescription drug products for commercial distribution, regulating the distribution of the products at the federal level, and sets certain standards for federal or state registration and compliance of entities in the supply chain (manufacturers and repackagers, wholesale distributors, third-party logistics providers, and dispensers). The DSCSA preempts certain previously enacted state pedigree laws and the pedigree requirements of the Prescription Drug Marketing Act, or PDMA. Trading partners within the drug supply chain must now ensure certain product tracing requirements are met that they are doing business with other authorized trading partners; and they are required to exchange transaction information, transaction history, and transaction statements. Product identifier information (an aspect of the product tracing scheme) is also now required. The DSCSA requirements, development of standards, and the system for product tracing have been and will continue to be phased in over a period of years, with the FDA indicating it would permit certain exemptions and exclusions, and enforcement discretion on certain aspects due to the COVID-19 pandemic, although this situation may continue to evolve. The distribution of product samples continues to be regulated under the PDMA, and some states also impose regulations on drug sample distribution.</w:t>
      </w:r>
    </w:p>
    <w:p>
      <w:pPr>
        <w:spacing w:after="0" w:line="178" w:lineRule="exact"/>
        <w:rPr>
          <w:sz w:val="20"/>
          <w:szCs w:val="20"/>
          <w:color w:val="auto"/>
        </w:rPr>
      </w:pPr>
    </w:p>
    <w:p>
      <w:pPr>
        <w:ind w:right="40" w:firstLine="749"/>
        <w:spacing w:after="0" w:line="278" w:lineRule="auto"/>
        <w:rPr>
          <w:sz w:val="20"/>
          <w:szCs w:val="20"/>
          <w:color w:val="auto"/>
        </w:rPr>
      </w:pPr>
      <w:r>
        <w:rPr>
          <w:rFonts w:ascii="Arial" w:cs="Arial" w:eastAsia="Arial" w:hAnsi="Arial"/>
          <w:sz w:val="16"/>
          <w:szCs w:val="16"/>
          <w:color w:val="auto"/>
        </w:rPr>
        <w:t>Compliance with the federal track and trace requirements may increase our operational expenses and impose significant administrative burdens. As a result of these and other new proposals, we may determine to change our current manner of operation, provide additional benefits, or change our contract arrangements, any of which could have a material adverse effect on our business, financial condition, and results of operations.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86" w:name="page87"/>
    <w:bookmarkEnd w:id="86"/>
    <w:p>
      <w:pPr>
        <w:spacing w:after="0"/>
        <w:rPr>
          <w:sz w:val="20"/>
          <w:szCs w:val="20"/>
          <w:color w:val="auto"/>
        </w:rPr>
      </w:pPr>
      <w:r>
        <w:rPr>
          <w:rFonts w:ascii="Arial" w:cs="Arial" w:eastAsia="Arial" w:hAnsi="Arial"/>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3025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30250" cy="8255"/>
                    </a:xfrm>
                    <a:prstGeom prst="rect">
                      <a:avLst/>
                    </a:prstGeom>
                    <a:noFill/>
                  </pic:spPr>
                </pic:pic>
              </a:graphicData>
            </a:graphic>
          </wp:anchor>
        </w:drawing>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Governments outside the United States tend to impose strict price controls, which may adversely affect our revenues, if any.</w:t>
      </w:r>
    </w:p>
    <w:p>
      <w:pPr>
        <w:spacing w:after="0" w:line="235" w:lineRule="exact"/>
        <w:rPr>
          <w:sz w:val="20"/>
          <w:szCs w:val="20"/>
          <w:color w:val="auto"/>
        </w:rPr>
      </w:pPr>
    </w:p>
    <w:p>
      <w:pPr>
        <w:ind w:right="140" w:firstLine="749"/>
        <w:spacing w:after="0" w:line="203" w:lineRule="exact"/>
        <w:rPr>
          <w:sz w:val="20"/>
          <w:szCs w:val="20"/>
          <w:color w:val="auto"/>
        </w:rPr>
      </w:pPr>
      <w:r>
        <w:rPr>
          <w:rFonts w:ascii="Arial" w:cs="Arial" w:eastAsia="Arial" w:hAnsi="Arial"/>
          <w:sz w:val="14"/>
          <w:szCs w:val="14"/>
          <w:color w:val="auto"/>
        </w:rPr>
        <w:t>In international markets, reimbursement and health care payment systems vary significantly by country, and many countries have instituted price ceilings on specific products and therapies. In some countries, particularly the countries of the EU, the pricing of prescription pharmaceuticals is subject to governmental control. In these countries, pricing negotiations with governmental authorities can take considerable time after the receipt of marketing approval for a product. To obtain coverage and reimbursement or pricing approval in some countries, we may be required to conduct a clinical trial that compares the cost</w:t>
      </w:r>
      <w:r>
        <w:rPr>
          <w:rFonts w:ascii="MS PGothic" w:cs="MS PGothic" w:eastAsia="MS PGothic" w:hAnsi="MS PGothic"/>
          <w:sz w:val="14"/>
          <w:szCs w:val="14"/>
          <w:color w:val="auto"/>
        </w:rPr>
        <w:t>‑</w:t>
      </w:r>
      <w:r>
        <w:rPr>
          <w:rFonts w:ascii="Arial" w:cs="Arial" w:eastAsia="Arial" w:hAnsi="Arial"/>
          <w:sz w:val="14"/>
          <w:szCs w:val="14"/>
          <w:color w:val="auto"/>
        </w:rPr>
        <w:t>effectiveness of our product candidate to other available therapies. There can be no assurance that our products will be considered cost</w:t>
      </w:r>
      <w:r>
        <w:rPr>
          <w:rFonts w:ascii="MS PGothic" w:cs="MS PGothic" w:eastAsia="MS PGothic" w:hAnsi="MS PGothic"/>
          <w:sz w:val="14"/>
          <w:szCs w:val="14"/>
          <w:color w:val="auto"/>
        </w:rPr>
        <w:t>‑</w:t>
      </w:r>
      <w:r>
        <w:rPr>
          <w:rFonts w:ascii="Arial" w:cs="Arial" w:eastAsia="Arial" w:hAnsi="Arial"/>
          <w:sz w:val="14"/>
          <w:szCs w:val="14"/>
          <w:color w:val="auto"/>
        </w:rPr>
        <w:t>effective by third</w:t>
      </w:r>
      <w:r>
        <w:rPr>
          <w:rFonts w:ascii="MS PGothic" w:cs="MS PGothic" w:eastAsia="MS PGothic" w:hAnsi="MS PGothic"/>
          <w:sz w:val="14"/>
          <w:szCs w:val="14"/>
          <w:color w:val="auto"/>
        </w:rPr>
        <w:t>‑</w:t>
      </w:r>
      <w:r>
        <w:rPr>
          <w:rFonts w:ascii="Arial" w:cs="Arial" w:eastAsia="Arial" w:hAnsi="Arial"/>
          <w:sz w:val="14"/>
          <w:szCs w:val="14"/>
          <w:color w:val="auto"/>
        </w:rPr>
        <w:t>party payors, that an adequate level of reimbursement will be available, or that the third</w:t>
      </w:r>
      <w:r>
        <w:rPr>
          <w:rFonts w:ascii="MS PGothic" w:cs="MS PGothic" w:eastAsia="MS PGothic" w:hAnsi="MS PGothic"/>
          <w:sz w:val="14"/>
          <w:szCs w:val="14"/>
          <w:color w:val="auto"/>
        </w:rPr>
        <w:t>‑</w:t>
      </w:r>
      <w:r>
        <w:rPr>
          <w:rFonts w:ascii="Arial" w:cs="Arial" w:eastAsia="Arial" w:hAnsi="Arial"/>
          <w:sz w:val="14"/>
          <w:szCs w:val="14"/>
          <w:color w:val="auto"/>
        </w:rPr>
        <w:t>party payors’ reimbursement policies will not adversely affect our ability to sell our products profitably. If reimbursement of our products is unavailable or limited in scope or amount, or if pricing is set at unsatisfactory levels, our business could be harmed, possibly materially.</w:t>
      </w:r>
    </w:p>
    <w:p>
      <w:pPr>
        <w:spacing w:after="0" w:line="215" w:lineRule="exact"/>
        <w:rPr>
          <w:sz w:val="20"/>
          <w:szCs w:val="20"/>
          <w:color w:val="auto"/>
        </w:rPr>
      </w:pPr>
    </w:p>
    <w:p>
      <w:pPr>
        <w:ind w:right="280"/>
        <w:spacing w:after="0" w:line="328" w:lineRule="auto"/>
        <w:rPr>
          <w:sz w:val="20"/>
          <w:szCs w:val="20"/>
          <w:color w:val="auto"/>
        </w:rPr>
      </w:pPr>
      <w:r>
        <w:rPr>
          <w:rFonts w:ascii="Arial" w:cs="Arial" w:eastAsia="Arial" w:hAnsi="Arial"/>
          <w:sz w:val="15"/>
          <w:szCs w:val="15"/>
          <w:b w:val="1"/>
          <w:bCs w:val="1"/>
          <w:i w:val="1"/>
          <w:iCs w:val="1"/>
          <w:color w:val="auto"/>
        </w:rPr>
        <w:t>Our employees, independent contractors, consultants, commercial partners, principal investigators, or CROs may engage in misconduct or other improper activities, including noncompliance with regulatory standards and requirements, which could have a material adverse effect on our business.</w:t>
      </w:r>
    </w:p>
    <w:p>
      <w:pPr>
        <w:spacing w:after="0" w:line="150" w:lineRule="exact"/>
        <w:rPr>
          <w:sz w:val="20"/>
          <w:szCs w:val="20"/>
          <w:color w:val="auto"/>
        </w:rPr>
      </w:pPr>
    </w:p>
    <w:p>
      <w:pPr>
        <w:ind w:firstLine="749"/>
        <w:spacing w:after="0" w:line="309" w:lineRule="auto"/>
        <w:rPr>
          <w:sz w:val="20"/>
          <w:szCs w:val="20"/>
          <w:color w:val="auto"/>
        </w:rPr>
      </w:pPr>
      <w:r>
        <w:rPr>
          <w:rFonts w:ascii="Arial" w:cs="Arial" w:eastAsia="Arial" w:hAnsi="Arial"/>
          <w:sz w:val="14"/>
          <w:szCs w:val="14"/>
          <w:color w:val="auto"/>
        </w:rPr>
        <w:t>We are exposed to the risk of employee fraud or other misconduct. Misconduct by employees, independent contractors, consultants, commercial partners, principal investigators, or CROs could include intentional, reckless, negligent, or unintentional failures to comply with FDA regulations, comply with applicable fraud and abuse laws, provide accurate information to the FDA, report financial information or data accurately, or disclose unauthorized activities to us. This misconduct could also involve the improper use or misrepresentation of information obtained in the course of clinical trials, which could result in regulatory sanctions and serious harm to our reputation. It is not always possible to identify and deter this type of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have a significant impact on our business, financial condition, and results of operations, including the imposition of significant fines or other sanctions. Further, even if we are successful in mounting a defense, we may incur substantial costs in preparing and maintaining our defense and any such action would be time- and resource-intensive and potentially divert management’s attention from the business, which could adversely affect our ability to operate our business and our results of operations.</w:t>
      </w:r>
    </w:p>
    <w:p>
      <w:pPr>
        <w:spacing w:after="0" w:line="168" w:lineRule="exact"/>
        <w:rPr>
          <w:sz w:val="20"/>
          <w:szCs w:val="20"/>
          <w:color w:val="auto"/>
        </w:rPr>
      </w:pPr>
    </w:p>
    <w:p>
      <w:pPr>
        <w:ind w:right="260"/>
        <w:spacing w:after="0" w:line="204" w:lineRule="exact"/>
        <w:rPr>
          <w:sz w:val="20"/>
          <w:szCs w:val="20"/>
          <w:color w:val="auto"/>
        </w:rPr>
      </w:pPr>
      <w:r>
        <w:rPr>
          <w:rFonts w:ascii="Arial" w:cs="Arial" w:eastAsia="Arial" w:hAnsi="Arial"/>
          <w:sz w:val="16"/>
          <w:szCs w:val="16"/>
          <w:b w:val="1"/>
          <w:bCs w:val="1"/>
          <w:i w:val="1"/>
          <w:iCs w:val="1"/>
          <w:color w:val="auto"/>
        </w:rPr>
        <w:t>Our third</w:t>
      </w:r>
      <w:r>
        <w:rPr>
          <w:rFonts w:ascii="MS PGothic" w:cs="MS PGothic" w:eastAsia="MS PGothic" w:hAnsi="MS PGothic"/>
          <w:sz w:val="16"/>
          <w:szCs w:val="16"/>
          <w:b w:val="1"/>
          <w:bCs w:val="1"/>
          <w:i w:val="1"/>
          <w:iCs w:val="1"/>
          <w:color w:val="auto"/>
        </w:rPr>
        <w:t>‑</w:t>
      </w:r>
      <w:r>
        <w:rPr>
          <w:rFonts w:ascii="Arial" w:cs="Arial" w:eastAsia="Arial" w:hAnsi="Arial"/>
          <w:sz w:val="16"/>
          <w:szCs w:val="16"/>
          <w:b w:val="1"/>
          <w:bCs w:val="1"/>
          <w:i w:val="1"/>
          <w:iCs w:val="1"/>
          <w:color w:val="auto"/>
        </w:rPr>
        <w:t>party manufacturers may use hazardous materials in the production of our products and if so, they must comply with environmental laws and regulations, which can be expensive and restrict how we or they do business.</w:t>
      </w:r>
    </w:p>
    <w:p>
      <w:pPr>
        <w:spacing w:after="0" w:line="213" w:lineRule="exact"/>
        <w:rPr>
          <w:sz w:val="20"/>
          <w:szCs w:val="20"/>
          <w:color w:val="auto"/>
        </w:rPr>
      </w:pPr>
    </w:p>
    <w:p>
      <w:pPr>
        <w:ind w:right="60" w:firstLine="749"/>
        <w:spacing w:after="0" w:line="203" w:lineRule="exact"/>
        <w:rPr>
          <w:sz w:val="20"/>
          <w:szCs w:val="20"/>
          <w:color w:val="auto"/>
        </w:rPr>
      </w:pPr>
      <w:r>
        <w:rPr>
          <w:rFonts w:ascii="Arial" w:cs="Arial" w:eastAsia="Arial" w:hAnsi="Arial"/>
          <w:sz w:val="15"/>
          <w:szCs w:val="15"/>
          <w:color w:val="auto"/>
        </w:rPr>
        <w:t>Manufacturing activities for the production of our products involve the controlled storage, use, and disposal of hazardous materials, including the components of our products, and other hazardous compounds. Our third</w:t>
      </w:r>
      <w:r>
        <w:rPr>
          <w:rFonts w:ascii="MS PGothic" w:cs="MS PGothic" w:eastAsia="MS PGothic" w:hAnsi="MS PGothic"/>
          <w:sz w:val="15"/>
          <w:szCs w:val="15"/>
          <w:color w:val="auto"/>
        </w:rPr>
        <w:t>‑</w:t>
      </w:r>
      <w:r>
        <w:rPr>
          <w:rFonts w:ascii="Arial" w:cs="Arial" w:eastAsia="Arial" w:hAnsi="Arial"/>
          <w:sz w:val="15"/>
          <w:szCs w:val="15"/>
          <w:color w:val="auto"/>
        </w:rPr>
        <w:t>party manufacturers and we are subject to federal, state, and local laws and regulations governing the use, manufacture, storage, handling, release, and disposal of, and exposure to, these hazardous materials. Violation of these laws and regulations could lead to substantial fines and penalties. Although we believe that our safety procedures, and those of our third</w:t>
      </w:r>
      <w:r>
        <w:rPr>
          <w:rFonts w:ascii="MS PGothic" w:cs="MS PGothic" w:eastAsia="MS PGothic" w:hAnsi="MS PGothic"/>
          <w:sz w:val="15"/>
          <w:szCs w:val="15"/>
          <w:color w:val="auto"/>
        </w:rPr>
        <w:t>‑</w:t>
      </w:r>
      <w:r>
        <w:rPr>
          <w:rFonts w:ascii="Arial" w:cs="Arial" w:eastAsia="Arial" w:hAnsi="Arial"/>
          <w:sz w:val="15"/>
          <w:szCs w:val="15"/>
          <w:color w:val="auto"/>
        </w:rPr>
        <w:t>party manufacturers, for handling and disposing of these materials comply with the standards prescribed by these laws and regulations, we cannot eliminate the risk of accidental contamination or injury from these materials. In the event of an accident, state or federal authorities may curtail our use of these materials and interrupt our business operations. In addition, we could become subject to potentially material liabilities relating to the investigation and cleanup of any contamination, whether currently unknown or caused by future releases.</w:t>
      </w:r>
    </w:p>
    <w:p>
      <w:pPr>
        <w:spacing w:after="0" w:line="215" w:lineRule="exact"/>
        <w:rPr>
          <w:sz w:val="20"/>
          <w:szCs w:val="20"/>
          <w:color w:val="auto"/>
        </w:rPr>
      </w:pPr>
    </w:p>
    <w:p>
      <w:pPr>
        <w:jc w:val="both"/>
        <w:ind w:right="80" w:firstLine="749"/>
        <w:spacing w:after="0" w:line="305" w:lineRule="auto"/>
        <w:rPr>
          <w:sz w:val="20"/>
          <w:szCs w:val="20"/>
          <w:color w:val="auto"/>
        </w:rPr>
      </w:pPr>
      <w:r>
        <w:rPr>
          <w:rFonts w:ascii="Arial" w:cs="Arial" w:eastAsia="Arial" w:hAnsi="Arial"/>
          <w:sz w:val="15"/>
          <w:szCs w:val="15"/>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166" w:lineRule="exact"/>
        <w:rPr>
          <w:sz w:val="20"/>
          <w:szCs w:val="20"/>
          <w:color w:val="auto"/>
        </w:rPr>
      </w:pPr>
    </w:p>
    <w:p>
      <w:pPr>
        <w:ind w:right="40" w:firstLine="749"/>
        <w:spacing w:after="0" w:line="278" w:lineRule="auto"/>
        <w:rPr>
          <w:sz w:val="20"/>
          <w:szCs w:val="20"/>
          <w:color w:val="auto"/>
        </w:rPr>
      </w:pPr>
      <w:r>
        <w:rPr>
          <w:rFonts w:ascii="Arial" w:cs="Arial" w:eastAsia="Arial" w:hAnsi="Arial"/>
          <w:sz w:val="16"/>
          <w:szCs w:val="16"/>
          <w:color w:val="auto"/>
        </w:rPr>
        <w:t>In addition, we may incur substantial costs in order to comply with current or future environmental, health, and safety laws and regulations. These current or future laws and regulations may impair our research, development, or production efforts. Our failure to comply with these laws and regulations also may result in substantial fines, penalties, or other sanctions.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87" w:name="page88"/>
    <w:bookmarkEnd w:id="87"/>
    <w:p>
      <w:pPr>
        <w:spacing w:after="0"/>
        <w:rPr>
          <w:sz w:val="20"/>
          <w:szCs w:val="20"/>
          <w:color w:val="auto"/>
        </w:rPr>
      </w:pPr>
      <w:r>
        <w:rPr>
          <w:rFonts w:ascii="Arial" w:cs="Arial" w:eastAsia="Arial" w:hAnsi="Arial"/>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3025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30250" cy="8255"/>
                    </a:xfrm>
                    <a:prstGeom prst="rect">
                      <a:avLst/>
                    </a:prstGeom>
                    <a:noFill/>
                  </pic:spPr>
                </pic:pic>
              </a:graphicData>
            </a:graphic>
          </wp:anchor>
        </w:drawing>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RELATED TO OUR BUSINESS OPERATIONS</w:t>
      </w:r>
    </w:p>
    <w:p>
      <w:pPr>
        <w:spacing w:after="0" w:line="239"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b w:val="1"/>
          <w:bCs w:val="1"/>
          <w:i w:val="1"/>
          <w:iCs w:val="1"/>
          <w:color w:val="auto"/>
        </w:rPr>
        <w:t>We have and may continue to significantly increase the size of our organization, and we may experience difficulties in managing growth. If we are unable to implement appropriate controls and procedures to manage our growth, we will not be able to implement our business plan successfully.</w:t>
      </w:r>
    </w:p>
    <w:p>
      <w:pPr>
        <w:spacing w:after="0" w:line="172" w:lineRule="exact"/>
        <w:rPr>
          <w:sz w:val="20"/>
          <w:szCs w:val="20"/>
          <w:color w:val="auto"/>
        </w:rPr>
      </w:pPr>
    </w:p>
    <w:p>
      <w:pPr>
        <w:ind w:right="40" w:firstLine="749"/>
        <w:spacing w:after="0" w:line="203" w:lineRule="exact"/>
        <w:rPr>
          <w:sz w:val="20"/>
          <w:szCs w:val="20"/>
          <w:color w:val="auto"/>
        </w:rPr>
      </w:pPr>
      <w:r>
        <w:rPr>
          <w:rFonts w:ascii="Arial" w:cs="Arial" w:eastAsia="Arial" w:hAnsi="Arial"/>
          <w:sz w:val="16"/>
          <w:szCs w:val="16"/>
          <w:color w:val="auto"/>
        </w:rPr>
        <w:t>As of July 31, 2023, we had 422 full</w:t>
      </w:r>
      <w:r>
        <w:rPr>
          <w:rFonts w:ascii="MS PGothic" w:cs="MS PGothic" w:eastAsia="MS PGothic" w:hAnsi="MS PGothic"/>
          <w:sz w:val="16"/>
          <w:szCs w:val="16"/>
          <w:color w:val="auto"/>
        </w:rPr>
        <w:t>‑</w:t>
      </w:r>
      <w:r>
        <w:rPr>
          <w:rFonts w:ascii="Arial" w:cs="Arial" w:eastAsia="Arial" w:hAnsi="Arial"/>
          <w:sz w:val="16"/>
          <w:szCs w:val="16"/>
          <w:color w:val="auto"/>
        </w:rPr>
        <w:t>time employees. Our management, personnel, systems, and facilities currently in place may not be adequate to support future growth. In addition, we may not be able to recruit and retain qualified personnel in the future, particularly for sales and marketing positions, due to competition for personnel among pharmaceutical businesses, and the failure to do so could have a significant negative impact on our future product revenues and business results. Further, the value to employees of stock options or restricted stock units that vest over time is significantly affected by movements in our stock price that are beyond our control and may at any time be insufficient to counteract more lucrative offers from other companies. Our need to effectively manage our operations, growth and various projects requires that we:</w:t>
      </w:r>
    </w:p>
    <w:p>
      <w:pPr>
        <w:spacing w:after="0" w:line="217" w:lineRule="exact"/>
        <w:rPr>
          <w:sz w:val="20"/>
          <w:szCs w:val="20"/>
          <w:color w:val="auto"/>
        </w:rPr>
      </w:pPr>
    </w:p>
    <w:p>
      <w:pPr>
        <w:ind w:left="760" w:right="160" w:hanging="378"/>
        <w:spacing w:after="0" w:line="293" w:lineRule="auto"/>
        <w:tabs>
          <w:tab w:leader="none" w:pos="7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continue the hiring and training of personnel for an effective commercial organization, and maintain appropriate systems, policies and infrastructure to support that organization;</w:t>
      </w:r>
    </w:p>
    <w:p>
      <w:pPr>
        <w:spacing w:after="0" w:line="171" w:lineRule="exact"/>
        <w:rPr>
          <w:rFonts w:ascii="Arial" w:cs="Arial" w:eastAsia="Arial" w:hAnsi="Arial"/>
          <w:sz w:val="16"/>
          <w:szCs w:val="16"/>
          <w:color w:val="auto"/>
        </w:rPr>
      </w:pPr>
    </w:p>
    <w:p>
      <w:pPr>
        <w:ind w:left="760" w:right="460" w:hanging="378"/>
        <w:spacing w:after="0" w:line="293" w:lineRule="auto"/>
        <w:tabs>
          <w:tab w:leader="none" w:pos="7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ensure that our consultants and other service providers successfully carry out their contractual obligations, provide high quality results, and meet expected deadlines;</w:t>
      </w:r>
    </w:p>
    <w:p>
      <w:pPr>
        <w:spacing w:after="0" w:line="171" w:lineRule="exact"/>
        <w:rPr>
          <w:rFonts w:ascii="Arial" w:cs="Arial" w:eastAsia="Arial" w:hAnsi="Arial"/>
          <w:sz w:val="16"/>
          <w:szCs w:val="16"/>
          <w:color w:val="auto"/>
        </w:rPr>
      </w:pPr>
    </w:p>
    <w:p>
      <w:pPr>
        <w:ind w:left="760" w:hanging="378"/>
        <w:spacing w:after="0"/>
        <w:tabs>
          <w:tab w:leader="none" w:pos="7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continue to carry out our own contractual obligations to our licensors and other third parties; and</w:t>
      </w:r>
    </w:p>
    <w:p>
      <w:pPr>
        <w:spacing w:after="0" w:line="234" w:lineRule="exact"/>
        <w:rPr>
          <w:rFonts w:ascii="Arial" w:cs="Arial" w:eastAsia="Arial" w:hAnsi="Arial"/>
          <w:sz w:val="16"/>
          <w:szCs w:val="16"/>
          <w:color w:val="auto"/>
        </w:rPr>
      </w:pPr>
    </w:p>
    <w:p>
      <w:pPr>
        <w:ind w:left="760" w:hanging="378"/>
        <w:spacing w:after="0"/>
        <w:tabs>
          <w:tab w:leader="none" w:pos="7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continue to improve our operational, financial, and management controls, reporting systems, and procedures.</w:t>
      </w:r>
    </w:p>
    <w:p>
      <w:pPr>
        <w:spacing w:after="0" w:line="234" w:lineRule="exact"/>
        <w:rPr>
          <w:rFonts w:ascii="Arial" w:cs="Arial" w:eastAsia="Arial" w:hAnsi="Arial"/>
          <w:sz w:val="16"/>
          <w:szCs w:val="16"/>
          <w:color w:val="auto"/>
        </w:rPr>
      </w:pPr>
    </w:p>
    <w:p>
      <w:pPr>
        <w:ind w:left="760"/>
        <w:spacing w:after="0"/>
        <w:rPr>
          <w:rFonts w:ascii="Arial" w:cs="Arial" w:eastAsia="Arial" w:hAnsi="Arial"/>
          <w:sz w:val="16"/>
          <w:szCs w:val="16"/>
          <w:color w:val="auto"/>
        </w:rPr>
      </w:pPr>
      <w:r>
        <w:rPr>
          <w:rFonts w:ascii="Arial" w:cs="Arial" w:eastAsia="Arial" w:hAnsi="Arial"/>
          <w:sz w:val="15"/>
          <w:szCs w:val="15"/>
          <w:color w:val="auto"/>
        </w:rPr>
        <w:t>We may be unable to successfully implement these tasks on a larger scale and, accordingly, may not achieve our development and commercialization goals.</w:t>
      </w:r>
    </w:p>
    <w:p>
      <w:pPr>
        <w:spacing w:after="0" w:line="246"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b w:val="1"/>
          <w:bCs w:val="1"/>
          <w:i w:val="1"/>
          <w:iCs w:val="1"/>
          <w:color w:val="auto"/>
        </w:rPr>
        <w:t>Our continued growth could strain our personnel resources and infrastructure, and if we are unable to implement appropriate controls and procedures to manage our growth, we will not be able to implement our business plan successfully.</w:t>
      </w:r>
    </w:p>
    <w:p>
      <w:pPr>
        <w:spacing w:after="0" w:line="172" w:lineRule="exact"/>
        <w:rPr>
          <w:sz w:val="20"/>
          <w:szCs w:val="20"/>
          <w:color w:val="auto"/>
        </w:rPr>
      </w:pPr>
    </w:p>
    <w:p>
      <w:pPr>
        <w:ind w:firstLine="749"/>
        <w:spacing w:after="0" w:line="269" w:lineRule="auto"/>
        <w:rPr>
          <w:sz w:val="20"/>
          <w:szCs w:val="20"/>
          <w:color w:val="auto"/>
        </w:rPr>
      </w:pPr>
      <w:r>
        <w:rPr>
          <w:rFonts w:ascii="Arial" w:cs="Arial" w:eastAsia="Arial" w:hAnsi="Arial"/>
          <w:sz w:val="16"/>
          <w:szCs w:val="16"/>
          <w:color w:val="auto"/>
        </w:rPr>
        <w:t>As we continue to complete our clinical trials and commercialize our product candidates, and as our company continues to grow, we may experience significant strains on our resources, including to our administrative, operational and financial infrastructure, which will result in additional burdens on management. Our success will depend in part upon the ability of our senior management to manage this growth effectively. To do so, we must continue to hire, train and manage new employees as needed. If our new hires perform poorly, or if we are unsuccessful in hiring, training, managing and integrating these new employees, or if we are not successful in retaining our existing employees, our business would be harmed. To manage the expected growth of our operations and personnel, we will need to continue to improve our operational, financial and management controls and our reporting systems and procedures.</w:t>
      </w: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 w:right="379" w:bottom="1440" w:gutter="0" w:footer="0" w:header="0"/>
        </w:sectPr>
      </w:pPr>
    </w:p>
    <w:bookmarkStart w:id="88" w:name="page89"/>
    <w:bookmarkEnd w:id="88"/>
    <w:p>
      <w:pPr>
        <w:spacing w:after="0"/>
        <w:rPr>
          <w:sz w:val="20"/>
          <w:szCs w:val="20"/>
          <w:color w:val="auto"/>
        </w:rPr>
      </w:pPr>
      <w:r>
        <w:rPr>
          <w:rFonts w:ascii="Arial" w:cs="Arial" w:eastAsia="Arial" w:hAnsi="Arial"/>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3025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30250" cy="8255"/>
                    </a:xfrm>
                    <a:prstGeom prst="rect">
                      <a:avLst/>
                    </a:prstGeom>
                    <a:noFill/>
                  </pic:spPr>
                </pic:pic>
              </a:graphicData>
            </a:graphic>
          </wp:anchor>
        </w:drawing>
      </w:r>
    </w:p>
    <w:p>
      <w:pPr>
        <w:spacing w:after="0" w:line="21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acquire businesses or products, or form strategic alliances in the future, and we may not realize the benefits of such acquisitions or alliances.</w:t>
      </w:r>
    </w:p>
    <w:p>
      <w:pPr>
        <w:spacing w:after="0" w:line="246" w:lineRule="exact"/>
        <w:rPr>
          <w:sz w:val="20"/>
          <w:szCs w:val="20"/>
          <w:color w:val="auto"/>
        </w:rPr>
      </w:pPr>
    </w:p>
    <w:p>
      <w:pPr>
        <w:ind w:right="20" w:firstLine="749"/>
        <w:spacing w:after="0" w:line="293" w:lineRule="auto"/>
        <w:rPr>
          <w:sz w:val="20"/>
          <w:szCs w:val="20"/>
          <w:color w:val="auto"/>
        </w:rPr>
      </w:pPr>
      <w:r>
        <w:rPr>
          <w:rFonts w:ascii="Arial" w:cs="Arial" w:eastAsia="Arial" w:hAnsi="Arial"/>
          <w:sz w:val="15"/>
          <w:szCs w:val="15"/>
          <w:color w:val="auto"/>
        </w:rPr>
        <w:t>We may acquire additional businesses or products, form strategic alliances or create joint ventures with third parties that we believe will complement or augment our existing business. If we acquire businesses with promising markets or technologies, we may not be able to realize the benefit of acquiring such businesses if we are unable to successfully integrate them with our existing operations and company culture. We may encounter numerous difficulties in developing, manufacturing, and marketing any new products resulting from a strategic alliance or acquisition that delay or prevent us from realizing their expected benefits or enhancing our business. We cannot assure you that, following any such acquisition, we will achieve the expected synergies to justify the transaction.</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not be able to manage our business effectively if we are unable to attract and retain key personnel.</w:t>
      </w:r>
    </w:p>
    <w:p>
      <w:pPr>
        <w:spacing w:after="0" w:line="235" w:lineRule="exact"/>
        <w:rPr>
          <w:sz w:val="20"/>
          <w:szCs w:val="20"/>
          <w:color w:val="auto"/>
        </w:rPr>
      </w:pPr>
    </w:p>
    <w:p>
      <w:pPr>
        <w:ind w:right="40" w:firstLine="749"/>
        <w:spacing w:after="0" w:line="313" w:lineRule="auto"/>
        <w:rPr>
          <w:sz w:val="20"/>
          <w:szCs w:val="20"/>
          <w:color w:val="auto"/>
        </w:rPr>
      </w:pPr>
      <w:r>
        <w:rPr>
          <w:rFonts w:ascii="Arial" w:cs="Arial" w:eastAsia="Arial" w:hAnsi="Arial"/>
          <w:sz w:val="14"/>
          <w:szCs w:val="14"/>
          <w:color w:val="auto"/>
        </w:rPr>
        <w:t>Our industry has experienced a high rate of turnover of management personnel in recent years. We are highly dependent on the skills and leadership of our management team, including Dr. Herriot Tabuteau, our Chief Executive Officer and Chairman of the Board. We do not have formal employment agreements with any of our management team. However, we typically enter into offer letters with our executive officers and key personnel. Our senior management may terminate their employment with us at any time. If we lose one or more members of our senior management team, our ability to successfully implement our business strategy could be seriously harmed. Replacing these employees may be difficult and may take an extended period of time because of the limited number of individuals in our industry with the breadth of skills and experience required to develop, gain regulatory approval of, and commercialize products successfully. Competition to hire from this limited pool is intense, and we may be unable to hire, train, retain, or motivate additional key personnel. We do not maintain “key person” insurance for any of our executives or other employees.</w:t>
      </w:r>
    </w:p>
    <w:p>
      <w:pPr>
        <w:spacing w:after="0" w:line="164" w:lineRule="exact"/>
        <w:rPr>
          <w:sz w:val="20"/>
          <w:szCs w:val="20"/>
          <w:color w:val="auto"/>
        </w:rPr>
      </w:pPr>
    </w:p>
    <w:p>
      <w:pPr>
        <w:ind w:right="560"/>
        <w:spacing w:after="0" w:line="328" w:lineRule="auto"/>
        <w:rPr>
          <w:sz w:val="20"/>
          <w:szCs w:val="20"/>
          <w:color w:val="auto"/>
        </w:rPr>
      </w:pPr>
      <w:r>
        <w:rPr>
          <w:rFonts w:ascii="Arial" w:cs="Arial" w:eastAsia="Arial" w:hAnsi="Arial"/>
          <w:sz w:val="15"/>
          <w:szCs w:val="15"/>
          <w:b w:val="1"/>
          <w:bCs w:val="1"/>
          <w:i w:val="1"/>
          <w:iCs w:val="1"/>
          <w:color w:val="auto"/>
        </w:rPr>
        <w:t>If we fail to maintain an effective system of internal controls over financial reporting, we may not be able to accurately report our financial condition, results of operations or cash flows, which may adversely affect investor confidence in us and, as a result, the value of our common stock.</w:t>
      </w:r>
    </w:p>
    <w:p>
      <w:pPr>
        <w:spacing w:after="0" w:line="150" w:lineRule="exact"/>
        <w:rPr>
          <w:sz w:val="20"/>
          <w:szCs w:val="20"/>
          <w:color w:val="auto"/>
        </w:rPr>
      </w:pPr>
    </w:p>
    <w:p>
      <w:pPr>
        <w:ind w:firstLine="749"/>
        <w:spacing w:after="0" w:line="271" w:lineRule="auto"/>
        <w:rPr>
          <w:sz w:val="20"/>
          <w:szCs w:val="20"/>
          <w:color w:val="auto"/>
        </w:rPr>
      </w:pPr>
      <w:r>
        <w:rPr>
          <w:rFonts w:ascii="Arial" w:cs="Arial" w:eastAsia="Arial" w:hAnsi="Arial"/>
          <w:sz w:val="16"/>
          <w:szCs w:val="16"/>
          <w:color w:val="auto"/>
        </w:rPr>
        <w:t>As a public company, we continue to incur significant legal, accounting and other expenses that we did not incur as a private company. In addition, the Sarbanes-Oxley Act, as well as rules subsequently implemented by the SEC and the Nasdaq Global Market, impose various requirements on public companies, including requiring establishment and maintenance of effective disclosure controls and internal control over financial reporting and changes in corporate governance practices. Our management and other personnel devote a substantial amount of time to these compliance initiatives. Moreover, these rules and regulations have increased our legal and financial compliance costs and have made some activities more time-consuming and costly.</w:t>
      </w:r>
    </w:p>
    <w:p>
      <w:pPr>
        <w:spacing w:after="0" w:line="190" w:lineRule="exact"/>
        <w:rPr>
          <w:sz w:val="20"/>
          <w:szCs w:val="20"/>
          <w:color w:val="auto"/>
        </w:rPr>
      </w:pPr>
    </w:p>
    <w:p>
      <w:pPr>
        <w:ind w:right="40" w:firstLine="749"/>
        <w:spacing w:after="0" w:line="287" w:lineRule="auto"/>
        <w:rPr>
          <w:sz w:val="20"/>
          <w:szCs w:val="20"/>
          <w:color w:val="auto"/>
        </w:rPr>
      </w:pPr>
      <w:r>
        <w:rPr>
          <w:rFonts w:ascii="Arial" w:cs="Arial" w:eastAsia="Arial" w:hAnsi="Arial"/>
          <w:sz w:val="15"/>
          <w:szCs w:val="15"/>
          <w:color w:val="auto"/>
        </w:rPr>
        <w:t>The Sarbanes-Oxley Act requires, among other things, that we maintain effective internal controls for financial reporting and disclosure controls and procedures. Under Section 404(a) of the Sarbanes-Oxley Act, we are required to furnish a report by management on, among other things, the effectiveness of our internal control over financial reporting. This report must include disclosure of any material weaknesses identified by our management during its periodic assessment of our internal control over financial reporting. A material weakness is a deficiency, or combination of deficiencies, in internal control over financial reporting that results in more than a reasonable possibility that a material misstatement of annual or interim financial statements will not be prevented or detected on a timely basis. Section 404(b) of the Sarbanes-Oxley Act also requires our independent auditors to attest to, and report on, this management assessment. Ensuring that we have adequate internal controls in place so that we can produce accurate financial statements on a timely basis is a costly and time-consuming effort. If we are not able to comply with the requirements of Section 404 or if we or our independent registered public accounting firm are unable to attest to the effectiveness of our internal control over financial reporting, investors may lose confidence in the accuracy and completeness of our financial reports, the market price of our stock could decline and we could be subject to sanctions or investigations by Nasdaq, the SEC, or other regulatory authorities, which would require additional financial and management resources.</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89" w:name="page90"/>
    <w:bookmarkEnd w:id="89"/>
    <w:p>
      <w:pPr>
        <w:spacing w:after="0"/>
        <w:rPr>
          <w:sz w:val="20"/>
          <w:szCs w:val="20"/>
          <w:color w:val="auto"/>
        </w:rPr>
      </w:pPr>
      <w:r>
        <w:rPr>
          <w:rFonts w:ascii="Arial" w:cs="Arial" w:eastAsia="Arial" w:hAnsi="Arial"/>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3025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30250" cy="8255"/>
                    </a:xfrm>
                    <a:prstGeom prst="rect">
                      <a:avLst/>
                    </a:prstGeom>
                    <a:noFill/>
                  </pic:spPr>
                </pic:pic>
              </a:graphicData>
            </a:graphic>
          </wp:anchor>
        </w:drawing>
      </w:r>
    </w:p>
    <w:p>
      <w:pPr>
        <w:spacing w:after="0" w:line="215" w:lineRule="exact"/>
        <w:rPr>
          <w:sz w:val="20"/>
          <w:szCs w:val="20"/>
          <w:color w:val="auto"/>
        </w:rPr>
      </w:pPr>
    </w:p>
    <w:p>
      <w:pPr>
        <w:ind w:right="20" w:firstLine="749"/>
        <w:spacing w:after="0" w:line="288" w:lineRule="auto"/>
        <w:rPr>
          <w:sz w:val="20"/>
          <w:szCs w:val="20"/>
          <w:color w:val="auto"/>
        </w:rPr>
      </w:pPr>
      <w:r>
        <w:rPr>
          <w:rFonts w:ascii="Arial" w:cs="Arial" w:eastAsia="Arial" w:hAnsi="Arial"/>
          <w:sz w:val="15"/>
          <w:szCs w:val="15"/>
          <w:color w:val="auto"/>
        </w:rPr>
        <w:t>During the evaluation and testing process, if we identify one or more material weaknesses in our internal control over financial reporting, we would be required to implement remediation procedures aimed at mitigating the control weakness or weaknesses. Until such remediation procedures succeed in mitigating the control weakness or weaknesses, we would be unable to assert that our internal control over financial reporting is effective. We cannot assure you that there will not be material weaknesses in our internal control over financial reporting in the future. Any failure to maintain internal control over financial reporting could severely inhibit our ability to timely and accurately report our financial condition, results of operations or cash flows. The cost of compliance with Section 404 requires us to incur substantial accounting expense and expend significant management time on compliance related issues as we implement additional corporate governance practices and comply with reporting requirements. Although we currently use the services of a third-party accounting firm to assist us with internal controls, we currently do not have an internal audit group, and we may need to hire additional accounting and financial staff with appropriate public company experience and technical accounting knowledge.</w:t>
      </w:r>
    </w:p>
    <w:p>
      <w:pPr>
        <w:spacing w:after="0" w:line="180" w:lineRule="exact"/>
        <w:rPr>
          <w:sz w:val="20"/>
          <w:szCs w:val="20"/>
          <w:color w:val="auto"/>
        </w:rPr>
      </w:pPr>
    </w:p>
    <w:p>
      <w:pPr>
        <w:ind w:right="100" w:firstLine="749"/>
        <w:spacing w:after="0" w:line="318" w:lineRule="auto"/>
        <w:rPr>
          <w:sz w:val="20"/>
          <w:szCs w:val="20"/>
          <w:color w:val="auto"/>
        </w:rPr>
      </w:pPr>
      <w:r>
        <w:rPr>
          <w:rFonts w:ascii="Arial" w:cs="Arial" w:eastAsia="Arial" w:hAnsi="Arial"/>
          <w:sz w:val="14"/>
          <w:szCs w:val="14"/>
          <w:color w:val="auto"/>
        </w:rPr>
        <w:t>Moreover, if we are not able to comply with these requirements in a timely manner or if we or our independent registered public accounting firm identifies deficiencies in our internal control over financial reporting that are deemed to be material weaknesses, the market price of our stock could decline, we could lose investor confidence in the accuracy and completeness of our financial reports, and we could be subject to sanctions or investigations by the Nasdaq Global Market, the SEC or other regulatory authorities, which would require additional financial and management resources.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disclosure controls and procedures may not prevent or detect all errors or acts of fraud.</w:t>
      </w:r>
    </w:p>
    <w:p>
      <w:pPr>
        <w:spacing w:after="0" w:line="235" w:lineRule="exact"/>
        <w:rPr>
          <w:sz w:val="20"/>
          <w:szCs w:val="20"/>
          <w:color w:val="auto"/>
        </w:rPr>
      </w:pPr>
    </w:p>
    <w:p>
      <w:pPr>
        <w:ind w:right="20" w:firstLine="749"/>
        <w:spacing w:after="0" w:line="271" w:lineRule="auto"/>
        <w:rPr>
          <w:sz w:val="20"/>
          <w:szCs w:val="20"/>
          <w:color w:val="auto"/>
        </w:rPr>
      </w:pPr>
      <w:r>
        <w:rPr>
          <w:rFonts w:ascii="Arial" w:cs="Arial" w:eastAsia="Arial" w:hAnsi="Arial"/>
          <w:sz w:val="16"/>
          <w:szCs w:val="16"/>
          <w:color w:val="auto"/>
        </w:rPr>
        <w:t>We are subject to the periodic reporting requirements of the Securities Exchange Act of 1934, as amended, or the Exchange Act. Our disclosure controls and procedures are designed to reasonably assure that information required to be disclosed by us in reports we file or submit under the Exchange Act is accumulated and communicated to management, recorded, processed, summarized and reported within the time periods specified in the rules and forms of the SEC. We believe that any disclosure controls and procedures or internal controls and procedures, no matter how well conceived and operated, can provide only reasonable, not absolute, assurance that the objectives of the control system are met.</w:t>
      </w:r>
    </w:p>
    <w:p>
      <w:pPr>
        <w:spacing w:after="0" w:line="190" w:lineRule="exact"/>
        <w:rPr>
          <w:sz w:val="20"/>
          <w:szCs w:val="20"/>
          <w:color w:val="auto"/>
        </w:rPr>
      </w:pPr>
    </w:p>
    <w:p>
      <w:pPr>
        <w:ind w:firstLine="749"/>
        <w:spacing w:after="0" w:line="311" w:lineRule="auto"/>
        <w:rPr>
          <w:sz w:val="20"/>
          <w:szCs w:val="20"/>
          <w:color w:val="auto"/>
        </w:rPr>
      </w:pPr>
      <w:r>
        <w:rPr>
          <w:rFonts w:ascii="Arial" w:cs="Arial" w:eastAsia="Arial" w:hAnsi="Arial"/>
          <w:sz w:val="14"/>
          <w:szCs w:val="14"/>
          <w:color w:val="auto"/>
        </w:rPr>
        <w:t>In addition, as discussed above, the Sarbanes-Oxley Act requires, among other things, that we maintain effective disclosure controls and procedures and internal control over financial reporting. In particular, Section 404 of the Sarbanes-Oxley Act requires us to perform system and process evaluation and testing of our internal control over financial reporting to allow management to report on, and our independent registered public accounting firm to attest to, the effectiveness of our internal control over financial reporting. Pursuant to Section 404, we are required to provide an annual management report on the effectiveness of our internal control over financial reporting and we will also be required to include with such annual report an attestation report on internal controls over financial reporting issued by our independent registered public accounting firm. In the future, our independent registered public accounting firm may issue a report that is adverse in the event that we have not maintained effective internal controls over financial reporting, in all material respects. Any failure to maintain effective disclosure controls and internal control over financial reporting could have a material and adverse effect on our business, results of operations and financial condition and could cause a decline in the trading price of our common stock.</w:t>
      </w:r>
    </w:p>
    <w:p>
      <w:pPr>
        <w:spacing w:after="0" w:line="167" w:lineRule="exact"/>
        <w:rPr>
          <w:sz w:val="20"/>
          <w:szCs w:val="20"/>
          <w:color w:val="auto"/>
        </w:rPr>
      </w:pPr>
    </w:p>
    <w:p>
      <w:pPr>
        <w:ind w:right="520" w:firstLine="749"/>
        <w:spacing w:after="0" w:line="273" w:lineRule="auto"/>
        <w:rPr>
          <w:sz w:val="20"/>
          <w:szCs w:val="20"/>
          <w:color w:val="auto"/>
        </w:rPr>
      </w:pPr>
      <w:r>
        <w:rPr>
          <w:rFonts w:ascii="Arial" w:cs="Arial" w:eastAsia="Arial" w:hAnsi="Arial"/>
          <w:sz w:val="16"/>
          <w:szCs w:val="16"/>
          <w:color w:val="auto"/>
        </w:rPr>
        <w:t>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or insufficient disclosures due to error or fraud may occur and not be detected.</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business and operations would suffer in the event of system failures.</w:t>
      </w:r>
    </w:p>
    <w:p>
      <w:pPr>
        <w:spacing w:after="0" w:line="235" w:lineRule="exact"/>
        <w:rPr>
          <w:sz w:val="20"/>
          <w:szCs w:val="20"/>
          <w:color w:val="auto"/>
        </w:rPr>
      </w:pPr>
    </w:p>
    <w:p>
      <w:pPr>
        <w:ind w:right="160" w:firstLine="749"/>
        <w:spacing w:after="0" w:line="287" w:lineRule="auto"/>
        <w:rPr>
          <w:sz w:val="20"/>
          <w:szCs w:val="20"/>
          <w:color w:val="auto"/>
        </w:rPr>
      </w:pPr>
      <w:r>
        <w:rPr>
          <w:rFonts w:ascii="Arial" w:cs="Arial" w:eastAsia="Arial" w:hAnsi="Arial"/>
          <w:sz w:val="15"/>
          <w:szCs w:val="15"/>
          <w:color w:val="auto"/>
        </w:rPr>
        <w:t>Despite our implementation of security measures, our internal computer systems and those of our CROs and other contractors and consultants are vulnerable to damage from computer viruses, unauthorized access, natural disasters, terrorism, war, telecommunication and electrical failures, cyber-attacks or cyber-intrusions over the Internet, attachments to emails, persons inside our organization, or persons with access to systems inside our organization. The risk of a security breach or disruption, particularly through cyber-attacks or cyber intrusion, including by computer hackers, foreign governments, and cyber terrorists, has generally increased as the number, intensity and sophistication of attempted attacks and intrusions from around the world have increased. If such an event were to occur and cause interruptions in our operations, it could result in a material disruption of our product candidate development programs. For example, the loss of clinical trial data from completed, ongoing, or planned clinical trials could result in delays in our regulatory approval efforts and significantly increase our costs to recover or reproduce the data. To the extent that any disruption or security breach were to result in a loss of or damage to our data or applications, or inappropriate disclosure of personal, confidential, or proprietary information, we could incur liability and the further development of any of our product candidates could be delayed.</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90" w:name="page91"/>
    <w:bookmarkEnd w:id="90"/>
    <w:p>
      <w:pPr>
        <w:spacing w:after="0"/>
        <w:rPr>
          <w:sz w:val="20"/>
          <w:szCs w:val="20"/>
          <w:color w:val="auto"/>
        </w:rPr>
      </w:pPr>
      <w:r>
        <w:rPr>
          <w:rFonts w:ascii="Arial" w:cs="Arial" w:eastAsia="Arial" w:hAnsi="Arial"/>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3025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30250" cy="8255"/>
                    </a:xfrm>
                    <a:prstGeom prst="rect">
                      <a:avLst/>
                    </a:prstGeom>
                    <a:noFill/>
                  </pic:spPr>
                </pic:pic>
              </a:graphicData>
            </a:graphic>
          </wp:anchor>
        </w:drawing>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Environmental, social and governance matters may impact our business and reputation.</w:t>
      </w:r>
    </w:p>
    <w:p>
      <w:pPr>
        <w:spacing w:after="0" w:line="235" w:lineRule="exact"/>
        <w:rPr>
          <w:sz w:val="20"/>
          <w:szCs w:val="20"/>
          <w:color w:val="auto"/>
        </w:rPr>
      </w:pPr>
    </w:p>
    <w:p>
      <w:pPr>
        <w:ind w:firstLine="749"/>
        <w:spacing w:after="0" w:line="267" w:lineRule="auto"/>
        <w:rPr>
          <w:sz w:val="20"/>
          <w:szCs w:val="20"/>
          <w:color w:val="auto"/>
        </w:rPr>
      </w:pPr>
      <w:r>
        <w:rPr>
          <w:rFonts w:ascii="Arial" w:cs="Arial" w:eastAsia="Arial" w:hAnsi="Arial"/>
          <w:sz w:val="16"/>
          <w:szCs w:val="16"/>
          <w:color w:val="auto"/>
        </w:rPr>
        <w:t>Governmental authorities, non-governmental organizations, customers, investors, external stakeholders and employees are increasingly sensitive to environmental, social and governance, or ESG, concerns, such as diversity and inclusion, climate change, water use, recyclability or recoverability of packaging, and plastic waste. This focus on ESG concerns may lead to new requirements that could result in increased costs associated with developing, manufacturing and distributing our products. Our ability to compete could also be affected by changing customer preferences and requirements, such as growing demand for more environmentally friendly products, packaging or supplier practices, or by failure to meet such customer expectations or demand. While we strive to improve its ESG performance, we risk negative stockholder reaction, including from proxy advisory services, as well as damage to its brand and reputation, if we do not act responsibly, or if we are perceived to not be acting responsibly in key ESG areas, including equitable access to medicines and vaccines, product quality and safety, diversity and inclusion, environmental stewardship, support for local communities, corporate governance and transparency, and addressing human capital factors in our operations. If we do not meet the ESG expectations of its investors, customers and other stakeholders, we could experience reduced demand for its products, loss of customers, and other negative impacts on our business and results of operations.</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RELATED TO OWNERSHIP OF OUR COMMON STOCK</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An active trading market for our common stock may not be sustained.</w:t>
      </w:r>
    </w:p>
    <w:p>
      <w:pPr>
        <w:spacing w:after="0" w:line="235" w:lineRule="exact"/>
        <w:rPr>
          <w:sz w:val="20"/>
          <w:szCs w:val="20"/>
          <w:color w:val="auto"/>
        </w:rPr>
      </w:pPr>
    </w:p>
    <w:p>
      <w:pPr>
        <w:ind w:right="120" w:firstLine="749"/>
        <w:spacing w:after="0" w:line="293" w:lineRule="auto"/>
        <w:rPr>
          <w:sz w:val="20"/>
          <w:szCs w:val="20"/>
          <w:color w:val="auto"/>
        </w:rPr>
      </w:pPr>
      <w:r>
        <w:rPr>
          <w:rFonts w:ascii="Arial" w:cs="Arial" w:eastAsia="Arial" w:hAnsi="Arial"/>
          <w:sz w:val="15"/>
          <w:szCs w:val="15"/>
          <w:color w:val="auto"/>
        </w:rPr>
        <w:t>In November 2015, we closed our initial public offering. Prior to our initial public offering, there was no public market for shares of our common stock. Although we have completed our initial public offering and shares of our common stock are listed and trading on The Nasdaq Global Market, an active trading market for our shares may not be sustained. If an active market for our common stock does not continue, it may be difficult for our stockholders to sell their shares without depressing the market price for the shares or sell their shares at or above the prices at which they acquired their shares or sell their shares at the time they would like to sell. Any inactive trading market for our common stock may also impair our ability to raise capital to continue to fund our operations by selling shares.</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market price of our common stock may be highly volatile.</w:t>
      </w:r>
    </w:p>
    <w:p>
      <w:pPr>
        <w:spacing w:after="0" w:line="235" w:lineRule="exact"/>
        <w:rPr>
          <w:sz w:val="20"/>
          <w:szCs w:val="20"/>
          <w:color w:val="auto"/>
        </w:rPr>
      </w:pPr>
    </w:p>
    <w:p>
      <w:pPr>
        <w:ind w:right="80" w:firstLine="749"/>
        <w:spacing w:after="0" w:line="273" w:lineRule="auto"/>
        <w:rPr>
          <w:sz w:val="20"/>
          <w:szCs w:val="20"/>
          <w:color w:val="auto"/>
        </w:rPr>
      </w:pPr>
      <w:r>
        <w:rPr>
          <w:rFonts w:ascii="Arial" w:cs="Arial" w:eastAsia="Arial" w:hAnsi="Arial"/>
          <w:sz w:val="16"/>
          <w:szCs w:val="16"/>
          <w:color w:val="auto"/>
        </w:rPr>
        <w:t>The trading price of our common stock is likely to be highly volatile. For example, in 2019, we experienced an extraordinary level of appreciation in our stock price. Such levels of gain are unlikely to continue in the future. Throughout the course of fiscal years 2020, 2021, and 2022, we saw both significant appreciations and depreciations in our stock price. As a result of this volatility, investors may not be able to sell their common stock at or above the price paid for the shares. The market price for our common stock may be influenced by many factors, including:</w:t>
      </w:r>
    </w:p>
    <w:p>
      <w:pPr>
        <w:spacing w:after="0" w:line="189" w:lineRule="exact"/>
        <w:rPr>
          <w:sz w:val="20"/>
          <w:szCs w:val="20"/>
          <w:color w:val="auto"/>
        </w:rPr>
      </w:pPr>
    </w:p>
    <w:p>
      <w:pPr>
        <w:ind w:left="760" w:hanging="378"/>
        <w:spacing w:after="0"/>
        <w:tabs>
          <w:tab w:leader="none" w:pos="7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commercial success of our products;</w:t>
      </w:r>
    </w:p>
    <w:p>
      <w:pPr>
        <w:spacing w:after="0" w:line="234" w:lineRule="exact"/>
        <w:rPr>
          <w:rFonts w:ascii="Arial" w:cs="Arial" w:eastAsia="Arial" w:hAnsi="Arial"/>
          <w:sz w:val="16"/>
          <w:szCs w:val="16"/>
          <w:color w:val="auto"/>
        </w:rPr>
      </w:pPr>
    </w:p>
    <w:p>
      <w:pPr>
        <w:ind w:left="760" w:hanging="378"/>
        <w:spacing w:after="0"/>
        <w:tabs>
          <w:tab w:leader="none" w:pos="7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delays in the commencement, enrollment, and ultimate completion, of our planned and ongoing Phase 3 clinical trials for our product candidates;</w:t>
      </w:r>
    </w:p>
    <w:p>
      <w:pPr>
        <w:spacing w:after="0" w:line="234" w:lineRule="exact"/>
        <w:rPr>
          <w:rFonts w:ascii="Arial" w:cs="Arial" w:eastAsia="Arial" w:hAnsi="Arial"/>
          <w:sz w:val="16"/>
          <w:szCs w:val="16"/>
          <w:color w:val="auto"/>
        </w:rPr>
      </w:pPr>
    </w:p>
    <w:p>
      <w:pPr>
        <w:ind w:left="760" w:hanging="378"/>
        <w:spacing w:after="0"/>
        <w:tabs>
          <w:tab w:leader="none" w:pos="7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any delay or refusal on the part of the FDA in approving an NDA for any of our current and future product candidates;</w:t>
      </w:r>
    </w:p>
    <w:p>
      <w:pPr>
        <w:spacing w:after="0" w:line="234" w:lineRule="exact"/>
        <w:rPr>
          <w:rFonts w:ascii="Arial" w:cs="Arial" w:eastAsia="Arial" w:hAnsi="Arial"/>
          <w:sz w:val="16"/>
          <w:szCs w:val="16"/>
          <w:color w:val="auto"/>
        </w:rPr>
      </w:pPr>
    </w:p>
    <w:p>
      <w:pPr>
        <w:ind w:left="760" w:hanging="378"/>
        <w:spacing w:after="0"/>
        <w:tabs>
          <w:tab w:leader="none" w:pos="7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operating and stock price performance of other companies that investors deem comparable to ours;</w:t>
      </w:r>
    </w:p>
    <w:p>
      <w:pPr>
        <w:spacing w:after="0" w:line="234" w:lineRule="exact"/>
        <w:rPr>
          <w:rFonts w:ascii="Arial" w:cs="Arial" w:eastAsia="Arial" w:hAnsi="Arial"/>
          <w:sz w:val="16"/>
          <w:szCs w:val="16"/>
          <w:color w:val="auto"/>
        </w:rPr>
      </w:pPr>
    </w:p>
    <w:p>
      <w:pPr>
        <w:ind w:left="760" w:hanging="378"/>
        <w:spacing w:after="0"/>
        <w:tabs>
          <w:tab w:leader="none" w:pos="7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recommendations by securities analysts;</w:t>
      </w:r>
    </w:p>
    <w:p>
      <w:pPr>
        <w:spacing w:after="0" w:line="234" w:lineRule="exact"/>
        <w:rPr>
          <w:rFonts w:ascii="Arial" w:cs="Arial" w:eastAsia="Arial" w:hAnsi="Arial"/>
          <w:sz w:val="16"/>
          <w:szCs w:val="16"/>
          <w:color w:val="auto"/>
        </w:rPr>
      </w:pPr>
    </w:p>
    <w:p>
      <w:pPr>
        <w:ind w:left="760" w:hanging="378"/>
        <w:spacing w:after="0"/>
        <w:tabs>
          <w:tab w:leader="none" w:pos="7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news relating to our industry as a whole and news relating to trends in our markets;</w:t>
      </w:r>
    </w:p>
    <w:p>
      <w:pPr>
        <w:spacing w:after="0" w:line="234" w:lineRule="exact"/>
        <w:rPr>
          <w:rFonts w:ascii="Arial" w:cs="Arial" w:eastAsia="Arial" w:hAnsi="Arial"/>
          <w:sz w:val="16"/>
          <w:szCs w:val="16"/>
          <w:color w:val="auto"/>
        </w:rPr>
      </w:pPr>
    </w:p>
    <w:p>
      <w:pPr>
        <w:ind w:left="760" w:hanging="378"/>
        <w:spacing w:after="0"/>
        <w:tabs>
          <w:tab w:leader="none" w:pos="7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results of clinical trials of any of our current and future product candidates or those of our competitors;</w:t>
      </w:r>
    </w:p>
    <w:p>
      <w:pPr>
        <w:spacing w:after="0" w:line="234" w:lineRule="exact"/>
        <w:rPr>
          <w:rFonts w:ascii="Arial" w:cs="Arial" w:eastAsia="Arial" w:hAnsi="Arial"/>
          <w:sz w:val="16"/>
          <w:szCs w:val="16"/>
          <w:color w:val="auto"/>
        </w:rPr>
      </w:pPr>
    </w:p>
    <w:p>
      <w:pPr>
        <w:ind w:left="760" w:hanging="378"/>
        <w:spacing w:after="0"/>
        <w:tabs>
          <w:tab w:leader="none" w:pos="7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actual or anticipated variations in quarterly or annual operating results;</w:t>
      </w:r>
    </w:p>
    <w:p>
      <w:pPr>
        <w:spacing w:after="0" w:line="234" w:lineRule="exact"/>
        <w:rPr>
          <w:rFonts w:ascii="Arial" w:cs="Arial" w:eastAsia="Arial" w:hAnsi="Arial"/>
          <w:sz w:val="16"/>
          <w:szCs w:val="16"/>
          <w:color w:val="auto"/>
        </w:rPr>
      </w:pPr>
    </w:p>
    <w:p>
      <w:pPr>
        <w:ind w:left="760" w:hanging="378"/>
        <w:spacing w:after="0"/>
        <w:tabs>
          <w:tab w:leader="none" w:pos="7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failure to meet or exceed financial projections we provide to the public, if any;</w:t>
      </w:r>
    </w:p>
    <w:p>
      <w:pPr>
        <w:spacing w:after="0" w:line="234" w:lineRule="exact"/>
        <w:rPr>
          <w:rFonts w:ascii="Arial" w:cs="Arial" w:eastAsia="Arial" w:hAnsi="Arial"/>
          <w:sz w:val="16"/>
          <w:szCs w:val="16"/>
          <w:color w:val="auto"/>
        </w:rPr>
      </w:pPr>
    </w:p>
    <w:p>
      <w:pPr>
        <w:ind w:left="760" w:hanging="378"/>
        <w:spacing w:after="0"/>
        <w:tabs>
          <w:tab w:leader="none" w:pos="7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failure to meet or exceed the estimates and projections of the investment community, including securities analysts;</w:t>
      </w:r>
    </w:p>
    <w:p>
      <w:pPr>
        <w:spacing w:after="0" w:line="234" w:lineRule="exact"/>
        <w:rPr>
          <w:rFonts w:ascii="Arial" w:cs="Arial" w:eastAsia="Arial" w:hAnsi="Arial"/>
          <w:sz w:val="16"/>
          <w:szCs w:val="16"/>
          <w:color w:val="auto"/>
        </w:rPr>
      </w:pPr>
    </w:p>
    <w:p>
      <w:pPr>
        <w:ind w:left="760" w:hanging="378"/>
        <w:spacing w:after="0"/>
        <w:tabs>
          <w:tab w:leader="none" w:pos="7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introduction of competitive products or technologies;</w:t>
      </w: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91" w:name="page92"/>
    <w:bookmarkEnd w:id="91"/>
    <w:p>
      <w:pPr>
        <w:spacing w:after="0"/>
        <w:rPr>
          <w:sz w:val="20"/>
          <w:szCs w:val="20"/>
          <w:color w:val="auto"/>
        </w:rPr>
      </w:pPr>
      <w:r>
        <w:rPr>
          <w:rFonts w:ascii="Arial" w:cs="Arial" w:eastAsia="Arial" w:hAnsi="Arial"/>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3025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30250" cy="8255"/>
                    </a:xfrm>
                    <a:prstGeom prst="rect">
                      <a:avLst/>
                    </a:prstGeom>
                    <a:noFill/>
                  </pic:spPr>
                </pic:pic>
              </a:graphicData>
            </a:graphic>
          </wp:anchor>
        </w:drawing>
      </w:r>
    </w:p>
    <w:p>
      <w:pPr>
        <w:spacing w:after="0" w:line="215" w:lineRule="exact"/>
        <w:rPr>
          <w:sz w:val="20"/>
          <w:szCs w:val="20"/>
          <w:color w:val="auto"/>
        </w:rPr>
      </w:pPr>
    </w:p>
    <w:p>
      <w:pPr>
        <w:ind w:left="760" w:hanging="378"/>
        <w:spacing w:after="0"/>
        <w:tabs>
          <w:tab w:leader="none" w:pos="7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changes or developments in laws or regulations applicable to our product candidates;</w:t>
      </w:r>
    </w:p>
    <w:p>
      <w:pPr>
        <w:spacing w:after="0" w:line="234" w:lineRule="exact"/>
        <w:rPr>
          <w:rFonts w:ascii="Arial" w:cs="Arial" w:eastAsia="Arial" w:hAnsi="Arial"/>
          <w:sz w:val="16"/>
          <w:szCs w:val="16"/>
          <w:color w:val="auto"/>
        </w:rPr>
      </w:pPr>
    </w:p>
    <w:p>
      <w:pPr>
        <w:ind w:left="760" w:hanging="378"/>
        <w:spacing w:after="0"/>
        <w:tabs>
          <w:tab w:leader="none" w:pos="7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perception of the pharmaceutical industry by the public, legislatures, regulators, and the investment community;</w:t>
      </w:r>
    </w:p>
    <w:p>
      <w:pPr>
        <w:spacing w:after="0" w:line="234" w:lineRule="exact"/>
        <w:rPr>
          <w:rFonts w:ascii="Arial" w:cs="Arial" w:eastAsia="Arial" w:hAnsi="Arial"/>
          <w:sz w:val="16"/>
          <w:szCs w:val="16"/>
          <w:color w:val="auto"/>
        </w:rPr>
      </w:pPr>
    </w:p>
    <w:p>
      <w:pPr>
        <w:ind w:left="760" w:hanging="378"/>
        <w:spacing w:after="0"/>
        <w:tabs>
          <w:tab w:leader="none" w:pos="7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general economic and market conditions and overall fluctuations in U.S. equity markets;</w:t>
      </w:r>
    </w:p>
    <w:p>
      <w:pPr>
        <w:spacing w:after="0" w:line="234" w:lineRule="exact"/>
        <w:rPr>
          <w:rFonts w:ascii="Arial" w:cs="Arial" w:eastAsia="Arial" w:hAnsi="Arial"/>
          <w:sz w:val="16"/>
          <w:szCs w:val="16"/>
          <w:color w:val="auto"/>
        </w:rPr>
      </w:pPr>
    </w:p>
    <w:p>
      <w:pPr>
        <w:ind w:left="760" w:hanging="378"/>
        <w:spacing w:after="0"/>
        <w:tabs>
          <w:tab w:leader="none" w:pos="7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data or security breaches;</w:t>
      </w:r>
    </w:p>
    <w:p>
      <w:pPr>
        <w:spacing w:after="0" w:line="234" w:lineRule="exact"/>
        <w:rPr>
          <w:rFonts w:ascii="Arial" w:cs="Arial" w:eastAsia="Arial" w:hAnsi="Arial"/>
          <w:sz w:val="16"/>
          <w:szCs w:val="16"/>
          <w:color w:val="auto"/>
        </w:rPr>
      </w:pPr>
    </w:p>
    <w:p>
      <w:pPr>
        <w:ind w:left="760" w:hanging="378"/>
        <w:spacing w:after="0"/>
        <w:tabs>
          <w:tab w:leader="none" w:pos="7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developments concerning our sources of manufacturing supply, warehousing, and inventory control;</w:t>
      </w:r>
    </w:p>
    <w:p>
      <w:pPr>
        <w:spacing w:after="0" w:line="234" w:lineRule="exact"/>
        <w:rPr>
          <w:rFonts w:ascii="Arial" w:cs="Arial" w:eastAsia="Arial" w:hAnsi="Arial"/>
          <w:sz w:val="16"/>
          <w:szCs w:val="16"/>
          <w:color w:val="auto"/>
        </w:rPr>
      </w:pPr>
    </w:p>
    <w:p>
      <w:pPr>
        <w:ind w:left="760" w:hanging="378"/>
        <w:spacing w:after="0"/>
        <w:tabs>
          <w:tab w:leader="none" w:pos="7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disputes or other developments relating to patents or other proprietary rights;</w:t>
      </w:r>
    </w:p>
    <w:p>
      <w:pPr>
        <w:spacing w:after="0" w:line="234" w:lineRule="exact"/>
        <w:rPr>
          <w:rFonts w:ascii="Arial" w:cs="Arial" w:eastAsia="Arial" w:hAnsi="Arial"/>
          <w:sz w:val="16"/>
          <w:szCs w:val="16"/>
          <w:color w:val="auto"/>
        </w:rPr>
      </w:pPr>
    </w:p>
    <w:p>
      <w:pPr>
        <w:ind w:left="760" w:hanging="378"/>
        <w:spacing w:after="0"/>
        <w:tabs>
          <w:tab w:leader="none" w:pos="7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additions or departures of key scientific or management personnel;</w:t>
      </w:r>
    </w:p>
    <w:p>
      <w:pPr>
        <w:spacing w:after="0" w:line="234" w:lineRule="exact"/>
        <w:rPr>
          <w:rFonts w:ascii="Arial" w:cs="Arial" w:eastAsia="Arial" w:hAnsi="Arial"/>
          <w:sz w:val="16"/>
          <w:szCs w:val="16"/>
          <w:color w:val="auto"/>
        </w:rPr>
      </w:pPr>
    </w:p>
    <w:p>
      <w:pPr>
        <w:ind w:left="760" w:hanging="378"/>
        <w:spacing w:after="0"/>
        <w:tabs>
          <w:tab w:leader="none" w:pos="7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announcements of investigations or regulatory scrutiny of our operations or lawsuits filed against us;</w:t>
      </w:r>
    </w:p>
    <w:p>
      <w:pPr>
        <w:spacing w:after="0" w:line="234" w:lineRule="exact"/>
        <w:rPr>
          <w:rFonts w:ascii="Arial" w:cs="Arial" w:eastAsia="Arial" w:hAnsi="Arial"/>
          <w:sz w:val="16"/>
          <w:szCs w:val="16"/>
          <w:color w:val="auto"/>
        </w:rPr>
      </w:pPr>
    </w:p>
    <w:p>
      <w:pPr>
        <w:ind w:left="760" w:hanging="378"/>
        <w:spacing w:after="0"/>
        <w:tabs>
          <w:tab w:leader="none" w:pos="7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capital commitments;</w:t>
      </w:r>
    </w:p>
    <w:p>
      <w:pPr>
        <w:spacing w:after="0" w:line="234" w:lineRule="exact"/>
        <w:rPr>
          <w:rFonts w:ascii="Arial" w:cs="Arial" w:eastAsia="Arial" w:hAnsi="Arial"/>
          <w:sz w:val="16"/>
          <w:szCs w:val="16"/>
          <w:color w:val="auto"/>
        </w:rPr>
      </w:pPr>
    </w:p>
    <w:p>
      <w:pPr>
        <w:ind w:left="760" w:hanging="378"/>
        <w:spacing w:after="0"/>
        <w:tabs>
          <w:tab w:leader="none" w:pos="7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investors’ general perception of our company and our business;</w:t>
      </w:r>
    </w:p>
    <w:p>
      <w:pPr>
        <w:spacing w:after="0" w:line="234" w:lineRule="exact"/>
        <w:rPr>
          <w:rFonts w:ascii="Arial" w:cs="Arial" w:eastAsia="Arial" w:hAnsi="Arial"/>
          <w:sz w:val="16"/>
          <w:szCs w:val="16"/>
          <w:color w:val="auto"/>
        </w:rPr>
      </w:pPr>
    </w:p>
    <w:p>
      <w:pPr>
        <w:ind w:left="760" w:hanging="378"/>
        <w:spacing w:after="0"/>
        <w:tabs>
          <w:tab w:leader="none" w:pos="7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announcements and expectations of additional financing efforts, including the issuance of debt, equity or convertible securities;</w:t>
      </w:r>
    </w:p>
    <w:p>
      <w:pPr>
        <w:spacing w:after="0" w:line="234" w:lineRule="exact"/>
        <w:rPr>
          <w:rFonts w:ascii="Arial" w:cs="Arial" w:eastAsia="Arial" w:hAnsi="Arial"/>
          <w:sz w:val="16"/>
          <w:szCs w:val="16"/>
          <w:color w:val="auto"/>
        </w:rPr>
      </w:pPr>
    </w:p>
    <w:p>
      <w:pPr>
        <w:ind w:left="760" w:hanging="378"/>
        <w:spacing w:after="0"/>
        <w:tabs>
          <w:tab w:leader="none" w:pos="7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sales of our common stock, including sales by our directors and officers or significant stockholders;</w:t>
      </w:r>
    </w:p>
    <w:p>
      <w:pPr>
        <w:spacing w:after="0" w:line="234" w:lineRule="exact"/>
        <w:rPr>
          <w:rFonts w:ascii="Arial" w:cs="Arial" w:eastAsia="Arial" w:hAnsi="Arial"/>
          <w:sz w:val="16"/>
          <w:szCs w:val="16"/>
          <w:color w:val="auto"/>
        </w:rPr>
      </w:pPr>
    </w:p>
    <w:p>
      <w:pPr>
        <w:ind w:left="760" w:hanging="378"/>
        <w:spacing w:after="0"/>
        <w:tabs>
          <w:tab w:leader="none" w:pos="7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changes in the market valuations of companies similar to us;</w:t>
      </w:r>
    </w:p>
    <w:p>
      <w:pPr>
        <w:spacing w:after="0" w:line="234" w:lineRule="exact"/>
        <w:rPr>
          <w:rFonts w:ascii="Arial" w:cs="Arial" w:eastAsia="Arial" w:hAnsi="Arial"/>
          <w:sz w:val="16"/>
          <w:szCs w:val="16"/>
          <w:color w:val="auto"/>
        </w:rPr>
      </w:pPr>
    </w:p>
    <w:p>
      <w:pPr>
        <w:ind w:left="760" w:hanging="378"/>
        <w:spacing w:after="0"/>
        <w:tabs>
          <w:tab w:leader="none" w:pos="7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announcements by us or our competitors of significant acquisitions, strategic partnerships, or divestitures;</w:t>
      </w:r>
    </w:p>
    <w:p>
      <w:pPr>
        <w:spacing w:after="0" w:line="234" w:lineRule="exact"/>
        <w:rPr>
          <w:rFonts w:ascii="Arial" w:cs="Arial" w:eastAsia="Arial" w:hAnsi="Arial"/>
          <w:sz w:val="16"/>
          <w:szCs w:val="16"/>
          <w:color w:val="auto"/>
        </w:rPr>
      </w:pPr>
    </w:p>
    <w:p>
      <w:pPr>
        <w:ind w:left="760" w:hanging="378"/>
        <w:spacing w:after="0"/>
        <w:tabs>
          <w:tab w:leader="none" w:pos="7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general conditions or trends in our industry; and</w:t>
      </w:r>
    </w:p>
    <w:p>
      <w:pPr>
        <w:spacing w:after="0" w:line="234" w:lineRule="exact"/>
        <w:rPr>
          <w:rFonts w:ascii="Arial" w:cs="Arial" w:eastAsia="Arial" w:hAnsi="Arial"/>
          <w:sz w:val="16"/>
          <w:szCs w:val="16"/>
          <w:color w:val="auto"/>
        </w:rPr>
      </w:pPr>
    </w:p>
    <w:p>
      <w:pPr>
        <w:ind w:left="760" w:hanging="378"/>
        <w:spacing w:after="0"/>
        <w:tabs>
          <w:tab w:leader="none" w:pos="7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other factors described in this “Risk Factors” section.</w:t>
      </w:r>
    </w:p>
    <w:p>
      <w:pPr>
        <w:spacing w:after="0" w:line="235" w:lineRule="exact"/>
        <w:rPr>
          <w:sz w:val="20"/>
          <w:szCs w:val="20"/>
          <w:color w:val="auto"/>
        </w:rPr>
      </w:pPr>
    </w:p>
    <w:p>
      <w:pPr>
        <w:ind w:right="120" w:firstLine="749"/>
        <w:spacing w:after="0" w:line="278" w:lineRule="auto"/>
        <w:rPr>
          <w:sz w:val="20"/>
          <w:szCs w:val="20"/>
          <w:color w:val="auto"/>
        </w:rPr>
      </w:pPr>
      <w:r>
        <w:rPr>
          <w:rFonts w:ascii="Arial" w:cs="Arial" w:eastAsia="Arial" w:hAnsi="Arial"/>
          <w:sz w:val="16"/>
          <w:szCs w:val="16"/>
          <w:color w:val="auto"/>
        </w:rPr>
        <w:t>In addition, the stock market in general, and the market for mid-cap pharmaceutical and biotechnology companies in particular, have experienced extreme price and volume fluctuations that have often been unrelated or disproportionate to the operating performance of these companies. Broad market and industry factors may negatively affect the market price of our common stock, regardless of our actual operating performance.</w:t>
      </w:r>
    </w:p>
    <w:p>
      <w:pPr>
        <w:spacing w:after="0" w:line="184" w:lineRule="exact"/>
        <w:rPr>
          <w:sz w:val="20"/>
          <w:szCs w:val="20"/>
          <w:color w:val="auto"/>
        </w:rPr>
      </w:pPr>
    </w:p>
    <w:p>
      <w:pPr>
        <w:ind w:right="280"/>
        <w:spacing w:after="0" w:line="293" w:lineRule="auto"/>
        <w:rPr>
          <w:sz w:val="20"/>
          <w:szCs w:val="20"/>
          <w:color w:val="auto"/>
        </w:rPr>
      </w:pPr>
      <w:r>
        <w:rPr>
          <w:rFonts w:ascii="Arial" w:cs="Arial" w:eastAsia="Arial" w:hAnsi="Arial"/>
          <w:sz w:val="16"/>
          <w:szCs w:val="16"/>
          <w:b w:val="1"/>
          <w:bCs w:val="1"/>
          <w:i w:val="1"/>
          <w:iCs w:val="1"/>
          <w:color w:val="auto"/>
        </w:rPr>
        <w:t>If equity research analysts do not publish research or reports, or publish unfavorable research or reports, about us, our business, or our market, our stock price and trading volume could decline.</w:t>
      </w:r>
    </w:p>
    <w:p>
      <w:pPr>
        <w:spacing w:after="0" w:line="172" w:lineRule="exact"/>
        <w:rPr>
          <w:sz w:val="20"/>
          <w:szCs w:val="20"/>
          <w:color w:val="auto"/>
        </w:rPr>
      </w:pPr>
    </w:p>
    <w:p>
      <w:pPr>
        <w:ind w:firstLine="749"/>
        <w:spacing w:after="0" w:line="271" w:lineRule="auto"/>
        <w:rPr>
          <w:sz w:val="20"/>
          <w:szCs w:val="20"/>
          <w:color w:val="auto"/>
        </w:rPr>
      </w:pPr>
      <w:r>
        <w:rPr>
          <w:rFonts w:ascii="Arial" w:cs="Arial" w:eastAsia="Arial" w:hAnsi="Arial"/>
          <w:sz w:val="16"/>
          <w:szCs w:val="16"/>
          <w:color w:val="auto"/>
        </w:rPr>
        <w:t>The trading market for our common stock is influenced by the research and reports that equity research analysts publish about us and our business. We do not have any control over the equity research analysts that provide research coverage of our common stock or the content and opinions included in their reports. The price of our stock could decline if one or more equity research analysts downgrades our stock or issue other unfavorable commentary or research. If one or more equity research analysts ceases coverage of our company or fails to publish reports on us regularly, demand for our stock could decrease, which in turn could cause our stock price or trading volume to decline.</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quarterly operating results may fluctuate significantly.</w:t>
      </w:r>
    </w:p>
    <w:p>
      <w:pPr>
        <w:spacing w:after="0" w:line="235" w:lineRule="exact"/>
        <w:rPr>
          <w:sz w:val="20"/>
          <w:szCs w:val="20"/>
          <w:color w:val="auto"/>
        </w:rPr>
      </w:pPr>
    </w:p>
    <w:p>
      <w:pPr>
        <w:ind w:left="760"/>
        <w:spacing w:after="0"/>
        <w:rPr>
          <w:sz w:val="20"/>
          <w:szCs w:val="20"/>
          <w:color w:val="auto"/>
        </w:rPr>
      </w:pPr>
      <w:r>
        <w:rPr>
          <w:rFonts w:ascii="Arial" w:cs="Arial" w:eastAsia="Arial" w:hAnsi="Arial"/>
          <w:sz w:val="14"/>
          <w:szCs w:val="14"/>
          <w:color w:val="auto"/>
        </w:rPr>
        <w:t>We expect our operating results to be subject to quarterly fluctuations. Our net loss and other operating results will be affected by numerous factors, including:</w:t>
      </w:r>
    </w:p>
    <w:p>
      <w:pPr>
        <w:spacing w:after="0" w:line="258" w:lineRule="exact"/>
        <w:rPr>
          <w:sz w:val="20"/>
          <w:szCs w:val="20"/>
          <w:color w:val="auto"/>
        </w:rPr>
      </w:pPr>
    </w:p>
    <w:p>
      <w:pPr>
        <w:ind w:left="760" w:hanging="378"/>
        <w:spacing w:after="0"/>
        <w:tabs>
          <w:tab w:leader="none" w:pos="7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commercial success of our products;</w:t>
      </w:r>
    </w:p>
    <w:p>
      <w:pPr>
        <w:spacing w:after="0" w:line="234" w:lineRule="exact"/>
        <w:rPr>
          <w:rFonts w:ascii="Arial" w:cs="Arial" w:eastAsia="Arial" w:hAnsi="Arial"/>
          <w:sz w:val="16"/>
          <w:szCs w:val="16"/>
          <w:color w:val="auto"/>
        </w:rPr>
      </w:pPr>
    </w:p>
    <w:p>
      <w:pPr>
        <w:ind w:left="760" w:right="420" w:hanging="378"/>
        <w:spacing w:after="0" w:line="293" w:lineRule="auto"/>
        <w:tabs>
          <w:tab w:leader="none" w:pos="7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whether the FDA requires us to complete additional, unanticipated studies, tests, or other activities prior to approving any of our current and future product candidates, which may delay any such approval;</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92" w:name="page93"/>
    <w:bookmarkEnd w:id="92"/>
    <w:p>
      <w:pPr>
        <w:spacing w:after="0"/>
        <w:rPr>
          <w:sz w:val="20"/>
          <w:szCs w:val="20"/>
          <w:color w:val="auto"/>
        </w:rPr>
      </w:pPr>
      <w:r>
        <w:rPr>
          <w:rFonts w:ascii="Arial" w:cs="Arial" w:eastAsia="Arial" w:hAnsi="Arial"/>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3025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30250" cy="8255"/>
                    </a:xfrm>
                    <a:prstGeom prst="rect">
                      <a:avLst/>
                    </a:prstGeom>
                    <a:noFill/>
                  </pic:spPr>
                </pic:pic>
              </a:graphicData>
            </a:graphic>
          </wp:anchor>
        </w:drawing>
      </w:r>
    </w:p>
    <w:p>
      <w:pPr>
        <w:spacing w:after="0" w:line="215" w:lineRule="exact"/>
        <w:rPr>
          <w:sz w:val="20"/>
          <w:szCs w:val="20"/>
          <w:color w:val="auto"/>
        </w:rPr>
      </w:pPr>
    </w:p>
    <w:p>
      <w:pPr>
        <w:ind w:left="760" w:right="600" w:hanging="378"/>
        <w:spacing w:after="0" w:line="204" w:lineRule="exact"/>
        <w:tabs>
          <w:tab w:leader="none" w:pos="7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our ability to identify and enter into third</w:t>
      </w:r>
      <w:r>
        <w:rPr>
          <w:rFonts w:ascii="MS PGothic" w:cs="MS PGothic" w:eastAsia="MS PGothic" w:hAnsi="MS PGothic"/>
          <w:sz w:val="16"/>
          <w:szCs w:val="16"/>
          <w:color w:val="auto"/>
        </w:rPr>
        <w:t>‑</w:t>
      </w:r>
      <w:r>
        <w:rPr>
          <w:rFonts w:ascii="Arial" w:cs="Arial" w:eastAsia="Arial" w:hAnsi="Arial"/>
          <w:sz w:val="16"/>
          <w:szCs w:val="16"/>
          <w:color w:val="auto"/>
        </w:rPr>
        <w:t>party manufacturing arrangements capable of manufacturing any of our current or future product candidates in commercial quantities;</w:t>
      </w:r>
    </w:p>
    <w:p>
      <w:pPr>
        <w:spacing w:after="0" w:line="213" w:lineRule="exact"/>
        <w:rPr>
          <w:rFonts w:ascii="Arial" w:cs="Arial" w:eastAsia="Arial" w:hAnsi="Arial"/>
          <w:sz w:val="16"/>
          <w:szCs w:val="16"/>
          <w:color w:val="auto"/>
        </w:rPr>
      </w:pPr>
    </w:p>
    <w:p>
      <w:pPr>
        <w:ind w:left="760" w:hanging="378"/>
        <w:spacing w:after="0"/>
        <w:tabs>
          <w:tab w:leader="none" w:pos="760" w:val="left"/>
        </w:tabs>
        <w:numPr>
          <w:ilvl w:val="0"/>
          <w:numId w:val="46"/>
        </w:numPr>
        <w:rPr>
          <w:rFonts w:ascii="Arial" w:cs="Arial" w:eastAsia="Arial" w:hAnsi="Arial"/>
          <w:sz w:val="15"/>
          <w:szCs w:val="15"/>
          <w:color w:val="auto"/>
        </w:rPr>
      </w:pPr>
      <w:r>
        <w:rPr>
          <w:rFonts w:ascii="Arial" w:cs="Arial" w:eastAsia="Arial" w:hAnsi="Arial"/>
          <w:sz w:val="15"/>
          <w:szCs w:val="15"/>
          <w:color w:val="auto"/>
        </w:rPr>
        <w:t>our execution of other collaborative, licensing, or similar arrangements and the timing of payments we may make or receive under these arrangements;</w:t>
      </w:r>
    </w:p>
    <w:p>
      <w:pPr>
        <w:spacing w:after="0" w:line="246" w:lineRule="exact"/>
        <w:rPr>
          <w:rFonts w:ascii="Arial" w:cs="Arial" w:eastAsia="Arial" w:hAnsi="Arial"/>
          <w:sz w:val="15"/>
          <w:szCs w:val="15"/>
          <w:color w:val="auto"/>
        </w:rPr>
      </w:pPr>
    </w:p>
    <w:p>
      <w:pPr>
        <w:ind w:left="760" w:hanging="378"/>
        <w:spacing w:after="0"/>
        <w:tabs>
          <w:tab w:leader="none" w:pos="7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variations in the level of expenses related to our future development programs;</w:t>
      </w:r>
    </w:p>
    <w:p>
      <w:pPr>
        <w:spacing w:after="0" w:line="234" w:lineRule="exact"/>
        <w:rPr>
          <w:rFonts w:ascii="Arial" w:cs="Arial" w:eastAsia="Arial" w:hAnsi="Arial"/>
          <w:sz w:val="16"/>
          <w:szCs w:val="16"/>
          <w:color w:val="auto"/>
        </w:rPr>
      </w:pPr>
    </w:p>
    <w:p>
      <w:pPr>
        <w:ind w:left="760" w:hanging="378"/>
        <w:spacing w:after="0"/>
        <w:tabs>
          <w:tab w:leader="none" w:pos="7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any product liability or intellectual property infringement lawsuit in which we may become involved;</w:t>
      </w:r>
    </w:p>
    <w:p>
      <w:pPr>
        <w:spacing w:after="0" w:line="234" w:lineRule="exact"/>
        <w:rPr>
          <w:rFonts w:ascii="Arial" w:cs="Arial" w:eastAsia="Arial" w:hAnsi="Arial"/>
          <w:sz w:val="16"/>
          <w:szCs w:val="16"/>
          <w:color w:val="auto"/>
        </w:rPr>
      </w:pPr>
    </w:p>
    <w:p>
      <w:pPr>
        <w:ind w:left="760" w:hanging="378"/>
        <w:spacing w:after="0"/>
        <w:tabs>
          <w:tab w:leader="none" w:pos="7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regulatory developments affecting our current products, or the products of our competitors; and</w:t>
      </w:r>
    </w:p>
    <w:p>
      <w:pPr>
        <w:spacing w:after="0" w:line="234" w:lineRule="exact"/>
        <w:rPr>
          <w:rFonts w:ascii="Arial" w:cs="Arial" w:eastAsia="Arial" w:hAnsi="Arial"/>
          <w:sz w:val="16"/>
          <w:szCs w:val="16"/>
          <w:color w:val="auto"/>
        </w:rPr>
      </w:pPr>
    </w:p>
    <w:p>
      <w:pPr>
        <w:ind w:left="760" w:hanging="378"/>
        <w:spacing w:after="0"/>
        <w:tabs>
          <w:tab w:leader="none" w:pos="7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level of underlying demand for our products</w:t>
      </w:r>
    </w:p>
    <w:p>
      <w:pPr>
        <w:spacing w:after="0" w:line="235" w:lineRule="exact"/>
        <w:rPr>
          <w:sz w:val="20"/>
          <w:szCs w:val="20"/>
          <w:color w:val="auto"/>
        </w:rPr>
      </w:pPr>
    </w:p>
    <w:p>
      <w:pPr>
        <w:ind w:right="220" w:firstLine="749"/>
        <w:spacing w:after="0" w:line="305" w:lineRule="auto"/>
        <w:rPr>
          <w:sz w:val="20"/>
          <w:szCs w:val="20"/>
          <w:color w:val="auto"/>
        </w:rPr>
      </w:pPr>
      <w:r>
        <w:rPr>
          <w:rFonts w:ascii="Arial" w:cs="Arial" w:eastAsia="Arial" w:hAnsi="Arial"/>
          <w:sz w:val="15"/>
          <w:szCs w:val="15"/>
          <w:color w:val="auto"/>
        </w:rPr>
        <w:t>If our quarterly or annual operating results fall below the expectations of investors or securities analysts, the price of our common stock could decline substantially. Furthermore, any quarterly or annual fluctuations in our operating results may, in turn, cause the price of our stock to fluctuate substantially. We believe that quarterly comparisons of our financial results are not necessarily meaningful and should not be relied upon as an indication of our future performance.</w:t>
      </w:r>
    </w:p>
    <w:p>
      <w:pPr>
        <w:spacing w:after="0" w:line="166" w:lineRule="exact"/>
        <w:rPr>
          <w:sz w:val="20"/>
          <w:szCs w:val="20"/>
          <w:color w:val="auto"/>
        </w:rPr>
      </w:pPr>
    </w:p>
    <w:p>
      <w:pPr>
        <w:ind w:right="220"/>
        <w:spacing w:after="0" w:line="293" w:lineRule="auto"/>
        <w:rPr>
          <w:sz w:val="20"/>
          <w:szCs w:val="20"/>
          <w:color w:val="auto"/>
        </w:rPr>
      </w:pPr>
      <w:r>
        <w:rPr>
          <w:rFonts w:ascii="Arial" w:cs="Arial" w:eastAsia="Arial" w:hAnsi="Arial"/>
          <w:sz w:val="16"/>
          <w:szCs w:val="16"/>
          <w:b w:val="1"/>
          <w:bCs w:val="1"/>
          <w:i w:val="1"/>
          <w:iCs w:val="1"/>
          <w:color w:val="auto"/>
        </w:rPr>
        <w:t>Raising additional funds by issuing securities may cause dilution to existing stockholders and raising funds through lending and licensing arrangements may restrict our operations or require us to relinquish proprietary rights.</w:t>
      </w:r>
    </w:p>
    <w:p>
      <w:pPr>
        <w:spacing w:after="0" w:line="172" w:lineRule="exact"/>
        <w:rPr>
          <w:sz w:val="20"/>
          <w:szCs w:val="20"/>
          <w:color w:val="auto"/>
        </w:rPr>
      </w:pPr>
    </w:p>
    <w:p>
      <w:pPr>
        <w:ind w:firstLine="749"/>
        <w:spacing w:after="0" w:line="293" w:lineRule="auto"/>
        <w:rPr>
          <w:sz w:val="20"/>
          <w:szCs w:val="20"/>
          <w:color w:val="auto"/>
        </w:rPr>
      </w:pPr>
      <w:r>
        <w:rPr>
          <w:rFonts w:ascii="Arial" w:cs="Arial" w:eastAsia="Arial" w:hAnsi="Arial"/>
          <w:sz w:val="15"/>
          <w:szCs w:val="15"/>
          <w:color w:val="auto"/>
        </w:rPr>
        <w:t>We may finance our cash needs through a combination of equity offerings, debt financings, grants, and license and development agreements in connection with any collaborations until such time, if ever, as our product sales are sufficient to meet our cash needs. To the extent that we raise additional capital by issuing equity securities, our existing stockholders’ ownership will be diluted, and the terms of these securities may include liquidation or other preferences that adversely affect your rights as a common stockholder. Debt financing and preferred equity financing, if available, may involve agreements that include covenants limiting or restricting our ability to take specific actions, such as incurring additional debt, making capital expenditures, or declaring dividends.</w:t>
      </w:r>
    </w:p>
    <w:p>
      <w:pPr>
        <w:spacing w:after="0" w:line="176" w:lineRule="exact"/>
        <w:rPr>
          <w:sz w:val="20"/>
          <w:szCs w:val="20"/>
          <w:color w:val="auto"/>
        </w:rPr>
      </w:pPr>
    </w:p>
    <w:p>
      <w:pPr>
        <w:ind w:right="180" w:firstLine="749"/>
        <w:spacing w:after="0" w:line="315" w:lineRule="auto"/>
        <w:rPr>
          <w:sz w:val="20"/>
          <w:szCs w:val="20"/>
          <w:color w:val="auto"/>
        </w:rPr>
      </w:pPr>
      <w:r>
        <w:rPr>
          <w:rFonts w:ascii="Arial" w:cs="Arial" w:eastAsia="Arial" w:hAnsi="Arial"/>
          <w:sz w:val="14"/>
          <w:szCs w:val="14"/>
          <w:color w:val="auto"/>
        </w:rPr>
        <w:t>If we raise additional funds through collaborations, strategic alliances, or marketing, distribution or licensing arrangements with third parties, we may have to relinquish valuable rights to our technologies, future revenue streams, research programs, or product candidates or grant licenses on terms that may not be favorable to us. Any debt financing we enter into may involve covenants that restrict our operations. These restrictive covenants may include limitations on additional borrowing and specific restrictions on the use of our assets as well as prohibitions on our ability to create liens, pay dividends, redeem our stock, or make investments.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163"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b w:val="1"/>
          <w:bCs w:val="1"/>
          <w:i w:val="1"/>
          <w:iCs w:val="1"/>
          <w:color w:val="auto"/>
        </w:rPr>
        <w:t>Our principal stockholders and management own a significant percentage of our stock and may be able to exert significant control over matters subject to stockholder approval.</w:t>
      </w:r>
    </w:p>
    <w:p>
      <w:pPr>
        <w:spacing w:after="0" w:line="172" w:lineRule="exact"/>
        <w:rPr>
          <w:sz w:val="20"/>
          <w:szCs w:val="20"/>
          <w:color w:val="auto"/>
        </w:rPr>
      </w:pPr>
    </w:p>
    <w:p>
      <w:pPr>
        <w:ind w:right="80" w:firstLine="749"/>
        <w:spacing w:after="0" w:line="271" w:lineRule="auto"/>
        <w:rPr>
          <w:sz w:val="20"/>
          <w:szCs w:val="20"/>
          <w:color w:val="auto"/>
        </w:rPr>
      </w:pPr>
      <w:r>
        <w:rPr>
          <w:rFonts w:ascii="Arial" w:cs="Arial" w:eastAsia="Arial" w:hAnsi="Arial"/>
          <w:sz w:val="16"/>
          <w:szCs w:val="16"/>
          <w:color w:val="auto"/>
        </w:rPr>
        <w:t>As of July 31, 2023, our executive officers, directors, and 5% stockholders and their affiliates beneficially owned an aggregate of approximately 43% of our outstanding common stock. As a result, these stockholders have significant influence and may be able to determine all matters requiring stockholder approval. For example, these stockholders may be able to control elections of directors, amendments of our organizational documents, or approval of any merger, sale of assets, or other major corporate transaction. This concentration of ownership could delay or prevent any acquisition of our company on terms that other stockholders may desire and may adversely affect the market price of our common stock.</w:t>
      </w:r>
    </w:p>
    <w:p>
      <w:pPr>
        <w:spacing w:after="0" w:line="190" w:lineRule="exact"/>
        <w:rPr>
          <w:sz w:val="20"/>
          <w:szCs w:val="20"/>
          <w:color w:val="auto"/>
        </w:rPr>
      </w:pPr>
    </w:p>
    <w:p>
      <w:pPr>
        <w:ind w:right="100" w:firstLine="749"/>
        <w:spacing w:after="0" w:line="291" w:lineRule="auto"/>
        <w:rPr>
          <w:sz w:val="20"/>
          <w:szCs w:val="20"/>
          <w:color w:val="auto"/>
        </w:rPr>
      </w:pPr>
      <w:r>
        <w:rPr>
          <w:rFonts w:ascii="Arial" w:cs="Arial" w:eastAsia="Arial" w:hAnsi="Arial"/>
          <w:sz w:val="15"/>
          <w:szCs w:val="15"/>
          <w:color w:val="auto"/>
        </w:rPr>
        <w:t>Some of these persons or entities may have interests different than our other stockholders. For example, these stockholders, if they acted together, could significantly influence all matters requiring approval by our stockholders, including the election of directors and the approval of mergers or other business combination transactions. These stockholders may be able to determine all matters requiring stockholder approval. The interests of these stockholders may not always coincide with our interests or the interests of other stockholders. This may also prevent or discourage unsolicited acquisition proposals or offers for our common stock that other stockholders may feel are in their best interest and our large stockholders may act in a manner that advances their best interests and not necessarily those of other stockholders, including seeking a premium value for their common stock, and might affect the prevailing market price for our common stock.</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93" w:name="page94"/>
    <w:bookmarkEnd w:id="93"/>
    <w:p>
      <w:pPr>
        <w:spacing w:after="0"/>
        <w:rPr>
          <w:sz w:val="20"/>
          <w:szCs w:val="20"/>
          <w:color w:val="auto"/>
        </w:rPr>
      </w:pPr>
      <w:r>
        <w:rPr>
          <w:rFonts w:ascii="Arial" w:cs="Arial" w:eastAsia="Arial" w:hAnsi="Arial"/>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3025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30250" cy="8255"/>
                    </a:xfrm>
                    <a:prstGeom prst="rect">
                      <a:avLst/>
                    </a:prstGeom>
                    <a:noFill/>
                  </pic:spPr>
                </pic:pic>
              </a:graphicData>
            </a:graphic>
          </wp:anchor>
        </w:drawing>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Sales of a substantial number of shares of our common stock in the public market by our existing stockholders could cause our stock price to fall.</w:t>
      </w:r>
    </w:p>
    <w:p>
      <w:pPr>
        <w:spacing w:after="0" w:line="235" w:lineRule="exact"/>
        <w:rPr>
          <w:sz w:val="20"/>
          <w:szCs w:val="20"/>
          <w:color w:val="auto"/>
        </w:rPr>
      </w:pPr>
    </w:p>
    <w:p>
      <w:pPr>
        <w:ind w:firstLine="749"/>
        <w:spacing w:after="0" w:line="278" w:lineRule="auto"/>
        <w:rPr>
          <w:sz w:val="20"/>
          <w:szCs w:val="20"/>
          <w:color w:val="auto"/>
        </w:rPr>
      </w:pPr>
      <w:r>
        <w:rPr>
          <w:rFonts w:ascii="Arial" w:cs="Arial" w:eastAsia="Arial" w:hAnsi="Arial"/>
          <w:sz w:val="16"/>
          <w:szCs w:val="16"/>
          <w:color w:val="auto"/>
        </w:rPr>
        <w:t>Sales of a substantial number of shares of our common stock in the public market or the perception that these sales might occur, could depress the market price of our common stock and could impair our ability to raise adequate capital through the sale of additional equity securities. We are unable to predict the effect that sales may have on the prevailing market price of our common stock.</w:t>
      </w:r>
    </w:p>
    <w:p>
      <w:pPr>
        <w:spacing w:after="0" w:line="184" w:lineRule="exact"/>
        <w:rPr>
          <w:sz w:val="20"/>
          <w:szCs w:val="20"/>
          <w:color w:val="auto"/>
        </w:rPr>
      </w:pPr>
    </w:p>
    <w:p>
      <w:pPr>
        <w:ind w:right="40" w:firstLine="749"/>
        <w:spacing w:after="0" w:line="271" w:lineRule="auto"/>
        <w:rPr>
          <w:sz w:val="20"/>
          <w:szCs w:val="20"/>
          <w:color w:val="auto"/>
        </w:rPr>
      </w:pPr>
      <w:r>
        <w:rPr>
          <w:rFonts w:ascii="Arial" w:cs="Arial" w:eastAsia="Arial" w:hAnsi="Arial"/>
          <w:sz w:val="16"/>
          <w:szCs w:val="16"/>
          <w:color w:val="auto"/>
        </w:rPr>
        <w:t>As of July 31, 2023, we have outstanding 47,190,970 shares of common stock and 8,936,950 shares of common stock equivalents that would increase the number of common stock outstanding if these instruments were exercised or converted, including stock options to purchase common stock based on vesting requirements and warrants to purchase common stock, as well as outstanding restricted stock units. Of our currently outstanding shares of common stock, 39,171,469 are freely tradable. The remainder of the outstanding shares of common stock are held by our affiliates and may be considered “control securities” for purposes of Rule 144 under the Securities Act.</w:t>
      </w:r>
    </w:p>
    <w:p>
      <w:pPr>
        <w:spacing w:after="0" w:line="190" w:lineRule="exact"/>
        <w:rPr>
          <w:sz w:val="20"/>
          <w:szCs w:val="20"/>
          <w:color w:val="auto"/>
        </w:rPr>
      </w:pPr>
    </w:p>
    <w:p>
      <w:pPr>
        <w:ind w:right="80" w:firstLine="749"/>
        <w:spacing w:after="0" w:line="204" w:lineRule="exact"/>
        <w:rPr>
          <w:sz w:val="20"/>
          <w:szCs w:val="20"/>
          <w:color w:val="auto"/>
        </w:rPr>
      </w:pPr>
      <w:r>
        <w:rPr>
          <w:rFonts w:ascii="Arial" w:cs="Arial" w:eastAsia="Arial" w:hAnsi="Arial"/>
          <w:sz w:val="16"/>
          <w:szCs w:val="16"/>
          <w:color w:val="auto"/>
        </w:rPr>
        <w:t>In addition, we have filed one or more registration statements on Form S</w:t>
      </w:r>
      <w:r>
        <w:rPr>
          <w:rFonts w:ascii="MS PGothic" w:cs="MS PGothic" w:eastAsia="MS PGothic" w:hAnsi="MS PGothic"/>
          <w:sz w:val="16"/>
          <w:szCs w:val="16"/>
          <w:color w:val="auto"/>
        </w:rPr>
        <w:t>‑</w:t>
      </w:r>
      <w:r>
        <w:rPr>
          <w:rFonts w:ascii="Arial" w:cs="Arial" w:eastAsia="Arial" w:hAnsi="Arial"/>
          <w:sz w:val="16"/>
          <w:szCs w:val="16"/>
          <w:color w:val="auto"/>
        </w:rPr>
        <w:t>8 registering the issuance of an aggregate of 13,705,956 shares of common stock subject to options or other equity awards issued or reserved for future issuance under our 2015 Omnibus Incentive Compensation Plan, or the Plan and an additional 1,100,000 shares of common stock reserved for future issuance under our 2023 Employee Stock Purchase Plan. Shares registered under registration statements on Form S</w:t>
      </w:r>
      <w:r>
        <w:rPr>
          <w:rFonts w:ascii="MS PGothic" w:cs="MS PGothic" w:eastAsia="MS PGothic" w:hAnsi="MS PGothic"/>
          <w:sz w:val="16"/>
          <w:szCs w:val="16"/>
          <w:color w:val="auto"/>
        </w:rPr>
        <w:t>‑</w:t>
      </w:r>
      <w:r>
        <w:rPr>
          <w:rFonts w:ascii="Arial" w:cs="Arial" w:eastAsia="Arial" w:hAnsi="Arial"/>
          <w:sz w:val="16"/>
          <w:szCs w:val="16"/>
          <w:color w:val="auto"/>
        </w:rPr>
        <w:t>8 will be available for sale in the public market subject to vesting arrangements and exercise of options, the lock</w:t>
      </w:r>
      <w:r>
        <w:rPr>
          <w:rFonts w:ascii="MS PGothic" w:cs="MS PGothic" w:eastAsia="MS PGothic" w:hAnsi="MS PGothic"/>
          <w:sz w:val="16"/>
          <w:szCs w:val="16"/>
          <w:color w:val="auto"/>
        </w:rPr>
        <w:t>‑</w:t>
      </w:r>
      <w:r>
        <w:rPr>
          <w:rFonts w:ascii="Arial" w:cs="Arial" w:eastAsia="Arial" w:hAnsi="Arial"/>
          <w:sz w:val="16"/>
          <w:szCs w:val="16"/>
          <w:color w:val="auto"/>
        </w:rPr>
        <w:t>up agreements described above and the restrictions of Rule 144 in the case of our affiliates.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94" w:name="page95"/>
    <w:bookmarkEnd w:id="94"/>
    <w:p>
      <w:pPr>
        <w:spacing w:after="0"/>
        <w:rPr>
          <w:sz w:val="20"/>
          <w:szCs w:val="20"/>
          <w:color w:val="auto"/>
        </w:rPr>
      </w:pPr>
      <w:r>
        <w:rPr>
          <w:rFonts w:ascii="Arial" w:cs="Arial" w:eastAsia="Arial" w:hAnsi="Arial"/>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3025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30250" cy="8255"/>
                    </a:xfrm>
                    <a:prstGeom prst="rect">
                      <a:avLst/>
                    </a:prstGeom>
                    <a:noFill/>
                  </pic:spPr>
                </pic:pic>
              </a:graphicData>
            </a:graphic>
          </wp:anchor>
        </w:drawing>
      </w:r>
    </w:p>
    <w:p>
      <w:pPr>
        <w:spacing w:after="0" w:line="215"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b w:val="1"/>
          <w:bCs w:val="1"/>
          <w:i w:val="1"/>
          <w:iCs w:val="1"/>
          <w:color w:val="auto"/>
        </w:rPr>
        <w:t>Our management will have broad discretion in the use of the net proceeds from our capital raises, including the proceeds from sales pursuant to our Sales Agreement, and may not use them effectively.</w:t>
      </w:r>
    </w:p>
    <w:p>
      <w:pPr>
        <w:spacing w:after="0" w:line="172" w:lineRule="exact"/>
        <w:rPr>
          <w:sz w:val="20"/>
          <w:szCs w:val="20"/>
          <w:color w:val="auto"/>
        </w:rPr>
      </w:pPr>
    </w:p>
    <w:p>
      <w:pPr>
        <w:ind w:firstLine="749"/>
        <w:spacing w:after="0" w:line="310" w:lineRule="auto"/>
        <w:rPr>
          <w:sz w:val="20"/>
          <w:szCs w:val="20"/>
          <w:color w:val="auto"/>
        </w:rPr>
      </w:pPr>
      <w:r>
        <w:rPr>
          <w:rFonts w:ascii="Arial" w:cs="Arial" w:eastAsia="Arial" w:hAnsi="Arial"/>
          <w:sz w:val="14"/>
          <w:szCs w:val="14"/>
          <w:color w:val="auto"/>
        </w:rPr>
        <w:t>Our management will have broad discretion in the application of the net proceeds from our capital raises, which we refer to as our Capital Raises, including the proceeds from sales pursuant to our March 2022 “at-the-market” sales agreement with SVB Securities LLC (now known as Leerink Partners LLC), or Leerink, which provides for the sale of up to $250.0 million of our common stock from time to time, and our stockholders will not have the opportunity as part of their investment decision to assess whether the net proceeds from our Capital Raises are being used appropriately. Our stockholders may not agree with our decisions, and our use of the proceeds may not yield any return on investment for our stockholders. Because of the number and variability of factors that will determine our use of the net proceeds from our Capital Raises their ultimate use may vary substantially from their currently intended use. Our failure to apply the net proceeds of our Capital Raises effectively could compromise our ability to pursue our growth strategy and we might not be able to yield a significant return, if any, on our investment of those net proceeds. Our stockholders will not have the opportunity to influence our decisions on how to use our net proceeds from our Capital Raises. Pending their use, we may invest the net proceeds from our Capital Raises in short-term, investment-grade, interest-bearing instruments and U.S. government securities. These temporary investments are not likely to yield a significant return.</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use of our net operating loss carryforwards and research tax credits may be limited.</w:t>
      </w:r>
    </w:p>
    <w:p>
      <w:pPr>
        <w:spacing w:after="0" w:line="235" w:lineRule="exact"/>
        <w:rPr>
          <w:sz w:val="20"/>
          <w:szCs w:val="20"/>
          <w:color w:val="auto"/>
        </w:rPr>
      </w:pPr>
    </w:p>
    <w:p>
      <w:pPr>
        <w:ind w:right="40" w:firstLine="749"/>
        <w:spacing w:after="0" w:line="285" w:lineRule="auto"/>
        <w:rPr>
          <w:sz w:val="20"/>
          <w:szCs w:val="20"/>
          <w:color w:val="auto"/>
        </w:rPr>
      </w:pPr>
      <w:r>
        <w:rPr>
          <w:rFonts w:ascii="Arial" w:cs="Arial" w:eastAsia="Arial" w:hAnsi="Arial"/>
          <w:sz w:val="15"/>
          <w:szCs w:val="15"/>
          <w:color w:val="auto"/>
        </w:rPr>
        <w:t>Our net operating loss carryforwards and any future research and development tax credits may expire and not be used. As of December 31, 2022, we had U.S. federal net operating loss, NOL, carryforwards of approximately $458 million and foreign NOL carryforwards of $7.8 million. U.S. federal net operating loss carry forwards amounting to $60 million generated before the 2018 tax year will start expiring beginning 2032, if we have not used them prior to that time, and the U.S. federal net operating losses of approximately $398 million generated in 2018 and later have an indefinite carryforward period. Net operating loss carry forwards arising in taxable years ending after December 31, 2017, are no longer subject to expiration under the Internal Revenue Code of 1986, as amended, or the Code. Additionally, our ability to use any net operating loss and credit carryforwards to offset taxable income or tax, respectively, in the future will be limited under Sections 382 and 383 of the Code, respectively, if we have a cumulative change in ownership of more than 50% within a three-year period. The completion of our initial public offering, together with our other public and private Capital Raises, and other transactions that have occurred, may trigger, or may have already triggered, such an ownership change. In addition, since we may need to raise additional funding to finance our operations, we may undergo further ownership changes in the future. We have never completed an analysis as to whether such a change of ownership has occurred, but in such an event, we will be limited regarding the amount of net operating loss carryforwards and research tax credits that could be utilized annually in the future to offset taxable income or tax, respectively. Any such annual limitation may significantly reduce the utilization of the net operating loss carryforwards and research tax credits before they expire. In addition, certain states have suspended use of net operating loss carryforwards for certain taxable years, and other states are considering similar measures. As a result, we may incur higher state income tax expense in the future. Depending on our future tax position, continued suspension of our ability to use net operating loss carryforwards in states in which we are subject to income tax could have an adverse impact on our results of operations and financial condition.</w:t>
      </w:r>
    </w:p>
    <w:p>
      <w:pPr>
        <w:spacing w:after="0" w:line="18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Because we do not intend to pay dividends on our common stock, returns for our stockholders will be limited to any increase in the value of our stock.</w:t>
      </w:r>
    </w:p>
    <w:p>
      <w:pPr>
        <w:spacing w:after="0" w:line="246" w:lineRule="exact"/>
        <w:rPr>
          <w:sz w:val="20"/>
          <w:szCs w:val="20"/>
          <w:color w:val="auto"/>
        </w:rPr>
      </w:pPr>
    </w:p>
    <w:p>
      <w:pPr>
        <w:ind w:right="140" w:firstLine="749"/>
        <w:spacing w:after="0" w:line="297" w:lineRule="auto"/>
        <w:rPr>
          <w:sz w:val="20"/>
          <w:szCs w:val="20"/>
          <w:color w:val="auto"/>
        </w:rPr>
      </w:pPr>
      <w:r>
        <w:rPr>
          <w:rFonts w:ascii="Arial" w:cs="Arial" w:eastAsia="Arial" w:hAnsi="Arial"/>
          <w:sz w:val="15"/>
          <w:szCs w:val="15"/>
          <w:color w:val="auto"/>
        </w:rPr>
        <w:t>We have never declared or paid any cash dividends on our capital stock. In addition, the terms of our existing credit facility with Hercules preclude us from paying cash dividends without Hercules’ consent. We currently intend to retain all available funds and any future earnings to support our operations and finance the growth and development of our business and do not anticipate declaring or paying any cash dividends on our common stock for the foreseeable future. Any return to stockholders will therefore be limited to the appreciation of their stock, if any. Investors seeking cash dividends should not purchase our common stock.</w:t>
      </w:r>
    </w:p>
    <w:p>
      <w:pPr>
        <w:spacing w:after="0" w:line="172"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b w:val="1"/>
          <w:bCs w:val="1"/>
          <w:i w:val="1"/>
          <w:iCs w:val="1"/>
          <w:color w:val="auto"/>
        </w:rPr>
        <w:t>Provisions in our corporate charter documents and under Delaware law may prevent or frustrate attempts by our stockholders to change our management and hinder efforts to acquire a controlling interest in us, and the market price of our common stock may be lower as a result.</w:t>
      </w:r>
    </w:p>
    <w:p>
      <w:pPr>
        <w:spacing w:after="0" w:line="172" w:lineRule="exact"/>
        <w:rPr>
          <w:sz w:val="20"/>
          <w:szCs w:val="20"/>
          <w:color w:val="auto"/>
        </w:rPr>
      </w:pPr>
    </w:p>
    <w:p>
      <w:pPr>
        <w:ind w:right="20" w:firstLine="749"/>
        <w:spacing w:after="0" w:line="291" w:lineRule="auto"/>
        <w:rPr>
          <w:sz w:val="20"/>
          <w:szCs w:val="20"/>
          <w:color w:val="auto"/>
        </w:rPr>
      </w:pPr>
      <w:r>
        <w:rPr>
          <w:rFonts w:ascii="Arial" w:cs="Arial" w:eastAsia="Arial" w:hAnsi="Arial"/>
          <w:sz w:val="15"/>
          <w:szCs w:val="15"/>
          <w:color w:val="auto"/>
        </w:rPr>
        <w:t>There are provisions in our amended and restated certificate of incorporation and amended and restated bylaws that may make it difficult for a third-party to acquire, or attempt to acquire, control of our company, even if a change in control was considered favorable by you and other stockholders. For example, our board of directors will have the authority to issue up to 10.0 million shares of preferred stock and to fix the price, rights, preferences, privileges, and restrictions of the preferred stock without any further vote or action by our stockholders. We do not currently have any preferred stock outstanding. The issuance of shares of preferred stock may delay or prevent a change in control transaction. As a result, the market price of our common stock and the voting and other rights of our stockholders may be adversely affected. An issuance of shares of preferred stock may result in the loss of voting control to other stockholders.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95" w:name="page96"/>
    <w:bookmarkEnd w:id="95"/>
    <w:p>
      <w:pPr>
        <w:spacing w:after="0"/>
        <w:rPr>
          <w:sz w:val="20"/>
          <w:szCs w:val="20"/>
          <w:color w:val="auto"/>
        </w:rPr>
      </w:pPr>
      <w:r>
        <w:rPr>
          <w:rFonts w:ascii="Arial" w:cs="Arial" w:eastAsia="Arial" w:hAnsi="Arial"/>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3025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30250" cy="8255"/>
                    </a:xfrm>
                    <a:prstGeom prst="rect">
                      <a:avLst/>
                    </a:prstGeom>
                    <a:noFill/>
                  </pic:spPr>
                </pic:pic>
              </a:graphicData>
            </a:graphic>
          </wp:anchor>
        </w:drawing>
      </w:r>
    </w:p>
    <w:p>
      <w:pPr>
        <w:spacing w:after="0" w:line="215" w:lineRule="exact"/>
        <w:rPr>
          <w:sz w:val="20"/>
          <w:szCs w:val="20"/>
          <w:color w:val="auto"/>
        </w:rPr>
      </w:pPr>
    </w:p>
    <w:p>
      <w:pPr>
        <w:ind w:right="20" w:firstLine="749"/>
        <w:spacing w:after="0" w:line="204" w:lineRule="exact"/>
        <w:rPr>
          <w:sz w:val="20"/>
          <w:szCs w:val="20"/>
          <w:color w:val="auto"/>
        </w:rPr>
      </w:pPr>
      <w:r>
        <w:rPr>
          <w:rFonts w:ascii="Arial" w:cs="Arial" w:eastAsia="Arial" w:hAnsi="Arial"/>
          <w:sz w:val="16"/>
          <w:szCs w:val="16"/>
          <w:color w:val="auto"/>
        </w:rPr>
        <w:t>In addition, we are subject to the anti</w:t>
      </w:r>
      <w:r>
        <w:rPr>
          <w:rFonts w:ascii="MS PGothic" w:cs="MS PGothic" w:eastAsia="MS PGothic" w:hAnsi="MS PGothic"/>
          <w:sz w:val="16"/>
          <w:szCs w:val="16"/>
          <w:color w:val="auto"/>
        </w:rPr>
        <w:t>‑</w:t>
      </w:r>
      <w:r>
        <w:rPr>
          <w:rFonts w:ascii="Arial" w:cs="Arial" w:eastAsia="Arial" w:hAnsi="Arial"/>
          <w:sz w:val="16"/>
          <w:szCs w:val="16"/>
          <w:color w:val="auto"/>
        </w:rPr>
        <w:t>takeover provisions of Section 203 of the Delaware General Corporation Law, or DGCL, which regulates corporate acquisitions by prohibiting Delaware corporations from engaging in specified business combinations with particular stockholders of those companies. These provisions could discourage potential acquisition proposals and could delay or prevent a change in control transaction. They could also have the effect of discouraging others from making tender offers for our common stock, including transactions that may be in your best interests. These provisions may also prevent changes in our management or limit the price that investors are willing to pay for our stock.</w:t>
      </w:r>
    </w:p>
    <w:p>
      <w:pPr>
        <w:spacing w:after="0" w:line="213" w:lineRule="exact"/>
        <w:rPr>
          <w:sz w:val="20"/>
          <w:szCs w:val="20"/>
          <w:color w:val="auto"/>
        </w:rPr>
      </w:pPr>
    </w:p>
    <w:p>
      <w:pPr>
        <w:ind w:right="40"/>
        <w:spacing w:after="0" w:line="278" w:lineRule="auto"/>
        <w:rPr>
          <w:sz w:val="20"/>
          <w:szCs w:val="20"/>
          <w:color w:val="auto"/>
        </w:rPr>
      </w:pPr>
      <w:r>
        <w:rPr>
          <w:rFonts w:ascii="Arial" w:cs="Arial" w:eastAsia="Arial" w:hAnsi="Arial"/>
          <w:sz w:val="16"/>
          <w:szCs w:val="16"/>
          <w:b w:val="1"/>
          <w:bCs w:val="1"/>
          <w:i w:val="1"/>
          <w:iCs w:val="1"/>
          <w:color w:val="auto"/>
        </w:rPr>
        <w:t>Our amended and restated certificate of incorporation designates the Court of Chancery of the State of Delaware as the sole and exclusive forum for certain types of actions and proceedings that may be initiated by our stockholders, which could limit our stockholders’ ability to obtain a favorable judicial forum for disputes with us or our directors, officers or employees.</w:t>
      </w:r>
    </w:p>
    <w:p>
      <w:pPr>
        <w:spacing w:after="0" w:line="184" w:lineRule="exact"/>
        <w:rPr>
          <w:sz w:val="20"/>
          <w:szCs w:val="20"/>
          <w:color w:val="auto"/>
        </w:rPr>
      </w:pPr>
    </w:p>
    <w:p>
      <w:pPr>
        <w:ind w:firstLine="749"/>
        <w:spacing w:after="0" w:line="271" w:lineRule="auto"/>
        <w:rPr>
          <w:sz w:val="20"/>
          <w:szCs w:val="20"/>
          <w:color w:val="auto"/>
        </w:rPr>
      </w:pPr>
      <w:r>
        <w:rPr>
          <w:rFonts w:ascii="Arial" w:cs="Arial" w:eastAsia="Arial" w:hAnsi="Arial"/>
          <w:sz w:val="16"/>
          <w:szCs w:val="16"/>
          <w:color w:val="auto"/>
        </w:rPr>
        <w:t>Our amended and restated certificate of incorporation provides that, unless we consent in writing to the selection of an alternate form, the Court of Chancery of the State of Delaware will be the sole and exclusive forum for (1) any derivative action or proceeding brought on our behalf, (2) any action asserting a claim of breach of a fiduciary duty owed by any of our directors, officers, employees or agents to us or our stockholders, (3) any action asserting a claim arising pursuant to the DGCL, or (4) any other action asserting a claim against us that is governed by the internal affairs doctrine, in each such case subject to such Court of Chancery having personal jurisdiction over the indispensable parties named as defendants therein.</w:t>
      </w:r>
    </w:p>
    <w:p>
      <w:pPr>
        <w:spacing w:after="0" w:line="190" w:lineRule="exact"/>
        <w:rPr>
          <w:sz w:val="20"/>
          <w:szCs w:val="20"/>
          <w:color w:val="auto"/>
        </w:rPr>
      </w:pPr>
    </w:p>
    <w:p>
      <w:pPr>
        <w:ind w:firstLine="749"/>
        <w:spacing w:after="0" w:line="308" w:lineRule="auto"/>
        <w:rPr>
          <w:sz w:val="20"/>
          <w:szCs w:val="20"/>
          <w:color w:val="auto"/>
        </w:rPr>
      </w:pPr>
      <w:r>
        <w:rPr>
          <w:rFonts w:ascii="Arial" w:cs="Arial" w:eastAsia="Arial" w:hAnsi="Arial"/>
          <w:sz w:val="14"/>
          <w:szCs w:val="14"/>
          <w:color w:val="auto"/>
        </w:rPr>
        <w:t>Any person or entity purchasing or otherwise acquiring any interest in shares of our capital stock shall be deemed to have notice of and to have consented to the provisions of our amended and restated certificate of incorporation described above. This choice of forum provision may limit a stockholder’s ability to bring a claim in a judicial forum that it finds favorable for disputes with us or our directors, officers, or other employees or agents, which may discourage such lawsuits against us and our directors, officers, employees, and agents. Further, this choice of forum provision does not preclude or contract the scope of exclusive federal or concurrent jurisdiction for any actions brought under the Securities Act or the Exchange Act. Section 27 of the Exchange Act creates exclusive federal jurisdiction over all suits brought to enforce any duty or liability created by the Exchange Act or the rules and regulations thereunder. As a result, the exclusive forum provision will not apply to suits brought to enforce any duty or liability created by the Exchange Act or any other claim for which the federal courts have exclusive jurisdiction. In addition, Section 22 of the Securities Act creates concurrent jurisdiction for federal and state courts over all suits brought to enforce any duty or liability created by the Securities Act or the rules and regulations thereunder. As a result, the exclusive forum provision will not apply to suits brought to enforce any duty or liability created by the Securities Act or any other claim for which the federal and state courts have concurrent jurisdiction. Accordingly, our exclusive forum provision will not relieve us of our duties to comply with the federal securities laws and the rules and regulations thereunder, and our stockholders will not be deemed to have waived our compliance with these laws, rules and regulations.</w:t>
      </w:r>
    </w:p>
    <w:p>
      <w:pPr>
        <w:spacing w:after="0" w:line="171" w:lineRule="exact"/>
        <w:rPr>
          <w:sz w:val="20"/>
          <w:szCs w:val="20"/>
          <w:color w:val="auto"/>
        </w:rPr>
      </w:pPr>
    </w:p>
    <w:p>
      <w:pPr>
        <w:ind w:right="40" w:firstLine="749"/>
        <w:spacing w:after="0" w:line="273" w:lineRule="auto"/>
        <w:rPr>
          <w:sz w:val="20"/>
          <w:szCs w:val="20"/>
          <w:color w:val="auto"/>
        </w:rPr>
      </w:pPr>
      <w:r>
        <w:rPr>
          <w:rFonts w:ascii="Arial" w:cs="Arial" w:eastAsia="Arial" w:hAnsi="Arial"/>
          <w:sz w:val="16"/>
          <w:szCs w:val="16"/>
          <w:color w:val="auto"/>
        </w:rPr>
        <w:t>If a court were to find these provisions of our amended and restated certificate of incorporation inapplicable to, or unenforceable in respect of, one or more of the specified types of actions or proceedings, we may incur additional costs associated with resolving such matters in other jurisdictions, which could adversely affect our business, financial condition, and results of operations. Even if we are successful in defending against these claims, litigation could result in substantial costs and be a distraction to management and other employees.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5. Other Information.</w:t>
      </w:r>
    </w:p>
    <w:p>
      <w:pPr>
        <w:spacing w:after="0" w:line="239" w:lineRule="exact"/>
        <w:rPr>
          <w:sz w:val="20"/>
          <w:szCs w:val="20"/>
          <w:color w:val="auto"/>
        </w:rPr>
      </w:pPr>
    </w:p>
    <w:p>
      <w:pPr>
        <w:ind w:left="760"/>
        <w:spacing w:after="0"/>
        <w:rPr>
          <w:sz w:val="20"/>
          <w:szCs w:val="20"/>
          <w:color w:val="auto"/>
        </w:rPr>
      </w:pPr>
      <w:r>
        <w:rPr>
          <w:rFonts w:ascii="Arial" w:cs="Arial" w:eastAsia="Arial" w:hAnsi="Arial"/>
          <w:sz w:val="14"/>
          <w:szCs w:val="14"/>
          <w:color w:val="auto"/>
        </w:rPr>
        <w:t>During the second quarter of 2023, the following Rule 10b5-1 trading plans or non-Rule 10b5-1 trading arrangement (as defined in Item 408(c) of Regulation S-</w:t>
      </w:r>
    </w:p>
    <w:p>
      <w:pPr>
        <w:spacing w:after="0" w:line="45" w:lineRule="exact"/>
        <w:rPr>
          <w:sz w:val="20"/>
          <w:szCs w:val="20"/>
          <w:color w:val="auto"/>
        </w:rPr>
      </w:pPr>
    </w:p>
    <w:p>
      <w:pPr>
        <w:spacing w:after="0"/>
        <w:rPr>
          <w:sz w:val="20"/>
          <w:szCs w:val="20"/>
          <w:color w:val="auto"/>
        </w:rPr>
      </w:pPr>
      <w:r>
        <w:rPr>
          <w:rFonts w:ascii="Arial" w:cs="Arial" w:eastAsia="Arial" w:hAnsi="Arial"/>
          <w:sz w:val="16"/>
          <w:szCs w:val="16"/>
          <w:color w:val="auto"/>
        </w:rPr>
        <w:t>K) were adopted or terminated by our directors and/or executive officers:</w:t>
      </w:r>
    </w:p>
    <w:p>
      <w:pPr>
        <w:spacing w:after="0" w:line="231" w:lineRule="exact"/>
        <w:rPr>
          <w:sz w:val="20"/>
          <w:szCs w:val="20"/>
          <w:color w:val="auto"/>
        </w:rPr>
      </w:pPr>
    </w:p>
    <w:tbl>
      <w:tblPr>
        <w:tblLayout w:type="fixed"/>
        <w:tblInd w:w="10" w:type="dxa"/>
        <w:tblCellMar>
          <w:top w:w="0" w:type="dxa"/>
          <w:left w:w="0" w:type="dxa"/>
          <w:bottom w:w="0" w:type="dxa"/>
          <w:right w:w="0" w:type="dxa"/>
        </w:tblCellMar>
      </w:tblPr>
      <w:tr>
        <w:trPr>
          <w:trHeight w:val="219"/>
        </w:trPr>
        <w:tc>
          <w:tcPr>
            <w:tcW w:w="228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6"/>
                <w:szCs w:val="16"/>
                <w:b w:val="1"/>
                <w:bCs w:val="1"/>
                <w:color w:val="auto"/>
              </w:rPr>
              <w:t>Name</w:t>
            </w:r>
          </w:p>
        </w:tc>
        <w:tc>
          <w:tcPr>
            <w:tcW w:w="222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6"/>
                <w:szCs w:val="16"/>
                <w:b w:val="1"/>
                <w:bCs w:val="1"/>
                <w:color w:val="auto"/>
              </w:rPr>
              <w:t>Title</w:t>
            </w:r>
          </w:p>
        </w:tc>
        <w:tc>
          <w:tcPr>
            <w:tcW w:w="226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6"/>
                <w:szCs w:val="16"/>
                <w:b w:val="1"/>
                <w:bCs w:val="1"/>
                <w:color w:val="auto"/>
              </w:rPr>
              <w:t>Date of Adoption of Rule</w:t>
            </w:r>
          </w:p>
        </w:tc>
        <w:tc>
          <w:tcPr>
            <w:tcW w:w="224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6"/>
                <w:szCs w:val="16"/>
                <w:b w:val="1"/>
                <w:bCs w:val="1"/>
                <w:color w:val="auto"/>
              </w:rPr>
              <w:t>Scheduled Expiration Date</w:t>
            </w:r>
          </w:p>
        </w:tc>
        <w:tc>
          <w:tcPr>
            <w:tcW w:w="224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6"/>
                <w:szCs w:val="16"/>
                <w:b w:val="1"/>
                <w:bCs w:val="1"/>
                <w:color w:val="auto"/>
              </w:rPr>
              <w:t>Aggregate Number of</w:t>
            </w:r>
          </w:p>
        </w:tc>
      </w:tr>
      <w:tr>
        <w:trPr>
          <w:trHeight w:val="210"/>
        </w:trPr>
        <w:tc>
          <w:tcPr>
            <w:tcW w:w="2280" w:type="dxa"/>
            <w:vAlign w:val="bottom"/>
            <w:tcBorders>
              <w:left w:val="single" w:sz="8" w:color="auto"/>
              <w:right w:val="single" w:sz="8" w:color="auto"/>
            </w:tcBorders>
          </w:tcPr>
          <w:p>
            <w:pPr>
              <w:spacing w:after="0"/>
              <w:rPr>
                <w:sz w:val="18"/>
                <w:szCs w:val="18"/>
                <w:color w:val="auto"/>
              </w:rPr>
            </w:pPr>
          </w:p>
        </w:tc>
        <w:tc>
          <w:tcPr>
            <w:tcW w:w="2220" w:type="dxa"/>
            <w:vAlign w:val="bottom"/>
            <w:tcBorders>
              <w:right w:val="single" w:sz="8" w:color="auto"/>
            </w:tcBorders>
          </w:tcPr>
          <w:p>
            <w:pPr>
              <w:spacing w:after="0"/>
              <w:rPr>
                <w:sz w:val="18"/>
                <w:szCs w:val="18"/>
                <w:color w:val="auto"/>
              </w:rPr>
            </w:pPr>
          </w:p>
        </w:tc>
        <w:tc>
          <w:tcPr>
            <w:tcW w:w="2260" w:type="dxa"/>
            <w:vAlign w:val="bottom"/>
            <w:tcBorders>
              <w:right w:val="single" w:sz="8" w:color="auto"/>
            </w:tcBorders>
          </w:tcPr>
          <w:p>
            <w:pPr>
              <w:ind w:left="100"/>
              <w:spacing w:after="0"/>
              <w:rPr>
                <w:sz w:val="20"/>
                <w:szCs w:val="20"/>
                <w:color w:val="auto"/>
              </w:rPr>
            </w:pPr>
            <w:r>
              <w:rPr>
                <w:rFonts w:ascii="Arial" w:cs="Arial" w:eastAsia="Arial" w:hAnsi="Arial"/>
                <w:sz w:val="16"/>
                <w:szCs w:val="16"/>
                <w:b w:val="1"/>
                <w:bCs w:val="1"/>
                <w:color w:val="auto"/>
              </w:rPr>
              <w:t>10b5-1 Trading Plan</w:t>
            </w:r>
          </w:p>
        </w:tc>
        <w:tc>
          <w:tcPr>
            <w:tcW w:w="2240" w:type="dxa"/>
            <w:vAlign w:val="bottom"/>
            <w:tcBorders>
              <w:right w:val="single" w:sz="8" w:color="auto"/>
            </w:tcBorders>
          </w:tcPr>
          <w:p>
            <w:pPr>
              <w:ind w:left="100"/>
              <w:spacing w:after="0"/>
              <w:rPr>
                <w:sz w:val="20"/>
                <w:szCs w:val="20"/>
                <w:color w:val="auto"/>
              </w:rPr>
            </w:pPr>
            <w:r>
              <w:rPr>
                <w:rFonts w:ascii="Arial" w:cs="Arial" w:eastAsia="Arial" w:hAnsi="Arial"/>
                <w:sz w:val="16"/>
                <w:szCs w:val="16"/>
                <w:b w:val="1"/>
                <w:bCs w:val="1"/>
                <w:color w:val="auto"/>
                <w:w w:val="99"/>
              </w:rPr>
              <w:t>of Rule 10b5-1 Trading Plan</w:t>
            </w:r>
          </w:p>
        </w:tc>
        <w:tc>
          <w:tcPr>
            <w:tcW w:w="2240" w:type="dxa"/>
            <w:vAlign w:val="bottom"/>
            <w:tcBorders>
              <w:right w:val="single" w:sz="8" w:color="auto"/>
            </w:tcBorders>
          </w:tcPr>
          <w:p>
            <w:pPr>
              <w:ind w:left="100"/>
              <w:spacing w:after="0"/>
              <w:rPr>
                <w:sz w:val="20"/>
                <w:szCs w:val="20"/>
                <w:color w:val="auto"/>
              </w:rPr>
            </w:pPr>
            <w:r>
              <w:rPr>
                <w:rFonts w:ascii="Arial" w:cs="Arial" w:eastAsia="Arial" w:hAnsi="Arial"/>
                <w:sz w:val="16"/>
                <w:szCs w:val="16"/>
                <w:b w:val="1"/>
                <w:bCs w:val="1"/>
                <w:color w:val="auto"/>
              </w:rPr>
              <w:t>Securities to Be Sold</w:t>
            </w:r>
          </w:p>
        </w:tc>
      </w:tr>
      <w:tr>
        <w:trPr>
          <w:trHeight w:val="131"/>
        </w:trPr>
        <w:tc>
          <w:tcPr>
            <w:tcW w:w="2280" w:type="dxa"/>
            <w:vAlign w:val="bottom"/>
            <w:tcBorders>
              <w:left w:val="single" w:sz="8" w:color="auto"/>
              <w:bottom w:val="single" w:sz="8" w:color="auto"/>
              <w:right w:val="single" w:sz="8" w:color="auto"/>
            </w:tcBorders>
          </w:tcPr>
          <w:p>
            <w:pPr>
              <w:spacing w:after="0"/>
              <w:rPr>
                <w:sz w:val="11"/>
                <w:szCs w:val="11"/>
                <w:color w:val="auto"/>
              </w:rPr>
            </w:pPr>
          </w:p>
        </w:tc>
        <w:tc>
          <w:tcPr>
            <w:tcW w:w="2220" w:type="dxa"/>
            <w:vAlign w:val="bottom"/>
            <w:tcBorders>
              <w:bottom w:val="single" w:sz="8" w:color="auto"/>
              <w:right w:val="single" w:sz="8" w:color="auto"/>
            </w:tcBorders>
          </w:tcPr>
          <w:p>
            <w:pPr>
              <w:spacing w:after="0"/>
              <w:rPr>
                <w:sz w:val="11"/>
                <w:szCs w:val="11"/>
                <w:color w:val="auto"/>
              </w:rPr>
            </w:pPr>
          </w:p>
        </w:tc>
        <w:tc>
          <w:tcPr>
            <w:tcW w:w="2260" w:type="dxa"/>
            <w:vAlign w:val="bottom"/>
            <w:tcBorders>
              <w:bottom w:val="single" w:sz="8" w:color="auto"/>
              <w:right w:val="single" w:sz="8" w:color="auto"/>
            </w:tcBorders>
          </w:tcPr>
          <w:p>
            <w:pPr>
              <w:spacing w:after="0"/>
              <w:rPr>
                <w:sz w:val="11"/>
                <w:szCs w:val="11"/>
                <w:color w:val="auto"/>
              </w:rPr>
            </w:pPr>
          </w:p>
        </w:tc>
        <w:tc>
          <w:tcPr>
            <w:tcW w:w="2240" w:type="dxa"/>
            <w:vAlign w:val="bottom"/>
            <w:tcBorders>
              <w:bottom w:val="single" w:sz="8" w:color="auto"/>
              <w:right w:val="single" w:sz="8" w:color="auto"/>
            </w:tcBorders>
          </w:tcPr>
          <w:p>
            <w:pPr>
              <w:spacing w:after="0"/>
              <w:rPr>
                <w:sz w:val="11"/>
                <w:szCs w:val="11"/>
                <w:color w:val="auto"/>
              </w:rPr>
            </w:pPr>
          </w:p>
        </w:tc>
        <w:tc>
          <w:tcPr>
            <w:tcW w:w="2240" w:type="dxa"/>
            <w:vAlign w:val="bottom"/>
            <w:tcBorders>
              <w:bottom w:val="single" w:sz="8" w:color="auto"/>
              <w:right w:val="single" w:sz="8" w:color="auto"/>
            </w:tcBorders>
          </w:tcPr>
          <w:p>
            <w:pPr>
              <w:spacing w:after="0"/>
              <w:rPr>
                <w:sz w:val="11"/>
                <w:szCs w:val="11"/>
                <w:color w:val="auto"/>
              </w:rPr>
            </w:pPr>
          </w:p>
        </w:tc>
      </w:tr>
      <w:tr>
        <w:trPr>
          <w:trHeight w:val="169"/>
        </w:trPr>
        <w:tc>
          <w:tcPr>
            <w:tcW w:w="2280" w:type="dxa"/>
            <w:vAlign w:val="bottom"/>
            <w:tcBorders>
              <w:left w:val="single" w:sz="8" w:color="auto"/>
              <w:right w:val="single" w:sz="8" w:color="auto"/>
            </w:tcBorders>
          </w:tcPr>
          <w:p>
            <w:pPr>
              <w:ind w:left="120"/>
              <w:spacing w:after="0" w:line="169" w:lineRule="exact"/>
              <w:rPr>
                <w:sz w:val="20"/>
                <w:szCs w:val="20"/>
                <w:color w:val="auto"/>
              </w:rPr>
            </w:pPr>
            <w:r>
              <w:rPr>
                <w:rFonts w:ascii="Arial" w:cs="Arial" w:eastAsia="Arial" w:hAnsi="Arial"/>
                <w:sz w:val="16"/>
                <w:szCs w:val="16"/>
                <w:color w:val="auto"/>
              </w:rPr>
              <w:t>Mark Coleman, M.D.</w:t>
            </w:r>
          </w:p>
        </w:tc>
        <w:tc>
          <w:tcPr>
            <w:tcW w:w="2220" w:type="dxa"/>
            <w:vAlign w:val="bottom"/>
            <w:tcBorders>
              <w:right w:val="single" w:sz="8" w:color="auto"/>
            </w:tcBorders>
          </w:tcPr>
          <w:p>
            <w:pPr>
              <w:ind w:left="80"/>
              <w:spacing w:after="0" w:line="169" w:lineRule="exact"/>
              <w:rPr>
                <w:sz w:val="20"/>
                <w:szCs w:val="20"/>
                <w:color w:val="auto"/>
              </w:rPr>
            </w:pPr>
            <w:r>
              <w:rPr>
                <w:rFonts w:ascii="Arial" w:cs="Arial" w:eastAsia="Arial" w:hAnsi="Arial"/>
                <w:sz w:val="16"/>
                <w:szCs w:val="16"/>
                <w:color w:val="auto"/>
              </w:rPr>
              <w:t>Director</w:t>
            </w:r>
          </w:p>
        </w:tc>
        <w:tc>
          <w:tcPr>
            <w:tcW w:w="2260" w:type="dxa"/>
            <w:vAlign w:val="bottom"/>
            <w:tcBorders>
              <w:right w:val="single" w:sz="8" w:color="auto"/>
            </w:tcBorders>
          </w:tcPr>
          <w:p>
            <w:pPr>
              <w:ind w:left="100"/>
              <w:spacing w:after="0" w:line="169" w:lineRule="exact"/>
              <w:rPr>
                <w:sz w:val="20"/>
                <w:szCs w:val="20"/>
                <w:color w:val="auto"/>
              </w:rPr>
            </w:pPr>
            <w:r>
              <w:rPr>
                <w:rFonts w:ascii="Arial" w:cs="Arial" w:eastAsia="Arial" w:hAnsi="Arial"/>
                <w:sz w:val="16"/>
                <w:szCs w:val="16"/>
                <w:color w:val="auto"/>
              </w:rPr>
              <w:t>June 15, 2023</w:t>
            </w:r>
          </w:p>
        </w:tc>
        <w:tc>
          <w:tcPr>
            <w:tcW w:w="2240" w:type="dxa"/>
            <w:vAlign w:val="bottom"/>
            <w:tcBorders>
              <w:right w:val="single" w:sz="8" w:color="auto"/>
            </w:tcBorders>
          </w:tcPr>
          <w:p>
            <w:pPr>
              <w:ind w:left="100"/>
              <w:spacing w:after="0" w:line="169" w:lineRule="exact"/>
              <w:rPr>
                <w:sz w:val="20"/>
                <w:szCs w:val="20"/>
                <w:color w:val="auto"/>
              </w:rPr>
            </w:pPr>
            <w:r>
              <w:rPr>
                <w:rFonts w:ascii="Arial" w:cs="Arial" w:eastAsia="Arial" w:hAnsi="Arial"/>
                <w:sz w:val="16"/>
                <w:szCs w:val="16"/>
                <w:color w:val="auto"/>
              </w:rPr>
              <w:t>March 15, 2024</w:t>
            </w:r>
          </w:p>
        </w:tc>
        <w:tc>
          <w:tcPr>
            <w:tcW w:w="2240" w:type="dxa"/>
            <w:vAlign w:val="bottom"/>
            <w:tcBorders>
              <w:right w:val="single" w:sz="8" w:color="auto"/>
            </w:tcBorders>
          </w:tcPr>
          <w:p>
            <w:pPr>
              <w:ind w:left="100"/>
              <w:spacing w:after="0" w:line="169" w:lineRule="exact"/>
              <w:rPr>
                <w:sz w:val="20"/>
                <w:szCs w:val="20"/>
                <w:color w:val="auto"/>
              </w:rPr>
            </w:pPr>
            <w:r>
              <w:rPr>
                <w:rFonts w:ascii="Arial" w:cs="Arial" w:eastAsia="Arial" w:hAnsi="Arial"/>
                <w:sz w:val="16"/>
                <w:szCs w:val="16"/>
                <w:color w:val="auto"/>
              </w:rPr>
              <w:t>Up to 18,572 shares of</w:t>
            </w:r>
          </w:p>
        </w:tc>
      </w:tr>
      <w:tr>
        <w:trPr>
          <w:trHeight w:val="282"/>
        </w:trPr>
        <w:tc>
          <w:tcPr>
            <w:tcW w:w="2280" w:type="dxa"/>
            <w:vAlign w:val="bottom"/>
            <w:tcBorders>
              <w:left w:val="single" w:sz="8" w:color="auto"/>
              <w:right w:val="single" w:sz="8" w:color="auto"/>
            </w:tcBorders>
          </w:tcPr>
          <w:p>
            <w:pPr>
              <w:spacing w:after="0"/>
              <w:rPr>
                <w:sz w:val="24"/>
                <w:szCs w:val="24"/>
                <w:color w:val="auto"/>
              </w:rPr>
            </w:pPr>
          </w:p>
        </w:tc>
        <w:tc>
          <w:tcPr>
            <w:tcW w:w="2220" w:type="dxa"/>
            <w:vAlign w:val="bottom"/>
            <w:tcBorders>
              <w:right w:val="single" w:sz="8" w:color="auto"/>
            </w:tcBorders>
          </w:tcPr>
          <w:p>
            <w:pPr>
              <w:spacing w:after="0"/>
              <w:rPr>
                <w:sz w:val="24"/>
                <w:szCs w:val="24"/>
                <w:color w:val="auto"/>
              </w:rPr>
            </w:pPr>
          </w:p>
        </w:tc>
        <w:tc>
          <w:tcPr>
            <w:tcW w:w="2260" w:type="dxa"/>
            <w:vAlign w:val="bottom"/>
            <w:tcBorders>
              <w:right w:val="single" w:sz="8" w:color="auto"/>
            </w:tcBorders>
          </w:tcPr>
          <w:p>
            <w:pPr>
              <w:spacing w:after="0"/>
              <w:rPr>
                <w:sz w:val="24"/>
                <w:szCs w:val="24"/>
                <w:color w:val="auto"/>
              </w:rPr>
            </w:pPr>
          </w:p>
        </w:tc>
        <w:tc>
          <w:tcPr>
            <w:tcW w:w="2240" w:type="dxa"/>
            <w:vAlign w:val="bottom"/>
            <w:tcBorders>
              <w:right w:val="single" w:sz="8" w:color="auto"/>
            </w:tcBorders>
          </w:tcPr>
          <w:p>
            <w:pPr>
              <w:spacing w:after="0"/>
              <w:rPr>
                <w:sz w:val="24"/>
                <w:szCs w:val="24"/>
                <w:color w:val="auto"/>
              </w:rPr>
            </w:pPr>
          </w:p>
        </w:tc>
        <w:tc>
          <w:tcPr>
            <w:tcW w:w="224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common stock</w:t>
            </w:r>
            <w:r>
              <w:rPr>
                <w:rFonts w:ascii="Arial" w:cs="Arial" w:eastAsia="Arial" w:hAnsi="Arial"/>
                <w:sz w:val="21"/>
                <w:szCs w:val="21"/>
                <w:color w:val="auto"/>
                <w:vertAlign w:val="superscript"/>
              </w:rPr>
              <w:t>(1)(3)</w:t>
            </w:r>
          </w:p>
        </w:tc>
      </w:tr>
      <w:tr>
        <w:trPr>
          <w:trHeight w:val="79"/>
        </w:trPr>
        <w:tc>
          <w:tcPr>
            <w:tcW w:w="2280" w:type="dxa"/>
            <w:vAlign w:val="bottom"/>
            <w:tcBorders>
              <w:left w:val="single" w:sz="8" w:color="auto"/>
              <w:bottom w:val="single" w:sz="8" w:color="auto"/>
              <w:right w:val="single" w:sz="8" w:color="auto"/>
            </w:tcBorders>
          </w:tcPr>
          <w:p>
            <w:pPr>
              <w:spacing w:after="0"/>
              <w:rPr>
                <w:sz w:val="6"/>
                <w:szCs w:val="6"/>
                <w:color w:val="auto"/>
              </w:rPr>
            </w:pPr>
          </w:p>
        </w:tc>
        <w:tc>
          <w:tcPr>
            <w:tcW w:w="2220" w:type="dxa"/>
            <w:vAlign w:val="bottom"/>
            <w:tcBorders>
              <w:bottom w:val="single" w:sz="8" w:color="auto"/>
              <w:right w:val="single" w:sz="8" w:color="auto"/>
            </w:tcBorders>
          </w:tcPr>
          <w:p>
            <w:pPr>
              <w:spacing w:after="0"/>
              <w:rPr>
                <w:sz w:val="6"/>
                <w:szCs w:val="6"/>
                <w:color w:val="auto"/>
              </w:rPr>
            </w:pPr>
          </w:p>
        </w:tc>
        <w:tc>
          <w:tcPr>
            <w:tcW w:w="2260" w:type="dxa"/>
            <w:vAlign w:val="bottom"/>
            <w:tcBorders>
              <w:bottom w:val="single" w:sz="8" w:color="auto"/>
              <w:right w:val="single" w:sz="8" w:color="auto"/>
            </w:tcBorders>
          </w:tcPr>
          <w:p>
            <w:pPr>
              <w:spacing w:after="0"/>
              <w:rPr>
                <w:sz w:val="6"/>
                <w:szCs w:val="6"/>
                <w:color w:val="auto"/>
              </w:rPr>
            </w:pPr>
          </w:p>
        </w:tc>
        <w:tc>
          <w:tcPr>
            <w:tcW w:w="2240" w:type="dxa"/>
            <w:vAlign w:val="bottom"/>
            <w:tcBorders>
              <w:bottom w:val="single" w:sz="8" w:color="auto"/>
              <w:right w:val="single" w:sz="8" w:color="auto"/>
            </w:tcBorders>
          </w:tcPr>
          <w:p>
            <w:pPr>
              <w:spacing w:after="0"/>
              <w:rPr>
                <w:sz w:val="6"/>
                <w:szCs w:val="6"/>
                <w:color w:val="auto"/>
              </w:rPr>
            </w:pPr>
          </w:p>
        </w:tc>
        <w:tc>
          <w:tcPr>
            <w:tcW w:w="2240" w:type="dxa"/>
            <w:vAlign w:val="bottom"/>
            <w:tcBorders>
              <w:bottom w:val="single" w:sz="8" w:color="auto"/>
              <w:right w:val="single" w:sz="8" w:color="auto"/>
            </w:tcBorders>
          </w:tcPr>
          <w:p>
            <w:pPr>
              <w:spacing w:after="0"/>
              <w:rPr>
                <w:sz w:val="6"/>
                <w:szCs w:val="6"/>
                <w:color w:val="auto"/>
              </w:rPr>
            </w:pPr>
          </w:p>
        </w:tc>
      </w:tr>
      <w:tr>
        <w:trPr>
          <w:trHeight w:val="172"/>
        </w:trPr>
        <w:tc>
          <w:tcPr>
            <w:tcW w:w="2280" w:type="dxa"/>
            <w:vAlign w:val="bottom"/>
            <w:tcBorders>
              <w:left w:val="single" w:sz="8" w:color="auto"/>
              <w:right w:val="single" w:sz="8" w:color="auto"/>
            </w:tcBorders>
          </w:tcPr>
          <w:p>
            <w:pPr>
              <w:ind w:left="120"/>
              <w:spacing w:after="0" w:line="172" w:lineRule="exact"/>
              <w:rPr>
                <w:sz w:val="20"/>
                <w:szCs w:val="20"/>
                <w:color w:val="auto"/>
              </w:rPr>
            </w:pPr>
            <w:r>
              <w:rPr>
                <w:rFonts w:ascii="Arial" w:cs="Arial" w:eastAsia="Arial" w:hAnsi="Arial"/>
                <w:sz w:val="16"/>
                <w:szCs w:val="16"/>
                <w:color w:val="auto"/>
              </w:rPr>
              <w:t>Mark Coleman, M.D.</w:t>
            </w:r>
          </w:p>
        </w:tc>
        <w:tc>
          <w:tcPr>
            <w:tcW w:w="2220" w:type="dxa"/>
            <w:vAlign w:val="bottom"/>
            <w:tcBorders>
              <w:right w:val="single" w:sz="8" w:color="auto"/>
            </w:tcBorders>
          </w:tcPr>
          <w:p>
            <w:pPr>
              <w:ind w:left="80"/>
              <w:spacing w:after="0" w:line="172" w:lineRule="exact"/>
              <w:rPr>
                <w:sz w:val="20"/>
                <w:szCs w:val="20"/>
                <w:color w:val="auto"/>
              </w:rPr>
            </w:pPr>
            <w:r>
              <w:rPr>
                <w:rFonts w:ascii="Arial" w:cs="Arial" w:eastAsia="Arial" w:hAnsi="Arial"/>
                <w:sz w:val="16"/>
                <w:szCs w:val="16"/>
                <w:color w:val="auto"/>
              </w:rPr>
              <w:t>Director</w:t>
            </w:r>
          </w:p>
        </w:tc>
        <w:tc>
          <w:tcPr>
            <w:tcW w:w="2260" w:type="dxa"/>
            <w:vAlign w:val="bottom"/>
            <w:tcBorders>
              <w:right w:val="single" w:sz="8" w:color="auto"/>
            </w:tcBorders>
          </w:tcPr>
          <w:p>
            <w:pPr>
              <w:ind w:left="100"/>
              <w:spacing w:after="0" w:line="172" w:lineRule="exact"/>
              <w:rPr>
                <w:sz w:val="20"/>
                <w:szCs w:val="20"/>
                <w:color w:val="auto"/>
              </w:rPr>
            </w:pPr>
            <w:r>
              <w:rPr>
                <w:rFonts w:ascii="Arial" w:cs="Arial" w:eastAsia="Arial" w:hAnsi="Arial"/>
                <w:sz w:val="16"/>
                <w:szCs w:val="16"/>
                <w:color w:val="auto"/>
              </w:rPr>
              <w:t>June 15, 2023</w:t>
            </w:r>
          </w:p>
        </w:tc>
        <w:tc>
          <w:tcPr>
            <w:tcW w:w="2240" w:type="dxa"/>
            <w:vAlign w:val="bottom"/>
            <w:tcBorders>
              <w:right w:val="single" w:sz="8" w:color="auto"/>
            </w:tcBorders>
          </w:tcPr>
          <w:p>
            <w:pPr>
              <w:ind w:left="100"/>
              <w:spacing w:after="0" w:line="172" w:lineRule="exact"/>
              <w:rPr>
                <w:sz w:val="20"/>
                <w:szCs w:val="20"/>
                <w:color w:val="auto"/>
              </w:rPr>
            </w:pPr>
            <w:r>
              <w:rPr>
                <w:rFonts w:ascii="Arial" w:cs="Arial" w:eastAsia="Arial" w:hAnsi="Arial"/>
                <w:sz w:val="16"/>
                <w:szCs w:val="16"/>
                <w:color w:val="auto"/>
              </w:rPr>
              <w:t>March 15, 2024</w:t>
            </w:r>
          </w:p>
        </w:tc>
        <w:tc>
          <w:tcPr>
            <w:tcW w:w="2240" w:type="dxa"/>
            <w:vAlign w:val="bottom"/>
            <w:tcBorders>
              <w:right w:val="single" w:sz="8" w:color="auto"/>
            </w:tcBorders>
          </w:tcPr>
          <w:p>
            <w:pPr>
              <w:ind w:left="100"/>
              <w:spacing w:after="0" w:line="172" w:lineRule="exact"/>
              <w:rPr>
                <w:sz w:val="20"/>
                <w:szCs w:val="20"/>
                <w:color w:val="auto"/>
              </w:rPr>
            </w:pPr>
            <w:r>
              <w:rPr>
                <w:rFonts w:ascii="Arial" w:cs="Arial" w:eastAsia="Arial" w:hAnsi="Arial"/>
                <w:sz w:val="16"/>
                <w:szCs w:val="16"/>
                <w:color w:val="auto"/>
              </w:rPr>
              <w:t>Up to 11,016 shares of</w:t>
            </w:r>
          </w:p>
        </w:tc>
      </w:tr>
      <w:tr>
        <w:trPr>
          <w:trHeight w:val="282"/>
        </w:trPr>
        <w:tc>
          <w:tcPr>
            <w:tcW w:w="2280" w:type="dxa"/>
            <w:vAlign w:val="bottom"/>
            <w:tcBorders>
              <w:left w:val="single" w:sz="8" w:color="auto"/>
              <w:right w:val="single" w:sz="8" w:color="auto"/>
            </w:tcBorders>
          </w:tcPr>
          <w:p>
            <w:pPr>
              <w:spacing w:after="0"/>
              <w:rPr>
                <w:sz w:val="24"/>
                <w:szCs w:val="24"/>
                <w:color w:val="auto"/>
              </w:rPr>
            </w:pPr>
          </w:p>
        </w:tc>
        <w:tc>
          <w:tcPr>
            <w:tcW w:w="2220" w:type="dxa"/>
            <w:vAlign w:val="bottom"/>
            <w:tcBorders>
              <w:right w:val="single" w:sz="8" w:color="auto"/>
            </w:tcBorders>
          </w:tcPr>
          <w:p>
            <w:pPr>
              <w:spacing w:after="0"/>
              <w:rPr>
                <w:sz w:val="24"/>
                <w:szCs w:val="24"/>
                <w:color w:val="auto"/>
              </w:rPr>
            </w:pPr>
          </w:p>
        </w:tc>
        <w:tc>
          <w:tcPr>
            <w:tcW w:w="2260" w:type="dxa"/>
            <w:vAlign w:val="bottom"/>
            <w:tcBorders>
              <w:right w:val="single" w:sz="8" w:color="auto"/>
            </w:tcBorders>
          </w:tcPr>
          <w:p>
            <w:pPr>
              <w:spacing w:after="0"/>
              <w:rPr>
                <w:sz w:val="24"/>
                <w:szCs w:val="24"/>
                <w:color w:val="auto"/>
              </w:rPr>
            </w:pPr>
          </w:p>
        </w:tc>
        <w:tc>
          <w:tcPr>
            <w:tcW w:w="2240" w:type="dxa"/>
            <w:vAlign w:val="bottom"/>
            <w:tcBorders>
              <w:right w:val="single" w:sz="8" w:color="auto"/>
            </w:tcBorders>
          </w:tcPr>
          <w:p>
            <w:pPr>
              <w:spacing w:after="0"/>
              <w:rPr>
                <w:sz w:val="24"/>
                <w:szCs w:val="24"/>
                <w:color w:val="auto"/>
              </w:rPr>
            </w:pPr>
          </w:p>
        </w:tc>
        <w:tc>
          <w:tcPr>
            <w:tcW w:w="224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common stock</w:t>
            </w:r>
            <w:r>
              <w:rPr>
                <w:rFonts w:ascii="Arial" w:cs="Arial" w:eastAsia="Arial" w:hAnsi="Arial"/>
                <w:sz w:val="21"/>
                <w:szCs w:val="21"/>
                <w:color w:val="auto"/>
                <w:vertAlign w:val="superscript"/>
              </w:rPr>
              <w:t>(2)(3)</w:t>
            </w:r>
          </w:p>
        </w:tc>
      </w:tr>
      <w:tr>
        <w:trPr>
          <w:trHeight w:val="79"/>
        </w:trPr>
        <w:tc>
          <w:tcPr>
            <w:tcW w:w="2280" w:type="dxa"/>
            <w:vAlign w:val="bottom"/>
            <w:tcBorders>
              <w:left w:val="single" w:sz="8" w:color="auto"/>
              <w:bottom w:val="single" w:sz="8" w:color="auto"/>
              <w:right w:val="single" w:sz="8" w:color="auto"/>
            </w:tcBorders>
          </w:tcPr>
          <w:p>
            <w:pPr>
              <w:spacing w:after="0"/>
              <w:rPr>
                <w:sz w:val="6"/>
                <w:szCs w:val="6"/>
                <w:color w:val="auto"/>
              </w:rPr>
            </w:pPr>
          </w:p>
        </w:tc>
        <w:tc>
          <w:tcPr>
            <w:tcW w:w="2220" w:type="dxa"/>
            <w:vAlign w:val="bottom"/>
            <w:tcBorders>
              <w:bottom w:val="single" w:sz="8" w:color="auto"/>
              <w:right w:val="single" w:sz="8" w:color="auto"/>
            </w:tcBorders>
          </w:tcPr>
          <w:p>
            <w:pPr>
              <w:spacing w:after="0"/>
              <w:rPr>
                <w:sz w:val="6"/>
                <w:szCs w:val="6"/>
                <w:color w:val="auto"/>
              </w:rPr>
            </w:pPr>
          </w:p>
        </w:tc>
        <w:tc>
          <w:tcPr>
            <w:tcW w:w="2260" w:type="dxa"/>
            <w:vAlign w:val="bottom"/>
            <w:tcBorders>
              <w:bottom w:val="single" w:sz="8" w:color="auto"/>
              <w:right w:val="single" w:sz="8" w:color="auto"/>
            </w:tcBorders>
          </w:tcPr>
          <w:p>
            <w:pPr>
              <w:spacing w:after="0"/>
              <w:rPr>
                <w:sz w:val="6"/>
                <w:szCs w:val="6"/>
                <w:color w:val="auto"/>
              </w:rPr>
            </w:pPr>
          </w:p>
        </w:tc>
        <w:tc>
          <w:tcPr>
            <w:tcW w:w="2240" w:type="dxa"/>
            <w:vAlign w:val="bottom"/>
            <w:tcBorders>
              <w:bottom w:val="single" w:sz="8" w:color="auto"/>
              <w:right w:val="single" w:sz="8" w:color="auto"/>
            </w:tcBorders>
          </w:tcPr>
          <w:p>
            <w:pPr>
              <w:spacing w:after="0"/>
              <w:rPr>
                <w:sz w:val="6"/>
                <w:szCs w:val="6"/>
                <w:color w:val="auto"/>
              </w:rPr>
            </w:pPr>
          </w:p>
        </w:tc>
        <w:tc>
          <w:tcPr>
            <w:tcW w:w="2240" w:type="dxa"/>
            <w:vAlign w:val="bottom"/>
            <w:tcBorders>
              <w:bottom w:val="single" w:sz="8" w:color="auto"/>
              <w:right w:val="single" w:sz="8" w:color="auto"/>
            </w:tcBorders>
          </w:tcPr>
          <w:p>
            <w:pPr>
              <w:spacing w:after="0"/>
              <w:rPr>
                <w:sz w:val="6"/>
                <w:szCs w:val="6"/>
                <w:color w:val="auto"/>
              </w:rPr>
            </w:pPr>
          </w:p>
        </w:tc>
      </w:tr>
    </w:tbl>
    <w:p>
      <w:pPr>
        <w:ind w:left="240" w:hanging="232"/>
        <w:spacing w:after="0"/>
        <w:tabs>
          <w:tab w:leader="none" w:pos="240" w:val="left"/>
        </w:tabs>
        <w:numPr>
          <w:ilvl w:val="0"/>
          <w:numId w:val="47"/>
        </w:numPr>
        <w:rPr>
          <w:rFonts w:ascii="Arial" w:cs="Arial" w:eastAsia="Arial" w:hAnsi="Arial"/>
          <w:sz w:val="16"/>
          <w:szCs w:val="16"/>
          <w:color w:val="auto"/>
        </w:rPr>
      </w:pPr>
      <w:r>
        <w:rPr>
          <w:rFonts w:ascii="Arial" w:cs="Arial" w:eastAsia="Arial" w:hAnsi="Arial"/>
          <w:sz w:val="16"/>
          <w:szCs w:val="16"/>
          <w:color w:val="auto"/>
        </w:rPr>
        <w:t>Includes one or more accounts directly and/or indirectly beneficially owned by the director.</w:t>
      </w:r>
    </w:p>
    <w:p>
      <w:pPr>
        <w:spacing w:after="0" w:line="12" w:lineRule="exact"/>
        <w:rPr>
          <w:rFonts w:ascii="Arial" w:cs="Arial" w:eastAsia="Arial" w:hAnsi="Arial"/>
          <w:sz w:val="16"/>
          <w:szCs w:val="16"/>
          <w:color w:val="auto"/>
        </w:rPr>
      </w:pPr>
    </w:p>
    <w:p>
      <w:pPr>
        <w:ind w:left="240" w:hanging="232"/>
        <w:spacing w:after="0"/>
        <w:tabs>
          <w:tab w:leader="none" w:pos="240" w:val="left"/>
        </w:tabs>
        <w:numPr>
          <w:ilvl w:val="0"/>
          <w:numId w:val="47"/>
        </w:numPr>
        <w:rPr>
          <w:rFonts w:ascii="Arial" w:cs="Arial" w:eastAsia="Arial" w:hAnsi="Arial"/>
          <w:sz w:val="16"/>
          <w:szCs w:val="16"/>
          <w:color w:val="auto"/>
        </w:rPr>
      </w:pPr>
      <w:r>
        <w:rPr>
          <w:rFonts w:ascii="Arial" w:cs="Arial" w:eastAsia="Arial" w:hAnsi="Arial"/>
          <w:sz w:val="16"/>
          <w:szCs w:val="16"/>
          <w:color w:val="auto"/>
        </w:rPr>
        <w:t>Reflects the exercise and sale of non-qualified stock options, which are due to expire within the next 12 months.</w:t>
      </w:r>
    </w:p>
    <w:p>
      <w:pPr>
        <w:spacing w:after="0" w:line="18" w:lineRule="exact"/>
        <w:rPr>
          <w:rFonts w:ascii="Arial" w:cs="Arial" w:eastAsia="Arial" w:hAnsi="Arial"/>
          <w:sz w:val="16"/>
          <w:szCs w:val="16"/>
          <w:color w:val="auto"/>
        </w:rPr>
      </w:pPr>
    </w:p>
    <w:p>
      <w:pPr>
        <w:ind w:left="240" w:hanging="232"/>
        <w:spacing w:after="0"/>
        <w:tabs>
          <w:tab w:leader="none" w:pos="240" w:val="left"/>
        </w:tabs>
        <w:numPr>
          <w:ilvl w:val="0"/>
          <w:numId w:val="47"/>
        </w:numPr>
        <w:rPr>
          <w:rFonts w:ascii="Arial" w:cs="Arial" w:eastAsia="Arial" w:hAnsi="Arial"/>
          <w:sz w:val="16"/>
          <w:szCs w:val="16"/>
          <w:color w:val="auto"/>
        </w:rPr>
      </w:pPr>
      <w:r>
        <w:rPr>
          <w:rFonts w:ascii="Arial" w:cs="Arial" w:eastAsia="Arial" w:hAnsi="Arial"/>
          <w:sz w:val="16"/>
          <w:szCs w:val="16"/>
          <w:color w:val="auto"/>
        </w:rPr>
        <w:t>Such shares to be sold no less than a predetermined minimum price per share.</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96" w:name="page97"/>
    <w:bookmarkEnd w:id="96"/>
    <w:p>
      <w:pPr>
        <w:spacing w:after="0"/>
        <w:rPr>
          <w:sz w:val="20"/>
          <w:szCs w:val="20"/>
          <w:color w:val="auto"/>
        </w:rPr>
      </w:pPr>
      <w:r>
        <w:rPr>
          <w:rFonts w:ascii="Arial" w:cs="Arial" w:eastAsia="Arial" w:hAnsi="Arial"/>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3025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30250" cy="8255"/>
                    </a:xfrm>
                    <a:prstGeom prst="rect">
                      <a:avLst/>
                    </a:prstGeom>
                    <a:noFill/>
                  </pic:spPr>
                </pic:pic>
              </a:graphicData>
            </a:graphic>
          </wp:anchor>
        </w:drawing>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6. Exhibits.</w:t>
      </w:r>
    </w:p>
    <w:p>
      <w:pPr>
        <w:spacing w:after="0" w:line="131"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The exhibits filed as part of this Quarterly Report on Form 10-Q are set forth on the Exhibit Index, which is incorporated herein by reference.</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660" w:type="dxa"/>
            <w:vAlign w:val="bottom"/>
            <w:gridSpan w:val="5"/>
          </w:tcPr>
          <w:p>
            <w:pPr>
              <w:ind w:left="2240"/>
              <w:spacing w:after="0"/>
              <w:rPr>
                <w:sz w:val="20"/>
                <w:szCs w:val="20"/>
                <w:color w:val="auto"/>
              </w:rPr>
            </w:pPr>
            <w:r>
              <w:rPr>
                <w:rFonts w:ascii="Arial" w:cs="Arial" w:eastAsia="Arial" w:hAnsi="Arial"/>
                <w:sz w:val="16"/>
                <w:szCs w:val="16"/>
                <w:b w:val="1"/>
                <w:bCs w:val="1"/>
                <w:color w:val="auto"/>
              </w:rPr>
              <w:t>INDEX OF EXHIBITS</w:t>
            </w:r>
          </w:p>
        </w:tc>
      </w:tr>
      <w:tr>
        <w:trPr>
          <w:trHeight w:val="406"/>
        </w:trPr>
        <w:tc>
          <w:tcPr>
            <w:tcW w:w="1040" w:type="dxa"/>
            <w:vAlign w:val="bottom"/>
          </w:tcPr>
          <w:p>
            <w:pPr>
              <w:ind w:left="320"/>
              <w:spacing w:after="0"/>
              <w:rPr>
                <w:sz w:val="20"/>
                <w:szCs w:val="20"/>
                <w:color w:val="auto"/>
              </w:rPr>
            </w:pPr>
            <w:r>
              <w:rPr>
                <w:rFonts w:ascii="Arial" w:cs="Arial" w:eastAsia="Arial" w:hAnsi="Arial"/>
                <w:sz w:val="13"/>
                <w:szCs w:val="13"/>
                <w:b w:val="1"/>
                <w:bCs w:val="1"/>
                <w:color w:val="auto"/>
              </w:rPr>
              <w:t>Exhibit</w:t>
            </w: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65"/>
        </w:trPr>
        <w:tc>
          <w:tcPr>
            <w:tcW w:w="1040" w:type="dxa"/>
            <w:vAlign w:val="bottom"/>
            <w:tcBorders>
              <w:bottom w:val="single" w:sz="8" w:color="auto"/>
            </w:tcBorders>
          </w:tcPr>
          <w:p>
            <w:pPr>
              <w:ind w:left="300"/>
              <w:spacing w:after="0"/>
              <w:rPr>
                <w:sz w:val="20"/>
                <w:szCs w:val="20"/>
                <w:color w:val="auto"/>
              </w:rPr>
            </w:pPr>
            <w:r>
              <w:rPr>
                <w:rFonts w:ascii="Arial" w:cs="Arial" w:eastAsia="Arial" w:hAnsi="Arial"/>
                <w:sz w:val="13"/>
                <w:szCs w:val="13"/>
                <w:b w:val="1"/>
                <w:bCs w:val="1"/>
                <w:color w:val="auto"/>
              </w:rPr>
              <w:t>Number</w:t>
            </w:r>
          </w:p>
        </w:tc>
        <w:tc>
          <w:tcPr>
            <w:tcW w:w="16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8660" w:type="dxa"/>
            <w:vAlign w:val="bottom"/>
            <w:tcBorders>
              <w:bottom w:val="single" w:sz="8" w:color="auto"/>
            </w:tcBorders>
            <w:gridSpan w:val="5"/>
          </w:tcPr>
          <w:p>
            <w:pPr>
              <w:ind w:left="3320"/>
              <w:spacing w:after="0"/>
              <w:rPr>
                <w:sz w:val="20"/>
                <w:szCs w:val="20"/>
                <w:color w:val="auto"/>
              </w:rPr>
            </w:pPr>
            <w:r>
              <w:rPr>
                <w:rFonts w:ascii="Arial" w:cs="Arial" w:eastAsia="Arial" w:hAnsi="Arial"/>
                <w:sz w:val="13"/>
                <w:szCs w:val="13"/>
                <w:b w:val="1"/>
                <w:bCs w:val="1"/>
                <w:color w:val="auto"/>
              </w:rPr>
              <w:t>Description</w:t>
            </w:r>
          </w:p>
        </w:tc>
      </w:tr>
      <w:tr>
        <w:trPr>
          <w:trHeight w:val="319"/>
        </w:trPr>
        <w:tc>
          <w:tcPr>
            <w:tcW w:w="1040" w:type="dxa"/>
            <w:vAlign w:val="bottom"/>
          </w:tcPr>
          <w:p>
            <w:pPr>
              <w:ind w:left="20"/>
              <w:spacing w:after="0"/>
              <w:rPr>
                <w:sz w:val="20"/>
                <w:szCs w:val="20"/>
                <w:color w:val="auto"/>
              </w:rPr>
            </w:pPr>
            <w:r>
              <w:rPr>
                <w:rFonts w:ascii="Arial" w:cs="Arial" w:eastAsia="Arial" w:hAnsi="Arial"/>
                <w:sz w:val="16"/>
                <w:szCs w:val="16"/>
                <w:color w:val="auto"/>
              </w:rPr>
              <w:t>10.1**</w:t>
            </w:r>
          </w:p>
        </w:tc>
        <w:tc>
          <w:tcPr>
            <w:tcW w:w="160" w:type="dxa"/>
            <w:vAlign w:val="bottom"/>
          </w:tcPr>
          <w:p>
            <w:pPr>
              <w:spacing w:after="0"/>
              <w:rPr>
                <w:sz w:val="24"/>
                <w:szCs w:val="24"/>
                <w:color w:val="auto"/>
              </w:rPr>
            </w:pPr>
          </w:p>
        </w:tc>
        <w:tc>
          <w:tcPr>
            <w:tcW w:w="10040" w:type="dxa"/>
            <w:vAlign w:val="bottom"/>
            <w:gridSpan w:val="7"/>
          </w:tcPr>
          <w:p>
            <w:pPr>
              <w:spacing w:after="0"/>
              <w:rPr>
                <w:sz w:val="20"/>
                <w:szCs w:val="20"/>
                <w:color w:val="auto"/>
              </w:rPr>
            </w:pPr>
            <w:r>
              <w:rPr>
                <w:rFonts w:ascii="Arial" w:cs="Arial" w:eastAsia="Arial" w:hAnsi="Arial"/>
                <w:sz w:val="16"/>
                <w:szCs w:val="16"/>
                <w:color w:val="0000FF"/>
                <w:w w:val="93"/>
              </w:rPr>
              <w:t>Fourth Amendment to Loan and Security Agreement, dated May 8, 2023, by and among Axsome Therapeutics, Inc., the Lenders who from time to time</w:t>
            </w:r>
          </w:p>
        </w:tc>
      </w:tr>
      <w:tr>
        <w:trPr>
          <w:trHeight w:val="20"/>
        </w:trPr>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726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83"/>
        </w:trPr>
        <w:tc>
          <w:tcPr>
            <w:tcW w:w="1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40" w:type="dxa"/>
            <w:vAlign w:val="bottom"/>
            <w:gridSpan w:val="7"/>
          </w:tcPr>
          <w:p>
            <w:pPr>
              <w:spacing w:after="0" w:line="183" w:lineRule="exact"/>
              <w:rPr>
                <w:sz w:val="20"/>
                <w:szCs w:val="20"/>
                <w:color w:val="auto"/>
              </w:rPr>
            </w:pPr>
            <w:r>
              <w:rPr>
                <w:rFonts w:ascii="Arial" w:cs="Arial" w:eastAsia="Arial" w:hAnsi="Arial"/>
                <w:sz w:val="16"/>
                <w:szCs w:val="16"/>
                <w:color w:val="0000FF"/>
              </w:rPr>
              <w:t>may be party thereto, and Hercules Capital, Inc., in its capacity as administrative agent and collateral agent for itself and the Lenders.</w:t>
            </w:r>
          </w:p>
        </w:tc>
      </w:tr>
      <w:tr>
        <w:trPr>
          <w:trHeight w:val="20"/>
        </w:trPr>
        <w:tc>
          <w:tcPr>
            <w:tcW w:w="104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7260" w:type="dxa"/>
            <w:vAlign w:val="bottom"/>
            <w:tcBorders>
              <w:right w:val="single" w:sz="8" w:color="0000EE"/>
            </w:tcBorders>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358"/>
        </w:trPr>
        <w:tc>
          <w:tcPr>
            <w:tcW w:w="1040" w:type="dxa"/>
            <w:vAlign w:val="bottom"/>
          </w:tcPr>
          <w:p>
            <w:pPr>
              <w:ind w:left="20"/>
              <w:spacing w:after="0"/>
              <w:rPr>
                <w:sz w:val="20"/>
                <w:szCs w:val="20"/>
                <w:color w:val="auto"/>
              </w:rPr>
            </w:pPr>
            <w:r>
              <w:rPr>
                <w:rFonts w:ascii="Arial" w:cs="Arial" w:eastAsia="Arial" w:hAnsi="Arial"/>
                <w:sz w:val="16"/>
                <w:szCs w:val="16"/>
                <w:color w:val="auto"/>
              </w:rPr>
              <w:t>31.1**</w:t>
            </w:r>
          </w:p>
        </w:tc>
        <w:tc>
          <w:tcPr>
            <w:tcW w:w="160" w:type="dxa"/>
            <w:vAlign w:val="bottom"/>
          </w:tcPr>
          <w:p>
            <w:pPr>
              <w:spacing w:after="0"/>
              <w:rPr>
                <w:sz w:val="24"/>
                <w:szCs w:val="24"/>
                <w:color w:val="auto"/>
              </w:rPr>
            </w:pPr>
          </w:p>
        </w:tc>
        <w:tc>
          <w:tcPr>
            <w:tcW w:w="10040" w:type="dxa"/>
            <w:vAlign w:val="bottom"/>
            <w:gridSpan w:val="7"/>
          </w:tcPr>
          <w:p>
            <w:pPr>
              <w:spacing w:after="0"/>
              <w:rPr>
                <w:sz w:val="20"/>
                <w:szCs w:val="20"/>
                <w:color w:val="auto"/>
              </w:rPr>
            </w:pPr>
            <w:r>
              <w:rPr>
                <w:rFonts w:ascii="Arial" w:cs="Arial" w:eastAsia="Arial" w:hAnsi="Arial"/>
                <w:sz w:val="16"/>
                <w:szCs w:val="16"/>
                <w:color w:val="0000FF"/>
                <w:w w:val="92"/>
              </w:rPr>
              <w:t>Certification of Principal Executive Officer pursuant to Rule 13a-14(a)/15d-14(a), as adopted pursuant to Section 302 of the Sarbanes-Oxley Act of 2002.</w:t>
            </w:r>
          </w:p>
        </w:tc>
      </w:tr>
      <w:tr>
        <w:trPr>
          <w:trHeight w:val="20"/>
        </w:trPr>
        <w:tc>
          <w:tcPr>
            <w:tcW w:w="104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8000" w:type="dxa"/>
            <w:vAlign w:val="bottom"/>
            <w:gridSpan w:val="2"/>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r>
      <w:tr>
        <w:trPr>
          <w:trHeight w:val="398"/>
        </w:trPr>
        <w:tc>
          <w:tcPr>
            <w:tcW w:w="1040" w:type="dxa"/>
            <w:vAlign w:val="bottom"/>
          </w:tcPr>
          <w:p>
            <w:pPr>
              <w:ind w:left="20"/>
              <w:spacing w:after="0"/>
              <w:rPr>
                <w:sz w:val="20"/>
                <w:szCs w:val="20"/>
                <w:color w:val="auto"/>
              </w:rPr>
            </w:pPr>
            <w:r>
              <w:rPr>
                <w:rFonts w:ascii="Arial" w:cs="Arial" w:eastAsia="Arial" w:hAnsi="Arial"/>
                <w:sz w:val="16"/>
                <w:szCs w:val="16"/>
                <w:color w:val="auto"/>
              </w:rPr>
              <w:t>31.2**</w:t>
            </w:r>
          </w:p>
        </w:tc>
        <w:tc>
          <w:tcPr>
            <w:tcW w:w="160" w:type="dxa"/>
            <w:vAlign w:val="bottom"/>
          </w:tcPr>
          <w:p>
            <w:pPr>
              <w:spacing w:after="0"/>
              <w:rPr>
                <w:sz w:val="24"/>
                <w:szCs w:val="24"/>
                <w:color w:val="auto"/>
              </w:rPr>
            </w:pPr>
          </w:p>
        </w:tc>
        <w:tc>
          <w:tcPr>
            <w:tcW w:w="10040" w:type="dxa"/>
            <w:vAlign w:val="bottom"/>
            <w:gridSpan w:val="7"/>
          </w:tcPr>
          <w:p>
            <w:pPr>
              <w:spacing w:after="0"/>
              <w:rPr>
                <w:sz w:val="20"/>
                <w:szCs w:val="20"/>
                <w:color w:val="auto"/>
              </w:rPr>
            </w:pPr>
            <w:r>
              <w:rPr>
                <w:rFonts w:ascii="Arial" w:cs="Arial" w:eastAsia="Arial" w:hAnsi="Arial"/>
                <w:sz w:val="16"/>
                <w:szCs w:val="16"/>
                <w:color w:val="0000FF"/>
                <w:w w:val="93"/>
              </w:rPr>
              <w:t>Certification of Principal Financial Officer pursuant to Rule 13a-14(a)/15d-14(a), as adopted pursuant to Section 302 of the Sarbanes-Oxley Act of 2002.</w:t>
            </w:r>
          </w:p>
        </w:tc>
      </w:tr>
      <w:tr>
        <w:trPr>
          <w:trHeight w:val="20"/>
        </w:trPr>
        <w:tc>
          <w:tcPr>
            <w:tcW w:w="104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8000" w:type="dxa"/>
            <w:vAlign w:val="bottom"/>
            <w:gridSpan w:val="2"/>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398"/>
        </w:trPr>
        <w:tc>
          <w:tcPr>
            <w:tcW w:w="1040" w:type="dxa"/>
            <w:vAlign w:val="bottom"/>
          </w:tcPr>
          <w:p>
            <w:pPr>
              <w:ind w:left="20"/>
              <w:spacing w:after="0"/>
              <w:rPr>
                <w:sz w:val="20"/>
                <w:szCs w:val="20"/>
                <w:color w:val="auto"/>
              </w:rPr>
            </w:pPr>
            <w:r>
              <w:rPr>
                <w:rFonts w:ascii="Arial" w:cs="Arial" w:eastAsia="Arial" w:hAnsi="Arial"/>
                <w:sz w:val="16"/>
                <w:szCs w:val="16"/>
                <w:color w:val="auto"/>
              </w:rPr>
              <w:t>32.1**</w:t>
            </w:r>
          </w:p>
        </w:tc>
        <w:tc>
          <w:tcPr>
            <w:tcW w:w="160" w:type="dxa"/>
            <w:vAlign w:val="bottom"/>
          </w:tcPr>
          <w:p>
            <w:pPr>
              <w:spacing w:after="0"/>
              <w:rPr>
                <w:sz w:val="24"/>
                <w:szCs w:val="24"/>
                <w:color w:val="auto"/>
              </w:rPr>
            </w:pPr>
          </w:p>
        </w:tc>
        <w:tc>
          <w:tcPr>
            <w:tcW w:w="10040" w:type="dxa"/>
            <w:vAlign w:val="bottom"/>
            <w:gridSpan w:val="7"/>
          </w:tcPr>
          <w:p>
            <w:pPr>
              <w:spacing w:after="0"/>
              <w:rPr>
                <w:sz w:val="20"/>
                <w:szCs w:val="20"/>
                <w:color w:val="auto"/>
              </w:rPr>
            </w:pPr>
            <w:r>
              <w:rPr>
                <w:rFonts w:ascii="Arial" w:cs="Arial" w:eastAsia="Arial" w:hAnsi="Arial"/>
                <w:sz w:val="16"/>
                <w:szCs w:val="16"/>
                <w:color w:val="0000FF"/>
                <w:w w:val="99"/>
              </w:rPr>
              <w:t>Certification of Principal Executive Officer pursuant to 18 U.S.C. §1350, as adopted pursuant to Section 906 of the Sarbanes-Oxley Act of 2002</w:t>
            </w:r>
          </w:p>
        </w:tc>
      </w:tr>
      <w:tr>
        <w:trPr>
          <w:trHeight w:val="20"/>
        </w:trPr>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8000" w:type="dxa"/>
            <w:vAlign w:val="bottom"/>
            <w:gridSpan w:val="2"/>
            <w:shd w:val="clear" w:color="auto" w:fill="0000FF"/>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r>
      <w:tr>
        <w:trPr>
          <w:trHeight w:val="183"/>
        </w:trPr>
        <w:tc>
          <w:tcPr>
            <w:tcW w:w="1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40" w:type="dxa"/>
            <w:vAlign w:val="bottom"/>
            <w:gridSpan w:val="7"/>
          </w:tcPr>
          <w:p>
            <w:pPr>
              <w:spacing w:after="0" w:line="183" w:lineRule="exact"/>
              <w:rPr>
                <w:sz w:val="20"/>
                <w:szCs w:val="20"/>
                <w:color w:val="auto"/>
              </w:rPr>
            </w:pPr>
            <w:r>
              <w:rPr>
                <w:rFonts w:ascii="Arial" w:cs="Arial" w:eastAsia="Arial" w:hAnsi="Arial"/>
                <w:sz w:val="16"/>
                <w:szCs w:val="16"/>
                <w:color w:val="0000FF"/>
              </w:rPr>
              <w:t>(furnished herewith).</w:t>
            </w:r>
          </w:p>
        </w:tc>
      </w:tr>
      <w:tr>
        <w:trPr>
          <w:trHeight w:val="20"/>
        </w:trPr>
        <w:tc>
          <w:tcPr>
            <w:tcW w:w="104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tcBorders>
              <w:right w:val="single" w:sz="8" w:color="0000EE"/>
            </w:tcBorders>
            <w:shd w:val="clear" w:color="auto" w:fill="0000FF"/>
          </w:tcPr>
          <w:p>
            <w:pPr>
              <w:spacing w:after="0" w:line="20" w:lineRule="exact"/>
              <w:rPr>
                <w:sz w:val="1"/>
                <w:szCs w:val="1"/>
                <w:color w:val="auto"/>
              </w:rPr>
            </w:pPr>
          </w:p>
        </w:tc>
        <w:tc>
          <w:tcPr>
            <w:tcW w:w="8660" w:type="dxa"/>
            <w:vAlign w:val="bottom"/>
            <w:gridSpan w:val="5"/>
          </w:tcPr>
          <w:p>
            <w:pPr>
              <w:spacing w:after="0" w:line="20" w:lineRule="exact"/>
              <w:rPr>
                <w:sz w:val="1"/>
                <w:szCs w:val="1"/>
                <w:color w:val="auto"/>
              </w:rPr>
            </w:pPr>
          </w:p>
        </w:tc>
      </w:tr>
      <w:tr>
        <w:trPr>
          <w:trHeight w:val="358"/>
        </w:trPr>
        <w:tc>
          <w:tcPr>
            <w:tcW w:w="1040" w:type="dxa"/>
            <w:vAlign w:val="bottom"/>
          </w:tcPr>
          <w:p>
            <w:pPr>
              <w:ind w:left="20"/>
              <w:spacing w:after="0"/>
              <w:rPr>
                <w:sz w:val="20"/>
                <w:szCs w:val="20"/>
                <w:color w:val="auto"/>
              </w:rPr>
            </w:pPr>
            <w:r>
              <w:rPr>
                <w:rFonts w:ascii="Arial" w:cs="Arial" w:eastAsia="Arial" w:hAnsi="Arial"/>
                <w:sz w:val="16"/>
                <w:szCs w:val="16"/>
                <w:color w:val="auto"/>
              </w:rPr>
              <w:t>32.2**</w:t>
            </w:r>
          </w:p>
        </w:tc>
        <w:tc>
          <w:tcPr>
            <w:tcW w:w="160" w:type="dxa"/>
            <w:vAlign w:val="bottom"/>
          </w:tcPr>
          <w:p>
            <w:pPr>
              <w:spacing w:after="0"/>
              <w:rPr>
                <w:sz w:val="24"/>
                <w:szCs w:val="24"/>
                <w:color w:val="auto"/>
              </w:rPr>
            </w:pPr>
          </w:p>
        </w:tc>
        <w:tc>
          <w:tcPr>
            <w:tcW w:w="10040" w:type="dxa"/>
            <w:vAlign w:val="bottom"/>
            <w:gridSpan w:val="7"/>
          </w:tcPr>
          <w:p>
            <w:pPr>
              <w:spacing w:after="0"/>
              <w:rPr>
                <w:sz w:val="20"/>
                <w:szCs w:val="20"/>
                <w:color w:val="auto"/>
              </w:rPr>
            </w:pPr>
            <w:r>
              <w:rPr>
                <w:rFonts w:ascii="Arial" w:cs="Arial" w:eastAsia="Arial" w:hAnsi="Arial"/>
                <w:sz w:val="16"/>
                <w:szCs w:val="16"/>
                <w:color w:val="0000FF"/>
                <w:w w:val="92"/>
              </w:rPr>
              <w:t>Certification of Principal Financial Officer pursuant to 18 U.S.C. §1350, as adopted pursuant to Section 906 of the Sarbanes-Oxley Act of 2002 (furnished</w:t>
            </w:r>
          </w:p>
        </w:tc>
      </w:tr>
      <w:tr>
        <w:trPr>
          <w:trHeight w:val="20"/>
        </w:trPr>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9360" w:type="dxa"/>
            <w:vAlign w:val="bottom"/>
            <w:gridSpan w:val="6"/>
            <w:shd w:val="clear" w:color="auto" w:fill="0000FF"/>
          </w:tcPr>
          <w:p>
            <w:pPr>
              <w:spacing w:after="0" w:line="20" w:lineRule="exact"/>
              <w:rPr>
                <w:sz w:val="1"/>
                <w:szCs w:val="1"/>
                <w:color w:val="auto"/>
              </w:rPr>
            </w:pPr>
          </w:p>
        </w:tc>
      </w:tr>
      <w:tr>
        <w:trPr>
          <w:trHeight w:val="183"/>
        </w:trPr>
        <w:tc>
          <w:tcPr>
            <w:tcW w:w="1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40" w:type="dxa"/>
            <w:vAlign w:val="bottom"/>
            <w:gridSpan w:val="7"/>
          </w:tcPr>
          <w:p>
            <w:pPr>
              <w:spacing w:after="0" w:line="183" w:lineRule="exact"/>
              <w:rPr>
                <w:sz w:val="20"/>
                <w:szCs w:val="20"/>
                <w:color w:val="auto"/>
              </w:rPr>
            </w:pPr>
            <w:r>
              <w:rPr>
                <w:rFonts w:ascii="Arial" w:cs="Arial" w:eastAsia="Arial" w:hAnsi="Arial"/>
                <w:sz w:val="16"/>
                <w:szCs w:val="16"/>
                <w:color w:val="0000FF"/>
              </w:rPr>
              <w:t>herewith).</w:t>
            </w:r>
          </w:p>
        </w:tc>
      </w:tr>
      <w:tr>
        <w:trPr>
          <w:trHeight w:val="20"/>
        </w:trPr>
        <w:tc>
          <w:tcPr>
            <w:tcW w:w="104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680" w:type="dxa"/>
            <w:vAlign w:val="bottom"/>
            <w:tcBorders>
              <w:right w:val="single" w:sz="8" w:color="0000EE"/>
            </w:tcBorders>
            <w:shd w:val="clear" w:color="auto" w:fill="0000FF"/>
          </w:tcPr>
          <w:p>
            <w:pPr>
              <w:spacing w:after="0" w:line="20" w:lineRule="exact"/>
              <w:rPr>
                <w:sz w:val="1"/>
                <w:szCs w:val="1"/>
                <w:color w:val="auto"/>
              </w:rPr>
            </w:pPr>
          </w:p>
        </w:tc>
        <w:tc>
          <w:tcPr>
            <w:tcW w:w="9360" w:type="dxa"/>
            <w:vAlign w:val="bottom"/>
            <w:gridSpan w:val="6"/>
          </w:tcPr>
          <w:p>
            <w:pPr>
              <w:spacing w:after="0" w:line="20" w:lineRule="exact"/>
              <w:rPr>
                <w:sz w:val="1"/>
                <w:szCs w:val="1"/>
                <w:color w:val="auto"/>
              </w:rPr>
            </w:pPr>
          </w:p>
        </w:tc>
      </w:tr>
      <w:tr>
        <w:trPr>
          <w:trHeight w:val="389"/>
        </w:trPr>
        <w:tc>
          <w:tcPr>
            <w:tcW w:w="1040" w:type="dxa"/>
            <w:vAlign w:val="bottom"/>
          </w:tcPr>
          <w:p>
            <w:pPr>
              <w:ind w:left="20"/>
              <w:spacing w:after="0"/>
              <w:rPr>
                <w:sz w:val="20"/>
                <w:szCs w:val="20"/>
                <w:color w:val="auto"/>
              </w:rPr>
            </w:pPr>
            <w:r>
              <w:rPr>
                <w:rFonts w:ascii="Arial" w:cs="Arial" w:eastAsia="Arial" w:hAnsi="Arial"/>
                <w:sz w:val="16"/>
                <w:szCs w:val="16"/>
                <w:color w:val="auto"/>
              </w:rPr>
              <w:t>101.INS</w:t>
            </w:r>
          </w:p>
        </w:tc>
        <w:tc>
          <w:tcPr>
            <w:tcW w:w="160" w:type="dxa"/>
            <w:vAlign w:val="bottom"/>
          </w:tcPr>
          <w:p>
            <w:pPr>
              <w:spacing w:after="0"/>
              <w:rPr>
                <w:sz w:val="24"/>
                <w:szCs w:val="24"/>
                <w:color w:val="auto"/>
              </w:rPr>
            </w:pPr>
          </w:p>
        </w:tc>
        <w:tc>
          <w:tcPr>
            <w:tcW w:w="10040" w:type="dxa"/>
            <w:vAlign w:val="bottom"/>
            <w:gridSpan w:val="7"/>
          </w:tcPr>
          <w:p>
            <w:pPr>
              <w:spacing w:after="0"/>
              <w:rPr>
                <w:sz w:val="20"/>
                <w:szCs w:val="20"/>
                <w:color w:val="auto"/>
              </w:rPr>
            </w:pPr>
            <w:r>
              <w:rPr>
                <w:rFonts w:ascii="Arial" w:cs="Arial" w:eastAsia="Arial" w:hAnsi="Arial"/>
                <w:sz w:val="16"/>
                <w:szCs w:val="16"/>
                <w:color w:val="auto"/>
                <w:w w:val="95"/>
              </w:rPr>
              <w:t>Inline XBRL Instance Document (the instance document does not appear in the Interactive Data File because its XBRL tags are embedded within the</w:t>
            </w:r>
          </w:p>
        </w:tc>
      </w:tr>
      <w:tr>
        <w:trPr>
          <w:trHeight w:val="206"/>
        </w:trPr>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40" w:type="dxa"/>
            <w:vAlign w:val="bottom"/>
            <w:gridSpan w:val="7"/>
          </w:tcPr>
          <w:p>
            <w:pPr>
              <w:spacing w:after="0"/>
              <w:rPr>
                <w:sz w:val="20"/>
                <w:szCs w:val="20"/>
                <w:color w:val="auto"/>
              </w:rPr>
            </w:pPr>
            <w:r>
              <w:rPr>
                <w:rFonts w:ascii="Arial" w:cs="Arial" w:eastAsia="Arial" w:hAnsi="Arial"/>
                <w:sz w:val="16"/>
                <w:szCs w:val="16"/>
                <w:color w:val="auto"/>
              </w:rPr>
              <w:t>Inline XBRL document)</w:t>
            </w:r>
          </w:p>
        </w:tc>
      </w:tr>
      <w:tr>
        <w:trPr>
          <w:trHeight w:val="378"/>
        </w:trPr>
        <w:tc>
          <w:tcPr>
            <w:tcW w:w="1040" w:type="dxa"/>
            <w:vAlign w:val="bottom"/>
          </w:tcPr>
          <w:p>
            <w:pPr>
              <w:ind w:left="20"/>
              <w:spacing w:after="0"/>
              <w:rPr>
                <w:sz w:val="20"/>
                <w:szCs w:val="20"/>
                <w:color w:val="auto"/>
              </w:rPr>
            </w:pPr>
            <w:r>
              <w:rPr>
                <w:rFonts w:ascii="Arial" w:cs="Arial" w:eastAsia="Arial" w:hAnsi="Arial"/>
                <w:sz w:val="16"/>
                <w:szCs w:val="16"/>
                <w:color w:val="auto"/>
              </w:rPr>
              <w:t>101.SCH</w:t>
            </w:r>
          </w:p>
        </w:tc>
        <w:tc>
          <w:tcPr>
            <w:tcW w:w="160" w:type="dxa"/>
            <w:vAlign w:val="bottom"/>
          </w:tcPr>
          <w:p>
            <w:pPr>
              <w:spacing w:after="0"/>
              <w:rPr>
                <w:sz w:val="24"/>
                <w:szCs w:val="24"/>
                <w:color w:val="auto"/>
              </w:rPr>
            </w:pPr>
          </w:p>
        </w:tc>
        <w:tc>
          <w:tcPr>
            <w:tcW w:w="10040" w:type="dxa"/>
            <w:vAlign w:val="bottom"/>
            <w:gridSpan w:val="7"/>
          </w:tcPr>
          <w:p>
            <w:pPr>
              <w:spacing w:after="0"/>
              <w:rPr>
                <w:sz w:val="20"/>
                <w:szCs w:val="20"/>
                <w:color w:val="auto"/>
              </w:rPr>
            </w:pPr>
            <w:r>
              <w:rPr>
                <w:rFonts w:ascii="Arial" w:cs="Arial" w:eastAsia="Arial" w:hAnsi="Arial"/>
                <w:sz w:val="16"/>
                <w:szCs w:val="16"/>
                <w:color w:val="auto"/>
              </w:rPr>
              <w:t>Inline XBRL Taxonomy Extension Schema Document</w:t>
            </w:r>
          </w:p>
        </w:tc>
      </w:tr>
      <w:tr>
        <w:trPr>
          <w:trHeight w:val="418"/>
        </w:trPr>
        <w:tc>
          <w:tcPr>
            <w:tcW w:w="1040" w:type="dxa"/>
            <w:vAlign w:val="bottom"/>
          </w:tcPr>
          <w:p>
            <w:pPr>
              <w:ind w:left="20"/>
              <w:spacing w:after="0"/>
              <w:rPr>
                <w:sz w:val="20"/>
                <w:szCs w:val="20"/>
                <w:color w:val="auto"/>
              </w:rPr>
            </w:pPr>
            <w:r>
              <w:rPr>
                <w:rFonts w:ascii="Arial" w:cs="Arial" w:eastAsia="Arial" w:hAnsi="Arial"/>
                <w:sz w:val="16"/>
                <w:szCs w:val="16"/>
                <w:color w:val="auto"/>
              </w:rPr>
              <w:t>101.CAL</w:t>
            </w:r>
          </w:p>
        </w:tc>
        <w:tc>
          <w:tcPr>
            <w:tcW w:w="160" w:type="dxa"/>
            <w:vAlign w:val="bottom"/>
          </w:tcPr>
          <w:p>
            <w:pPr>
              <w:spacing w:after="0"/>
              <w:rPr>
                <w:sz w:val="24"/>
                <w:szCs w:val="24"/>
                <w:color w:val="auto"/>
              </w:rPr>
            </w:pPr>
          </w:p>
        </w:tc>
        <w:tc>
          <w:tcPr>
            <w:tcW w:w="10040" w:type="dxa"/>
            <w:vAlign w:val="bottom"/>
            <w:gridSpan w:val="7"/>
          </w:tcPr>
          <w:p>
            <w:pPr>
              <w:spacing w:after="0"/>
              <w:rPr>
                <w:sz w:val="20"/>
                <w:szCs w:val="20"/>
                <w:color w:val="auto"/>
              </w:rPr>
            </w:pPr>
            <w:r>
              <w:rPr>
                <w:rFonts w:ascii="Arial" w:cs="Arial" w:eastAsia="Arial" w:hAnsi="Arial"/>
                <w:sz w:val="16"/>
                <w:szCs w:val="16"/>
                <w:color w:val="auto"/>
              </w:rPr>
              <w:t>Inline XBRL Taxonomy Extension Calculation Database Document</w:t>
            </w:r>
          </w:p>
        </w:tc>
      </w:tr>
      <w:tr>
        <w:trPr>
          <w:trHeight w:val="418"/>
        </w:trPr>
        <w:tc>
          <w:tcPr>
            <w:tcW w:w="1040" w:type="dxa"/>
            <w:vAlign w:val="bottom"/>
          </w:tcPr>
          <w:p>
            <w:pPr>
              <w:ind w:left="20"/>
              <w:spacing w:after="0"/>
              <w:rPr>
                <w:sz w:val="20"/>
                <w:szCs w:val="20"/>
                <w:color w:val="auto"/>
              </w:rPr>
            </w:pPr>
            <w:r>
              <w:rPr>
                <w:rFonts w:ascii="Arial" w:cs="Arial" w:eastAsia="Arial" w:hAnsi="Arial"/>
                <w:sz w:val="16"/>
                <w:szCs w:val="16"/>
                <w:color w:val="auto"/>
              </w:rPr>
              <w:t>101.DEF</w:t>
            </w:r>
          </w:p>
        </w:tc>
        <w:tc>
          <w:tcPr>
            <w:tcW w:w="160" w:type="dxa"/>
            <w:vAlign w:val="bottom"/>
          </w:tcPr>
          <w:p>
            <w:pPr>
              <w:spacing w:after="0"/>
              <w:rPr>
                <w:sz w:val="24"/>
                <w:szCs w:val="24"/>
                <w:color w:val="auto"/>
              </w:rPr>
            </w:pPr>
          </w:p>
        </w:tc>
        <w:tc>
          <w:tcPr>
            <w:tcW w:w="10040" w:type="dxa"/>
            <w:vAlign w:val="bottom"/>
            <w:gridSpan w:val="7"/>
          </w:tcPr>
          <w:p>
            <w:pPr>
              <w:spacing w:after="0"/>
              <w:rPr>
                <w:sz w:val="20"/>
                <w:szCs w:val="20"/>
                <w:color w:val="auto"/>
              </w:rPr>
            </w:pPr>
            <w:r>
              <w:rPr>
                <w:rFonts w:ascii="Arial" w:cs="Arial" w:eastAsia="Arial" w:hAnsi="Arial"/>
                <w:sz w:val="16"/>
                <w:szCs w:val="16"/>
                <w:color w:val="auto"/>
              </w:rPr>
              <w:t>Inline XBRL Taxonomy Extension Definition Linkbase Document</w:t>
            </w:r>
          </w:p>
        </w:tc>
      </w:tr>
      <w:tr>
        <w:trPr>
          <w:trHeight w:val="418"/>
        </w:trPr>
        <w:tc>
          <w:tcPr>
            <w:tcW w:w="1040" w:type="dxa"/>
            <w:vAlign w:val="bottom"/>
          </w:tcPr>
          <w:p>
            <w:pPr>
              <w:ind w:left="20"/>
              <w:spacing w:after="0"/>
              <w:rPr>
                <w:sz w:val="20"/>
                <w:szCs w:val="20"/>
                <w:color w:val="auto"/>
              </w:rPr>
            </w:pPr>
            <w:r>
              <w:rPr>
                <w:rFonts w:ascii="Arial" w:cs="Arial" w:eastAsia="Arial" w:hAnsi="Arial"/>
                <w:sz w:val="16"/>
                <w:szCs w:val="16"/>
                <w:color w:val="auto"/>
              </w:rPr>
              <w:t>101.LAB</w:t>
            </w:r>
          </w:p>
        </w:tc>
        <w:tc>
          <w:tcPr>
            <w:tcW w:w="160" w:type="dxa"/>
            <w:vAlign w:val="bottom"/>
          </w:tcPr>
          <w:p>
            <w:pPr>
              <w:spacing w:after="0"/>
              <w:rPr>
                <w:sz w:val="24"/>
                <w:szCs w:val="24"/>
                <w:color w:val="auto"/>
              </w:rPr>
            </w:pPr>
          </w:p>
        </w:tc>
        <w:tc>
          <w:tcPr>
            <w:tcW w:w="10040" w:type="dxa"/>
            <w:vAlign w:val="bottom"/>
            <w:gridSpan w:val="7"/>
          </w:tcPr>
          <w:p>
            <w:pPr>
              <w:spacing w:after="0"/>
              <w:rPr>
                <w:sz w:val="20"/>
                <w:szCs w:val="20"/>
                <w:color w:val="auto"/>
              </w:rPr>
            </w:pPr>
            <w:r>
              <w:rPr>
                <w:rFonts w:ascii="Arial" w:cs="Arial" w:eastAsia="Arial" w:hAnsi="Arial"/>
                <w:sz w:val="16"/>
                <w:szCs w:val="16"/>
                <w:color w:val="auto"/>
              </w:rPr>
              <w:t>Inline XBRL Taxonomy Extension Label Linkbase Document</w:t>
            </w:r>
          </w:p>
        </w:tc>
      </w:tr>
      <w:tr>
        <w:trPr>
          <w:trHeight w:val="419"/>
        </w:trPr>
        <w:tc>
          <w:tcPr>
            <w:tcW w:w="1040" w:type="dxa"/>
            <w:vAlign w:val="bottom"/>
          </w:tcPr>
          <w:p>
            <w:pPr>
              <w:ind w:left="20"/>
              <w:spacing w:after="0"/>
              <w:rPr>
                <w:sz w:val="20"/>
                <w:szCs w:val="20"/>
                <w:color w:val="auto"/>
              </w:rPr>
            </w:pPr>
            <w:r>
              <w:rPr>
                <w:rFonts w:ascii="Arial" w:cs="Arial" w:eastAsia="Arial" w:hAnsi="Arial"/>
                <w:sz w:val="16"/>
                <w:szCs w:val="16"/>
                <w:color w:val="auto"/>
              </w:rPr>
              <w:t>101.PRE</w:t>
            </w:r>
          </w:p>
        </w:tc>
        <w:tc>
          <w:tcPr>
            <w:tcW w:w="160" w:type="dxa"/>
            <w:vAlign w:val="bottom"/>
          </w:tcPr>
          <w:p>
            <w:pPr>
              <w:spacing w:after="0"/>
              <w:rPr>
                <w:sz w:val="24"/>
                <w:szCs w:val="24"/>
                <w:color w:val="auto"/>
              </w:rPr>
            </w:pPr>
          </w:p>
        </w:tc>
        <w:tc>
          <w:tcPr>
            <w:tcW w:w="10040" w:type="dxa"/>
            <w:vAlign w:val="bottom"/>
            <w:gridSpan w:val="7"/>
          </w:tcPr>
          <w:p>
            <w:pPr>
              <w:spacing w:after="0"/>
              <w:rPr>
                <w:sz w:val="20"/>
                <w:szCs w:val="20"/>
                <w:color w:val="auto"/>
              </w:rPr>
            </w:pPr>
            <w:r>
              <w:rPr>
                <w:rFonts w:ascii="Arial" w:cs="Arial" w:eastAsia="Arial" w:hAnsi="Arial"/>
                <w:sz w:val="16"/>
                <w:szCs w:val="16"/>
                <w:color w:val="auto"/>
              </w:rPr>
              <w:t>Inline XBRL Taxonomy Extension Presentation Linkbase Document</w:t>
            </w:r>
          </w:p>
        </w:tc>
      </w:tr>
      <w:tr>
        <w:trPr>
          <w:trHeight w:val="418"/>
        </w:trPr>
        <w:tc>
          <w:tcPr>
            <w:tcW w:w="1040" w:type="dxa"/>
            <w:vAlign w:val="bottom"/>
          </w:tcPr>
          <w:p>
            <w:pPr>
              <w:ind w:left="20"/>
              <w:spacing w:after="0"/>
              <w:rPr>
                <w:sz w:val="20"/>
                <w:szCs w:val="20"/>
                <w:color w:val="auto"/>
              </w:rPr>
            </w:pPr>
            <w:r>
              <w:rPr>
                <w:rFonts w:ascii="Arial" w:cs="Arial" w:eastAsia="Arial" w:hAnsi="Arial"/>
                <w:sz w:val="16"/>
                <w:szCs w:val="16"/>
                <w:color w:val="auto"/>
              </w:rPr>
              <w:t>104</w:t>
            </w:r>
          </w:p>
        </w:tc>
        <w:tc>
          <w:tcPr>
            <w:tcW w:w="160" w:type="dxa"/>
            <w:vAlign w:val="bottom"/>
          </w:tcPr>
          <w:p>
            <w:pPr>
              <w:spacing w:after="0"/>
              <w:rPr>
                <w:sz w:val="24"/>
                <w:szCs w:val="24"/>
                <w:color w:val="auto"/>
              </w:rPr>
            </w:pPr>
          </w:p>
        </w:tc>
        <w:tc>
          <w:tcPr>
            <w:tcW w:w="10040" w:type="dxa"/>
            <w:vAlign w:val="bottom"/>
            <w:gridSpan w:val="7"/>
          </w:tcPr>
          <w:p>
            <w:pPr>
              <w:spacing w:after="0"/>
              <w:rPr>
                <w:sz w:val="20"/>
                <w:szCs w:val="20"/>
                <w:color w:val="auto"/>
              </w:rPr>
            </w:pPr>
            <w:r>
              <w:rPr>
                <w:rFonts w:ascii="Arial" w:cs="Arial" w:eastAsia="Arial" w:hAnsi="Arial"/>
                <w:sz w:val="16"/>
                <w:szCs w:val="16"/>
                <w:color w:val="auto"/>
              </w:rPr>
              <w:t>Cover Page Interactive Data File (formatted as inline XBRL with applicable taxonomy extension information contained in Exhibits 101.)</w:t>
            </w:r>
          </w:p>
        </w:tc>
      </w:tr>
    </w:tbl>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97" w:name="page98"/>
    <w:bookmarkEnd w:id="97"/>
    <w:p>
      <w:pPr>
        <w:spacing w:after="0"/>
        <w:rPr>
          <w:sz w:val="20"/>
          <w:szCs w:val="20"/>
          <w:color w:val="auto"/>
        </w:rPr>
      </w:pPr>
      <w:r>
        <w:rPr>
          <w:rFonts w:ascii="Arial" w:cs="Arial" w:eastAsia="Arial" w:hAnsi="Arial"/>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3025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30250" cy="8255"/>
                    </a:xfrm>
                    <a:prstGeom prst="rect">
                      <a:avLst/>
                    </a:prstGeom>
                    <a:noFill/>
                  </pic:spPr>
                </pic:pic>
              </a:graphicData>
            </a:graphic>
          </wp:anchor>
        </w:drawing>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SIGNATURES</w:t>
      </w:r>
    </w:p>
    <w:p>
      <w:pPr>
        <w:spacing w:after="0" w:line="239" w:lineRule="exact"/>
        <w:rPr>
          <w:sz w:val="20"/>
          <w:szCs w:val="20"/>
          <w:color w:val="auto"/>
        </w:rPr>
      </w:pPr>
    </w:p>
    <w:p>
      <w:pPr>
        <w:ind w:right="400" w:firstLine="749"/>
        <w:spacing w:after="0" w:line="293"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212" w:lineRule="exact"/>
        <w:rPr>
          <w:sz w:val="20"/>
          <w:szCs w:val="20"/>
          <w:color w:val="auto"/>
        </w:rPr>
      </w:pPr>
    </w:p>
    <w:tbl>
      <w:tblPr>
        <w:tblLayout w:type="fixed"/>
        <w:tblInd w:w="20" w:type="dxa"/>
        <w:tblCellMar>
          <w:top w:w="0" w:type="dxa"/>
          <w:left w:w="0" w:type="dxa"/>
          <w:bottom w:w="0" w:type="dxa"/>
          <w:right w:w="0" w:type="dxa"/>
        </w:tblCellMar>
      </w:tblPr>
      <w:tr>
        <w:trPr>
          <w:trHeight w:val="206"/>
        </w:trPr>
        <w:tc>
          <w:tcPr>
            <w:tcW w:w="3540" w:type="dxa"/>
            <w:vAlign w:val="bottom"/>
          </w:tcPr>
          <w:p>
            <w:pPr>
              <w:spacing w:after="0"/>
              <w:rPr>
                <w:sz w:val="17"/>
                <w:szCs w:val="17"/>
                <w:color w:val="auto"/>
              </w:rPr>
            </w:pPr>
          </w:p>
        </w:tc>
        <w:tc>
          <w:tcPr>
            <w:tcW w:w="7680" w:type="dxa"/>
            <w:vAlign w:val="bottom"/>
            <w:gridSpan w:val="2"/>
          </w:tcPr>
          <w:p>
            <w:pPr>
              <w:ind w:left="2180"/>
              <w:spacing w:after="0"/>
              <w:rPr>
                <w:sz w:val="20"/>
                <w:szCs w:val="20"/>
                <w:color w:val="auto"/>
              </w:rPr>
            </w:pPr>
            <w:r>
              <w:rPr>
                <w:rFonts w:ascii="Arial" w:cs="Arial" w:eastAsia="Arial" w:hAnsi="Arial"/>
                <w:sz w:val="16"/>
                <w:szCs w:val="16"/>
                <w:color w:val="auto"/>
              </w:rPr>
              <w:t>AXSOME THERAPEUTICS, INC.</w:t>
            </w:r>
          </w:p>
        </w:tc>
      </w:tr>
      <w:tr>
        <w:trPr>
          <w:trHeight w:val="553"/>
        </w:trPr>
        <w:tc>
          <w:tcPr>
            <w:tcW w:w="3540" w:type="dxa"/>
            <w:vAlign w:val="bottom"/>
          </w:tcPr>
          <w:p>
            <w:pPr>
              <w:spacing w:after="0"/>
              <w:rPr>
                <w:sz w:val="20"/>
                <w:szCs w:val="20"/>
                <w:color w:val="auto"/>
              </w:rPr>
            </w:pPr>
            <w:r>
              <w:rPr>
                <w:rFonts w:ascii="Arial" w:cs="Arial" w:eastAsia="Arial" w:hAnsi="Arial"/>
                <w:sz w:val="16"/>
                <w:szCs w:val="16"/>
                <w:color w:val="auto"/>
              </w:rPr>
              <w:t>Date: August 7, 2023</w:t>
            </w:r>
          </w:p>
        </w:tc>
        <w:tc>
          <w:tcPr>
            <w:tcW w:w="2540" w:type="dxa"/>
            <w:vAlign w:val="bottom"/>
          </w:tcPr>
          <w:p>
            <w:pPr>
              <w:ind w:left="2180"/>
              <w:spacing w:after="0"/>
              <w:rPr>
                <w:sz w:val="20"/>
                <w:szCs w:val="20"/>
                <w:color w:val="auto"/>
              </w:rPr>
            </w:pPr>
            <w:r>
              <w:rPr>
                <w:rFonts w:ascii="Arial" w:cs="Arial" w:eastAsia="Arial" w:hAnsi="Arial"/>
                <w:sz w:val="16"/>
                <w:szCs w:val="16"/>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Herriot Tabuteau, M.D.</w:t>
            </w:r>
          </w:p>
        </w:tc>
      </w:tr>
      <w:tr>
        <w:trPr>
          <w:trHeight w:val="210"/>
        </w:trPr>
        <w:tc>
          <w:tcPr>
            <w:tcW w:w="35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6"/>
                <w:szCs w:val="16"/>
                <w:color w:val="auto"/>
              </w:rPr>
              <w:t>Herriot Tabuteau, M.D.</w:t>
            </w:r>
          </w:p>
        </w:tc>
      </w:tr>
      <w:tr>
        <w:trPr>
          <w:trHeight w:val="270"/>
        </w:trPr>
        <w:tc>
          <w:tcPr>
            <w:tcW w:w="3540" w:type="dxa"/>
            <w:vAlign w:val="bottom"/>
          </w:tcPr>
          <w:p>
            <w:pPr>
              <w:spacing w:after="0"/>
              <w:rPr>
                <w:sz w:val="23"/>
                <w:szCs w:val="23"/>
                <w:color w:val="auto"/>
              </w:rPr>
            </w:pPr>
          </w:p>
        </w:tc>
        <w:tc>
          <w:tcPr>
            <w:tcW w:w="2540" w:type="dxa"/>
            <w:vAlign w:val="bottom"/>
          </w:tcPr>
          <w:p>
            <w:pPr>
              <w:spacing w:after="0"/>
              <w:rPr>
                <w:sz w:val="23"/>
                <w:szCs w:val="23"/>
                <w:color w:val="auto"/>
              </w:rPr>
            </w:pPr>
          </w:p>
        </w:tc>
        <w:tc>
          <w:tcPr>
            <w:tcW w:w="5140" w:type="dxa"/>
            <w:vAlign w:val="bottom"/>
          </w:tcPr>
          <w:p>
            <w:pPr>
              <w:spacing w:after="0"/>
              <w:rPr>
                <w:sz w:val="20"/>
                <w:szCs w:val="20"/>
                <w:color w:val="auto"/>
              </w:rPr>
            </w:pPr>
            <w:r>
              <w:rPr>
                <w:rFonts w:ascii="Arial" w:cs="Arial" w:eastAsia="Arial" w:hAnsi="Arial"/>
                <w:sz w:val="16"/>
                <w:szCs w:val="16"/>
                <w:color w:val="auto"/>
              </w:rPr>
              <w:t>President and Chief Executive Officer</w:t>
            </w:r>
          </w:p>
        </w:tc>
      </w:tr>
      <w:tr>
        <w:trPr>
          <w:trHeight w:val="270"/>
        </w:trPr>
        <w:tc>
          <w:tcPr>
            <w:tcW w:w="3540" w:type="dxa"/>
            <w:vAlign w:val="bottom"/>
          </w:tcPr>
          <w:p>
            <w:pPr>
              <w:spacing w:after="0"/>
              <w:rPr>
                <w:sz w:val="23"/>
                <w:szCs w:val="23"/>
                <w:color w:val="auto"/>
              </w:rPr>
            </w:pPr>
          </w:p>
        </w:tc>
        <w:tc>
          <w:tcPr>
            <w:tcW w:w="2540" w:type="dxa"/>
            <w:vAlign w:val="bottom"/>
          </w:tcPr>
          <w:p>
            <w:pPr>
              <w:spacing w:after="0"/>
              <w:rPr>
                <w:sz w:val="23"/>
                <w:szCs w:val="23"/>
                <w:color w:val="auto"/>
              </w:rPr>
            </w:pPr>
          </w:p>
        </w:tc>
        <w:tc>
          <w:tcPr>
            <w:tcW w:w="5140" w:type="dxa"/>
            <w:vAlign w:val="bottom"/>
          </w:tcPr>
          <w:p>
            <w:pPr>
              <w:spacing w:after="0"/>
              <w:rPr>
                <w:sz w:val="20"/>
                <w:szCs w:val="20"/>
                <w:color w:val="auto"/>
              </w:rPr>
            </w:pPr>
            <w:r>
              <w:rPr>
                <w:rFonts w:ascii="Arial" w:cs="Arial" w:eastAsia="Arial" w:hAnsi="Arial"/>
                <w:sz w:val="16"/>
                <w:szCs w:val="16"/>
                <w:color w:val="auto"/>
              </w:rPr>
              <w:t>(Principal Executive Officer)</w:t>
            </w:r>
          </w:p>
        </w:tc>
      </w:tr>
      <w:tr>
        <w:trPr>
          <w:trHeight w:val="823"/>
        </w:trPr>
        <w:tc>
          <w:tcPr>
            <w:tcW w:w="3540" w:type="dxa"/>
            <w:vAlign w:val="bottom"/>
          </w:tcPr>
          <w:p>
            <w:pPr>
              <w:spacing w:after="0"/>
              <w:rPr>
                <w:sz w:val="20"/>
                <w:szCs w:val="20"/>
                <w:color w:val="auto"/>
              </w:rPr>
            </w:pPr>
            <w:r>
              <w:rPr>
                <w:rFonts w:ascii="Arial" w:cs="Arial" w:eastAsia="Arial" w:hAnsi="Arial"/>
                <w:sz w:val="16"/>
                <w:szCs w:val="16"/>
                <w:color w:val="auto"/>
              </w:rPr>
              <w:t>Date: August 7, 2023</w:t>
            </w:r>
          </w:p>
        </w:tc>
        <w:tc>
          <w:tcPr>
            <w:tcW w:w="2540" w:type="dxa"/>
            <w:vAlign w:val="bottom"/>
          </w:tcPr>
          <w:p>
            <w:pPr>
              <w:ind w:left="2180"/>
              <w:spacing w:after="0"/>
              <w:rPr>
                <w:sz w:val="20"/>
                <w:szCs w:val="20"/>
                <w:color w:val="auto"/>
              </w:rPr>
            </w:pPr>
            <w:r>
              <w:rPr>
                <w:rFonts w:ascii="Arial" w:cs="Arial" w:eastAsia="Arial" w:hAnsi="Arial"/>
                <w:sz w:val="16"/>
                <w:szCs w:val="16"/>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Nick Pizzie</w:t>
            </w:r>
          </w:p>
        </w:tc>
      </w:tr>
      <w:tr>
        <w:trPr>
          <w:trHeight w:val="210"/>
        </w:trPr>
        <w:tc>
          <w:tcPr>
            <w:tcW w:w="35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6"/>
                <w:szCs w:val="16"/>
                <w:color w:val="auto"/>
              </w:rPr>
              <w:t>Nick Pizzie</w:t>
            </w:r>
          </w:p>
        </w:tc>
      </w:tr>
      <w:tr>
        <w:trPr>
          <w:trHeight w:val="270"/>
        </w:trPr>
        <w:tc>
          <w:tcPr>
            <w:tcW w:w="3540" w:type="dxa"/>
            <w:vAlign w:val="bottom"/>
          </w:tcPr>
          <w:p>
            <w:pPr>
              <w:spacing w:after="0"/>
              <w:rPr>
                <w:sz w:val="23"/>
                <w:szCs w:val="23"/>
                <w:color w:val="auto"/>
              </w:rPr>
            </w:pPr>
          </w:p>
        </w:tc>
        <w:tc>
          <w:tcPr>
            <w:tcW w:w="2540" w:type="dxa"/>
            <w:vAlign w:val="bottom"/>
          </w:tcPr>
          <w:p>
            <w:pPr>
              <w:spacing w:after="0"/>
              <w:rPr>
                <w:sz w:val="23"/>
                <w:szCs w:val="23"/>
                <w:color w:val="auto"/>
              </w:rPr>
            </w:pPr>
          </w:p>
        </w:tc>
        <w:tc>
          <w:tcPr>
            <w:tcW w:w="5140" w:type="dxa"/>
            <w:vAlign w:val="bottom"/>
          </w:tcPr>
          <w:p>
            <w:pPr>
              <w:spacing w:after="0"/>
              <w:rPr>
                <w:sz w:val="20"/>
                <w:szCs w:val="20"/>
                <w:color w:val="auto"/>
              </w:rPr>
            </w:pPr>
            <w:r>
              <w:rPr>
                <w:rFonts w:ascii="Arial" w:cs="Arial" w:eastAsia="Arial" w:hAnsi="Arial"/>
                <w:sz w:val="16"/>
                <w:szCs w:val="16"/>
                <w:color w:val="auto"/>
              </w:rPr>
              <w:t>Chief Financial Officer</w:t>
            </w:r>
          </w:p>
        </w:tc>
      </w:tr>
      <w:tr>
        <w:trPr>
          <w:trHeight w:val="270"/>
        </w:trPr>
        <w:tc>
          <w:tcPr>
            <w:tcW w:w="3540" w:type="dxa"/>
            <w:vAlign w:val="bottom"/>
          </w:tcPr>
          <w:p>
            <w:pPr>
              <w:spacing w:after="0"/>
              <w:rPr>
                <w:sz w:val="23"/>
                <w:szCs w:val="23"/>
                <w:color w:val="auto"/>
              </w:rPr>
            </w:pPr>
          </w:p>
        </w:tc>
        <w:tc>
          <w:tcPr>
            <w:tcW w:w="2540" w:type="dxa"/>
            <w:vAlign w:val="bottom"/>
          </w:tcPr>
          <w:p>
            <w:pPr>
              <w:spacing w:after="0"/>
              <w:rPr>
                <w:sz w:val="23"/>
                <w:szCs w:val="23"/>
                <w:color w:val="auto"/>
              </w:rPr>
            </w:pPr>
          </w:p>
        </w:tc>
        <w:tc>
          <w:tcPr>
            <w:tcW w:w="5140" w:type="dxa"/>
            <w:vAlign w:val="bottom"/>
          </w:tcPr>
          <w:p>
            <w:pPr>
              <w:spacing w:after="0"/>
              <w:rPr>
                <w:sz w:val="20"/>
                <w:szCs w:val="20"/>
                <w:color w:val="auto"/>
              </w:rPr>
            </w:pPr>
            <w:r>
              <w:rPr>
                <w:rFonts w:ascii="Arial" w:cs="Arial" w:eastAsia="Arial" w:hAnsi="Arial"/>
                <w:sz w:val="16"/>
                <w:szCs w:val="16"/>
                <w:color w:val="auto"/>
              </w:rPr>
              <w:t>(Principal Financial and Accounting Officer)</w:t>
            </w:r>
          </w:p>
        </w:tc>
      </w:tr>
    </w:tbl>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98" w:name="page99"/>
    <w:bookmarkEnd w:id="98"/>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99" w:name="page100"/>
    <w:bookmarkEnd w:id="99"/>
    <w:p>
      <w:pPr>
        <w:jc w:val="center"/>
        <w:spacing w:after="0"/>
        <w:rPr>
          <w:sz w:val="20"/>
          <w:szCs w:val="20"/>
          <w:color w:val="auto"/>
        </w:rPr>
      </w:pPr>
      <w:r>
        <w:rPr>
          <w:rFonts w:ascii="Arial" w:cs="Arial" w:eastAsia="Arial" w:hAnsi="Arial"/>
          <w:sz w:val="20"/>
          <w:szCs w:val="20"/>
          <w:b w:val="1"/>
          <w:bCs w:val="1"/>
          <w:color w:val="auto"/>
        </w:rPr>
        <w:t>WAIVER ANDFOURTH AMENDMENT TO LOAN AND SECURITY AGREEMENT</w:t>
      </w:r>
    </w:p>
    <w:p>
      <w:pPr>
        <w:spacing w:after="0" w:line="222" w:lineRule="exact"/>
        <w:rPr>
          <w:sz w:val="20"/>
          <w:szCs w:val="20"/>
          <w:color w:val="auto"/>
        </w:rPr>
      </w:pPr>
    </w:p>
    <w:p>
      <w:pPr>
        <w:jc w:val="both"/>
        <w:ind w:firstLine="749"/>
        <w:spacing w:after="0" w:line="244" w:lineRule="auto"/>
        <w:rPr>
          <w:sz w:val="20"/>
          <w:szCs w:val="20"/>
          <w:color w:val="auto"/>
        </w:rPr>
      </w:pPr>
      <w:r>
        <w:rPr>
          <w:rFonts w:ascii="Arial" w:cs="Arial" w:eastAsia="Arial" w:hAnsi="Arial"/>
          <w:sz w:val="20"/>
          <w:szCs w:val="20"/>
          <w:color w:val="auto"/>
        </w:rPr>
        <w:t>THIS WAIVER AND FOURTH AMENDMENT TO LOAN AND SECURITY AGREEMENT (this “</w:t>
      </w:r>
      <w:r>
        <w:rPr>
          <w:rFonts w:ascii="Arial" w:cs="Arial" w:eastAsia="Arial" w:hAnsi="Arial"/>
          <w:sz w:val="20"/>
          <w:szCs w:val="20"/>
          <w:u w:val="single" w:color="auto"/>
          <w:color w:val="auto"/>
        </w:rPr>
        <w:t>Amendment</w:t>
      </w:r>
      <w:r>
        <w:rPr>
          <w:rFonts w:ascii="Arial" w:cs="Arial" w:eastAsia="Arial" w:hAnsi="Arial"/>
          <w:sz w:val="20"/>
          <w:szCs w:val="20"/>
          <w:color w:val="auto"/>
        </w:rPr>
        <w:t>”), dated as of May 8, 2023 (the “</w:t>
      </w:r>
      <w:r>
        <w:rPr>
          <w:rFonts w:ascii="Arial" w:cs="Arial" w:eastAsia="Arial" w:hAnsi="Arial"/>
          <w:sz w:val="20"/>
          <w:szCs w:val="20"/>
          <w:u w:val="single" w:color="auto"/>
          <w:color w:val="auto"/>
        </w:rPr>
        <w:t>Amendment Effective Date</w:t>
      </w:r>
      <w:r>
        <w:rPr>
          <w:rFonts w:ascii="Arial" w:cs="Arial" w:eastAsia="Arial" w:hAnsi="Arial"/>
          <w:sz w:val="20"/>
          <w:szCs w:val="20"/>
          <w:color w:val="auto"/>
        </w:rPr>
        <w:t xml:space="preserve"> ”), is entered into by and among AXSOME THERAPEUTICS, INC., a Delaware corporation (“</w:t>
      </w:r>
      <w:r>
        <w:rPr>
          <w:rFonts w:ascii="Arial" w:cs="Arial" w:eastAsia="Arial" w:hAnsi="Arial"/>
          <w:sz w:val="20"/>
          <w:szCs w:val="20"/>
          <w:u w:val="single" w:color="auto"/>
          <w:color w:val="auto"/>
        </w:rPr>
        <w:t>Borrower</w:t>
      </w:r>
      <w:r>
        <w:rPr>
          <w:rFonts w:ascii="Arial" w:cs="Arial" w:eastAsia="Arial" w:hAnsi="Arial"/>
          <w:sz w:val="20"/>
          <w:szCs w:val="20"/>
          <w:color w:val="auto"/>
        </w:rPr>
        <w:t>”), and the several banks and other financial institutions or entities party hereto as Lender, constituting the Required Lenders and HERCULES CAPITAL, INC., a Maryland corporation, in its capacity as administrative agent and collateral agent for Lender (in such capacity, “</w:t>
      </w:r>
      <w:r>
        <w:rPr>
          <w:rFonts w:ascii="Arial" w:cs="Arial" w:eastAsia="Arial" w:hAnsi="Arial"/>
          <w:sz w:val="20"/>
          <w:szCs w:val="20"/>
          <w:u w:val="single" w:color="auto"/>
          <w:color w:val="auto"/>
        </w:rPr>
        <w:t>Agent</w:t>
      </w:r>
      <w:r>
        <w:rPr>
          <w:rFonts w:ascii="Arial" w:cs="Arial" w:eastAsia="Arial" w:hAnsi="Arial"/>
          <w:sz w:val="20"/>
          <w:szCs w:val="20"/>
          <w:color w:val="auto"/>
        </w:rPr>
        <w:t>”).</w:t>
      </w:r>
    </w:p>
    <w:p>
      <w:pPr>
        <w:spacing w:after="0" w:line="194"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18"/>
          <w:szCs w:val="18"/>
          <w:color w:val="auto"/>
        </w:rPr>
        <w:t xml:space="preserve">A. </w:t>
      </w:r>
      <w:r>
        <w:rPr>
          <w:rFonts w:ascii="Arial" w:cs="Arial" w:eastAsia="Arial" w:hAnsi="Arial"/>
          <w:sz w:val="19"/>
          <w:szCs w:val="19"/>
          <w:color w:val="auto"/>
        </w:rPr>
        <w:t>Borrower, Lenders and Agent are parties to that certain Loan and Security Agreement, dated as of September 25, 2020 (as</w:t>
      </w:r>
      <w:r>
        <w:rPr>
          <w:rFonts w:ascii="Arial" w:cs="Arial" w:eastAsia="Arial" w:hAnsi="Arial"/>
          <w:sz w:val="18"/>
          <w:szCs w:val="18"/>
          <w:color w:val="auto"/>
        </w:rPr>
        <w:t xml:space="preserve"> </w:t>
      </w:r>
      <w:r>
        <w:rPr>
          <w:rFonts w:ascii="Arial" w:cs="Arial" w:eastAsia="Arial" w:hAnsi="Arial"/>
          <w:sz w:val="19"/>
          <w:szCs w:val="19"/>
          <w:color w:val="auto"/>
        </w:rPr>
        <w:t>amended by the First Amendment to Loan and Security Agreement, dated as of October 14, 2021, the Second Amendment to Loan and Security Agreement, dated as of March 27, 2022, and the Third Amendment to Loan and Security Agreement, dated as of January 9, 2023, the “</w:t>
      </w:r>
      <w:r>
        <w:rPr>
          <w:rFonts w:ascii="Arial" w:cs="Arial" w:eastAsia="Arial" w:hAnsi="Arial"/>
          <w:sz w:val="19"/>
          <w:szCs w:val="19"/>
          <w:u w:val="single" w:color="auto"/>
          <w:color w:val="auto"/>
        </w:rPr>
        <w:t>Existing Loan Agreement</w:t>
      </w:r>
      <w:r>
        <w:rPr>
          <w:rFonts w:ascii="Arial" w:cs="Arial" w:eastAsia="Arial" w:hAnsi="Arial"/>
          <w:sz w:val="19"/>
          <w:szCs w:val="19"/>
          <w:color w:val="auto"/>
        </w:rPr>
        <w:t>”; and the Existing Loan Agreement, as amended by this Amendment and as further amended, restated, supplemented or otherwise modified from time to time, the “</w:t>
      </w:r>
      <w:r>
        <w:rPr>
          <w:rFonts w:ascii="Arial" w:cs="Arial" w:eastAsia="Arial" w:hAnsi="Arial"/>
          <w:sz w:val="19"/>
          <w:szCs w:val="19"/>
          <w:u w:val="single" w:color="auto"/>
          <w:color w:val="auto"/>
        </w:rPr>
        <w:t>Loan Agreement</w:t>
      </w:r>
      <w:r>
        <w:rPr>
          <w:rFonts w:ascii="Arial" w:cs="Arial" w:eastAsia="Arial" w:hAnsi="Arial"/>
          <w:sz w:val="19"/>
          <w:szCs w:val="19"/>
          <w:color w:val="auto"/>
        </w:rPr>
        <w:t>”).</w:t>
      </w:r>
    </w:p>
    <w:p>
      <w:pPr>
        <w:spacing w:after="0" w:line="180" w:lineRule="exact"/>
        <w:rPr>
          <w:sz w:val="20"/>
          <w:szCs w:val="20"/>
          <w:color w:val="auto"/>
        </w:rPr>
      </w:pPr>
    </w:p>
    <w:p>
      <w:pPr>
        <w:jc w:val="both"/>
        <w:ind w:firstLine="757"/>
        <w:spacing w:after="0" w:line="263" w:lineRule="auto"/>
        <w:tabs>
          <w:tab w:leader="none" w:pos="1018" w:val="left"/>
        </w:tabs>
        <w:numPr>
          <w:ilvl w:val="0"/>
          <w:numId w:val="48"/>
        </w:numPr>
        <w:rPr>
          <w:rFonts w:ascii="Arial" w:cs="Arial" w:eastAsia="Arial" w:hAnsi="Arial"/>
          <w:sz w:val="17"/>
          <w:szCs w:val="17"/>
          <w:color w:val="auto"/>
        </w:rPr>
      </w:pPr>
      <w:r>
        <w:rPr>
          <w:rFonts w:ascii="Arial" w:cs="Arial" w:eastAsia="Arial" w:hAnsi="Arial"/>
          <w:sz w:val="19"/>
          <w:szCs w:val="19"/>
          <w:color w:val="auto"/>
        </w:rPr>
        <w:t>Borrower is in breach of Section 7.23 of the Existing Loan Agreement due to the Malta Subsidiary holding Cash outside of the United States in excess of $3,000,000 in the aggregate (the “</w:t>
      </w:r>
      <w:r>
        <w:rPr>
          <w:rFonts w:ascii="Arial" w:cs="Arial" w:eastAsia="Arial" w:hAnsi="Arial"/>
          <w:sz w:val="19"/>
          <w:szCs w:val="19"/>
          <w:u w:val="single" w:color="auto"/>
          <w:color w:val="auto"/>
        </w:rPr>
        <w:t>Specified Default</w:t>
      </w:r>
      <w:r>
        <w:rPr>
          <w:rFonts w:ascii="Arial" w:cs="Arial" w:eastAsia="Arial" w:hAnsi="Arial"/>
          <w:sz w:val="19"/>
          <w:szCs w:val="19"/>
          <w:color w:val="auto"/>
        </w:rPr>
        <w:t>”). Borrower has requested that Agent and Lenders (a) agree to waive the Specified Default and (b) agree to certain amendments in the Existing Loan Agreement. Although Agent and Lenders are under no obligation to do so, they have agreed to such requests, subject to the terms and conditions hereof.</w:t>
      </w:r>
    </w:p>
    <w:p>
      <w:pPr>
        <w:spacing w:after="0" w:line="176" w:lineRule="exact"/>
        <w:rPr>
          <w:rFonts w:ascii="Arial" w:cs="Arial" w:eastAsia="Arial" w:hAnsi="Arial"/>
          <w:sz w:val="17"/>
          <w:szCs w:val="17"/>
          <w:color w:val="auto"/>
        </w:rPr>
      </w:pPr>
    </w:p>
    <w:p>
      <w:pPr>
        <w:ind w:left="1020" w:hanging="263"/>
        <w:spacing w:after="0"/>
        <w:tabs>
          <w:tab w:leader="none" w:pos="1020" w:val="left"/>
        </w:tabs>
        <w:numPr>
          <w:ilvl w:val="0"/>
          <w:numId w:val="48"/>
        </w:numPr>
        <w:rPr>
          <w:rFonts w:ascii="Arial" w:cs="Arial" w:eastAsia="Arial" w:hAnsi="Arial"/>
          <w:sz w:val="18"/>
          <w:szCs w:val="18"/>
          <w:color w:val="auto"/>
        </w:rPr>
      </w:pPr>
      <w:r>
        <w:rPr>
          <w:rFonts w:ascii="Arial" w:cs="Arial" w:eastAsia="Arial" w:hAnsi="Arial"/>
          <w:sz w:val="20"/>
          <w:szCs w:val="20"/>
          <w:color w:val="auto"/>
        </w:rPr>
        <w:t>Accordingly, the parties, for good and valuable consideration, hereto agree as follows: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SECTION 1Definitions; Interpretation.</w:t>
      </w:r>
    </w:p>
    <w:p>
      <w:pPr>
        <w:spacing w:after="0" w:line="216" w:lineRule="exact"/>
        <w:rPr>
          <w:sz w:val="20"/>
          <w:szCs w:val="20"/>
          <w:color w:val="auto"/>
        </w:rPr>
      </w:pPr>
    </w:p>
    <w:p>
      <w:pPr>
        <w:ind w:firstLine="757"/>
        <w:spacing w:after="0" w:line="267" w:lineRule="auto"/>
        <w:tabs>
          <w:tab w:leader="none" w:pos="1018" w:val="left"/>
        </w:tabs>
        <w:numPr>
          <w:ilvl w:val="0"/>
          <w:numId w:val="49"/>
        </w:numPr>
        <w:rPr>
          <w:rFonts w:ascii="Arial" w:cs="Arial" w:eastAsia="Arial" w:hAnsi="Arial"/>
          <w:sz w:val="20"/>
          <w:szCs w:val="20"/>
          <w:color w:val="auto"/>
        </w:rPr>
      </w:pPr>
      <w:r>
        <w:rPr>
          <w:rFonts w:ascii="Arial" w:cs="Arial" w:eastAsia="Arial" w:hAnsi="Arial"/>
          <w:sz w:val="20"/>
          <w:szCs w:val="20"/>
          <w:b w:val="1"/>
          <w:bCs w:val="1"/>
          <w:color w:val="auto"/>
        </w:rPr>
        <w:t>Terms Defined in Loan Agreement</w:t>
      </w:r>
      <w:r>
        <w:rPr>
          <w:rFonts w:ascii="Arial" w:cs="Arial" w:eastAsia="Arial" w:hAnsi="Arial"/>
          <w:sz w:val="20"/>
          <w:szCs w:val="20"/>
          <w:color w:val="auto"/>
        </w:rPr>
        <w:t>. All capitalized terms used in this Amendment (including in the recitals hereof) and not</w:t>
      </w:r>
      <w:r>
        <w:rPr>
          <w:rFonts w:ascii="Arial" w:cs="Arial" w:eastAsia="Arial" w:hAnsi="Arial"/>
          <w:sz w:val="20"/>
          <w:szCs w:val="20"/>
          <w:b w:val="1"/>
          <w:bCs w:val="1"/>
          <w:color w:val="auto"/>
        </w:rPr>
        <w:t xml:space="preserve"> </w:t>
      </w:r>
      <w:r>
        <w:rPr>
          <w:rFonts w:ascii="Arial" w:cs="Arial" w:eastAsia="Arial" w:hAnsi="Arial"/>
          <w:sz w:val="20"/>
          <w:szCs w:val="20"/>
          <w:color w:val="auto"/>
        </w:rPr>
        <w:t>otherwise defined herein shall have the meanings assigned to them in the Loan Agreement.</w:t>
      </w:r>
    </w:p>
    <w:p>
      <w:pPr>
        <w:spacing w:after="0" w:line="163" w:lineRule="exact"/>
        <w:rPr>
          <w:rFonts w:ascii="Arial" w:cs="Arial" w:eastAsia="Arial" w:hAnsi="Arial"/>
          <w:sz w:val="20"/>
          <w:szCs w:val="20"/>
          <w:color w:val="auto"/>
        </w:rPr>
      </w:pPr>
    </w:p>
    <w:p>
      <w:pPr>
        <w:ind w:firstLine="757"/>
        <w:spacing w:after="0" w:line="267" w:lineRule="auto"/>
        <w:tabs>
          <w:tab w:leader="none" w:pos="1018" w:val="left"/>
        </w:tabs>
        <w:numPr>
          <w:ilvl w:val="0"/>
          <w:numId w:val="49"/>
        </w:numPr>
        <w:rPr>
          <w:rFonts w:ascii="Arial" w:cs="Arial" w:eastAsia="Arial" w:hAnsi="Arial"/>
          <w:sz w:val="20"/>
          <w:szCs w:val="20"/>
          <w:color w:val="auto"/>
        </w:rPr>
      </w:pPr>
      <w:r>
        <w:rPr>
          <w:rFonts w:ascii="Arial" w:cs="Arial" w:eastAsia="Arial" w:hAnsi="Arial"/>
          <w:sz w:val="20"/>
          <w:szCs w:val="20"/>
          <w:b w:val="1"/>
          <w:bCs w:val="1"/>
          <w:color w:val="auto"/>
        </w:rPr>
        <w:t>Rules of Construction</w:t>
      </w:r>
      <w:r>
        <w:rPr>
          <w:rFonts w:ascii="Arial" w:cs="Arial" w:eastAsia="Arial" w:hAnsi="Arial"/>
          <w:sz w:val="20"/>
          <w:szCs w:val="20"/>
          <w:color w:val="auto"/>
        </w:rPr>
        <w:t>. The rules of construction that appear in</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Section 1.3</w:t>
      </w:r>
      <w:r>
        <w:rPr>
          <w:rFonts w:ascii="Arial" w:cs="Arial" w:eastAsia="Arial" w:hAnsi="Arial"/>
          <w:sz w:val="20"/>
          <w:szCs w:val="20"/>
          <w:b w:val="1"/>
          <w:bCs w:val="1"/>
          <w:color w:val="auto"/>
        </w:rPr>
        <w:t xml:space="preserve"> </w:t>
      </w:r>
      <w:r>
        <w:rPr>
          <w:rFonts w:ascii="Arial" w:cs="Arial" w:eastAsia="Arial" w:hAnsi="Arial"/>
          <w:sz w:val="20"/>
          <w:szCs w:val="20"/>
          <w:color w:val="auto"/>
        </w:rPr>
        <w:t>of the Loan Agreement shall be applicable to this</w:t>
      </w:r>
      <w:r>
        <w:rPr>
          <w:rFonts w:ascii="Arial" w:cs="Arial" w:eastAsia="Arial" w:hAnsi="Arial"/>
          <w:sz w:val="20"/>
          <w:szCs w:val="20"/>
          <w:b w:val="1"/>
          <w:bCs w:val="1"/>
          <w:color w:val="auto"/>
        </w:rPr>
        <w:t xml:space="preserve"> </w:t>
      </w:r>
      <w:r>
        <w:rPr>
          <w:rFonts w:ascii="Arial" w:cs="Arial" w:eastAsia="Arial" w:hAnsi="Arial"/>
          <w:sz w:val="20"/>
          <w:szCs w:val="20"/>
          <w:color w:val="auto"/>
        </w:rPr>
        <w:t>Amendment and are incorporated herein by this reference.</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SECTION 2Waiver of Specified Default.</w:t>
      </w:r>
    </w:p>
    <w:p>
      <w:pPr>
        <w:spacing w:after="0" w:line="222" w:lineRule="exact"/>
        <w:rPr>
          <w:sz w:val="20"/>
          <w:szCs w:val="20"/>
          <w:color w:val="auto"/>
        </w:rPr>
      </w:pPr>
    </w:p>
    <w:p>
      <w:pPr>
        <w:ind w:firstLine="757"/>
        <w:spacing w:after="0" w:line="260" w:lineRule="auto"/>
        <w:tabs>
          <w:tab w:leader="none" w:pos="1018" w:val="left"/>
        </w:tabs>
        <w:numPr>
          <w:ilvl w:val="1"/>
          <w:numId w:val="50"/>
        </w:numPr>
        <w:rPr>
          <w:rFonts w:ascii="Arial" w:cs="Arial" w:eastAsia="Arial" w:hAnsi="Arial"/>
          <w:sz w:val="20"/>
          <w:szCs w:val="20"/>
          <w:color w:val="auto"/>
        </w:rPr>
      </w:pPr>
      <w:r>
        <w:rPr>
          <w:rFonts w:ascii="Arial" w:cs="Arial" w:eastAsia="Arial" w:hAnsi="Arial"/>
          <w:sz w:val="20"/>
          <w:szCs w:val="20"/>
          <w:color w:val="auto"/>
        </w:rPr>
        <w:t>Subject to the terms of this Amendment, as of the Amendment Effective Date, Agent and each Lender hereby waive (i) the Specified Default and (ii) any required notices thereof.</w:t>
      </w:r>
    </w:p>
    <w:p>
      <w:pPr>
        <w:spacing w:after="0" w:line="176" w:lineRule="exact"/>
        <w:rPr>
          <w:rFonts w:ascii="Arial" w:cs="Arial" w:eastAsia="Arial" w:hAnsi="Arial"/>
          <w:sz w:val="20"/>
          <w:szCs w:val="20"/>
          <w:color w:val="auto"/>
        </w:rPr>
      </w:pPr>
    </w:p>
    <w:p>
      <w:pPr>
        <w:jc w:val="both"/>
        <w:ind w:firstLine="757"/>
        <w:spacing w:after="0" w:line="316" w:lineRule="auto"/>
        <w:tabs>
          <w:tab w:leader="none" w:pos="1018" w:val="left"/>
        </w:tabs>
        <w:numPr>
          <w:ilvl w:val="1"/>
          <w:numId w:val="50"/>
        </w:numPr>
        <w:rPr>
          <w:rFonts w:ascii="Arial" w:cs="Arial" w:eastAsia="Arial" w:hAnsi="Arial"/>
          <w:sz w:val="18"/>
          <w:szCs w:val="18"/>
          <w:color w:val="auto"/>
        </w:rPr>
      </w:pPr>
      <w:r>
        <w:rPr>
          <w:rFonts w:ascii="Arial" w:cs="Arial" w:eastAsia="Arial" w:hAnsi="Arial"/>
          <w:sz w:val="18"/>
          <w:szCs w:val="18"/>
          <w:color w:val="auto"/>
        </w:rPr>
        <w:t>Agent’s and the Lenders’ agreements to waive the Specified Default and any required notice thereof shall not limit or impair the Agent’s or any Lender’s right to demand strict performance of all other covenants as of any date, subject to the terms of the Loan Agreement.</w:t>
      </w:r>
    </w:p>
    <w:p>
      <w:pPr>
        <w:spacing w:after="0" w:line="129" w:lineRule="exact"/>
        <w:rPr>
          <w:rFonts w:ascii="Arial" w:cs="Arial" w:eastAsia="Arial" w:hAnsi="Arial"/>
          <w:sz w:val="18"/>
          <w:szCs w:val="18"/>
          <w:color w:val="auto"/>
        </w:rPr>
      </w:pPr>
    </w:p>
    <w:p>
      <w:pPr>
        <w:jc w:val="both"/>
        <w:ind w:firstLine="757"/>
        <w:spacing w:after="0" w:line="275" w:lineRule="auto"/>
        <w:tabs>
          <w:tab w:leader="none" w:pos="1018" w:val="left"/>
        </w:tabs>
        <w:numPr>
          <w:ilvl w:val="1"/>
          <w:numId w:val="50"/>
        </w:numPr>
        <w:rPr>
          <w:rFonts w:ascii="Arial" w:cs="Arial" w:eastAsia="Arial" w:hAnsi="Arial"/>
          <w:sz w:val="18"/>
          <w:szCs w:val="18"/>
          <w:color w:val="auto"/>
        </w:rPr>
      </w:pPr>
      <w:r>
        <w:rPr>
          <w:rFonts w:ascii="Arial" w:cs="Arial" w:eastAsia="Arial" w:hAnsi="Arial"/>
          <w:sz w:val="18"/>
          <w:szCs w:val="18"/>
          <w:color w:val="auto"/>
        </w:rPr>
        <w:t xml:space="preserve">The waiver set forth in this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is effective for the purposes set forth herein and shall be limited precisely as written and shall not be deemed to (i) be a consent to any amendment, waiver or modification of any other term or condition of any Loan Document, or</w:t>
      </w:r>
    </w:p>
    <w:p>
      <w:pPr>
        <w:ind w:firstLine="8"/>
        <w:spacing w:after="0" w:line="244" w:lineRule="auto"/>
        <w:tabs>
          <w:tab w:leader="none" w:pos="293" w:val="left"/>
        </w:tabs>
        <w:numPr>
          <w:ilvl w:val="0"/>
          <w:numId w:val="51"/>
        </w:numPr>
        <w:rPr>
          <w:rFonts w:ascii="Arial" w:cs="Arial" w:eastAsia="Arial" w:hAnsi="Arial"/>
          <w:sz w:val="20"/>
          <w:szCs w:val="20"/>
          <w:color w:val="auto"/>
        </w:rPr>
      </w:pPr>
      <w:r>
        <w:rPr>
          <w:rFonts w:ascii="Arial" w:cs="Arial" w:eastAsia="Arial" w:hAnsi="Arial"/>
          <w:sz w:val="20"/>
          <w:szCs w:val="20"/>
          <w:color w:val="auto"/>
        </w:rPr>
        <w:t>otherwise prejudice any right or remedy which the Agent or Lenders may now have or may have in the future under or in connection with any Loan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616585</wp:posOffset>
            </wp:positionV>
            <wp:extent cx="7157720"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100" w:name="page101"/>
    <w:bookmarkEnd w:id="100"/>
    <w:p>
      <w:pPr>
        <w:spacing w:after="0"/>
        <w:rPr>
          <w:sz w:val="20"/>
          <w:szCs w:val="20"/>
          <w:color w:val="auto"/>
        </w:rPr>
      </w:pPr>
      <w:r>
        <w:rPr>
          <w:rFonts w:ascii="Arial" w:cs="Arial" w:eastAsia="Arial" w:hAnsi="Arial"/>
          <w:sz w:val="20"/>
          <w:szCs w:val="20"/>
          <w:b w:val="1"/>
          <w:bCs w:val="1"/>
          <w:color w:val="auto"/>
        </w:rPr>
        <w:t>SECTION 3Amendments to the Loan Agreement.</w:t>
      </w:r>
    </w:p>
    <w:p>
      <w:pPr>
        <w:spacing w:after="0" w:line="222" w:lineRule="exact"/>
        <w:rPr>
          <w:sz w:val="20"/>
          <w:szCs w:val="20"/>
          <w:color w:val="auto"/>
        </w:rPr>
      </w:pPr>
    </w:p>
    <w:p>
      <w:pPr>
        <w:ind w:firstLine="757"/>
        <w:spacing w:after="0" w:line="260" w:lineRule="auto"/>
        <w:tabs>
          <w:tab w:leader="none" w:pos="1018" w:val="left"/>
        </w:tabs>
        <w:numPr>
          <w:ilvl w:val="0"/>
          <w:numId w:val="52"/>
        </w:numPr>
        <w:rPr>
          <w:rFonts w:ascii="Arial" w:cs="Arial" w:eastAsia="Arial" w:hAnsi="Arial"/>
          <w:sz w:val="20"/>
          <w:szCs w:val="20"/>
          <w:color w:val="auto"/>
        </w:rPr>
      </w:pPr>
      <w:r>
        <w:rPr>
          <w:rFonts w:ascii="Arial" w:cs="Arial" w:eastAsia="Arial" w:hAnsi="Arial"/>
          <w:sz w:val="20"/>
          <w:szCs w:val="20"/>
          <w:color w:val="auto"/>
        </w:rPr>
        <w:t xml:space="preserve">Upon satisfaction of the conditions set forth in </w:t>
      </w:r>
      <w:r>
        <w:rPr>
          <w:rFonts w:ascii="Arial" w:cs="Arial" w:eastAsia="Arial" w:hAnsi="Arial"/>
          <w:sz w:val="20"/>
          <w:szCs w:val="20"/>
          <w:u w:val="single" w:color="auto"/>
          <w:color w:val="auto"/>
        </w:rPr>
        <w:t>Section 4</w:t>
      </w:r>
      <w:r>
        <w:rPr>
          <w:rFonts w:ascii="Arial" w:cs="Arial" w:eastAsia="Arial" w:hAnsi="Arial"/>
          <w:sz w:val="20"/>
          <w:szCs w:val="20"/>
          <w:color w:val="auto"/>
        </w:rPr>
        <w:t xml:space="preserve"> hereof, the Existing Loan Agreement is hereby amended as follows effective as of the Amendment Effective Date:</w:t>
      </w:r>
    </w:p>
    <w:p>
      <w:pPr>
        <w:spacing w:after="0" w:line="176" w:lineRule="exact"/>
        <w:rPr>
          <w:rFonts w:ascii="Arial" w:cs="Arial" w:eastAsia="Arial" w:hAnsi="Arial"/>
          <w:sz w:val="20"/>
          <w:szCs w:val="20"/>
          <w:color w:val="auto"/>
        </w:rPr>
      </w:pPr>
    </w:p>
    <w:p>
      <w:pPr>
        <w:ind w:left="2040" w:hanging="535"/>
        <w:spacing w:after="0"/>
        <w:tabs>
          <w:tab w:leader="none" w:pos="2040" w:val="left"/>
        </w:tabs>
        <w:numPr>
          <w:ilvl w:val="1"/>
          <w:numId w:val="52"/>
        </w:numPr>
        <w:rPr>
          <w:rFonts w:ascii="Arial" w:cs="Arial" w:eastAsia="Arial" w:hAnsi="Arial"/>
          <w:sz w:val="20"/>
          <w:szCs w:val="20"/>
          <w:color w:val="auto"/>
        </w:rPr>
      </w:pPr>
      <w:r>
        <w:rPr>
          <w:rFonts w:ascii="Arial" w:cs="Arial" w:eastAsia="Arial" w:hAnsi="Arial"/>
          <w:sz w:val="20"/>
          <w:szCs w:val="20"/>
          <w:color w:val="auto"/>
        </w:rPr>
        <w:t>New Definition. The following definition is added to Section 1.1 in its proper alphabetical order:</w:t>
      </w:r>
    </w:p>
    <w:p>
      <w:pPr>
        <w:spacing w:after="0" w:line="216"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“Fourth Amendment Closing Date” means May 8, 2023.</w:t>
      </w:r>
    </w:p>
    <w:p>
      <w:pPr>
        <w:spacing w:after="0" w:line="216" w:lineRule="exact"/>
        <w:rPr>
          <w:sz w:val="20"/>
          <w:szCs w:val="20"/>
          <w:color w:val="auto"/>
        </w:rPr>
      </w:pPr>
    </w:p>
    <w:p>
      <w:pPr>
        <w:ind w:left="2040" w:hanging="535"/>
        <w:spacing w:after="0"/>
        <w:tabs>
          <w:tab w:leader="none" w:pos="2040" w:val="left"/>
        </w:tabs>
        <w:numPr>
          <w:ilvl w:val="0"/>
          <w:numId w:val="53"/>
        </w:numPr>
        <w:rPr>
          <w:rFonts w:ascii="Arial" w:cs="Arial" w:eastAsia="Arial" w:hAnsi="Arial"/>
          <w:sz w:val="20"/>
          <w:szCs w:val="20"/>
          <w:color w:val="auto"/>
        </w:rPr>
      </w:pPr>
      <w:r>
        <w:rPr>
          <w:rFonts w:ascii="Arial" w:cs="Arial" w:eastAsia="Arial" w:hAnsi="Arial"/>
          <w:sz w:val="20"/>
          <w:szCs w:val="20"/>
          <w:u w:val="single" w:color="auto"/>
          <w:color w:val="auto"/>
        </w:rPr>
        <w:t>Section 7.23</w:t>
      </w:r>
      <w:r>
        <w:rPr>
          <w:rFonts w:ascii="Arial" w:cs="Arial" w:eastAsia="Arial" w:hAnsi="Arial"/>
          <w:sz w:val="20"/>
          <w:szCs w:val="20"/>
          <w:color w:val="auto"/>
        </w:rPr>
        <w:t>. Section 7.23 is hereby amended and restated as follows:</w:t>
      </w:r>
    </w:p>
    <w:p>
      <w:pPr>
        <w:spacing w:after="0" w:line="216" w:lineRule="exact"/>
        <w:rPr>
          <w:sz w:val="20"/>
          <w:szCs w:val="20"/>
          <w:color w:val="auto"/>
        </w:rPr>
      </w:pPr>
    </w:p>
    <w:p>
      <w:pPr>
        <w:jc w:val="center"/>
        <w:ind w:left="1480"/>
        <w:spacing w:after="0"/>
        <w:tabs>
          <w:tab w:leader="none" w:pos="340" w:val="left"/>
        </w:tabs>
        <w:rPr>
          <w:sz w:val="20"/>
          <w:szCs w:val="20"/>
          <w:color w:val="auto"/>
        </w:rPr>
      </w:pPr>
      <w:r>
        <w:rPr>
          <w:rFonts w:ascii="Arial" w:cs="Arial" w:eastAsia="Arial" w:hAnsi="Arial"/>
          <w:sz w:val="20"/>
          <w:szCs w:val="20"/>
          <w:color w:val="auto"/>
        </w:rPr>
        <w:t>“7.23.</w:t>
      </w:r>
      <w:r>
        <w:rPr>
          <w:sz w:val="20"/>
          <w:szCs w:val="20"/>
          <w:color w:val="auto"/>
        </w:rPr>
        <w:tab/>
      </w:r>
      <w:r>
        <w:rPr>
          <w:rFonts w:ascii="Arial" w:cs="Arial" w:eastAsia="Arial" w:hAnsi="Arial"/>
          <w:sz w:val="20"/>
          <w:szCs w:val="20"/>
          <w:color w:val="auto"/>
        </w:rPr>
        <w:t>Malta Subsidiary. The Malta Subsidiary shall not hold Cash outside of the United States in excess of</w:t>
      </w:r>
    </w:p>
    <w:p>
      <w:pPr>
        <w:spacing w:after="0" w:line="16" w:lineRule="exact"/>
        <w:rPr>
          <w:sz w:val="20"/>
          <w:szCs w:val="20"/>
          <w:color w:val="auto"/>
        </w:rPr>
      </w:pPr>
    </w:p>
    <w:p>
      <w:pPr>
        <w:jc w:val="both"/>
        <w:ind w:left="760" w:right="160"/>
        <w:spacing w:after="0" w:line="241" w:lineRule="auto"/>
        <w:rPr>
          <w:sz w:val="20"/>
          <w:szCs w:val="20"/>
          <w:color w:val="auto"/>
        </w:rPr>
      </w:pPr>
      <w:r>
        <w:rPr>
          <w:rFonts w:ascii="Arial" w:cs="Arial" w:eastAsia="Arial" w:hAnsi="Arial"/>
          <w:sz w:val="20"/>
          <w:szCs w:val="20"/>
          <w:color w:val="auto"/>
        </w:rPr>
        <w:t>$10,000,000 in the aggregate at any time outstanding; provided that for the period of 45 days after the Fourth Amendment Closing Date, the Malta Subsidiary may hold Cash outside of the United States in an amount not to exceed $15,000,000 in the aggregate at any time outstanding.”</w:t>
      </w:r>
    </w:p>
    <w:p>
      <w:pPr>
        <w:spacing w:after="0" w:line="190" w:lineRule="exact"/>
        <w:rPr>
          <w:sz w:val="20"/>
          <w:szCs w:val="20"/>
          <w:color w:val="auto"/>
        </w:rPr>
      </w:pPr>
    </w:p>
    <w:p>
      <w:pPr>
        <w:jc w:val="both"/>
        <w:ind w:firstLine="757"/>
        <w:spacing w:after="0" w:line="253" w:lineRule="auto"/>
        <w:tabs>
          <w:tab w:leader="none" w:pos="1018" w:val="left"/>
        </w:tabs>
        <w:numPr>
          <w:ilvl w:val="0"/>
          <w:numId w:val="54"/>
        </w:numPr>
        <w:rPr>
          <w:rFonts w:ascii="Arial" w:cs="Arial" w:eastAsia="Arial" w:hAnsi="Arial"/>
          <w:sz w:val="20"/>
          <w:szCs w:val="20"/>
          <w:color w:val="auto"/>
        </w:rPr>
      </w:pPr>
      <w:r>
        <w:rPr>
          <w:rFonts w:ascii="Arial" w:cs="Arial" w:eastAsia="Arial" w:hAnsi="Arial"/>
          <w:sz w:val="20"/>
          <w:szCs w:val="20"/>
          <w:b w:val="1"/>
          <w:bCs w:val="1"/>
          <w:color w:val="auto"/>
        </w:rPr>
        <w:t>References Within Existing Loan Agreement</w:t>
      </w:r>
      <w:r>
        <w:rPr>
          <w:rFonts w:ascii="Arial" w:cs="Arial" w:eastAsia="Arial" w:hAnsi="Arial"/>
          <w:sz w:val="20"/>
          <w:szCs w:val="20"/>
          <w:color w:val="auto"/>
        </w:rPr>
        <w:t>. Each reference in the Existing Loan Agreement to “this Agreement” and the</w:t>
      </w:r>
      <w:r>
        <w:rPr>
          <w:rFonts w:ascii="Arial" w:cs="Arial" w:eastAsia="Arial" w:hAnsi="Arial"/>
          <w:sz w:val="20"/>
          <w:szCs w:val="20"/>
          <w:b w:val="1"/>
          <w:bCs w:val="1"/>
          <w:color w:val="auto"/>
        </w:rPr>
        <w:t xml:space="preserve"> </w:t>
      </w:r>
      <w:r>
        <w:rPr>
          <w:rFonts w:ascii="Arial" w:cs="Arial" w:eastAsia="Arial" w:hAnsi="Arial"/>
          <w:sz w:val="20"/>
          <w:szCs w:val="20"/>
          <w:color w:val="auto"/>
        </w:rPr>
        <w:t>words “hereof,” “herein,” “hereunder,” or words of like import, shall mean and be a reference to the Existing Loan Agreement as amended by this Amendment. This Amendment shall be a Loan Document.</w:t>
      </w:r>
    </w:p>
    <w:p>
      <w:pPr>
        <w:spacing w:after="0" w:line="177" w:lineRule="exact"/>
        <w:rPr>
          <w:sz w:val="20"/>
          <w:szCs w:val="20"/>
          <w:color w:val="auto"/>
        </w:rPr>
      </w:pPr>
    </w:p>
    <w:p>
      <w:pPr>
        <w:spacing w:after="0" w:line="267" w:lineRule="auto"/>
        <w:rPr>
          <w:sz w:val="20"/>
          <w:szCs w:val="20"/>
          <w:color w:val="auto"/>
        </w:rPr>
      </w:pPr>
      <w:r>
        <w:rPr>
          <w:rFonts w:ascii="Arial" w:cs="Arial" w:eastAsia="Arial" w:hAnsi="Arial"/>
          <w:sz w:val="20"/>
          <w:szCs w:val="20"/>
          <w:b w:val="1"/>
          <w:bCs w:val="1"/>
          <w:color w:val="auto"/>
        </w:rPr>
        <w:t>SECTION 4Conditions to Effectiveness of this Amendment</w:t>
      </w:r>
      <w:r>
        <w:rPr>
          <w:rFonts w:ascii="Arial" w:cs="Arial" w:eastAsia="Arial" w:hAnsi="Arial"/>
          <w:sz w:val="20"/>
          <w:szCs w:val="20"/>
          <w:color w:val="auto"/>
        </w:rPr>
        <w:t>. The effectiveness of</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Section 2</w:t>
      </w:r>
      <w:r>
        <w:rPr>
          <w:rFonts w:ascii="Arial" w:cs="Arial" w:eastAsia="Arial" w:hAnsi="Arial"/>
          <w:sz w:val="20"/>
          <w:szCs w:val="20"/>
          <w:b w:val="1"/>
          <w:bCs w:val="1"/>
          <w:color w:val="auto"/>
        </w:rPr>
        <w:t xml:space="preserve"> </w:t>
      </w:r>
      <w:r>
        <w:rPr>
          <w:rFonts w:ascii="Arial" w:cs="Arial" w:eastAsia="Arial" w:hAnsi="Arial"/>
          <w:sz w:val="20"/>
          <w:szCs w:val="20"/>
          <w:color w:val="auto"/>
        </w:rPr>
        <w:t>and</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Section 3</w:t>
      </w:r>
      <w:r>
        <w:rPr>
          <w:rFonts w:ascii="Arial" w:cs="Arial" w:eastAsia="Arial" w:hAnsi="Arial"/>
          <w:sz w:val="20"/>
          <w:szCs w:val="20"/>
          <w:b w:val="1"/>
          <w:bCs w:val="1"/>
          <w:color w:val="auto"/>
        </w:rPr>
        <w:t xml:space="preserve"> </w:t>
      </w:r>
      <w:r>
        <w:rPr>
          <w:rFonts w:ascii="Arial" w:cs="Arial" w:eastAsia="Arial" w:hAnsi="Arial"/>
          <w:sz w:val="20"/>
          <w:szCs w:val="20"/>
          <w:color w:val="auto"/>
        </w:rPr>
        <w:t>of this Amendment shall be</w:t>
      </w:r>
      <w:r>
        <w:rPr>
          <w:rFonts w:ascii="Arial" w:cs="Arial" w:eastAsia="Arial" w:hAnsi="Arial"/>
          <w:sz w:val="20"/>
          <w:szCs w:val="20"/>
          <w:b w:val="1"/>
          <w:bCs w:val="1"/>
          <w:color w:val="auto"/>
        </w:rPr>
        <w:t xml:space="preserve"> </w:t>
      </w:r>
      <w:r>
        <w:rPr>
          <w:rFonts w:ascii="Arial" w:cs="Arial" w:eastAsia="Arial" w:hAnsi="Arial"/>
          <w:sz w:val="20"/>
          <w:szCs w:val="20"/>
          <w:color w:val="auto"/>
        </w:rPr>
        <w:t>subject to satisfaction of each of the following conditions precedent being met:</w:t>
      </w:r>
    </w:p>
    <w:p>
      <w:pPr>
        <w:spacing w:after="0" w:line="169" w:lineRule="exact"/>
        <w:rPr>
          <w:sz w:val="20"/>
          <w:szCs w:val="20"/>
          <w:color w:val="auto"/>
        </w:rPr>
      </w:pPr>
    </w:p>
    <w:p>
      <w:pPr>
        <w:ind w:left="1020" w:hanging="263"/>
        <w:spacing w:after="0"/>
        <w:tabs>
          <w:tab w:leader="none" w:pos="1020" w:val="left"/>
        </w:tabs>
        <w:numPr>
          <w:ilvl w:val="0"/>
          <w:numId w:val="55"/>
        </w:numPr>
        <w:rPr>
          <w:rFonts w:ascii="Arial" w:cs="Arial" w:eastAsia="Arial" w:hAnsi="Arial"/>
          <w:sz w:val="20"/>
          <w:szCs w:val="20"/>
          <w:color w:val="auto"/>
        </w:rPr>
      </w:pPr>
      <w:r>
        <w:rPr>
          <w:rFonts w:ascii="Arial" w:cs="Arial" w:eastAsia="Arial" w:hAnsi="Arial"/>
          <w:sz w:val="20"/>
          <w:szCs w:val="20"/>
          <w:color w:val="auto"/>
        </w:rPr>
        <w:t>Agent’s receipt of this Amendment, executed by Agent, each Lender and Borrower; and</w:t>
      </w:r>
    </w:p>
    <w:p>
      <w:pPr>
        <w:spacing w:after="0" w:line="215" w:lineRule="exact"/>
        <w:rPr>
          <w:rFonts w:ascii="Arial" w:cs="Arial" w:eastAsia="Arial" w:hAnsi="Arial"/>
          <w:sz w:val="20"/>
          <w:szCs w:val="20"/>
          <w:color w:val="auto"/>
        </w:rPr>
      </w:pPr>
    </w:p>
    <w:p>
      <w:pPr>
        <w:jc w:val="both"/>
        <w:ind w:firstLine="757"/>
        <w:spacing w:after="0" w:line="246" w:lineRule="auto"/>
        <w:tabs>
          <w:tab w:leader="none" w:pos="1018" w:val="left"/>
        </w:tabs>
        <w:numPr>
          <w:ilvl w:val="0"/>
          <w:numId w:val="55"/>
        </w:numPr>
        <w:rPr>
          <w:rFonts w:ascii="Arial" w:cs="Arial" w:eastAsia="Arial" w:hAnsi="Arial"/>
          <w:sz w:val="20"/>
          <w:szCs w:val="20"/>
          <w:color w:val="auto"/>
        </w:rPr>
      </w:pPr>
      <w:r>
        <w:rPr>
          <w:rFonts w:ascii="Arial" w:cs="Arial" w:eastAsia="Arial" w:hAnsi="Arial"/>
          <w:sz w:val="20"/>
          <w:szCs w:val="20"/>
          <w:color w:val="auto"/>
        </w:rPr>
        <w:t xml:space="preserve">on the Amendment Effective Date, immediately after giving effect to the waiver to, and amendment of, the Loan Agreement contemplated hereby: (i) the representations and warranties contained in </w:t>
      </w:r>
      <w:r>
        <w:rPr>
          <w:rFonts w:ascii="Arial" w:cs="Arial" w:eastAsia="Arial" w:hAnsi="Arial"/>
          <w:sz w:val="20"/>
          <w:szCs w:val="20"/>
          <w:u w:val="single" w:color="auto"/>
          <w:color w:val="auto"/>
        </w:rPr>
        <w:t>Section 5</w:t>
      </w:r>
      <w:r>
        <w:rPr>
          <w:rFonts w:ascii="Arial" w:cs="Arial" w:eastAsia="Arial" w:hAnsi="Arial"/>
          <w:sz w:val="20"/>
          <w:szCs w:val="20"/>
          <w:color w:val="auto"/>
        </w:rPr>
        <w:t xml:space="preserve"> shall be true and correct on and as of the Amendment Effective Date as though made on and as of such date; and (ii) there exist no Events of Default or events that with the passage of time would result in an Event of Default.</w:t>
      </w:r>
    </w:p>
    <w:p>
      <w:pPr>
        <w:spacing w:after="0" w:line="185" w:lineRule="exact"/>
        <w:rPr>
          <w:sz w:val="20"/>
          <w:szCs w:val="20"/>
          <w:color w:val="auto"/>
        </w:rPr>
      </w:pPr>
    </w:p>
    <w:p>
      <w:pPr>
        <w:jc w:val="both"/>
        <w:spacing w:after="0" w:line="255" w:lineRule="auto"/>
        <w:rPr>
          <w:sz w:val="20"/>
          <w:szCs w:val="20"/>
          <w:color w:val="auto"/>
        </w:rPr>
      </w:pPr>
      <w:r>
        <w:rPr>
          <w:rFonts w:ascii="Arial" w:cs="Arial" w:eastAsia="Arial" w:hAnsi="Arial"/>
          <w:sz w:val="19"/>
          <w:szCs w:val="19"/>
          <w:b w:val="1"/>
          <w:bCs w:val="1"/>
          <w:color w:val="auto"/>
        </w:rPr>
        <w:t>SECTION 5Representations and Warranties</w:t>
      </w:r>
      <w:r>
        <w:rPr>
          <w:rFonts w:ascii="Arial" w:cs="Arial" w:eastAsia="Arial" w:hAnsi="Arial"/>
          <w:sz w:val="19"/>
          <w:szCs w:val="19"/>
          <w:color w:val="auto"/>
        </w:rPr>
        <w:t>. To induce Agent and Lenders to enter into this Amendment, Borrower hereby confirms, as</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of the date hereof, (a) that the representations and warranties made by it in Section 5 of the Loan Agreement and in the other Loan Documents are true and correct in all material respects;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such materiality qualifier shall not be applicable to any representations and warranties that already are qualified or modified by materiality in the text thereof and that any representations and warranties made as of a specific date are only true and correct in all material respects as of such date, and that no Event of Default has occurred and is continuing, (b) that no event that has had or could reasonably be expected to have a Material Adverse Effect has occurred and is continuing and Borrower is not aware of any event likely to occur that is reasonably expected to result in a Material Adverse Effect; (c) [reserved]; (d) Lenders have and shall continue to have valid, enforceable and perfected first-priority liens, subject only to Permitted Liens, on and security interests in the Collateral and all other collateral heretofore granted by Borrower to Lenders, pursuant to the Loan Documents or otherwise granted to or held by Lenders; (e) the agreements and obligations of Borrower contained in the Loan Documents and in this Amendment constitute the legal, valid and binding obligations of Borrower, enforceable against Borrower in accordance with their respective terms, except as the enforceability thereof may be limited by bankruptcy, insolvency or other similar laws of general application affecting the enforcement of creditors’</w:t>
      </w:r>
    </w:p>
    <w:p>
      <w:pPr>
        <w:spacing w:after="0" w:line="2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01" w:name="page102"/>
    <w:bookmarkEnd w:id="101"/>
    <w:p>
      <w:pPr>
        <w:jc w:val="both"/>
        <w:ind w:firstLine="509"/>
        <w:spacing w:after="0" w:line="278" w:lineRule="auto"/>
        <w:rPr>
          <w:sz w:val="20"/>
          <w:szCs w:val="20"/>
          <w:color w:val="auto"/>
        </w:rPr>
      </w:pPr>
      <w:r>
        <w:rPr>
          <w:rFonts w:ascii="Arial" w:cs="Arial" w:eastAsia="Arial" w:hAnsi="Arial"/>
          <w:sz w:val="18"/>
          <w:szCs w:val="18"/>
          <w:color w:val="auto"/>
        </w:rPr>
        <w:t xml:space="preserve">rights or by the application of general principles of equity; and (f) the execution, delivery and performance of this Amendment by Borrower will not violate any law, rule, regulation, order, contractual obligation or organizational document of Borrower and will not result in, or require, the creation or imposition of any lien, claim or encumbrance of any kind on any of its properties or revenues. For the purposes of this </w:t>
      </w:r>
      <w:r>
        <w:rPr>
          <w:rFonts w:ascii="Arial" w:cs="Arial" w:eastAsia="Arial" w:hAnsi="Arial"/>
          <w:sz w:val="18"/>
          <w:szCs w:val="18"/>
          <w:u w:val="single" w:color="auto"/>
          <w:color w:val="auto"/>
        </w:rPr>
        <w:t>Section 5</w:t>
      </w:r>
      <w:r>
        <w:rPr>
          <w:rFonts w:ascii="Arial" w:cs="Arial" w:eastAsia="Arial" w:hAnsi="Arial"/>
          <w:sz w:val="18"/>
          <w:szCs w:val="18"/>
          <w:color w:val="auto"/>
        </w:rPr>
        <w:t>, each reference in Section 5 of the Loan Agreement to “this Agreement,” and the words “hereof,” “herein,” “hereunder,” or words of like import in such Section, shall mean and be a reference to the Loan Agreement as amended by this Amendment.</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SECTION 6Miscellaneous.</w:t>
      </w:r>
    </w:p>
    <w:p>
      <w:pPr>
        <w:spacing w:after="0" w:line="216" w:lineRule="exact"/>
        <w:rPr>
          <w:sz w:val="20"/>
          <w:szCs w:val="20"/>
          <w:color w:val="auto"/>
        </w:rPr>
      </w:pPr>
    </w:p>
    <w:p>
      <w:pPr>
        <w:ind w:left="1020" w:hanging="263"/>
        <w:spacing w:after="0"/>
        <w:tabs>
          <w:tab w:leader="none" w:pos="1020" w:val="left"/>
        </w:tabs>
        <w:numPr>
          <w:ilvl w:val="0"/>
          <w:numId w:val="56"/>
        </w:numPr>
        <w:rPr>
          <w:rFonts w:ascii="Arial" w:cs="Arial" w:eastAsia="Arial" w:hAnsi="Arial"/>
          <w:sz w:val="20"/>
          <w:szCs w:val="20"/>
          <w:color w:val="auto"/>
        </w:rPr>
      </w:pPr>
      <w:r>
        <w:rPr>
          <w:rFonts w:ascii="Arial" w:cs="Arial" w:eastAsia="Arial" w:hAnsi="Arial"/>
          <w:sz w:val="20"/>
          <w:szCs w:val="20"/>
          <w:b w:val="1"/>
          <w:bCs w:val="1"/>
          <w:color w:val="auto"/>
        </w:rPr>
        <w:t>Loan Documents Otherwise Not Affected; Reaffirmation</w:t>
      </w:r>
      <w:r>
        <w:rPr>
          <w:rFonts w:ascii="Arial" w:cs="Arial" w:eastAsia="Arial" w:hAnsi="Arial"/>
          <w:sz w:val="20"/>
          <w:szCs w:val="20"/>
          <w:color w:val="auto"/>
        </w:rPr>
        <w:t>.</w:t>
      </w:r>
    </w:p>
    <w:p>
      <w:pPr>
        <w:spacing w:after="0" w:line="221" w:lineRule="exact"/>
        <w:rPr>
          <w:rFonts w:ascii="Arial" w:cs="Arial" w:eastAsia="Arial" w:hAnsi="Arial"/>
          <w:sz w:val="20"/>
          <w:szCs w:val="20"/>
          <w:color w:val="auto"/>
        </w:rPr>
      </w:pPr>
    </w:p>
    <w:p>
      <w:pPr>
        <w:jc w:val="both"/>
        <w:ind w:firstLine="1505"/>
        <w:spacing w:after="0" w:line="263" w:lineRule="auto"/>
        <w:tabs>
          <w:tab w:leader="none" w:pos="2036" w:val="left"/>
        </w:tabs>
        <w:numPr>
          <w:ilvl w:val="1"/>
          <w:numId w:val="56"/>
        </w:numPr>
        <w:rPr>
          <w:rFonts w:ascii="Arial" w:cs="Arial" w:eastAsia="Arial" w:hAnsi="Arial"/>
          <w:sz w:val="19"/>
          <w:szCs w:val="19"/>
          <w:color w:val="auto"/>
        </w:rPr>
      </w:pPr>
      <w:r>
        <w:rPr>
          <w:rFonts w:ascii="Arial" w:cs="Arial" w:eastAsia="Arial" w:hAnsi="Arial"/>
          <w:sz w:val="19"/>
          <w:szCs w:val="19"/>
          <w:color w:val="auto"/>
        </w:rPr>
        <w:t>Except as expressly amended pursuant hereto or referenced herein, the Loan Agreement and the other Loan Documents shall remain unchanged and in full force and effect and are hereby ratified and confirmed in all respects. Lender’s and Agent’s execution and delivery of, or acceptance of, this Amendment shall not be deemed to create a course of dealing or otherwise create any express or implied duty by any of them to provide any other or further amendments, consents or waivers in the future.</w:t>
      </w:r>
    </w:p>
    <w:p>
      <w:pPr>
        <w:spacing w:after="0" w:line="176" w:lineRule="exact"/>
        <w:rPr>
          <w:rFonts w:ascii="Arial" w:cs="Arial" w:eastAsia="Arial" w:hAnsi="Arial"/>
          <w:sz w:val="19"/>
          <w:szCs w:val="19"/>
          <w:color w:val="auto"/>
        </w:rPr>
      </w:pPr>
    </w:p>
    <w:p>
      <w:pPr>
        <w:jc w:val="both"/>
        <w:ind w:firstLine="1505"/>
        <w:spacing w:after="0" w:line="242" w:lineRule="auto"/>
        <w:tabs>
          <w:tab w:leader="none" w:pos="2036" w:val="left"/>
        </w:tabs>
        <w:numPr>
          <w:ilvl w:val="1"/>
          <w:numId w:val="56"/>
        </w:numPr>
        <w:rPr>
          <w:rFonts w:ascii="Arial" w:cs="Arial" w:eastAsia="Arial" w:hAnsi="Arial"/>
          <w:sz w:val="20"/>
          <w:szCs w:val="20"/>
          <w:color w:val="auto"/>
        </w:rPr>
      </w:pPr>
      <w:r>
        <w:rPr>
          <w:rFonts w:ascii="Arial" w:cs="Arial" w:eastAsia="Arial" w:hAnsi="Arial"/>
          <w:sz w:val="20"/>
          <w:szCs w:val="20"/>
          <w:color w:val="auto"/>
        </w:rPr>
        <w:t>Borrower hereby expressly (1) reaffirms, ratifies and confirms all Secured Obligations under the Loan Agreement and the other Loan Documents, (2) reaffirms, ratifies and confirms the grant of security under Section 3.1 of the Loan Agreement, (3) reaffirms that such grant of security in the Collateral secures all Secured Obligations under the Loan Agreement, and with effect from (and including) the Amendment Effective Date, such grant of security in the Collateral: (x) remains in full force and effect notwithstanding the amendments expressly referenced herein; and (y) secures all Secured Obligations under the Loan Agreement, as amended by this Amendment, and the other Loan Documents, (4) agrees that this Amendment shall be a “Loan Document” under the Loan Agreement and (5) agrees that the Loan Agreement and each other Loan Document shall remain in full force and effect following any action contemplated in connection herewith.</w:t>
      </w:r>
    </w:p>
    <w:p>
      <w:pPr>
        <w:spacing w:after="0" w:line="196" w:lineRule="exact"/>
        <w:rPr>
          <w:rFonts w:ascii="Arial" w:cs="Arial" w:eastAsia="Arial" w:hAnsi="Arial"/>
          <w:sz w:val="20"/>
          <w:szCs w:val="20"/>
          <w:color w:val="auto"/>
        </w:rPr>
      </w:pPr>
    </w:p>
    <w:p>
      <w:pPr>
        <w:jc w:val="both"/>
        <w:ind w:firstLine="1505"/>
        <w:spacing w:after="0" w:line="244" w:lineRule="auto"/>
        <w:tabs>
          <w:tab w:leader="none" w:pos="2036" w:val="left"/>
        </w:tabs>
        <w:numPr>
          <w:ilvl w:val="1"/>
          <w:numId w:val="56"/>
        </w:numPr>
        <w:rPr>
          <w:rFonts w:ascii="Arial" w:cs="Arial" w:eastAsia="Arial" w:hAnsi="Arial"/>
          <w:sz w:val="20"/>
          <w:szCs w:val="20"/>
          <w:color w:val="auto"/>
        </w:rPr>
      </w:pPr>
      <w:r>
        <w:rPr>
          <w:rFonts w:ascii="Arial" w:cs="Arial" w:eastAsia="Arial" w:hAnsi="Arial"/>
          <w:sz w:val="20"/>
          <w:szCs w:val="20"/>
          <w:color w:val="auto"/>
        </w:rPr>
        <w:t>This Amendment is not a novation and the terms and conditions of this Amendment shall be in addition to and supplemental to all terms and conditions set forth in the Loan Documents. Nothing in this Amendment is intended, or shall be construed, to constitute an accord and satisfaction of Borrower’s Secured Obligations under or in connection with the Loan Agreement and any other Loan Document or to modify, affect or impair the perfection or continuity of Agent’s security interest in, (on behalf of itself and the Lenders) security titles to or other liens on any Collateral for the Secured Obligations.</w:t>
      </w:r>
    </w:p>
    <w:p>
      <w:pPr>
        <w:spacing w:after="0" w:line="188" w:lineRule="exact"/>
        <w:rPr>
          <w:rFonts w:ascii="Arial" w:cs="Arial" w:eastAsia="Arial" w:hAnsi="Arial"/>
          <w:sz w:val="20"/>
          <w:szCs w:val="20"/>
          <w:color w:val="auto"/>
        </w:rPr>
      </w:pPr>
    </w:p>
    <w:p>
      <w:pPr>
        <w:jc w:val="both"/>
        <w:ind w:firstLine="757"/>
        <w:spacing w:after="0" w:line="265" w:lineRule="auto"/>
        <w:tabs>
          <w:tab w:leader="none" w:pos="1018" w:val="left"/>
        </w:tabs>
        <w:numPr>
          <w:ilvl w:val="0"/>
          <w:numId w:val="56"/>
        </w:numPr>
        <w:rPr>
          <w:rFonts w:ascii="Arial" w:cs="Arial" w:eastAsia="Arial" w:hAnsi="Arial"/>
          <w:sz w:val="19"/>
          <w:szCs w:val="19"/>
          <w:color w:val="auto"/>
        </w:rPr>
      </w:pPr>
      <w:r>
        <w:rPr>
          <w:rFonts w:ascii="Arial" w:cs="Arial" w:eastAsia="Arial" w:hAnsi="Arial"/>
          <w:sz w:val="19"/>
          <w:szCs w:val="19"/>
          <w:b w:val="1"/>
          <w:bCs w:val="1"/>
          <w:color w:val="auto"/>
        </w:rPr>
        <w:t>Conditions</w:t>
      </w:r>
      <w:r>
        <w:rPr>
          <w:rFonts w:ascii="Arial" w:cs="Arial" w:eastAsia="Arial" w:hAnsi="Arial"/>
          <w:sz w:val="19"/>
          <w:szCs w:val="19"/>
          <w:color w:val="auto"/>
        </w:rPr>
        <w:t>. For purposes of determining compliance with the conditions specified in</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Section 4</w:t>
      </w:r>
      <w:r>
        <w:rPr>
          <w:rFonts w:ascii="Arial" w:cs="Arial" w:eastAsia="Arial" w:hAnsi="Arial"/>
          <w:sz w:val="19"/>
          <w:szCs w:val="19"/>
          <w:color w:val="auto"/>
        </w:rPr>
        <w:t>, each Lender that has signed</w:t>
      </w:r>
      <w:r>
        <w:rPr>
          <w:rFonts w:ascii="Arial" w:cs="Arial" w:eastAsia="Arial" w:hAnsi="Arial"/>
          <w:sz w:val="19"/>
          <w:szCs w:val="19"/>
          <w:b w:val="1"/>
          <w:bCs w:val="1"/>
          <w:color w:val="auto"/>
        </w:rPr>
        <w:t xml:space="preserve"> </w:t>
      </w:r>
      <w:r>
        <w:rPr>
          <w:rFonts w:ascii="Arial" w:cs="Arial" w:eastAsia="Arial" w:hAnsi="Arial"/>
          <w:sz w:val="19"/>
          <w:szCs w:val="19"/>
          <w:color w:val="auto"/>
        </w:rPr>
        <w:t>this Amendment shall be deemed to have consented to, approved or accepted or to be satisfied with, each document or other matter required thereunder to be consented to or approved by or acceptable or satisfactory to a Lender unless Agent shall have received notice from such Lender prior to the Amendment Effective Date specifying its objection thereto.</w:t>
      </w:r>
    </w:p>
    <w:p>
      <w:pPr>
        <w:spacing w:after="0" w:line="169" w:lineRule="exact"/>
        <w:rPr>
          <w:rFonts w:ascii="Arial" w:cs="Arial" w:eastAsia="Arial" w:hAnsi="Arial"/>
          <w:sz w:val="19"/>
          <w:szCs w:val="19"/>
          <w:color w:val="auto"/>
        </w:rPr>
      </w:pPr>
    </w:p>
    <w:p>
      <w:pPr>
        <w:jc w:val="both"/>
        <w:ind w:firstLine="757"/>
        <w:spacing w:after="0" w:line="275" w:lineRule="auto"/>
        <w:tabs>
          <w:tab w:leader="none" w:pos="1018" w:val="left"/>
        </w:tabs>
        <w:numPr>
          <w:ilvl w:val="0"/>
          <w:numId w:val="56"/>
        </w:numPr>
        <w:rPr>
          <w:rFonts w:ascii="Arial" w:cs="Arial" w:eastAsia="Arial" w:hAnsi="Arial"/>
          <w:sz w:val="18"/>
          <w:szCs w:val="18"/>
          <w:color w:val="auto"/>
        </w:rPr>
      </w:pPr>
      <w:r>
        <w:rPr>
          <w:rFonts w:ascii="Arial" w:cs="Arial" w:eastAsia="Arial" w:hAnsi="Arial"/>
          <w:sz w:val="18"/>
          <w:szCs w:val="18"/>
          <w:b w:val="1"/>
          <w:bCs w:val="1"/>
          <w:color w:val="auto"/>
        </w:rPr>
        <w:t>Release</w:t>
      </w:r>
      <w:r>
        <w:rPr>
          <w:rFonts w:ascii="Arial" w:cs="Arial" w:eastAsia="Arial" w:hAnsi="Arial"/>
          <w:sz w:val="18"/>
          <w:szCs w:val="18"/>
          <w:color w:val="auto"/>
        </w:rPr>
        <w:t>. In consideration of the agreements of Agent and each Lender contained herein and for other good and valuable</w:t>
      </w:r>
      <w:r>
        <w:rPr>
          <w:rFonts w:ascii="Arial" w:cs="Arial" w:eastAsia="Arial" w:hAnsi="Arial"/>
          <w:sz w:val="18"/>
          <w:szCs w:val="18"/>
          <w:b w:val="1"/>
          <w:bCs w:val="1"/>
          <w:color w:val="auto"/>
        </w:rPr>
        <w:t xml:space="preserve"> </w:t>
      </w:r>
      <w:r>
        <w:rPr>
          <w:rFonts w:ascii="Arial" w:cs="Arial" w:eastAsia="Arial" w:hAnsi="Arial"/>
          <w:sz w:val="18"/>
          <w:szCs w:val="18"/>
          <w:color w:val="auto"/>
        </w:rPr>
        <w:t>consideration, the receipt and sufficiency of which are hereby acknowledged, Borrower, on behalf of itself and its successors, assigns, and other legal representatives, hereby fully, absolutely, unconditionally and irrevocably releases, remises and forever discharges Agent and each Lender, and its successors and assigns, and its present and former shareholders, affiliates, subsidiaries, divisions, predecessors, directors, officers, attorneys, employees, agents and other representatives (Agent, Lenders and all such other persons being hereinafter referred to collectively as the “</w:t>
      </w:r>
      <w:r>
        <w:rPr>
          <w:rFonts w:ascii="Arial" w:cs="Arial" w:eastAsia="Arial" w:hAnsi="Arial"/>
          <w:sz w:val="18"/>
          <w:szCs w:val="18"/>
          <w:u w:val="single" w:color="auto"/>
          <w:color w:val="auto"/>
        </w:rPr>
        <w:t>Releasees</w:t>
      </w:r>
      <w:r>
        <w:rPr>
          <w:rFonts w:ascii="Arial" w:cs="Arial" w:eastAsia="Arial" w:hAnsi="Arial"/>
          <w:sz w:val="18"/>
          <w:szCs w:val="18"/>
          <w:color w:val="auto"/>
        </w:rPr>
        <w:t>” and individually as a “</w:t>
      </w:r>
      <w:r>
        <w:rPr>
          <w:rFonts w:ascii="Arial" w:cs="Arial" w:eastAsia="Arial" w:hAnsi="Arial"/>
          <w:sz w:val="18"/>
          <w:szCs w:val="18"/>
          <w:u w:val="single" w:color="auto"/>
          <w:color w:val="auto"/>
        </w:rPr>
        <w:t>Releasee</w:t>
      </w:r>
      <w:r>
        <w:rPr>
          <w:rFonts w:ascii="Arial" w:cs="Arial" w:eastAsia="Arial" w:hAnsi="Arial"/>
          <w:sz w:val="18"/>
          <w:szCs w:val="18"/>
          <w:color w:val="auto"/>
        </w:rPr>
        <w:t>”), of and from all demands, actions, causes of action, suits, covenants, contracts, controversies, agreements, promises, sums of money, accounts, bills, reckonings, damages and any and all</w:t>
      </w:r>
    </w:p>
    <w:p>
      <w:pPr>
        <w:spacing w:after="0" w:line="19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3</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102" w:name="page103"/>
    <w:bookmarkEnd w:id="102"/>
    <w:p>
      <w:pPr>
        <w:jc w:val="both"/>
        <w:spacing w:after="0" w:line="260" w:lineRule="auto"/>
        <w:rPr>
          <w:sz w:val="20"/>
          <w:szCs w:val="20"/>
          <w:color w:val="auto"/>
        </w:rPr>
      </w:pPr>
      <w:r>
        <w:rPr>
          <w:rFonts w:ascii="Arial" w:cs="Arial" w:eastAsia="Arial" w:hAnsi="Arial"/>
          <w:sz w:val="19"/>
          <w:szCs w:val="19"/>
          <w:color w:val="auto"/>
        </w:rPr>
        <w:t>other claims, counterclaims, defenses, rights of set-off, demands and liabilities whatsoever of every name and nature, both at law and in equity, to the extent Borrower has actual knowledge as of the date hereof that it owns, holds, has or claims to have against the Releasees or any of them for, upon, or by reason of any circumstance, action, cause or thing whatsoever which arises at any time on or prior to the day and date of this Amendment, including, without limitation, for or on account of, or in relation to, or in any way in connection with the Loan Agreement, or any of the other Loan Documents or transactions thereunder or related thereto.</w:t>
      </w:r>
    </w:p>
    <w:p>
      <w:pPr>
        <w:spacing w:after="0" w:line="180"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Borrower understands, acknowledges and agrees that the release set forth above may be pleaded as a full and complete defense and may be used as a basis for an injunction against any action, suit or other proceeding which may be instituted, prosecuted or attempted in breach of the provisions of such release. Borrower agrees that no fact, event, circumstance, evidence or transaction which Borrower has actual knowledge of could now be asserted or shall affect in any manner the final, absolute and unconditional nature of the release set forth above. The provisions of this section shall survive payment in full of the Secured Obligations, full performance of all the terms of this Amendment and the other Loan Documents.</w:t>
      </w:r>
    </w:p>
    <w:p>
      <w:pPr>
        <w:spacing w:after="0" w:line="196"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In connection with the releases set forth above, Borrower expressly and completely waives and relinquishes any and all rights and benefits that it has or may ever have pursuant to Section 1542 of the Civil Code of the State of California, or any other similar provision of law or principle of equity in any jurisdiction pertaining to the matters released herein. Section 1542 provides as follows:</w:t>
      </w:r>
    </w:p>
    <w:p>
      <w:pPr>
        <w:spacing w:after="0" w:line="170"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p>
    <w:p>
      <w:pPr>
        <w:spacing w:after="0" w:line="164" w:lineRule="exact"/>
        <w:rPr>
          <w:sz w:val="20"/>
          <w:szCs w:val="20"/>
          <w:color w:val="auto"/>
        </w:rPr>
      </w:pPr>
    </w:p>
    <w:p>
      <w:pPr>
        <w:jc w:val="both"/>
        <w:ind w:firstLine="757"/>
        <w:spacing w:after="0" w:line="253" w:lineRule="auto"/>
        <w:tabs>
          <w:tab w:leader="none" w:pos="1018" w:val="left"/>
        </w:tabs>
        <w:numPr>
          <w:ilvl w:val="0"/>
          <w:numId w:val="57"/>
        </w:numPr>
        <w:rPr>
          <w:rFonts w:ascii="Arial" w:cs="Arial" w:eastAsia="Arial" w:hAnsi="Arial"/>
          <w:sz w:val="20"/>
          <w:szCs w:val="20"/>
          <w:color w:val="auto"/>
        </w:rPr>
      </w:pPr>
      <w:r>
        <w:rPr>
          <w:rFonts w:ascii="Arial" w:cs="Arial" w:eastAsia="Arial" w:hAnsi="Arial"/>
          <w:sz w:val="20"/>
          <w:szCs w:val="20"/>
          <w:b w:val="1"/>
          <w:bCs w:val="1"/>
          <w:color w:val="auto"/>
        </w:rPr>
        <w:t>No Reliance</w:t>
      </w:r>
      <w:r>
        <w:rPr>
          <w:rFonts w:ascii="Arial" w:cs="Arial" w:eastAsia="Arial" w:hAnsi="Arial"/>
          <w:sz w:val="20"/>
          <w:szCs w:val="20"/>
          <w:color w:val="auto"/>
        </w:rPr>
        <w:t>. Borrower hereby acknowledges and confirms to Agent and Lenders that Borrower is executing this Amendment</w:t>
      </w:r>
      <w:r>
        <w:rPr>
          <w:rFonts w:ascii="Arial" w:cs="Arial" w:eastAsia="Arial" w:hAnsi="Arial"/>
          <w:sz w:val="20"/>
          <w:szCs w:val="20"/>
          <w:b w:val="1"/>
          <w:bCs w:val="1"/>
          <w:color w:val="auto"/>
        </w:rPr>
        <w:t xml:space="preserve"> </w:t>
      </w:r>
      <w:r>
        <w:rPr>
          <w:rFonts w:ascii="Arial" w:cs="Arial" w:eastAsia="Arial" w:hAnsi="Arial"/>
          <w:sz w:val="20"/>
          <w:szCs w:val="20"/>
          <w:color w:val="auto"/>
        </w:rPr>
        <w:t>on the basis of its own investigation and for its own reasons without reliance upon any agreement, representation, understanding or communication by or on behalf of any other Person.</w:t>
      </w:r>
    </w:p>
    <w:p>
      <w:pPr>
        <w:spacing w:after="0" w:line="177" w:lineRule="exact"/>
        <w:rPr>
          <w:rFonts w:ascii="Arial" w:cs="Arial" w:eastAsia="Arial" w:hAnsi="Arial"/>
          <w:sz w:val="20"/>
          <w:szCs w:val="20"/>
          <w:color w:val="auto"/>
        </w:rPr>
      </w:pPr>
    </w:p>
    <w:p>
      <w:pPr>
        <w:jc w:val="both"/>
        <w:ind w:firstLine="757"/>
        <w:spacing w:after="0" w:line="248" w:lineRule="auto"/>
        <w:tabs>
          <w:tab w:leader="none" w:pos="1018" w:val="left"/>
        </w:tabs>
        <w:numPr>
          <w:ilvl w:val="0"/>
          <w:numId w:val="57"/>
        </w:numPr>
        <w:rPr>
          <w:rFonts w:ascii="Arial" w:cs="Arial" w:eastAsia="Arial" w:hAnsi="Arial"/>
          <w:sz w:val="20"/>
          <w:szCs w:val="20"/>
          <w:color w:val="auto"/>
        </w:rPr>
      </w:pPr>
      <w:r>
        <w:rPr>
          <w:rFonts w:ascii="Arial" w:cs="Arial" w:eastAsia="Arial" w:hAnsi="Arial"/>
          <w:sz w:val="20"/>
          <w:szCs w:val="20"/>
          <w:b w:val="1"/>
          <w:bCs w:val="1"/>
          <w:color w:val="auto"/>
        </w:rPr>
        <w:t>Costs and Expenses</w:t>
      </w:r>
      <w:r>
        <w:rPr>
          <w:rFonts w:ascii="Arial" w:cs="Arial" w:eastAsia="Arial" w:hAnsi="Arial"/>
          <w:sz w:val="20"/>
          <w:szCs w:val="20"/>
          <w:color w:val="auto"/>
        </w:rPr>
        <w:t>. Borrower agrees to pay to Agent on the date hereof the reasonable out-of-pocket costs and expenses of</w:t>
      </w:r>
      <w:r>
        <w:rPr>
          <w:rFonts w:ascii="Arial" w:cs="Arial" w:eastAsia="Arial" w:hAnsi="Arial"/>
          <w:sz w:val="20"/>
          <w:szCs w:val="20"/>
          <w:b w:val="1"/>
          <w:bCs w:val="1"/>
          <w:color w:val="auto"/>
        </w:rPr>
        <w:t xml:space="preserve"> </w:t>
      </w:r>
      <w:r>
        <w:rPr>
          <w:rFonts w:ascii="Arial" w:cs="Arial" w:eastAsia="Arial" w:hAnsi="Arial"/>
          <w:sz w:val="20"/>
          <w:szCs w:val="20"/>
          <w:color w:val="auto"/>
        </w:rPr>
        <w:t>Agent and Lender party hereto, and the fees and disbursements of counsel to Agent and Lender party hereto in connection with the negotiation, preparation, execution and delivery of this Amendment and any other documents to be delivered in connection herewith on the Amendment Effective Date.</w:t>
      </w:r>
    </w:p>
    <w:p>
      <w:pPr>
        <w:spacing w:after="0" w:line="183" w:lineRule="exact"/>
        <w:rPr>
          <w:rFonts w:ascii="Arial" w:cs="Arial" w:eastAsia="Arial" w:hAnsi="Arial"/>
          <w:sz w:val="20"/>
          <w:szCs w:val="20"/>
          <w:color w:val="auto"/>
        </w:rPr>
      </w:pPr>
    </w:p>
    <w:p>
      <w:pPr>
        <w:ind w:left="1020" w:hanging="263"/>
        <w:spacing w:after="0"/>
        <w:tabs>
          <w:tab w:leader="none" w:pos="1020" w:val="left"/>
        </w:tabs>
        <w:numPr>
          <w:ilvl w:val="0"/>
          <w:numId w:val="57"/>
        </w:numPr>
        <w:rPr>
          <w:rFonts w:ascii="Arial" w:cs="Arial" w:eastAsia="Arial" w:hAnsi="Arial"/>
          <w:sz w:val="19"/>
          <w:szCs w:val="19"/>
          <w:color w:val="auto"/>
        </w:rPr>
      </w:pPr>
      <w:r>
        <w:rPr>
          <w:rFonts w:ascii="Arial" w:cs="Arial" w:eastAsia="Arial" w:hAnsi="Arial"/>
          <w:sz w:val="19"/>
          <w:szCs w:val="19"/>
          <w:b w:val="1"/>
          <w:bCs w:val="1"/>
          <w:color w:val="auto"/>
        </w:rPr>
        <w:t>Binding Effect</w:t>
      </w:r>
      <w:r>
        <w:rPr>
          <w:rFonts w:ascii="Arial" w:cs="Arial" w:eastAsia="Arial" w:hAnsi="Arial"/>
          <w:sz w:val="19"/>
          <w:szCs w:val="19"/>
          <w:color w:val="auto"/>
        </w:rPr>
        <w:t>. This Amendment binds and is for the benefit of the successors and permitted assigns of each party.</w:t>
      </w:r>
    </w:p>
    <w:p>
      <w:pPr>
        <w:spacing w:after="0" w:line="227" w:lineRule="exact"/>
        <w:rPr>
          <w:rFonts w:ascii="Arial" w:cs="Arial" w:eastAsia="Arial" w:hAnsi="Arial"/>
          <w:sz w:val="19"/>
          <w:szCs w:val="19"/>
          <w:color w:val="auto"/>
        </w:rPr>
      </w:pPr>
    </w:p>
    <w:p>
      <w:pPr>
        <w:jc w:val="both"/>
        <w:ind w:firstLine="757"/>
        <w:spacing w:after="0" w:line="246" w:lineRule="auto"/>
        <w:tabs>
          <w:tab w:leader="none" w:pos="1018" w:val="left"/>
        </w:tabs>
        <w:numPr>
          <w:ilvl w:val="0"/>
          <w:numId w:val="57"/>
        </w:numPr>
        <w:rPr>
          <w:rFonts w:ascii="Arial" w:cs="Arial" w:eastAsia="Arial" w:hAnsi="Arial"/>
          <w:sz w:val="20"/>
          <w:szCs w:val="20"/>
          <w:color w:val="auto"/>
        </w:rPr>
      </w:pPr>
      <w:r>
        <w:rPr>
          <w:rFonts w:ascii="Arial" w:cs="Arial" w:eastAsia="Arial" w:hAnsi="Arial"/>
          <w:sz w:val="20"/>
          <w:szCs w:val="20"/>
          <w:b w:val="1"/>
          <w:bCs w:val="1"/>
          <w:color w:val="auto"/>
        </w:rPr>
        <w:t xml:space="preserve">Governing Law. </w:t>
      </w:r>
      <w:r>
        <w:rPr>
          <w:rFonts w:ascii="Arial" w:cs="Arial" w:eastAsia="Arial" w:hAnsi="Arial"/>
          <w:sz w:val="20"/>
          <w:szCs w:val="20"/>
          <w:color w:val="auto"/>
        </w:rPr>
        <w:t>THIS AMENDMENT AND THE RIGHTS AND OBLIGATIONS OF THE PARTIES HEREUNDER SHALL</w:t>
      </w:r>
      <w:r>
        <w:rPr>
          <w:rFonts w:ascii="Arial" w:cs="Arial" w:eastAsia="Arial" w:hAnsi="Arial"/>
          <w:sz w:val="20"/>
          <w:szCs w:val="20"/>
          <w:b w:val="1"/>
          <w:bCs w:val="1"/>
          <w:color w:val="auto"/>
        </w:rPr>
        <w:t xml:space="preserve"> </w:t>
      </w:r>
      <w:r>
        <w:rPr>
          <w:rFonts w:ascii="Arial" w:cs="Arial" w:eastAsia="Arial" w:hAnsi="Arial"/>
          <w:sz w:val="20"/>
          <w:szCs w:val="20"/>
          <w:color w:val="auto"/>
        </w:rPr>
        <w:t>IN ALL RESPECTS BE GOVERNED BY AND CONSTRUED IN ACCORDANCE WITH, THE INTERNAL LAWS OF THE STATE OF CALIFORNIA (WITHOUT REGARD TO THE CONFLICT OF LAWS PRINCIPLES THAT WOULD RESULT IN the application of ANY laws OTHER THAN THE LAWS OF THE STATE OF CALIFORNIA), INCLUDING ALL MATTERS OF CONSTRUCTION, VALIDITY AND PERFORMANCE, REGARDLESS OF THE LOCATION OF THE COLLATERAL.</w:t>
      </w:r>
    </w:p>
    <w:p>
      <w:pPr>
        <w:spacing w:after="0" w:line="184" w:lineRule="exact"/>
        <w:rPr>
          <w:rFonts w:ascii="Arial" w:cs="Arial" w:eastAsia="Arial" w:hAnsi="Arial"/>
          <w:sz w:val="20"/>
          <w:szCs w:val="20"/>
          <w:color w:val="auto"/>
        </w:rPr>
      </w:pPr>
    </w:p>
    <w:p>
      <w:pPr>
        <w:jc w:val="both"/>
        <w:ind w:firstLine="757"/>
        <w:spacing w:after="0" w:line="253" w:lineRule="auto"/>
        <w:tabs>
          <w:tab w:leader="none" w:pos="1018" w:val="left"/>
        </w:tabs>
        <w:numPr>
          <w:ilvl w:val="0"/>
          <w:numId w:val="57"/>
        </w:numPr>
        <w:rPr>
          <w:rFonts w:ascii="Arial" w:cs="Arial" w:eastAsia="Arial" w:hAnsi="Arial"/>
          <w:sz w:val="20"/>
          <w:szCs w:val="20"/>
          <w:color w:val="auto"/>
        </w:rPr>
      </w:pPr>
      <w:r>
        <w:rPr>
          <w:rFonts w:ascii="Arial" w:cs="Arial" w:eastAsia="Arial" w:hAnsi="Arial"/>
          <w:sz w:val="20"/>
          <w:szCs w:val="20"/>
          <w:b w:val="1"/>
          <w:bCs w:val="1"/>
          <w:color w:val="auto"/>
        </w:rPr>
        <w:t>Complete Agreement; Amendments</w:t>
      </w:r>
      <w:r>
        <w:rPr>
          <w:rFonts w:ascii="Arial" w:cs="Arial" w:eastAsia="Arial" w:hAnsi="Arial"/>
          <w:sz w:val="20"/>
          <w:szCs w:val="20"/>
          <w:color w:val="auto"/>
        </w:rPr>
        <w:t>. This Amendment and the Loan Documents represent the entire agreement about this</w:t>
      </w:r>
      <w:r>
        <w:rPr>
          <w:rFonts w:ascii="Arial" w:cs="Arial" w:eastAsia="Arial" w:hAnsi="Arial"/>
          <w:sz w:val="20"/>
          <w:szCs w:val="20"/>
          <w:b w:val="1"/>
          <w:bCs w:val="1"/>
          <w:color w:val="auto"/>
        </w:rPr>
        <w:t xml:space="preserve"> </w:t>
      </w:r>
      <w:r>
        <w:rPr>
          <w:rFonts w:ascii="Arial" w:cs="Arial" w:eastAsia="Arial" w:hAnsi="Arial"/>
          <w:sz w:val="20"/>
          <w:szCs w:val="20"/>
          <w:color w:val="auto"/>
        </w:rPr>
        <w:t>subject matter and supersede prior negotiations or agreements with respect to such subject matter. All prior agreements, understandings, representations, warranties, and negotiations</w:t>
      </w:r>
    </w:p>
    <w:p>
      <w:pPr>
        <w:spacing w:after="0" w:line="21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4</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103" w:name="page104"/>
    <w:bookmarkEnd w:id="103"/>
    <w:p>
      <w:pPr>
        <w:spacing w:after="0" w:line="260" w:lineRule="auto"/>
        <w:rPr>
          <w:sz w:val="20"/>
          <w:szCs w:val="20"/>
          <w:color w:val="auto"/>
        </w:rPr>
      </w:pPr>
      <w:r>
        <w:rPr>
          <w:rFonts w:ascii="Arial" w:cs="Arial" w:eastAsia="Arial" w:hAnsi="Arial"/>
          <w:sz w:val="20"/>
          <w:szCs w:val="20"/>
          <w:color w:val="auto"/>
        </w:rPr>
        <w:t>between the parties about the subject matter of this Amendment and the Loan Documents merge into this Amendment and the Loan Documents.</w:t>
      </w:r>
    </w:p>
    <w:p>
      <w:pPr>
        <w:spacing w:after="0" w:line="171" w:lineRule="exact"/>
        <w:rPr>
          <w:sz w:val="20"/>
          <w:szCs w:val="20"/>
          <w:color w:val="auto"/>
        </w:rPr>
      </w:pPr>
    </w:p>
    <w:p>
      <w:pPr>
        <w:ind w:firstLine="757"/>
        <w:spacing w:after="0" w:line="267" w:lineRule="auto"/>
        <w:tabs>
          <w:tab w:leader="none" w:pos="1018" w:val="left"/>
        </w:tabs>
        <w:numPr>
          <w:ilvl w:val="0"/>
          <w:numId w:val="58"/>
        </w:numPr>
        <w:rPr>
          <w:rFonts w:ascii="Arial" w:cs="Arial" w:eastAsia="Arial" w:hAnsi="Arial"/>
          <w:sz w:val="20"/>
          <w:szCs w:val="20"/>
          <w:color w:val="auto"/>
        </w:rPr>
      </w:pPr>
      <w:r>
        <w:rPr>
          <w:rFonts w:ascii="Arial" w:cs="Arial" w:eastAsia="Arial" w:hAnsi="Arial"/>
          <w:sz w:val="20"/>
          <w:szCs w:val="20"/>
          <w:b w:val="1"/>
          <w:bCs w:val="1"/>
          <w:color w:val="auto"/>
        </w:rPr>
        <w:t xml:space="preserve">Severability of Provisions. </w:t>
      </w:r>
      <w:r>
        <w:rPr>
          <w:rFonts w:ascii="Arial" w:cs="Arial" w:eastAsia="Arial" w:hAnsi="Arial"/>
          <w:sz w:val="20"/>
          <w:szCs w:val="20"/>
          <w:color w:val="auto"/>
        </w:rPr>
        <w:t>Each provision of this Amendment is severable from every other provision in determining the</w:t>
      </w:r>
      <w:r>
        <w:rPr>
          <w:rFonts w:ascii="Arial" w:cs="Arial" w:eastAsia="Arial" w:hAnsi="Arial"/>
          <w:sz w:val="20"/>
          <w:szCs w:val="20"/>
          <w:b w:val="1"/>
          <w:bCs w:val="1"/>
          <w:color w:val="auto"/>
        </w:rPr>
        <w:t xml:space="preserve"> </w:t>
      </w:r>
      <w:r>
        <w:rPr>
          <w:rFonts w:ascii="Arial" w:cs="Arial" w:eastAsia="Arial" w:hAnsi="Arial"/>
          <w:sz w:val="20"/>
          <w:szCs w:val="20"/>
          <w:color w:val="auto"/>
        </w:rPr>
        <w:t>enforceability of any provision.</w:t>
      </w:r>
    </w:p>
    <w:p>
      <w:pPr>
        <w:spacing w:after="0" w:line="163" w:lineRule="exact"/>
        <w:rPr>
          <w:rFonts w:ascii="Arial" w:cs="Arial" w:eastAsia="Arial" w:hAnsi="Arial"/>
          <w:sz w:val="20"/>
          <w:szCs w:val="20"/>
          <w:color w:val="auto"/>
        </w:rPr>
      </w:pPr>
    </w:p>
    <w:p>
      <w:pPr>
        <w:jc w:val="both"/>
        <w:ind w:firstLine="757"/>
        <w:spacing w:after="0" w:line="248" w:lineRule="auto"/>
        <w:tabs>
          <w:tab w:leader="none" w:pos="1018" w:val="left"/>
        </w:tabs>
        <w:numPr>
          <w:ilvl w:val="0"/>
          <w:numId w:val="58"/>
        </w:numPr>
        <w:rPr>
          <w:rFonts w:ascii="Arial" w:cs="Arial" w:eastAsia="Arial" w:hAnsi="Arial"/>
          <w:sz w:val="20"/>
          <w:szCs w:val="20"/>
          <w:color w:val="auto"/>
        </w:rPr>
      </w:pPr>
      <w:r>
        <w:rPr>
          <w:rFonts w:ascii="Arial" w:cs="Arial" w:eastAsia="Arial" w:hAnsi="Arial"/>
          <w:sz w:val="20"/>
          <w:szCs w:val="20"/>
          <w:b w:val="1"/>
          <w:bCs w:val="1"/>
          <w:color w:val="auto"/>
        </w:rPr>
        <w:t>Counterparts</w:t>
      </w:r>
      <w:r>
        <w:rPr>
          <w:rFonts w:ascii="Arial" w:cs="Arial" w:eastAsia="Arial" w:hAnsi="Arial"/>
          <w:sz w:val="20"/>
          <w:szCs w:val="20"/>
          <w:color w:val="auto"/>
        </w:rPr>
        <w:t>. This Amendment may be executed in any number of counterparts and by different parties on separate</w:t>
      </w:r>
      <w:r>
        <w:rPr>
          <w:rFonts w:ascii="Arial" w:cs="Arial" w:eastAsia="Arial" w:hAnsi="Arial"/>
          <w:sz w:val="20"/>
          <w:szCs w:val="20"/>
          <w:b w:val="1"/>
          <w:bCs w:val="1"/>
          <w:color w:val="auto"/>
        </w:rPr>
        <w:t xml:space="preserve"> </w:t>
      </w:r>
      <w:r>
        <w:rPr>
          <w:rFonts w:ascii="Arial" w:cs="Arial" w:eastAsia="Arial" w:hAnsi="Arial"/>
          <w:sz w:val="20"/>
          <w:szCs w:val="20"/>
          <w:color w:val="auto"/>
        </w:rPr>
        <w:t>counterparts, each of which, when executed and delivered, is an original, and all taken together, constitute one Amendment. Delivery of an executed counterpart of a signature page of this Amendment by facsimile, portable document format (.pdf) or other electronic transmission will be as effective as delivery of a manually executed counterpart hereof.</w:t>
      </w:r>
    </w:p>
    <w:p>
      <w:pPr>
        <w:spacing w:after="0" w:line="183" w:lineRule="exact"/>
        <w:rPr>
          <w:rFonts w:ascii="Arial" w:cs="Arial" w:eastAsia="Arial" w:hAnsi="Arial"/>
          <w:sz w:val="20"/>
          <w:szCs w:val="20"/>
          <w:color w:val="auto"/>
        </w:rPr>
      </w:pPr>
    </w:p>
    <w:p>
      <w:pPr>
        <w:ind w:left="1020" w:hanging="263"/>
        <w:spacing w:after="0"/>
        <w:tabs>
          <w:tab w:leader="none" w:pos="1020" w:val="left"/>
        </w:tabs>
        <w:numPr>
          <w:ilvl w:val="0"/>
          <w:numId w:val="58"/>
        </w:numPr>
        <w:rPr>
          <w:rFonts w:ascii="Arial" w:cs="Arial" w:eastAsia="Arial" w:hAnsi="Arial"/>
          <w:sz w:val="20"/>
          <w:szCs w:val="20"/>
          <w:color w:val="auto"/>
        </w:rPr>
      </w:pPr>
      <w:r>
        <w:rPr>
          <w:rFonts w:ascii="Arial" w:cs="Arial" w:eastAsia="Arial" w:hAnsi="Arial"/>
          <w:sz w:val="20"/>
          <w:szCs w:val="20"/>
          <w:b w:val="1"/>
          <w:bCs w:val="1"/>
          <w:color w:val="auto"/>
        </w:rPr>
        <w:t>Loan Documents</w:t>
      </w:r>
      <w:r>
        <w:rPr>
          <w:rFonts w:ascii="Arial" w:cs="Arial" w:eastAsia="Arial" w:hAnsi="Arial"/>
          <w:sz w:val="20"/>
          <w:szCs w:val="20"/>
          <w:color w:val="auto"/>
        </w:rPr>
        <w:t>. This Amendment and the documents related thereto shall constitute a Loan Document.</w:t>
      </w:r>
    </w:p>
    <w:p>
      <w:pPr>
        <w:spacing w:after="0" w:line="215" w:lineRule="exact"/>
        <w:rPr>
          <w:rFonts w:ascii="Arial" w:cs="Arial" w:eastAsia="Arial" w:hAnsi="Arial"/>
          <w:sz w:val="20"/>
          <w:szCs w:val="20"/>
          <w:color w:val="auto"/>
        </w:rPr>
      </w:pPr>
    </w:p>
    <w:p>
      <w:pPr>
        <w:jc w:val="both"/>
        <w:ind w:firstLine="757"/>
        <w:spacing w:after="0" w:line="258" w:lineRule="auto"/>
        <w:tabs>
          <w:tab w:leader="none" w:pos="1018" w:val="left"/>
        </w:tabs>
        <w:numPr>
          <w:ilvl w:val="0"/>
          <w:numId w:val="58"/>
        </w:numPr>
        <w:rPr>
          <w:rFonts w:ascii="Arial" w:cs="Arial" w:eastAsia="Arial" w:hAnsi="Arial"/>
          <w:sz w:val="19"/>
          <w:szCs w:val="19"/>
          <w:color w:val="auto"/>
        </w:rPr>
      </w:pPr>
      <w:r>
        <w:rPr>
          <w:rFonts w:ascii="Arial" w:cs="Arial" w:eastAsia="Arial" w:hAnsi="Arial"/>
          <w:sz w:val="19"/>
          <w:szCs w:val="19"/>
          <w:b w:val="1"/>
          <w:bCs w:val="1"/>
          <w:color w:val="auto"/>
        </w:rPr>
        <w:t>Electronic Execution of Certain Other Documents</w:t>
      </w:r>
      <w:r>
        <w:rPr>
          <w:rFonts w:ascii="Arial" w:cs="Arial" w:eastAsia="Arial" w:hAnsi="Arial"/>
          <w:sz w:val="19"/>
          <w:szCs w:val="19"/>
          <w:color w:val="auto"/>
        </w:rPr>
        <w:t>. The words “execution,” “execute”, “signed,” “signature,” and words of</w:t>
      </w:r>
      <w:r>
        <w:rPr>
          <w:rFonts w:ascii="Arial" w:cs="Arial" w:eastAsia="Arial" w:hAnsi="Arial"/>
          <w:sz w:val="19"/>
          <w:szCs w:val="19"/>
          <w:b w:val="1"/>
          <w:bCs w:val="1"/>
          <w:color w:val="auto"/>
        </w:rPr>
        <w:t xml:space="preserve"> </w:t>
      </w:r>
      <w:r>
        <w:rPr>
          <w:rFonts w:ascii="Arial" w:cs="Arial" w:eastAsia="Arial" w:hAnsi="Arial"/>
          <w:sz w:val="19"/>
          <w:szCs w:val="19"/>
          <w:color w:val="auto"/>
        </w:rPr>
        <w:t>like import in or related to any document to be signed in connection with this Amendment and the transactions contemplated hereby (including without limitation assignments, assumptions, amendments, waivers and consents) shall be deemed to include electronic signatures, the electronic matching of assignment terms and contract formations on electronic platforms approved by the Agent,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California Uniform Electronic Transactions Act, or any other similar state laws based on the Uniform Electronic Transactions Act.</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5</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color w:val="auto"/>
        </w:rPr>
        <w:t>IN WITNESS WHEREOF, the parties hereto have duly executed this Amendment, as of the date first above written.</w:t>
      </w:r>
    </w:p>
    <w:p>
      <w:pPr>
        <w:sectPr>
          <w:pgSz w:w="11900" w:h="16838" w:orient="portrait"/>
          <w:cols w:equalWidth="0" w:num="1">
            <w:col w:w="9379"/>
          </w:cols>
          <w:pgMar w:left="1080" w:top="366" w:right="1440" w:bottom="1440" w:gutter="0" w:footer="0" w:header="0"/>
        </w:sectPr>
      </w:pPr>
    </w:p>
    <w:p>
      <w:pPr>
        <w:spacing w:after="0" w:line="239" w:lineRule="exact"/>
        <w:rPr>
          <w:sz w:val="20"/>
          <w:szCs w:val="20"/>
          <w:color w:val="auto"/>
        </w:rPr>
      </w:pPr>
    </w:p>
    <w:p>
      <w:pPr>
        <w:ind w:left="4480"/>
        <w:spacing w:after="0"/>
        <w:rPr>
          <w:sz w:val="20"/>
          <w:szCs w:val="20"/>
          <w:color w:val="auto"/>
        </w:rPr>
      </w:pPr>
      <w:r>
        <w:rPr>
          <w:rFonts w:ascii="Arial" w:cs="Arial" w:eastAsia="Arial" w:hAnsi="Arial"/>
          <w:sz w:val="20"/>
          <w:szCs w:val="20"/>
          <w:color w:val="auto"/>
        </w:rPr>
        <w:t>BORROWER:</w:t>
      </w:r>
    </w:p>
    <w:p>
      <w:pPr>
        <w:spacing w:after="0" w:line="216" w:lineRule="exact"/>
        <w:rPr>
          <w:sz w:val="20"/>
          <w:szCs w:val="20"/>
          <w:color w:val="auto"/>
        </w:rPr>
      </w:pPr>
    </w:p>
    <w:p>
      <w:pPr>
        <w:ind w:left="4480"/>
        <w:spacing w:after="0"/>
        <w:rPr>
          <w:sz w:val="20"/>
          <w:szCs w:val="20"/>
          <w:color w:val="auto"/>
        </w:rPr>
      </w:pPr>
      <w:r>
        <w:rPr>
          <w:rFonts w:ascii="Arial" w:cs="Arial" w:eastAsia="Arial" w:hAnsi="Arial"/>
          <w:sz w:val="20"/>
          <w:szCs w:val="20"/>
          <w:color w:val="auto"/>
        </w:rPr>
        <w:t>AXSOME THERAPEUTICS, INC.</w:t>
      </w:r>
    </w:p>
    <w:p>
      <w:pPr>
        <w:spacing w:after="0" w:line="216" w:lineRule="exact"/>
        <w:rPr>
          <w:sz w:val="20"/>
          <w:szCs w:val="20"/>
          <w:color w:val="auto"/>
        </w:rPr>
      </w:pPr>
    </w:p>
    <w:p>
      <w:pPr>
        <w:ind w:left="4480"/>
        <w:spacing w:after="0"/>
        <w:tabs>
          <w:tab w:leader="none" w:pos="5660" w:val="left"/>
        </w:tabs>
        <w:rPr>
          <w:sz w:val="20"/>
          <w:szCs w:val="20"/>
          <w:color w:val="auto"/>
        </w:rPr>
      </w:pPr>
      <w:r>
        <w:rPr>
          <w:rFonts w:ascii="Arial" w:cs="Arial" w:eastAsia="Arial" w:hAnsi="Arial"/>
          <w:sz w:val="16"/>
          <w:szCs w:val="16"/>
          <w:color w:val="auto"/>
        </w:rPr>
        <w:t>Signature:</w:t>
      </w:r>
      <w:r>
        <w:rPr>
          <w:sz w:val="20"/>
          <w:szCs w:val="20"/>
          <w:color w:val="auto"/>
        </w:rPr>
        <w:tab/>
      </w:r>
      <w:r>
        <w:rPr>
          <w:rFonts w:ascii="Arial" w:cs="Arial" w:eastAsia="Arial" w:hAnsi="Arial"/>
          <w:sz w:val="16"/>
          <w:szCs w:val="16"/>
          <w:color w:val="auto"/>
        </w:rPr>
        <w:t>_______________________</w:t>
      </w:r>
    </w:p>
    <w:p>
      <w:pPr>
        <w:spacing w:after="0" w:line="262" w:lineRule="exact"/>
        <w:rPr>
          <w:sz w:val="20"/>
          <w:szCs w:val="20"/>
          <w:color w:val="auto"/>
        </w:rPr>
      </w:pPr>
    </w:p>
    <w:p>
      <w:pPr>
        <w:ind w:left="4480"/>
        <w:spacing w:after="0"/>
        <w:rPr>
          <w:sz w:val="20"/>
          <w:szCs w:val="20"/>
          <w:color w:val="auto"/>
        </w:rPr>
      </w:pPr>
      <w:r>
        <w:rPr>
          <w:rFonts w:ascii="Arial" w:cs="Arial" w:eastAsia="Arial" w:hAnsi="Arial"/>
          <w:sz w:val="20"/>
          <w:szCs w:val="20"/>
          <w:color w:val="auto"/>
        </w:rPr>
        <w:t>Print Name:</w:t>
      </w:r>
    </w:p>
    <w:p>
      <w:pPr>
        <w:spacing w:after="0" w:line="216" w:lineRule="exact"/>
        <w:rPr>
          <w:sz w:val="20"/>
          <w:szCs w:val="20"/>
          <w:color w:val="auto"/>
        </w:rPr>
      </w:pPr>
    </w:p>
    <w:p>
      <w:pPr>
        <w:ind w:left="4480"/>
        <w:spacing w:after="0"/>
        <w:tabs>
          <w:tab w:leader="none" w:pos="644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20"/>
          <w:szCs w:val="20"/>
          <w:u w:val="single" w:color="auto"/>
          <w:color w:val="auto"/>
        </w:rPr>
        <w:t>_________</w:t>
      </w:r>
    </w:p>
    <w:p>
      <w:pPr>
        <w:spacing w:after="0" w:line="200" w:lineRule="exact"/>
        <w:rPr>
          <w:sz w:val="20"/>
          <w:szCs w:val="20"/>
          <w:color w:val="auto"/>
        </w:rPr>
      </w:pPr>
    </w:p>
    <w:p>
      <w:pPr>
        <w:spacing w:after="0" w:line="232" w:lineRule="exact"/>
        <w:rPr>
          <w:sz w:val="20"/>
          <w:szCs w:val="20"/>
          <w:color w:val="auto"/>
        </w:rPr>
      </w:pPr>
    </w:p>
    <w:p>
      <w:pPr>
        <w:ind w:left="2720"/>
        <w:spacing w:after="0"/>
        <w:rPr>
          <w:sz w:val="20"/>
          <w:szCs w:val="20"/>
          <w:color w:val="auto"/>
        </w:rPr>
      </w:pPr>
      <w:r>
        <w:rPr>
          <w:rFonts w:ascii="Arial" w:cs="Arial" w:eastAsia="Arial" w:hAnsi="Arial"/>
          <w:sz w:val="20"/>
          <w:szCs w:val="20"/>
          <w:color w:val="auto"/>
        </w:rPr>
        <w:t>[SIGNATURES CONTINUE ON THE NEXT PAGE]</w:t>
      </w:r>
    </w:p>
    <w:p>
      <w:pPr>
        <w:spacing w:after="0" w:line="200" w:lineRule="exact"/>
        <w:rPr>
          <w:sz w:val="20"/>
          <w:szCs w:val="20"/>
          <w:color w:val="auto"/>
        </w:rPr>
      </w:pPr>
    </w:p>
    <w:p>
      <w:pPr>
        <w:spacing w:after="0" w:line="234" w:lineRule="exact"/>
        <w:rPr>
          <w:sz w:val="20"/>
          <w:szCs w:val="20"/>
          <w:color w:val="auto"/>
        </w:rPr>
      </w:pPr>
    </w:p>
    <w:p>
      <w:pPr>
        <w:ind w:left="2260"/>
        <w:spacing w:after="0"/>
        <w:rPr>
          <w:sz w:val="20"/>
          <w:szCs w:val="20"/>
          <w:color w:val="auto"/>
        </w:rPr>
      </w:pPr>
      <w:r>
        <w:rPr>
          <w:rFonts w:ascii="Arial" w:cs="Arial" w:eastAsia="Arial" w:hAnsi="Arial"/>
          <w:sz w:val="17"/>
          <w:szCs w:val="17"/>
          <w:color w:val="auto"/>
        </w:rPr>
        <w:t>[Signature Page to Fourth Amendment to Loan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146685</wp:posOffset>
            </wp:positionV>
            <wp:extent cx="7157720" cy="425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379"/>
          </w:cols>
          <w:pgMar w:left="1080" w:top="366" w:right="1440" w:bottom="1440" w:gutter="0" w:footer="0" w:header="0"/>
          <w:type w:val="continuous"/>
        </w:sectPr>
      </w:pPr>
    </w:p>
    <w:bookmarkStart w:id="105" w:name="page106"/>
    <w:bookmarkEnd w:id="105"/>
    <w:p>
      <w:pPr>
        <w:ind w:left="4120"/>
        <w:spacing w:after="0"/>
        <w:rPr>
          <w:sz w:val="20"/>
          <w:szCs w:val="20"/>
          <w:color w:val="auto"/>
        </w:rPr>
      </w:pPr>
      <w:r>
        <w:rPr>
          <w:rFonts w:ascii="Arial" w:cs="Arial" w:eastAsia="Arial" w:hAnsi="Arial"/>
          <w:sz w:val="20"/>
          <w:szCs w:val="20"/>
          <w:color w:val="auto"/>
        </w:rPr>
        <w:t>AGENT:</w:t>
      </w:r>
    </w:p>
    <w:p>
      <w:pPr>
        <w:spacing w:after="0" w:line="216" w:lineRule="exact"/>
        <w:rPr>
          <w:sz w:val="20"/>
          <w:szCs w:val="20"/>
          <w:color w:val="auto"/>
        </w:rPr>
      </w:pPr>
    </w:p>
    <w:p>
      <w:pPr>
        <w:ind w:left="4120"/>
        <w:spacing w:after="0"/>
        <w:rPr>
          <w:sz w:val="20"/>
          <w:szCs w:val="20"/>
          <w:color w:val="auto"/>
        </w:rPr>
      </w:pPr>
      <w:r>
        <w:rPr>
          <w:rFonts w:ascii="Arial" w:cs="Arial" w:eastAsia="Arial" w:hAnsi="Arial"/>
          <w:sz w:val="20"/>
          <w:szCs w:val="20"/>
          <w:color w:val="auto"/>
        </w:rPr>
        <w:t>HERCULES CAPITAL, INC.</w:t>
      </w:r>
    </w:p>
    <w:p>
      <w:pPr>
        <w:spacing w:after="0" w:line="216" w:lineRule="exact"/>
        <w:rPr>
          <w:sz w:val="20"/>
          <w:szCs w:val="20"/>
          <w:color w:val="auto"/>
        </w:rPr>
      </w:pPr>
    </w:p>
    <w:p>
      <w:pPr>
        <w:ind w:left="4120"/>
        <w:spacing w:after="0"/>
        <w:tabs>
          <w:tab w:leader="none" w:pos="5300" w:val="left"/>
        </w:tabs>
        <w:rPr>
          <w:sz w:val="20"/>
          <w:szCs w:val="20"/>
          <w:color w:val="auto"/>
        </w:rPr>
      </w:pPr>
      <w:r>
        <w:rPr>
          <w:rFonts w:ascii="Arial" w:cs="Arial" w:eastAsia="Arial" w:hAnsi="Arial"/>
          <w:sz w:val="20"/>
          <w:szCs w:val="20"/>
          <w:color w:val="auto"/>
        </w:rPr>
        <w:t>Signature:</w:t>
      </w:r>
      <w:r>
        <w:rPr>
          <w:sz w:val="20"/>
          <w:szCs w:val="20"/>
          <w:color w:val="auto"/>
        </w:rPr>
        <w:tab/>
      </w:r>
      <w:r>
        <w:rPr>
          <w:rFonts w:ascii="Arial" w:cs="Arial" w:eastAsia="Arial" w:hAnsi="Arial"/>
          <w:sz w:val="20"/>
          <w:szCs w:val="20"/>
          <w:color w:val="auto"/>
        </w:rPr>
        <w:t>_______________________</w:t>
      </w:r>
    </w:p>
    <w:p>
      <w:pPr>
        <w:spacing w:after="0" w:line="216" w:lineRule="exact"/>
        <w:rPr>
          <w:sz w:val="20"/>
          <w:szCs w:val="20"/>
          <w:color w:val="auto"/>
        </w:rPr>
      </w:pPr>
    </w:p>
    <w:p>
      <w:pPr>
        <w:ind w:left="4120"/>
        <w:spacing w:after="0"/>
        <w:tabs>
          <w:tab w:leader="none" w:pos="5300" w:val="left"/>
        </w:tabs>
        <w:rPr>
          <w:sz w:val="20"/>
          <w:szCs w:val="20"/>
          <w:color w:val="auto"/>
        </w:rPr>
      </w:pPr>
      <w:r>
        <w:rPr>
          <w:rFonts w:ascii="Arial" w:cs="Arial" w:eastAsia="Arial" w:hAnsi="Arial"/>
          <w:sz w:val="20"/>
          <w:szCs w:val="20"/>
          <w:color w:val="auto"/>
        </w:rPr>
        <w:t>Print Name:</w:t>
      </w:r>
      <w:r>
        <w:rPr>
          <w:sz w:val="20"/>
          <w:szCs w:val="20"/>
          <w:color w:val="auto"/>
        </w:rPr>
        <w:tab/>
      </w:r>
      <w:r>
        <w:rPr>
          <w:rFonts w:ascii="Arial" w:cs="Arial" w:eastAsia="Arial" w:hAnsi="Arial"/>
          <w:sz w:val="16"/>
          <w:szCs w:val="16"/>
          <w:color w:val="auto"/>
        </w:rPr>
        <w:t>Seth Meyer</w:t>
      </w:r>
    </w:p>
    <w:p>
      <w:pPr>
        <w:spacing w:after="0" w:line="216" w:lineRule="exact"/>
        <w:rPr>
          <w:sz w:val="20"/>
          <w:szCs w:val="20"/>
          <w:color w:val="auto"/>
        </w:rPr>
      </w:pPr>
    </w:p>
    <w:p>
      <w:pPr>
        <w:ind w:left="4120"/>
        <w:spacing w:after="0"/>
        <w:tabs>
          <w:tab w:leader="none" w:pos="530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20"/>
          <w:szCs w:val="20"/>
          <w:color w:val="auto"/>
        </w:rPr>
        <w:t>Chief Financial Officer</w:t>
      </w:r>
    </w:p>
    <w:p>
      <w:pPr>
        <w:spacing w:after="0" w:line="324" w:lineRule="exact"/>
        <w:rPr>
          <w:sz w:val="20"/>
          <w:szCs w:val="20"/>
          <w:color w:val="auto"/>
        </w:rPr>
      </w:pPr>
    </w:p>
    <w:p>
      <w:pPr>
        <w:ind w:left="4120"/>
        <w:spacing w:after="0"/>
        <w:rPr>
          <w:sz w:val="20"/>
          <w:szCs w:val="20"/>
          <w:color w:val="auto"/>
        </w:rPr>
      </w:pPr>
      <w:r>
        <w:rPr>
          <w:rFonts w:ascii="Arial" w:cs="Arial" w:eastAsia="Arial" w:hAnsi="Arial"/>
          <w:sz w:val="20"/>
          <w:szCs w:val="20"/>
          <w:color w:val="auto"/>
        </w:rPr>
        <w:t>LENDER:</w:t>
      </w:r>
    </w:p>
    <w:p>
      <w:pPr>
        <w:spacing w:after="0" w:line="216" w:lineRule="exact"/>
        <w:rPr>
          <w:sz w:val="20"/>
          <w:szCs w:val="20"/>
          <w:color w:val="auto"/>
        </w:rPr>
      </w:pPr>
    </w:p>
    <w:p>
      <w:pPr>
        <w:ind w:left="4120"/>
        <w:spacing w:after="0"/>
        <w:rPr>
          <w:sz w:val="20"/>
          <w:szCs w:val="20"/>
          <w:color w:val="auto"/>
        </w:rPr>
      </w:pPr>
      <w:r>
        <w:rPr>
          <w:rFonts w:ascii="Arial" w:cs="Arial" w:eastAsia="Arial" w:hAnsi="Arial"/>
          <w:sz w:val="20"/>
          <w:szCs w:val="20"/>
          <w:color w:val="auto"/>
        </w:rPr>
        <w:t>HERCULES CAPITAL, INC.</w:t>
      </w:r>
    </w:p>
    <w:p>
      <w:pPr>
        <w:spacing w:after="0" w:line="216" w:lineRule="exact"/>
        <w:rPr>
          <w:sz w:val="20"/>
          <w:szCs w:val="20"/>
          <w:color w:val="auto"/>
        </w:rPr>
      </w:pPr>
    </w:p>
    <w:p>
      <w:pPr>
        <w:ind w:left="4120"/>
        <w:spacing w:after="0"/>
        <w:tabs>
          <w:tab w:leader="none" w:pos="5300" w:val="left"/>
        </w:tabs>
        <w:rPr>
          <w:sz w:val="20"/>
          <w:szCs w:val="20"/>
          <w:color w:val="auto"/>
        </w:rPr>
      </w:pPr>
      <w:r>
        <w:rPr>
          <w:rFonts w:ascii="Arial" w:cs="Arial" w:eastAsia="Arial" w:hAnsi="Arial"/>
          <w:sz w:val="20"/>
          <w:szCs w:val="20"/>
          <w:color w:val="auto"/>
        </w:rPr>
        <w:t>Signature:</w:t>
      </w:r>
      <w:r>
        <w:rPr>
          <w:sz w:val="20"/>
          <w:szCs w:val="20"/>
          <w:color w:val="auto"/>
        </w:rPr>
        <w:tab/>
      </w:r>
      <w:r>
        <w:rPr>
          <w:rFonts w:ascii="Arial" w:cs="Arial" w:eastAsia="Arial" w:hAnsi="Arial"/>
          <w:sz w:val="20"/>
          <w:szCs w:val="20"/>
          <w:color w:val="auto"/>
        </w:rPr>
        <w:t>_______________________</w:t>
      </w:r>
    </w:p>
    <w:p>
      <w:pPr>
        <w:spacing w:after="0" w:line="216" w:lineRule="exact"/>
        <w:rPr>
          <w:sz w:val="20"/>
          <w:szCs w:val="20"/>
          <w:color w:val="auto"/>
        </w:rPr>
      </w:pPr>
    </w:p>
    <w:p>
      <w:pPr>
        <w:ind w:left="4120"/>
        <w:spacing w:after="0"/>
        <w:tabs>
          <w:tab w:leader="none" w:pos="5300" w:val="left"/>
        </w:tabs>
        <w:rPr>
          <w:sz w:val="20"/>
          <w:szCs w:val="20"/>
          <w:color w:val="auto"/>
        </w:rPr>
      </w:pPr>
      <w:r>
        <w:rPr>
          <w:rFonts w:ascii="Arial" w:cs="Arial" w:eastAsia="Arial" w:hAnsi="Arial"/>
          <w:sz w:val="20"/>
          <w:szCs w:val="20"/>
          <w:color w:val="auto"/>
        </w:rPr>
        <w:t>Print Name:</w:t>
      </w:r>
      <w:r>
        <w:rPr>
          <w:sz w:val="20"/>
          <w:szCs w:val="20"/>
          <w:color w:val="auto"/>
        </w:rPr>
        <w:tab/>
      </w:r>
      <w:r>
        <w:rPr>
          <w:rFonts w:ascii="Arial" w:cs="Arial" w:eastAsia="Arial" w:hAnsi="Arial"/>
          <w:sz w:val="16"/>
          <w:szCs w:val="16"/>
          <w:color w:val="auto"/>
        </w:rPr>
        <w:t>Seth Meyer</w:t>
      </w:r>
    </w:p>
    <w:p>
      <w:pPr>
        <w:spacing w:after="0" w:line="216" w:lineRule="exact"/>
        <w:rPr>
          <w:sz w:val="20"/>
          <w:szCs w:val="20"/>
          <w:color w:val="auto"/>
        </w:rPr>
      </w:pPr>
    </w:p>
    <w:p>
      <w:pPr>
        <w:ind w:left="4120"/>
        <w:spacing w:after="0"/>
        <w:tabs>
          <w:tab w:leader="none" w:pos="530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20"/>
          <w:szCs w:val="20"/>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4120"/>
        <w:spacing w:after="0"/>
        <w:rPr>
          <w:sz w:val="20"/>
          <w:szCs w:val="20"/>
          <w:color w:val="auto"/>
        </w:rPr>
      </w:pPr>
      <w:r>
        <w:rPr>
          <w:rFonts w:ascii="Arial" w:cs="Arial" w:eastAsia="Arial" w:hAnsi="Arial"/>
          <w:sz w:val="20"/>
          <w:szCs w:val="20"/>
          <w:color w:val="auto"/>
        </w:rPr>
        <w:t>HERCULES PRIVATE CREDIT FUND 1 L.P.</w:t>
      </w:r>
    </w:p>
    <w:p>
      <w:pPr>
        <w:spacing w:after="0" w:line="216" w:lineRule="exact"/>
        <w:rPr>
          <w:sz w:val="20"/>
          <w:szCs w:val="20"/>
          <w:color w:val="auto"/>
        </w:rPr>
      </w:pPr>
    </w:p>
    <w:p>
      <w:pPr>
        <w:jc w:val="right"/>
        <w:ind w:right="879"/>
        <w:spacing w:after="0"/>
        <w:rPr>
          <w:sz w:val="20"/>
          <w:szCs w:val="20"/>
          <w:color w:val="auto"/>
        </w:rPr>
      </w:pPr>
      <w:r>
        <w:rPr>
          <w:rFonts w:ascii="Arial" w:cs="Arial" w:eastAsia="Arial" w:hAnsi="Arial"/>
          <w:sz w:val="20"/>
          <w:szCs w:val="20"/>
          <w:color w:val="auto"/>
        </w:rPr>
        <w:t>By: Hercules Adviser LLC, its Investment Adviser</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4120"/>
        <w:spacing w:after="0"/>
        <w:tabs>
          <w:tab w:leader="none" w:pos="5300" w:val="left"/>
        </w:tabs>
        <w:rPr>
          <w:sz w:val="20"/>
          <w:szCs w:val="20"/>
          <w:color w:val="auto"/>
        </w:rPr>
      </w:pPr>
      <w:r>
        <w:rPr>
          <w:rFonts w:ascii="Arial" w:cs="Arial" w:eastAsia="Arial" w:hAnsi="Arial"/>
          <w:sz w:val="20"/>
          <w:szCs w:val="20"/>
          <w:color w:val="auto"/>
        </w:rPr>
        <w:t>Signature:</w:t>
      </w:r>
      <w:r>
        <w:rPr>
          <w:sz w:val="20"/>
          <w:szCs w:val="20"/>
          <w:color w:val="auto"/>
        </w:rPr>
        <w:tab/>
      </w:r>
      <w:r>
        <w:rPr>
          <w:rFonts w:ascii="Arial" w:cs="Arial" w:eastAsia="Arial" w:hAnsi="Arial"/>
          <w:sz w:val="20"/>
          <w:szCs w:val="20"/>
          <w:color w:val="auto"/>
        </w:rPr>
        <w:t>_______________________</w:t>
      </w:r>
    </w:p>
    <w:p>
      <w:pPr>
        <w:spacing w:after="0" w:line="216" w:lineRule="exact"/>
        <w:rPr>
          <w:sz w:val="20"/>
          <w:szCs w:val="20"/>
          <w:color w:val="auto"/>
        </w:rPr>
      </w:pPr>
    </w:p>
    <w:p>
      <w:pPr>
        <w:ind w:left="4120"/>
        <w:spacing w:after="0"/>
        <w:tabs>
          <w:tab w:leader="none" w:pos="5300" w:val="left"/>
        </w:tabs>
        <w:rPr>
          <w:sz w:val="20"/>
          <w:szCs w:val="20"/>
          <w:color w:val="auto"/>
        </w:rPr>
      </w:pPr>
      <w:r>
        <w:rPr>
          <w:rFonts w:ascii="Arial" w:cs="Arial" w:eastAsia="Arial" w:hAnsi="Arial"/>
          <w:sz w:val="20"/>
          <w:szCs w:val="20"/>
          <w:color w:val="auto"/>
        </w:rPr>
        <w:t>Print Name:</w:t>
      </w:r>
      <w:r>
        <w:rPr>
          <w:sz w:val="20"/>
          <w:szCs w:val="20"/>
          <w:color w:val="auto"/>
        </w:rPr>
        <w:tab/>
      </w:r>
      <w:r>
        <w:rPr>
          <w:rFonts w:ascii="Arial" w:cs="Arial" w:eastAsia="Arial" w:hAnsi="Arial"/>
          <w:sz w:val="16"/>
          <w:szCs w:val="16"/>
          <w:color w:val="auto"/>
        </w:rPr>
        <w:t>Seth Meyer</w:t>
      </w:r>
    </w:p>
    <w:p>
      <w:pPr>
        <w:spacing w:after="0" w:line="216" w:lineRule="exact"/>
        <w:rPr>
          <w:sz w:val="20"/>
          <w:szCs w:val="20"/>
          <w:color w:val="auto"/>
        </w:rPr>
      </w:pPr>
    </w:p>
    <w:p>
      <w:pPr>
        <w:ind w:left="4120"/>
        <w:spacing w:after="0"/>
        <w:tabs>
          <w:tab w:leader="none" w:pos="530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20"/>
          <w:szCs w:val="20"/>
          <w:color w:val="auto"/>
        </w:rPr>
        <w:t>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Fourth Amendment to Loan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153670</wp:posOffset>
            </wp:positionV>
            <wp:extent cx="7157720"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798" w:right="1440" w:bottom="1440" w:gutter="0" w:footer="0" w:header="0"/>
        </w:sectPr>
      </w:pPr>
    </w:p>
    <w:bookmarkStart w:id="106" w:name="page107"/>
    <w:bookmarkEnd w:id="106"/>
    <w:p>
      <w:pPr>
        <w:ind w:left="4120"/>
        <w:spacing w:after="0"/>
        <w:rPr>
          <w:sz w:val="20"/>
          <w:szCs w:val="20"/>
          <w:color w:val="auto"/>
        </w:rPr>
      </w:pPr>
      <w:r>
        <w:rPr>
          <w:rFonts w:ascii="Arial" w:cs="Arial" w:eastAsia="Arial" w:hAnsi="Arial"/>
          <w:sz w:val="18"/>
          <w:szCs w:val="18"/>
          <w:color w:val="auto"/>
        </w:rPr>
        <w:t>HERCULES PRIVATE GLOBAL VENTURE GROWTH FUND I L.P.</w:t>
      </w:r>
    </w:p>
    <w:p>
      <w:pPr>
        <w:spacing w:after="0" w:line="239" w:lineRule="exact"/>
        <w:rPr>
          <w:sz w:val="20"/>
          <w:szCs w:val="20"/>
          <w:color w:val="auto"/>
        </w:rPr>
      </w:pPr>
    </w:p>
    <w:p>
      <w:pPr>
        <w:ind w:left="4120"/>
        <w:spacing w:after="0"/>
        <w:rPr>
          <w:sz w:val="20"/>
          <w:szCs w:val="20"/>
          <w:color w:val="auto"/>
        </w:rPr>
      </w:pPr>
      <w:r>
        <w:rPr>
          <w:rFonts w:ascii="Arial" w:cs="Arial" w:eastAsia="Arial" w:hAnsi="Arial"/>
          <w:sz w:val="20"/>
          <w:szCs w:val="20"/>
          <w:color w:val="auto"/>
        </w:rPr>
        <w:t>By: Hercules Adviser LLC, its Investment Adviser</w:t>
      </w:r>
    </w:p>
    <w:p>
      <w:pPr>
        <w:sectPr>
          <w:pgSz w:w="11900" w:h="16838" w:orient="portrait"/>
          <w:cols w:equalWidth="0" w:num="1">
            <w:col w:w="9780"/>
          </w:cols>
          <w:pgMar w:left="1440" w:top="366" w:right="6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4120"/>
        <w:spacing w:after="0"/>
        <w:rPr>
          <w:sz w:val="20"/>
          <w:szCs w:val="20"/>
          <w:color w:val="auto"/>
        </w:rPr>
      </w:pPr>
      <w:r>
        <w:rPr>
          <w:rFonts w:ascii="Arial" w:cs="Arial" w:eastAsia="Arial" w:hAnsi="Arial"/>
          <w:sz w:val="20"/>
          <w:szCs w:val="20"/>
          <w:color w:val="auto"/>
        </w:rPr>
        <w:t>Signature:</w:t>
      </w:r>
    </w:p>
    <w:p>
      <w:pPr>
        <w:spacing w:after="0" w:line="216"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Print Name:</w:t>
      </w:r>
    </w:p>
    <w:p>
      <w:pPr>
        <w:spacing w:after="0" w:line="239" w:lineRule="exact"/>
        <w:rPr>
          <w:sz w:val="20"/>
          <w:szCs w:val="20"/>
          <w:color w:val="auto"/>
        </w:rPr>
      </w:pPr>
    </w:p>
    <w:p>
      <w:pPr>
        <w:ind w:left="4120"/>
        <w:spacing w:after="0"/>
        <w:rPr>
          <w:sz w:val="20"/>
          <w:szCs w:val="20"/>
          <w:color w:val="auto"/>
        </w:rPr>
      </w:pPr>
      <w:r>
        <w:rPr>
          <w:rFonts w:ascii="Arial" w:cs="Arial" w:eastAsia="Arial" w:hAnsi="Arial"/>
          <w:sz w:val="20"/>
          <w:szCs w:val="20"/>
          <w:color w:val="auto"/>
        </w:rPr>
        <w:t>Title: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w:t>
      </w:r>
    </w:p>
    <w:p>
      <w:pPr>
        <w:spacing w:after="0" w:line="262" w:lineRule="exact"/>
        <w:rPr>
          <w:sz w:val="20"/>
          <w:szCs w:val="20"/>
          <w:color w:val="auto"/>
        </w:rPr>
      </w:pPr>
    </w:p>
    <w:p>
      <w:pPr>
        <w:spacing w:after="0"/>
        <w:rPr>
          <w:sz w:val="20"/>
          <w:szCs w:val="20"/>
          <w:color w:val="auto"/>
        </w:rPr>
      </w:pPr>
      <w:r>
        <w:rPr>
          <w:rFonts w:ascii="Arial" w:cs="Arial" w:eastAsia="Arial" w:hAnsi="Arial"/>
          <w:sz w:val="20"/>
          <w:szCs w:val="20"/>
          <w:color w:val="auto"/>
        </w:rPr>
        <w:t>Seth Meyer</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Authorized Signatory</w:t>
      </w:r>
    </w:p>
    <w:p>
      <w:pPr>
        <w:spacing w:after="0" w:line="200" w:lineRule="exact"/>
        <w:rPr>
          <w:sz w:val="20"/>
          <w:szCs w:val="20"/>
          <w:color w:val="auto"/>
        </w:rPr>
      </w:pPr>
    </w:p>
    <w:p>
      <w:pPr>
        <w:sectPr>
          <w:pgSz w:w="11900" w:h="16838" w:orient="portrait"/>
          <w:cols w:equalWidth="0" w:num="2">
            <w:col w:w="5100" w:space="220"/>
            <w:col w:w="4460"/>
          </w:cols>
          <w:pgMar w:left="1440" w:top="366" w:right="679" w:bottom="1440" w:gutter="0" w:footer="0" w:header="0"/>
          <w:type w:val="continuous"/>
        </w:sectPr>
      </w:pPr>
    </w:p>
    <w:p>
      <w:pPr>
        <w:spacing w:after="0" w:line="200" w:lineRule="exact"/>
        <w:rPr>
          <w:sz w:val="20"/>
          <w:szCs w:val="20"/>
          <w:color w:val="auto"/>
        </w:rPr>
      </w:pPr>
    </w:p>
    <w:p>
      <w:pPr>
        <w:spacing w:after="0" w:line="261" w:lineRule="exact"/>
        <w:rPr>
          <w:sz w:val="20"/>
          <w:szCs w:val="20"/>
          <w:color w:val="auto"/>
        </w:rPr>
      </w:pPr>
    </w:p>
    <w:p>
      <w:pPr>
        <w:ind w:left="4120"/>
        <w:spacing w:after="0"/>
        <w:rPr>
          <w:sz w:val="20"/>
          <w:szCs w:val="20"/>
          <w:color w:val="auto"/>
        </w:rPr>
      </w:pPr>
      <w:r>
        <w:rPr>
          <w:rFonts w:ascii="Arial" w:cs="Arial" w:eastAsia="Arial" w:hAnsi="Arial"/>
          <w:sz w:val="19"/>
          <w:szCs w:val="19"/>
          <w:color w:val="auto"/>
        </w:rPr>
        <w:t>HERCULES FUNDING IV, LLC</w:t>
      </w:r>
    </w:p>
    <w:p>
      <w:pPr>
        <w:sectPr>
          <w:pgSz w:w="11900" w:h="16838" w:orient="portrait"/>
          <w:cols w:equalWidth="0" w:num="1">
            <w:col w:w="9780"/>
          </w:cols>
          <w:pgMar w:left="1440" w:top="366" w:right="6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4120"/>
        <w:spacing w:after="0"/>
        <w:rPr>
          <w:sz w:val="20"/>
          <w:szCs w:val="20"/>
          <w:color w:val="auto"/>
        </w:rPr>
      </w:pPr>
      <w:r>
        <w:rPr>
          <w:rFonts w:ascii="Arial" w:cs="Arial" w:eastAsia="Arial" w:hAnsi="Arial"/>
          <w:sz w:val="20"/>
          <w:szCs w:val="20"/>
          <w:color w:val="auto"/>
        </w:rPr>
        <w:t>Signature:</w:t>
      </w:r>
    </w:p>
    <w:p>
      <w:pPr>
        <w:spacing w:after="0" w:line="216"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Print Name:</w:t>
      </w:r>
    </w:p>
    <w:p>
      <w:pPr>
        <w:spacing w:after="0" w:line="239" w:lineRule="exact"/>
        <w:rPr>
          <w:sz w:val="20"/>
          <w:szCs w:val="20"/>
          <w:color w:val="auto"/>
        </w:rPr>
      </w:pPr>
    </w:p>
    <w:p>
      <w:pPr>
        <w:ind w:left="4120"/>
        <w:spacing w:after="0"/>
        <w:rPr>
          <w:sz w:val="20"/>
          <w:szCs w:val="20"/>
          <w:color w:val="auto"/>
        </w:rPr>
      </w:pPr>
      <w:r>
        <w:rPr>
          <w:rFonts w:ascii="Arial" w:cs="Arial" w:eastAsia="Arial" w:hAnsi="Arial"/>
          <w:sz w:val="20"/>
          <w:szCs w:val="20"/>
          <w:color w:val="auto"/>
        </w:rPr>
        <w:t>Title: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w:t>
      </w:r>
    </w:p>
    <w:p>
      <w:pPr>
        <w:spacing w:after="0" w:line="262" w:lineRule="exact"/>
        <w:rPr>
          <w:sz w:val="20"/>
          <w:szCs w:val="20"/>
          <w:color w:val="auto"/>
        </w:rPr>
      </w:pPr>
    </w:p>
    <w:p>
      <w:pPr>
        <w:spacing w:after="0"/>
        <w:rPr>
          <w:sz w:val="20"/>
          <w:szCs w:val="20"/>
          <w:color w:val="auto"/>
        </w:rPr>
      </w:pPr>
      <w:r>
        <w:rPr>
          <w:rFonts w:ascii="Arial" w:cs="Arial" w:eastAsia="Arial" w:hAnsi="Arial"/>
          <w:sz w:val="20"/>
          <w:szCs w:val="20"/>
          <w:color w:val="auto"/>
        </w:rPr>
        <w:t>Seth Meyer</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Authorized Signatory</w:t>
      </w:r>
    </w:p>
    <w:p>
      <w:pPr>
        <w:spacing w:after="0" w:line="200" w:lineRule="exact"/>
        <w:rPr>
          <w:sz w:val="20"/>
          <w:szCs w:val="20"/>
          <w:color w:val="auto"/>
        </w:rPr>
      </w:pPr>
    </w:p>
    <w:p>
      <w:pPr>
        <w:sectPr>
          <w:pgSz w:w="11900" w:h="16838" w:orient="portrait"/>
          <w:cols w:equalWidth="0" w:num="2">
            <w:col w:w="5100" w:space="220"/>
            <w:col w:w="4460"/>
          </w:cols>
          <w:pgMar w:left="1440" w:top="366" w:right="6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900"/>
        <w:spacing w:after="0"/>
        <w:rPr>
          <w:sz w:val="20"/>
          <w:szCs w:val="20"/>
          <w:color w:val="auto"/>
        </w:rPr>
      </w:pPr>
      <w:r>
        <w:rPr>
          <w:rFonts w:ascii="Arial" w:cs="Arial" w:eastAsia="Arial" w:hAnsi="Arial"/>
          <w:sz w:val="16"/>
          <w:szCs w:val="16"/>
          <w:color w:val="auto"/>
        </w:rPr>
        <w:t>[Signature Page to Fourth Amendment to Loan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376555</wp:posOffset>
            </wp:positionV>
            <wp:extent cx="7157720"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80"/>
          </w:cols>
          <w:pgMar w:left="1440" w:top="366" w:right="679" w:bottom="1440" w:gutter="0" w:footer="0" w:header="0"/>
          <w:type w:val="continuous"/>
        </w:sectPr>
      </w:pPr>
    </w:p>
    <w:bookmarkStart w:id="107" w:name="page108"/>
    <w:bookmarkEnd w:id="107"/>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08" w:name="page109"/>
    <w:bookmarkEnd w:id="108"/>
    <w:p>
      <w:pPr>
        <w:jc w:val="right"/>
        <w:spacing w:after="0"/>
        <w:rPr>
          <w:sz w:val="20"/>
          <w:szCs w:val="20"/>
          <w:color w:val="auto"/>
        </w:rPr>
      </w:pPr>
      <w:r>
        <w:rPr>
          <w:rFonts w:ascii="Arial" w:cs="Arial" w:eastAsia="Arial" w:hAnsi="Arial"/>
          <w:sz w:val="16"/>
          <w:szCs w:val="16"/>
          <w:b w:val="1"/>
          <w:bCs w:val="1"/>
          <w:color w:val="auto"/>
        </w:rPr>
        <w:t>Exhibit 31.1</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PERIODIC REPORT</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PURSUANT TO SECTION 302 OF THE SARBANES-OXLEY ACT OF 2002</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I, Herriot Tabuteau, M.D., certify that:</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1. I have reviewed this quarterly report on Form 10-Q of Axsome Therapeutics, Inc.;</w:t>
      </w:r>
    </w:p>
    <w:p>
      <w:pPr>
        <w:spacing w:after="0" w:line="235" w:lineRule="exact"/>
        <w:rPr>
          <w:sz w:val="20"/>
          <w:szCs w:val="20"/>
          <w:color w:val="auto"/>
        </w:rPr>
      </w:pPr>
    </w:p>
    <w:p>
      <w:pPr>
        <w:ind w:right="200"/>
        <w:spacing w:after="0" w:line="293" w:lineRule="auto"/>
        <w:rPr>
          <w:sz w:val="20"/>
          <w:szCs w:val="20"/>
          <w:color w:val="auto"/>
        </w:rPr>
      </w:pPr>
      <w:r>
        <w:rPr>
          <w:rFonts w:ascii="Arial" w:cs="Arial" w:eastAsia="Arial" w:hAnsi="Arial"/>
          <w:sz w:val="16"/>
          <w:szCs w:val="16"/>
          <w:color w:val="auto"/>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2" w:lineRule="exact"/>
        <w:rPr>
          <w:sz w:val="20"/>
          <w:szCs w:val="20"/>
          <w:color w:val="auto"/>
        </w:rPr>
      </w:pPr>
    </w:p>
    <w:p>
      <w:pPr>
        <w:ind w:right="200"/>
        <w:spacing w:after="0" w:line="293" w:lineRule="auto"/>
        <w:rPr>
          <w:sz w:val="20"/>
          <w:szCs w:val="20"/>
          <w:color w:val="auto"/>
        </w:rPr>
      </w:pPr>
      <w:r>
        <w:rPr>
          <w:rFonts w:ascii="Arial" w:cs="Arial" w:eastAsia="Arial" w:hAnsi="Arial"/>
          <w:sz w:val="16"/>
          <w:szCs w:val="16"/>
          <w:color w:val="auto"/>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2" w:lineRule="exact"/>
        <w:rPr>
          <w:sz w:val="20"/>
          <w:szCs w:val="20"/>
          <w:color w:val="auto"/>
        </w:rPr>
      </w:pPr>
    </w:p>
    <w:p>
      <w:pPr>
        <w:ind w:right="20"/>
        <w:spacing w:after="0" w:line="328" w:lineRule="auto"/>
        <w:rPr>
          <w:sz w:val="20"/>
          <w:szCs w:val="20"/>
          <w:color w:val="auto"/>
        </w:rPr>
      </w:pPr>
      <w:r>
        <w:rPr>
          <w:rFonts w:ascii="Arial" w:cs="Arial" w:eastAsia="Arial" w:hAnsi="Arial"/>
          <w:sz w:val="15"/>
          <w:szCs w:val="15"/>
          <w:color w:val="auto"/>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0" w:lineRule="exact"/>
        <w:rPr>
          <w:sz w:val="20"/>
          <w:szCs w:val="20"/>
          <w:color w:val="auto"/>
        </w:rPr>
      </w:pPr>
    </w:p>
    <w:p>
      <w:pPr>
        <w:jc w:val="both"/>
        <w:ind w:left="760" w:right="20" w:hanging="360"/>
        <w:spacing w:after="0" w:line="278" w:lineRule="auto"/>
        <w:rPr>
          <w:sz w:val="20"/>
          <w:szCs w:val="20"/>
          <w:color w:val="auto"/>
        </w:rPr>
      </w:pPr>
      <w:r>
        <w:rPr>
          <w:rFonts w:ascii="Arial" w:cs="Arial" w:eastAsia="Arial" w:hAnsi="Arial"/>
          <w:sz w:val="16"/>
          <w:szCs w:val="16"/>
          <w:color w:val="auto"/>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4" w:lineRule="exact"/>
        <w:rPr>
          <w:sz w:val="20"/>
          <w:szCs w:val="20"/>
          <w:color w:val="auto"/>
        </w:rPr>
      </w:pPr>
    </w:p>
    <w:p>
      <w:pPr>
        <w:ind w:left="760" w:right="20" w:hanging="360"/>
        <w:spacing w:after="0" w:line="278" w:lineRule="auto"/>
        <w:rPr>
          <w:sz w:val="20"/>
          <w:szCs w:val="20"/>
          <w:color w:val="auto"/>
        </w:rPr>
      </w:pPr>
      <w:r>
        <w:rPr>
          <w:rFonts w:ascii="Arial" w:cs="Arial" w:eastAsia="Arial" w:hAnsi="Arial"/>
          <w:sz w:val="16"/>
          <w:szCs w:val="16"/>
          <w:color w:val="auto"/>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4" w:lineRule="exact"/>
        <w:rPr>
          <w:sz w:val="20"/>
          <w:szCs w:val="20"/>
          <w:color w:val="auto"/>
        </w:rPr>
      </w:pPr>
    </w:p>
    <w:p>
      <w:pPr>
        <w:ind w:left="760" w:right="520" w:hanging="360"/>
        <w:spacing w:after="0" w:line="293" w:lineRule="auto"/>
        <w:rPr>
          <w:sz w:val="20"/>
          <w:szCs w:val="20"/>
          <w:color w:val="auto"/>
        </w:rPr>
      </w:pPr>
      <w:r>
        <w:rPr>
          <w:rFonts w:ascii="Arial" w:cs="Arial" w:eastAsia="Arial" w:hAnsi="Arial"/>
          <w:sz w:val="16"/>
          <w:szCs w:val="16"/>
          <w:color w:val="auto"/>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2" w:lineRule="exact"/>
        <w:rPr>
          <w:sz w:val="20"/>
          <w:szCs w:val="20"/>
          <w:color w:val="auto"/>
        </w:rPr>
      </w:pPr>
    </w:p>
    <w:p>
      <w:pPr>
        <w:jc w:val="both"/>
        <w:ind w:left="760" w:right="160" w:hanging="360"/>
        <w:spacing w:after="0" w:line="278" w:lineRule="auto"/>
        <w:rPr>
          <w:sz w:val="20"/>
          <w:szCs w:val="20"/>
          <w:color w:val="auto"/>
        </w:rPr>
      </w:pPr>
      <w:r>
        <w:rPr>
          <w:rFonts w:ascii="Arial" w:cs="Arial" w:eastAsia="Arial" w:hAnsi="Arial"/>
          <w:sz w:val="16"/>
          <w:szCs w:val="16"/>
          <w:color w:val="auto"/>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4"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2" w:lineRule="exact"/>
        <w:rPr>
          <w:sz w:val="20"/>
          <w:szCs w:val="20"/>
          <w:color w:val="auto"/>
        </w:rPr>
      </w:pPr>
    </w:p>
    <w:p>
      <w:pPr>
        <w:ind w:left="760" w:right="40" w:hanging="360"/>
        <w:spacing w:after="0" w:line="293" w:lineRule="auto"/>
        <w:rPr>
          <w:sz w:val="20"/>
          <w:szCs w:val="20"/>
          <w:color w:val="auto"/>
        </w:rPr>
      </w:pPr>
      <w:r>
        <w:rPr>
          <w:rFonts w:ascii="Arial" w:cs="Arial" w:eastAsia="Arial" w:hAnsi="Arial"/>
          <w:sz w:val="16"/>
          <w:szCs w:val="16"/>
          <w:color w:val="auto"/>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2" w:lineRule="exact"/>
        <w:rPr>
          <w:sz w:val="20"/>
          <w:szCs w:val="20"/>
          <w:color w:val="auto"/>
        </w:rPr>
      </w:pPr>
    </w:p>
    <w:p>
      <w:pPr>
        <w:ind w:left="760" w:right="300" w:hanging="360"/>
        <w:spacing w:after="0" w:line="293" w:lineRule="auto"/>
        <w:rPr>
          <w:sz w:val="20"/>
          <w:szCs w:val="20"/>
          <w:color w:val="auto"/>
        </w:rPr>
      </w:pPr>
      <w:r>
        <w:rPr>
          <w:rFonts w:ascii="Arial" w:cs="Arial" w:eastAsia="Arial" w:hAnsi="Arial"/>
          <w:sz w:val="16"/>
          <w:szCs w:val="16"/>
          <w:color w:val="auto"/>
        </w:rPr>
        <w:t>b) Any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82" w:lineRule="exact"/>
        <w:rPr>
          <w:sz w:val="20"/>
          <w:szCs w:val="20"/>
          <w:color w:val="auto"/>
        </w:rPr>
      </w:pPr>
    </w:p>
    <w:p>
      <w:pPr>
        <w:ind w:left="20"/>
        <w:spacing w:after="0"/>
        <w:tabs>
          <w:tab w:leader="none" w:pos="5620" w:val="left"/>
        </w:tabs>
        <w:rPr>
          <w:sz w:val="20"/>
          <w:szCs w:val="20"/>
          <w:color w:val="auto"/>
        </w:rPr>
      </w:pPr>
      <w:r>
        <w:rPr>
          <w:rFonts w:ascii="Arial" w:cs="Arial" w:eastAsia="Arial" w:hAnsi="Arial"/>
          <w:sz w:val="16"/>
          <w:szCs w:val="16"/>
          <w:color w:val="auto"/>
        </w:rPr>
        <w:t>Date: August 7, 2023</w:t>
      </w:r>
      <w:r>
        <w:rPr>
          <w:sz w:val="20"/>
          <w:szCs w:val="20"/>
          <w:color w:val="auto"/>
        </w:rPr>
        <w:tab/>
      </w:r>
      <w:r>
        <w:rPr>
          <w:rFonts w:ascii="Arial" w:cs="Arial" w:eastAsia="Arial" w:hAnsi="Arial"/>
          <w:sz w:val="14"/>
          <w:szCs w:val="14"/>
          <w:color w:val="auto"/>
        </w:rPr>
        <w:t>/s/ Herriot Tabuteau,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26670</wp:posOffset>
            </wp:positionV>
            <wp:extent cx="3566160"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39"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Herriot Tabuteau, M.D.</w:t>
      </w:r>
    </w:p>
    <w:p>
      <w:pPr>
        <w:spacing w:after="0" w:line="86"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Chief Executive Officer</w:t>
      </w:r>
    </w:p>
    <w:p>
      <w:pPr>
        <w:spacing w:after="0" w:line="86"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845185</wp:posOffset>
            </wp:positionV>
            <wp:extent cx="7157720"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109" w:name="page110"/>
    <w:bookmarkEnd w:id="109"/>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10" w:name="page111"/>
    <w:bookmarkEnd w:id="110"/>
    <w:p>
      <w:pPr>
        <w:jc w:val="right"/>
        <w:spacing w:after="0"/>
        <w:rPr>
          <w:sz w:val="20"/>
          <w:szCs w:val="20"/>
          <w:color w:val="auto"/>
        </w:rPr>
      </w:pPr>
      <w:r>
        <w:rPr>
          <w:rFonts w:ascii="Arial" w:cs="Arial" w:eastAsia="Arial" w:hAnsi="Arial"/>
          <w:sz w:val="16"/>
          <w:szCs w:val="16"/>
          <w:b w:val="1"/>
          <w:bCs w:val="1"/>
          <w:color w:val="auto"/>
        </w:rPr>
        <w:t>Exhibit 31.2</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PERIODIC REPORT</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PURSUANT TO SECTION 302 OF THE SARBANES-OXLEY ACT OF 2002</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I, Nick Pizzie, certify that:</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1. I have reviewed this quarterly report on Form 10-Q of Axsome Therapeutics, Inc.;</w:t>
      </w:r>
    </w:p>
    <w:p>
      <w:pPr>
        <w:spacing w:after="0" w:line="235" w:lineRule="exact"/>
        <w:rPr>
          <w:sz w:val="20"/>
          <w:szCs w:val="20"/>
          <w:color w:val="auto"/>
        </w:rPr>
      </w:pPr>
    </w:p>
    <w:p>
      <w:pPr>
        <w:ind w:right="200"/>
        <w:spacing w:after="0" w:line="293" w:lineRule="auto"/>
        <w:rPr>
          <w:sz w:val="20"/>
          <w:szCs w:val="20"/>
          <w:color w:val="auto"/>
        </w:rPr>
      </w:pPr>
      <w:r>
        <w:rPr>
          <w:rFonts w:ascii="Arial" w:cs="Arial" w:eastAsia="Arial" w:hAnsi="Arial"/>
          <w:sz w:val="16"/>
          <w:szCs w:val="16"/>
          <w:color w:val="auto"/>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2" w:lineRule="exact"/>
        <w:rPr>
          <w:sz w:val="20"/>
          <w:szCs w:val="20"/>
          <w:color w:val="auto"/>
        </w:rPr>
      </w:pPr>
    </w:p>
    <w:p>
      <w:pPr>
        <w:ind w:right="200"/>
        <w:spacing w:after="0" w:line="293" w:lineRule="auto"/>
        <w:rPr>
          <w:sz w:val="20"/>
          <w:szCs w:val="20"/>
          <w:color w:val="auto"/>
        </w:rPr>
      </w:pPr>
      <w:r>
        <w:rPr>
          <w:rFonts w:ascii="Arial" w:cs="Arial" w:eastAsia="Arial" w:hAnsi="Arial"/>
          <w:sz w:val="16"/>
          <w:szCs w:val="16"/>
          <w:color w:val="auto"/>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2" w:lineRule="exact"/>
        <w:rPr>
          <w:sz w:val="20"/>
          <w:szCs w:val="20"/>
          <w:color w:val="auto"/>
        </w:rPr>
      </w:pPr>
    </w:p>
    <w:p>
      <w:pPr>
        <w:ind w:right="20"/>
        <w:spacing w:after="0" w:line="328" w:lineRule="auto"/>
        <w:rPr>
          <w:sz w:val="20"/>
          <w:szCs w:val="20"/>
          <w:color w:val="auto"/>
        </w:rPr>
      </w:pPr>
      <w:r>
        <w:rPr>
          <w:rFonts w:ascii="Arial" w:cs="Arial" w:eastAsia="Arial" w:hAnsi="Arial"/>
          <w:sz w:val="15"/>
          <w:szCs w:val="15"/>
          <w:color w:val="auto"/>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0" w:lineRule="exact"/>
        <w:rPr>
          <w:sz w:val="20"/>
          <w:szCs w:val="20"/>
          <w:color w:val="auto"/>
        </w:rPr>
      </w:pPr>
    </w:p>
    <w:p>
      <w:pPr>
        <w:jc w:val="both"/>
        <w:ind w:left="760" w:right="20" w:hanging="360"/>
        <w:spacing w:after="0" w:line="278" w:lineRule="auto"/>
        <w:rPr>
          <w:sz w:val="20"/>
          <w:szCs w:val="20"/>
          <w:color w:val="auto"/>
        </w:rPr>
      </w:pPr>
      <w:r>
        <w:rPr>
          <w:rFonts w:ascii="Arial" w:cs="Arial" w:eastAsia="Arial" w:hAnsi="Arial"/>
          <w:sz w:val="16"/>
          <w:szCs w:val="16"/>
          <w:color w:val="auto"/>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4" w:lineRule="exact"/>
        <w:rPr>
          <w:sz w:val="20"/>
          <w:szCs w:val="20"/>
          <w:color w:val="auto"/>
        </w:rPr>
      </w:pPr>
    </w:p>
    <w:p>
      <w:pPr>
        <w:ind w:left="760" w:right="20" w:hanging="360"/>
        <w:spacing w:after="0" w:line="278" w:lineRule="auto"/>
        <w:rPr>
          <w:sz w:val="20"/>
          <w:szCs w:val="20"/>
          <w:color w:val="auto"/>
        </w:rPr>
      </w:pPr>
      <w:r>
        <w:rPr>
          <w:rFonts w:ascii="Arial" w:cs="Arial" w:eastAsia="Arial" w:hAnsi="Arial"/>
          <w:sz w:val="16"/>
          <w:szCs w:val="16"/>
          <w:color w:val="auto"/>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4" w:lineRule="exact"/>
        <w:rPr>
          <w:sz w:val="20"/>
          <w:szCs w:val="20"/>
          <w:color w:val="auto"/>
        </w:rPr>
      </w:pPr>
    </w:p>
    <w:p>
      <w:pPr>
        <w:ind w:left="760" w:right="520" w:hanging="360"/>
        <w:spacing w:after="0" w:line="293" w:lineRule="auto"/>
        <w:rPr>
          <w:sz w:val="20"/>
          <w:szCs w:val="20"/>
          <w:color w:val="auto"/>
        </w:rPr>
      </w:pPr>
      <w:r>
        <w:rPr>
          <w:rFonts w:ascii="Arial" w:cs="Arial" w:eastAsia="Arial" w:hAnsi="Arial"/>
          <w:sz w:val="16"/>
          <w:szCs w:val="16"/>
          <w:color w:val="auto"/>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2" w:lineRule="exact"/>
        <w:rPr>
          <w:sz w:val="20"/>
          <w:szCs w:val="20"/>
          <w:color w:val="auto"/>
        </w:rPr>
      </w:pPr>
    </w:p>
    <w:p>
      <w:pPr>
        <w:jc w:val="both"/>
        <w:ind w:left="760" w:right="160" w:hanging="360"/>
        <w:spacing w:after="0" w:line="278" w:lineRule="auto"/>
        <w:rPr>
          <w:sz w:val="20"/>
          <w:szCs w:val="20"/>
          <w:color w:val="auto"/>
        </w:rPr>
      </w:pPr>
      <w:r>
        <w:rPr>
          <w:rFonts w:ascii="Arial" w:cs="Arial" w:eastAsia="Arial" w:hAnsi="Arial"/>
          <w:sz w:val="16"/>
          <w:szCs w:val="16"/>
          <w:color w:val="auto"/>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4"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2" w:lineRule="exact"/>
        <w:rPr>
          <w:sz w:val="20"/>
          <w:szCs w:val="20"/>
          <w:color w:val="auto"/>
        </w:rPr>
      </w:pPr>
    </w:p>
    <w:p>
      <w:pPr>
        <w:ind w:left="760" w:right="40" w:hanging="360"/>
        <w:spacing w:after="0" w:line="293" w:lineRule="auto"/>
        <w:rPr>
          <w:sz w:val="20"/>
          <w:szCs w:val="20"/>
          <w:color w:val="auto"/>
        </w:rPr>
      </w:pPr>
      <w:r>
        <w:rPr>
          <w:rFonts w:ascii="Arial" w:cs="Arial" w:eastAsia="Arial" w:hAnsi="Arial"/>
          <w:sz w:val="16"/>
          <w:szCs w:val="16"/>
          <w:color w:val="auto"/>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2" w:lineRule="exact"/>
        <w:rPr>
          <w:sz w:val="20"/>
          <w:szCs w:val="20"/>
          <w:color w:val="auto"/>
        </w:rPr>
      </w:pPr>
    </w:p>
    <w:p>
      <w:pPr>
        <w:ind w:left="760" w:right="300" w:hanging="360"/>
        <w:spacing w:after="0" w:line="293" w:lineRule="auto"/>
        <w:rPr>
          <w:sz w:val="20"/>
          <w:szCs w:val="20"/>
          <w:color w:val="auto"/>
        </w:rPr>
      </w:pPr>
      <w:r>
        <w:rPr>
          <w:rFonts w:ascii="Arial" w:cs="Arial" w:eastAsia="Arial" w:hAnsi="Arial"/>
          <w:sz w:val="16"/>
          <w:szCs w:val="16"/>
          <w:color w:val="auto"/>
        </w:rPr>
        <w:t>b) Any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82" w:lineRule="exact"/>
        <w:rPr>
          <w:sz w:val="20"/>
          <w:szCs w:val="20"/>
          <w:color w:val="auto"/>
        </w:rPr>
      </w:pPr>
    </w:p>
    <w:p>
      <w:pPr>
        <w:ind w:left="20"/>
        <w:spacing w:after="0"/>
        <w:tabs>
          <w:tab w:leader="none" w:pos="5620" w:val="left"/>
        </w:tabs>
        <w:rPr>
          <w:sz w:val="20"/>
          <w:szCs w:val="20"/>
          <w:color w:val="auto"/>
        </w:rPr>
      </w:pPr>
      <w:r>
        <w:rPr>
          <w:rFonts w:ascii="Arial" w:cs="Arial" w:eastAsia="Arial" w:hAnsi="Arial"/>
          <w:sz w:val="16"/>
          <w:szCs w:val="16"/>
          <w:color w:val="auto"/>
        </w:rPr>
        <w:t>Date: August 7, 2023</w:t>
      </w:r>
      <w:r>
        <w:rPr>
          <w:sz w:val="20"/>
          <w:szCs w:val="20"/>
          <w:color w:val="auto"/>
        </w:rPr>
        <w:tab/>
      </w:r>
      <w:r>
        <w:rPr>
          <w:rFonts w:ascii="Arial" w:cs="Arial" w:eastAsia="Arial" w:hAnsi="Arial"/>
          <w:sz w:val="15"/>
          <w:szCs w:val="15"/>
          <w:color w:val="auto"/>
        </w:rPr>
        <w:t>/s/ Nick Pizzie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26670</wp:posOffset>
            </wp:positionV>
            <wp:extent cx="3566160"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39"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Nick Pizzie</w:t>
      </w:r>
    </w:p>
    <w:p>
      <w:pPr>
        <w:spacing w:after="0" w:line="86"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Chief Financial Officer</w:t>
      </w:r>
    </w:p>
    <w:p>
      <w:pPr>
        <w:spacing w:after="0" w:line="86"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862330</wp:posOffset>
            </wp:positionV>
            <wp:extent cx="7157720"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111" w:name="page112"/>
    <w:bookmarkEnd w:id="111"/>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12" w:name="page113"/>
    <w:bookmarkEnd w:id="112"/>
    <w:p>
      <w:pPr>
        <w:jc w:val="right"/>
        <w:spacing w:after="0"/>
        <w:rPr>
          <w:sz w:val="20"/>
          <w:szCs w:val="20"/>
          <w:color w:val="auto"/>
        </w:rPr>
      </w:pPr>
      <w:r>
        <w:rPr>
          <w:rFonts w:ascii="Arial" w:cs="Arial" w:eastAsia="Arial" w:hAnsi="Arial"/>
          <w:sz w:val="16"/>
          <w:szCs w:val="16"/>
          <w:b w:val="1"/>
          <w:bCs w:val="1"/>
          <w:color w:val="auto"/>
        </w:rPr>
        <w:t>Exhibit 32.1</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STATEMENT OF PRINCIPAL EXECUTIVE OFFICER OF</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AXSOME THERAPEUTICS,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PURSUANT TO 18 U.S.C. SECTION 1350,</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ADOPTED PURSUANT TO</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258" w:lineRule="exact"/>
        <w:rPr>
          <w:sz w:val="20"/>
          <w:szCs w:val="20"/>
          <w:color w:val="auto"/>
        </w:rPr>
      </w:pPr>
    </w:p>
    <w:p>
      <w:pPr>
        <w:jc w:val="both"/>
        <w:ind w:right="80" w:firstLine="449"/>
        <w:spacing w:after="0" w:line="278" w:lineRule="auto"/>
        <w:rPr>
          <w:sz w:val="20"/>
          <w:szCs w:val="20"/>
          <w:color w:val="auto"/>
        </w:rPr>
      </w:pPr>
      <w:r>
        <w:rPr>
          <w:rFonts w:ascii="Arial" w:cs="Arial" w:eastAsia="Arial" w:hAnsi="Arial"/>
          <w:sz w:val="16"/>
          <w:szCs w:val="16"/>
          <w:color w:val="auto"/>
        </w:rPr>
        <w:t>In connection with the quarterly report of Axsome Therapeutics, Inc. (the “Company”) on Form 10-Q for the quarter ended June 30, 2023 as filed with the Securities and Exchange Commission (the “Report”), I, Herriot Tabuteau, M.D., Chief Executive Officer of the Company, certify, pursuant to 18 U.S.C. §1350, as adopted pursuant to §906 of the Sarbanes-Oxley Act of 2002, that, based on my knowledge:</w:t>
      </w:r>
    </w:p>
    <w:p>
      <w:pPr>
        <w:spacing w:after="0" w:line="211" w:lineRule="exact"/>
        <w:rPr>
          <w:sz w:val="20"/>
          <w:szCs w:val="20"/>
          <w:color w:val="auto"/>
        </w:rPr>
      </w:pPr>
    </w:p>
    <w:p>
      <w:pPr>
        <w:ind w:left="260" w:hanging="252"/>
        <w:spacing w:after="0"/>
        <w:tabs>
          <w:tab w:leader="none" w:pos="260"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as amended; and</w:t>
      </w:r>
    </w:p>
    <w:p>
      <w:pPr>
        <w:spacing w:after="0" w:line="261" w:lineRule="exact"/>
        <w:rPr>
          <w:rFonts w:ascii="Arial" w:cs="Arial" w:eastAsia="Arial" w:hAnsi="Arial"/>
          <w:sz w:val="16"/>
          <w:szCs w:val="16"/>
          <w:color w:val="auto"/>
        </w:rPr>
      </w:pPr>
    </w:p>
    <w:p>
      <w:pPr>
        <w:ind w:left="260" w:hanging="252"/>
        <w:spacing w:after="0"/>
        <w:tabs>
          <w:tab w:leader="none" w:pos="260"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72" w:lineRule="exact"/>
        <w:rPr>
          <w:sz w:val="20"/>
          <w:szCs w:val="20"/>
          <w:color w:val="auto"/>
        </w:rPr>
      </w:pPr>
    </w:p>
    <w:p>
      <w:pPr>
        <w:ind w:left="20"/>
        <w:spacing w:after="0"/>
        <w:tabs>
          <w:tab w:leader="none" w:pos="5620" w:val="left"/>
        </w:tabs>
        <w:rPr>
          <w:sz w:val="20"/>
          <w:szCs w:val="20"/>
          <w:color w:val="auto"/>
        </w:rPr>
      </w:pPr>
      <w:r>
        <w:rPr>
          <w:rFonts w:ascii="Arial" w:cs="Arial" w:eastAsia="Arial" w:hAnsi="Arial"/>
          <w:sz w:val="16"/>
          <w:szCs w:val="16"/>
          <w:color w:val="auto"/>
        </w:rPr>
        <w:t>Date: August 7, 2023</w:t>
      </w:r>
      <w:r>
        <w:rPr>
          <w:sz w:val="20"/>
          <w:szCs w:val="20"/>
          <w:color w:val="auto"/>
        </w:rPr>
        <w:tab/>
      </w:r>
      <w:r>
        <w:rPr>
          <w:rFonts w:ascii="Arial" w:cs="Arial" w:eastAsia="Arial" w:hAnsi="Arial"/>
          <w:sz w:val="14"/>
          <w:szCs w:val="14"/>
          <w:color w:val="auto"/>
        </w:rPr>
        <w:t>/s/ Herriot Tabuteau,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26670</wp:posOffset>
            </wp:positionV>
            <wp:extent cx="3566160"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39"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Herriot Tabuteau, M.D.</w:t>
      </w:r>
    </w:p>
    <w:p>
      <w:pPr>
        <w:spacing w:after="0" w:line="22"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Chief Executive Officer</w:t>
      </w:r>
    </w:p>
    <w:p>
      <w:pPr>
        <w:spacing w:after="0" w:line="19"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971550</wp:posOffset>
            </wp:positionV>
            <wp:extent cx="7157720"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13" w:name="page114"/>
    <w:bookmarkEnd w:id="113"/>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14" w:name="page115"/>
    <w:bookmarkEnd w:id="114"/>
    <w:p>
      <w:pPr>
        <w:jc w:val="right"/>
        <w:spacing w:after="0"/>
        <w:rPr>
          <w:sz w:val="20"/>
          <w:szCs w:val="20"/>
          <w:color w:val="auto"/>
        </w:rPr>
      </w:pPr>
      <w:r>
        <w:rPr>
          <w:rFonts w:ascii="Arial" w:cs="Arial" w:eastAsia="Arial" w:hAnsi="Arial"/>
          <w:sz w:val="16"/>
          <w:szCs w:val="16"/>
          <w:b w:val="1"/>
          <w:bCs w:val="1"/>
          <w:color w:val="auto"/>
        </w:rPr>
        <w:t>Exhibit 32.2</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STATEMENT OF PRINCIPAL FINANCIAL OFFICER OF</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AXSOME THERAPEUTICS,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PURSUANT TO 18 U.S.C. SECTION 1350,</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ADOPTED PURSUANT TO</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258" w:lineRule="exact"/>
        <w:rPr>
          <w:sz w:val="20"/>
          <w:szCs w:val="20"/>
          <w:color w:val="auto"/>
        </w:rPr>
      </w:pPr>
    </w:p>
    <w:p>
      <w:pPr>
        <w:jc w:val="both"/>
        <w:ind w:right="100" w:firstLine="449"/>
        <w:spacing w:after="0" w:line="278" w:lineRule="auto"/>
        <w:rPr>
          <w:sz w:val="20"/>
          <w:szCs w:val="20"/>
          <w:color w:val="auto"/>
        </w:rPr>
      </w:pPr>
      <w:r>
        <w:rPr>
          <w:rFonts w:ascii="Arial" w:cs="Arial" w:eastAsia="Arial" w:hAnsi="Arial"/>
          <w:sz w:val="16"/>
          <w:szCs w:val="16"/>
          <w:color w:val="auto"/>
        </w:rPr>
        <w:t>In connection with the quarterly report of Axsome Therapeutics, Inc. (the “Company”) on Form 10-Q for the quarter ended June 30, 2023 as filed with the Securities and Exchange Commission (the “Report”), I, Nick Pizzie, Chief Financial Officer of the Company, certify, pursuant to 18 U.S.C. §1350, as adopted pursuant to §906 of the Sarbanes-Oxley Act of 2002, that, based on my knowledge:</w:t>
      </w:r>
    </w:p>
    <w:p>
      <w:pPr>
        <w:spacing w:after="0" w:line="211" w:lineRule="exact"/>
        <w:rPr>
          <w:sz w:val="20"/>
          <w:szCs w:val="20"/>
          <w:color w:val="auto"/>
        </w:rPr>
      </w:pPr>
    </w:p>
    <w:p>
      <w:pPr>
        <w:ind w:left="260" w:hanging="252"/>
        <w:spacing w:after="0"/>
        <w:tabs>
          <w:tab w:leader="none" w:pos="260"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as amended; and</w:t>
      </w:r>
    </w:p>
    <w:p>
      <w:pPr>
        <w:spacing w:after="0" w:line="261" w:lineRule="exact"/>
        <w:rPr>
          <w:rFonts w:ascii="Arial" w:cs="Arial" w:eastAsia="Arial" w:hAnsi="Arial"/>
          <w:sz w:val="16"/>
          <w:szCs w:val="16"/>
          <w:color w:val="auto"/>
        </w:rPr>
      </w:pPr>
    </w:p>
    <w:p>
      <w:pPr>
        <w:ind w:left="260" w:hanging="252"/>
        <w:spacing w:after="0"/>
        <w:tabs>
          <w:tab w:leader="none" w:pos="260"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72" w:lineRule="exact"/>
        <w:rPr>
          <w:sz w:val="20"/>
          <w:szCs w:val="20"/>
          <w:color w:val="auto"/>
        </w:rPr>
      </w:pPr>
    </w:p>
    <w:p>
      <w:pPr>
        <w:ind w:left="20"/>
        <w:spacing w:after="0"/>
        <w:tabs>
          <w:tab w:leader="none" w:pos="5620" w:val="left"/>
        </w:tabs>
        <w:rPr>
          <w:sz w:val="20"/>
          <w:szCs w:val="20"/>
          <w:color w:val="auto"/>
        </w:rPr>
      </w:pPr>
      <w:r>
        <w:rPr>
          <w:rFonts w:ascii="Arial" w:cs="Arial" w:eastAsia="Arial" w:hAnsi="Arial"/>
          <w:sz w:val="16"/>
          <w:szCs w:val="16"/>
          <w:color w:val="auto"/>
        </w:rPr>
        <w:t>Date: August 7, 2023</w:t>
      </w:r>
      <w:r>
        <w:rPr>
          <w:sz w:val="20"/>
          <w:szCs w:val="20"/>
          <w:color w:val="auto"/>
        </w:rPr>
        <w:tab/>
      </w:r>
      <w:r>
        <w:rPr>
          <w:rFonts w:ascii="Arial" w:cs="Arial" w:eastAsia="Arial" w:hAnsi="Arial"/>
          <w:sz w:val="15"/>
          <w:szCs w:val="15"/>
          <w:color w:val="auto"/>
        </w:rPr>
        <w:t>/s/ Nick Pizzie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26670</wp:posOffset>
            </wp:positionV>
            <wp:extent cx="3566160"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9"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Nick Pizzie</w:t>
      </w:r>
    </w:p>
    <w:p>
      <w:pPr>
        <w:spacing w:after="0" w:line="22"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Chief Financial Officer</w:t>
      </w:r>
    </w:p>
    <w:p>
      <w:pPr>
        <w:spacing w:after="0" w:line="19"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971550</wp:posOffset>
            </wp:positionV>
            <wp:extent cx="7157720"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115" w:name="page116"/>
    <w:bookmarkEnd w:id="11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E7FF521"/>
    <w:multiLevelType w:val="hybridMultilevel"/>
    <w:lvl w:ilvl="0">
      <w:lvlJc w:val="left"/>
      <w:lvlText w:val="☐"/>
      <w:numFmt w:val="bullet"/>
      <w:start w:val="1"/>
    </w:lvl>
    <w:lvl w:ilvl="1">
      <w:lvlJc w:val="left"/>
      <w:lvlText w:val="☒"/>
      <w:numFmt w:val="bullet"/>
      <w:start w:val="1"/>
    </w:lvl>
  </w:abstractNum>
  <w:abstractNum w:abstractNumId="1">
    <w:nsid w:val="7C3DBD3D"/>
    <w:multiLevelType w:val="hybridMultilevel"/>
    <w:lvl w:ilvl="0">
      <w:lvlJc w:val="left"/>
      <w:lvlText w:val="•"/>
      <w:numFmt w:val="bullet"/>
      <w:start w:val="1"/>
    </w:lvl>
  </w:abstractNum>
  <w:abstractNum w:abstractNumId="2">
    <w:nsid w:val="737B8DDC"/>
    <w:multiLevelType w:val="hybridMultilevel"/>
    <w:lvl w:ilvl="0">
      <w:lvlJc w:val="left"/>
      <w:lvlText w:val="•"/>
      <w:numFmt w:val="bullet"/>
      <w:start w:val="1"/>
    </w:lvl>
  </w:abstractNum>
  <w:abstractNum w:abstractNumId="3">
    <w:nsid w:val="6CEAF087"/>
    <w:multiLevelType w:val="hybridMultilevel"/>
    <w:lvl w:ilvl="0">
      <w:lvlJc w:val="left"/>
      <w:lvlText w:val="•"/>
      <w:numFmt w:val="bullet"/>
      <w:start w:val="1"/>
    </w:lvl>
  </w:abstractNum>
  <w:abstractNum w:abstractNumId="4">
    <w:nsid w:val="22221A70"/>
    <w:multiLevelType w:val="hybridMultilevel"/>
    <w:lvl w:ilvl="0">
      <w:lvlJc w:val="left"/>
      <w:lvlText w:val="$"/>
      <w:numFmt w:val="bullet"/>
      <w:start w:val="1"/>
    </w:lvl>
  </w:abstractNum>
  <w:abstractNum w:abstractNumId="5">
    <w:nsid w:val="4516DDE9"/>
    <w:multiLevelType w:val="hybridMultilevel"/>
    <w:lvl w:ilvl="0">
      <w:lvlJc w:val="left"/>
      <w:lvlText w:val="$"/>
      <w:numFmt w:val="bullet"/>
      <w:start w:val="1"/>
    </w:lvl>
  </w:abstractNum>
  <w:abstractNum w:abstractNumId="6">
    <w:nsid w:val="3006C83E"/>
    <w:multiLevelType w:val="hybridMultilevel"/>
    <w:lvl w:ilvl="0">
      <w:lvlJc w:val="left"/>
      <w:lvlText w:val="%1."/>
      <w:numFmt w:val="decimal"/>
      <w:start w:val="1"/>
    </w:lvl>
  </w:abstractNum>
  <w:abstractNum w:abstractNumId="7">
    <w:nsid w:val="614FD4A1"/>
    <w:multiLevelType w:val="hybridMultilevel"/>
    <w:lvl w:ilvl="0">
      <w:lvlJc w:val="left"/>
      <w:lvlText w:val="•"/>
      <w:numFmt w:val="bullet"/>
      <w:start w:val="1"/>
    </w:lvl>
  </w:abstractNum>
  <w:abstractNum w:abstractNumId="8">
    <w:nsid w:val="419AC241"/>
    <w:multiLevelType w:val="hybridMultilevel"/>
    <w:lvl w:ilvl="0">
      <w:lvlJc w:val="left"/>
      <w:lvlText w:val="•"/>
      <w:numFmt w:val="bullet"/>
      <w:start w:val="1"/>
    </w:lvl>
  </w:abstractNum>
  <w:abstractNum w:abstractNumId="9">
    <w:nsid w:val="5577F8E1"/>
    <w:multiLevelType w:val="hybridMultilevel"/>
    <w:lvl w:ilvl="0">
      <w:lvlJc w:val="left"/>
      <w:lvlText w:val="•"/>
      <w:numFmt w:val="bullet"/>
      <w:start w:val="1"/>
    </w:lvl>
  </w:abstractNum>
  <w:abstractNum w:abstractNumId="10">
    <w:nsid w:val="440BADFC"/>
    <w:multiLevelType w:val="hybridMultilevel"/>
    <w:lvl w:ilvl="0">
      <w:lvlJc w:val="left"/>
      <w:lvlText w:val="•"/>
      <w:numFmt w:val="bullet"/>
      <w:start w:val="1"/>
    </w:lvl>
  </w:abstractNum>
  <w:abstractNum w:abstractNumId="11">
    <w:nsid w:val="5072367"/>
    <w:multiLevelType w:val="hybridMultilevel"/>
    <w:lvl w:ilvl="0">
      <w:lvlJc w:val="left"/>
      <w:lvlText w:val="•"/>
      <w:numFmt w:val="bullet"/>
      <w:start w:val="1"/>
    </w:lvl>
  </w:abstractNum>
  <w:abstractNum w:abstractNumId="12">
    <w:nsid w:val="3804823E"/>
    <w:multiLevelType w:val="hybridMultilevel"/>
    <w:lvl w:ilvl="0">
      <w:lvlJc w:val="left"/>
      <w:lvlText w:val="•"/>
      <w:numFmt w:val="bullet"/>
      <w:start w:val="1"/>
    </w:lvl>
  </w:abstractNum>
  <w:abstractNum w:abstractNumId="13">
    <w:nsid w:val="77465F01"/>
    <w:multiLevelType w:val="hybridMultilevel"/>
    <w:lvl w:ilvl="0">
      <w:lvlJc w:val="left"/>
      <w:lvlText w:val="•"/>
      <w:numFmt w:val="bullet"/>
      <w:start w:val="1"/>
    </w:lvl>
  </w:abstractNum>
  <w:abstractNum w:abstractNumId="14">
    <w:nsid w:val="7724C67E"/>
    <w:multiLevelType w:val="hybridMultilevel"/>
    <w:lvl w:ilvl="0">
      <w:lvlJc w:val="left"/>
      <w:lvlText w:val="•"/>
      <w:numFmt w:val="bullet"/>
      <w:start w:val="1"/>
    </w:lvl>
  </w:abstractNum>
  <w:abstractNum w:abstractNumId="15">
    <w:nsid w:val="5C482A97"/>
    <w:multiLevelType w:val="hybridMultilevel"/>
    <w:lvl w:ilvl="0">
      <w:lvlJc w:val="left"/>
      <w:lvlText w:val="•"/>
      <w:numFmt w:val="bullet"/>
      <w:start w:val="1"/>
    </w:lvl>
  </w:abstractNum>
  <w:abstractNum w:abstractNumId="16">
    <w:nsid w:val="2463B9EA"/>
    <w:multiLevelType w:val="hybridMultilevel"/>
    <w:lvl w:ilvl="0">
      <w:lvlJc w:val="left"/>
      <w:lvlText w:val="•"/>
      <w:numFmt w:val="bullet"/>
      <w:start w:val="1"/>
    </w:lvl>
  </w:abstractNum>
  <w:abstractNum w:abstractNumId="17">
    <w:nsid w:val="5E884ADC"/>
    <w:multiLevelType w:val="hybridMultilevel"/>
    <w:lvl w:ilvl="0">
      <w:lvlJc w:val="left"/>
      <w:lvlText w:val="•"/>
      <w:numFmt w:val="bullet"/>
      <w:start w:val="1"/>
    </w:lvl>
  </w:abstractNum>
  <w:abstractNum w:abstractNumId="18">
    <w:nsid w:val="51EAD36B"/>
    <w:multiLevelType w:val="hybridMultilevel"/>
    <w:lvl w:ilvl="0">
      <w:lvlJc w:val="left"/>
      <w:lvlText w:val="•"/>
      <w:numFmt w:val="bullet"/>
      <w:start w:val="1"/>
    </w:lvl>
  </w:abstractNum>
  <w:abstractNum w:abstractNumId="19">
    <w:nsid w:val="2D517796"/>
    <w:multiLevelType w:val="hybridMultilevel"/>
    <w:lvl w:ilvl="0">
      <w:lvlJc w:val="left"/>
      <w:lvlText w:val="•"/>
      <w:numFmt w:val="bullet"/>
      <w:start w:val="1"/>
    </w:lvl>
  </w:abstractNum>
  <w:abstractNum w:abstractNumId="20">
    <w:nsid w:val="580BD78F"/>
    <w:multiLevelType w:val="hybridMultilevel"/>
    <w:lvl w:ilvl="0">
      <w:lvlJc w:val="left"/>
      <w:lvlText w:val="•"/>
      <w:numFmt w:val="bullet"/>
      <w:start w:val="1"/>
    </w:lvl>
  </w:abstractNum>
  <w:abstractNum w:abstractNumId="21">
    <w:nsid w:val="153EA438"/>
    <w:multiLevelType w:val="hybridMultilevel"/>
    <w:lvl w:ilvl="0">
      <w:lvlJc w:val="left"/>
      <w:lvlText w:val="•"/>
      <w:numFmt w:val="bullet"/>
      <w:start w:val="1"/>
    </w:lvl>
  </w:abstractNum>
  <w:abstractNum w:abstractNumId="22">
    <w:nsid w:val="3855585C"/>
    <w:multiLevelType w:val="hybridMultilevel"/>
    <w:lvl w:ilvl="0">
      <w:lvlJc w:val="left"/>
      <w:lvlText w:val="•"/>
      <w:numFmt w:val="bullet"/>
      <w:start w:val="1"/>
    </w:lvl>
  </w:abstractNum>
  <w:abstractNum w:abstractNumId="23">
    <w:nsid w:val="70A64E2A"/>
    <w:multiLevelType w:val="hybridMultilevel"/>
    <w:lvl w:ilvl="0">
      <w:lvlJc w:val="left"/>
      <w:lvlText w:val="•"/>
      <w:numFmt w:val="bullet"/>
      <w:start w:val="1"/>
    </w:lvl>
  </w:abstractNum>
  <w:abstractNum w:abstractNumId="24">
    <w:nsid w:val="6A2342EC"/>
    <w:multiLevelType w:val="hybridMultilevel"/>
    <w:lvl w:ilvl="0">
      <w:lvlJc w:val="left"/>
      <w:lvlText w:val="•"/>
      <w:numFmt w:val="bullet"/>
      <w:start w:val="1"/>
    </w:lvl>
  </w:abstractNum>
  <w:abstractNum w:abstractNumId="25">
    <w:nsid w:val="2A487CB0"/>
    <w:multiLevelType w:val="hybridMultilevel"/>
    <w:lvl w:ilvl="0">
      <w:lvlJc w:val="left"/>
      <w:lvlText w:val="•"/>
      <w:numFmt w:val="bullet"/>
      <w:start w:val="1"/>
    </w:lvl>
  </w:abstractNum>
  <w:abstractNum w:abstractNumId="26">
    <w:nsid w:val="1D4ED43B"/>
    <w:multiLevelType w:val="hybridMultilevel"/>
    <w:lvl w:ilvl="0">
      <w:lvlJc w:val="left"/>
      <w:lvlText w:val="•"/>
      <w:numFmt w:val="bullet"/>
      <w:start w:val="1"/>
    </w:lvl>
  </w:abstractNum>
  <w:abstractNum w:abstractNumId="27">
    <w:nsid w:val="725A06FB"/>
    <w:multiLevelType w:val="hybridMultilevel"/>
    <w:lvl w:ilvl="0">
      <w:lvlJc w:val="left"/>
      <w:lvlText w:val="•"/>
      <w:numFmt w:val="bullet"/>
      <w:start w:val="1"/>
    </w:lvl>
  </w:abstractNum>
  <w:abstractNum w:abstractNumId="28">
    <w:nsid w:val="2CD89A32"/>
    <w:multiLevelType w:val="hybridMultilevel"/>
    <w:lvl w:ilvl="0">
      <w:lvlJc w:val="left"/>
      <w:lvlText w:val="•"/>
      <w:numFmt w:val="bullet"/>
      <w:start w:val="1"/>
    </w:lvl>
  </w:abstractNum>
  <w:abstractNum w:abstractNumId="29">
    <w:nsid w:val="57E4CCAF"/>
    <w:multiLevelType w:val="hybridMultilevel"/>
    <w:lvl w:ilvl="0">
      <w:lvlJc w:val="left"/>
      <w:lvlText w:val="•"/>
      <w:numFmt w:val="bullet"/>
      <w:start w:val="1"/>
    </w:lvl>
  </w:abstractNum>
  <w:abstractNum w:abstractNumId="30">
    <w:nsid w:val="7A6D8D3C"/>
    <w:multiLevelType w:val="hybridMultilevel"/>
    <w:lvl w:ilvl="0">
      <w:lvlJc w:val="left"/>
      <w:lvlText w:val="•"/>
      <w:numFmt w:val="bullet"/>
      <w:start w:val="1"/>
    </w:lvl>
  </w:abstractNum>
  <w:abstractNum w:abstractNumId="31">
    <w:nsid w:val="4B588F54"/>
    <w:multiLevelType w:val="hybridMultilevel"/>
    <w:lvl w:ilvl="0">
      <w:lvlJc w:val="left"/>
      <w:lvlText w:val="•"/>
      <w:numFmt w:val="bullet"/>
      <w:start w:val="1"/>
    </w:lvl>
  </w:abstractNum>
  <w:abstractNum w:abstractNumId="32">
    <w:nsid w:val="542289EC"/>
    <w:multiLevelType w:val="hybridMultilevel"/>
    <w:lvl w:ilvl="0">
      <w:lvlJc w:val="left"/>
      <w:lvlText w:val="•"/>
      <w:numFmt w:val="bullet"/>
      <w:start w:val="1"/>
    </w:lvl>
  </w:abstractNum>
  <w:abstractNum w:abstractNumId="33">
    <w:nsid w:val="6DE91B18"/>
    <w:multiLevelType w:val="hybridMultilevel"/>
    <w:lvl w:ilvl="0">
      <w:lvlJc w:val="left"/>
      <w:lvlText w:val="•"/>
      <w:numFmt w:val="bullet"/>
      <w:start w:val="1"/>
    </w:lvl>
  </w:abstractNum>
  <w:abstractNum w:abstractNumId="34">
    <w:nsid w:val="38437FDB"/>
    <w:multiLevelType w:val="hybridMultilevel"/>
    <w:lvl w:ilvl="0">
      <w:lvlJc w:val="left"/>
      <w:lvlText w:val="•"/>
      <w:numFmt w:val="bullet"/>
      <w:start w:val="1"/>
    </w:lvl>
  </w:abstractNum>
  <w:abstractNum w:abstractNumId="35">
    <w:nsid w:val="7644A45C"/>
    <w:multiLevelType w:val="hybridMultilevel"/>
    <w:lvl w:ilvl="0">
      <w:lvlJc w:val="left"/>
      <w:lvlText w:val="•"/>
      <w:numFmt w:val="bullet"/>
      <w:start w:val="1"/>
    </w:lvl>
  </w:abstractNum>
  <w:abstractNum w:abstractNumId="36">
    <w:nsid w:val="32FFF902"/>
    <w:multiLevelType w:val="hybridMultilevel"/>
    <w:lvl w:ilvl="0">
      <w:lvlJc w:val="left"/>
      <w:lvlText w:val="•"/>
      <w:numFmt w:val="bullet"/>
      <w:start w:val="1"/>
    </w:lvl>
  </w:abstractNum>
  <w:abstractNum w:abstractNumId="37">
    <w:nsid w:val="684A481A"/>
    <w:multiLevelType w:val="hybridMultilevel"/>
    <w:lvl w:ilvl="0">
      <w:lvlJc w:val="left"/>
      <w:lvlText w:val="•"/>
      <w:numFmt w:val="bullet"/>
      <w:start w:val="1"/>
    </w:lvl>
  </w:abstractNum>
  <w:abstractNum w:abstractNumId="38">
    <w:nsid w:val="579478FE"/>
    <w:multiLevelType w:val="hybridMultilevel"/>
    <w:lvl w:ilvl="0">
      <w:lvlJc w:val="left"/>
      <w:lvlText w:val="•"/>
      <w:numFmt w:val="bullet"/>
      <w:start w:val="1"/>
    </w:lvl>
  </w:abstractNum>
  <w:abstractNum w:abstractNumId="39">
    <w:nsid w:val="749ABB43"/>
    <w:multiLevelType w:val="hybridMultilevel"/>
    <w:lvl w:ilvl="0">
      <w:lvlJc w:val="left"/>
      <w:lvlText w:val="•"/>
      <w:numFmt w:val="bullet"/>
      <w:start w:val="1"/>
    </w:lvl>
  </w:abstractNum>
  <w:abstractNum w:abstractNumId="40">
    <w:nsid w:val="3DC240FB"/>
    <w:multiLevelType w:val="hybridMultilevel"/>
    <w:lvl w:ilvl="0">
      <w:lvlJc w:val="left"/>
      <w:lvlText w:val="•"/>
      <w:numFmt w:val="bullet"/>
      <w:start w:val="1"/>
    </w:lvl>
  </w:abstractNum>
  <w:abstractNum w:abstractNumId="41">
    <w:nsid w:val="1BA026FA"/>
    <w:multiLevelType w:val="hybridMultilevel"/>
    <w:lvl w:ilvl="0">
      <w:lvlJc w:val="left"/>
      <w:lvlText w:val="•"/>
      <w:numFmt w:val="bullet"/>
      <w:start w:val="1"/>
    </w:lvl>
  </w:abstractNum>
  <w:abstractNum w:abstractNumId="42">
    <w:nsid w:val="79A1DEAA"/>
    <w:multiLevelType w:val="hybridMultilevel"/>
    <w:lvl w:ilvl="0">
      <w:lvlJc w:val="left"/>
      <w:lvlText w:val="•"/>
      <w:numFmt w:val="bullet"/>
      <w:start w:val="1"/>
    </w:lvl>
  </w:abstractNum>
  <w:abstractNum w:abstractNumId="43">
    <w:nsid w:val="75C6C33A"/>
    <w:multiLevelType w:val="hybridMultilevel"/>
    <w:lvl w:ilvl="0">
      <w:lvlJc w:val="left"/>
      <w:lvlText w:val="•"/>
      <w:numFmt w:val="bullet"/>
      <w:start w:val="1"/>
    </w:lvl>
  </w:abstractNum>
  <w:abstractNum w:abstractNumId="44">
    <w:nsid w:val="12E685FB"/>
    <w:multiLevelType w:val="hybridMultilevel"/>
    <w:lvl w:ilvl="0">
      <w:lvlJc w:val="left"/>
      <w:lvlText w:val="•"/>
      <w:numFmt w:val="bullet"/>
      <w:start w:val="1"/>
    </w:lvl>
  </w:abstractNum>
  <w:abstractNum w:abstractNumId="45">
    <w:nsid w:val="70C6A529"/>
    <w:multiLevelType w:val="hybridMultilevel"/>
    <w:lvl w:ilvl="0">
      <w:lvlJc w:val="left"/>
      <w:lvlText w:val="•"/>
      <w:numFmt w:val="bullet"/>
      <w:start w:val="1"/>
    </w:lvl>
  </w:abstractNum>
  <w:abstractNum w:abstractNumId="46">
    <w:nsid w:val="520EEDD1"/>
    <w:multiLevelType w:val="hybridMultilevel"/>
    <w:lvl w:ilvl="0">
      <w:lvlJc w:val="left"/>
      <w:lvlText w:val="(%1)"/>
      <w:numFmt w:val="decimal"/>
      <w:start w:val="1"/>
    </w:lvl>
  </w:abstractNum>
  <w:abstractNum w:abstractNumId="47">
    <w:nsid w:val="374A3FE6"/>
    <w:multiLevelType w:val="hybridMultilevel"/>
    <w:lvl w:ilvl="0">
      <w:lvlJc w:val="left"/>
      <w:lvlText w:val="%1."/>
      <w:numFmt w:val="upperLetter"/>
      <w:start w:val="2"/>
    </w:lvl>
  </w:abstractNum>
  <w:abstractNum w:abstractNumId="48">
    <w:nsid w:val="4F4EF005"/>
    <w:multiLevelType w:val="hybridMultilevel"/>
    <w:lvl w:ilvl="0">
      <w:lvlJc w:val="left"/>
      <w:lvlText w:val="(%1)"/>
      <w:numFmt w:val="lowerLetter"/>
      <w:start w:val="1"/>
    </w:lvl>
  </w:abstractNum>
  <w:abstractNum w:abstractNumId="49">
    <w:nsid w:val="23F9C13C"/>
    <w:multiLevelType w:val="hybridMultilevel"/>
    <w:lvl w:ilvl="0">
      <w:lvlJc w:val="left"/>
      <w:lvlText w:val="%1"/>
      <w:numFmt w:val="lowerLetter"/>
      <w:start w:val="1"/>
    </w:lvl>
    <w:lvl w:ilvl="1">
      <w:lvlJc w:val="left"/>
      <w:lvlText w:val="(%2)"/>
      <w:numFmt w:val="lowerLetter"/>
      <w:start w:val="1"/>
    </w:lvl>
  </w:abstractNum>
  <w:abstractNum w:abstractNumId="50">
    <w:nsid w:val="649BB77C"/>
    <w:multiLevelType w:val="hybridMultilevel"/>
    <w:lvl w:ilvl="0">
      <w:lvlJc w:val="left"/>
      <w:lvlText w:val="(%1)"/>
      <w:numFmt w:val="lowerLetter"/>
      <w:start w:val="35"/>
    </w:lvl>
    <w:lvl w:ilvl="1">
      <w:lvlJc w:val="left"/>
      <w:lvlText w:val="%2"/>
      <w:numFmt w:val="lowerLetter"/>
      <w:start w:val="1"/>
    </w:lvl>
  </w:abstractNum>
  <w:abstractNum w:abstractNumId="51">
    <w:nsid w:val="275AC794"/>
    <w:multiLevelType w:val="hybridMultilevel"/>
    <w:lvl w:ilvl="0">
      <w:lvlJc w:val="left"/>
      <w:lvlText w:val="(%1)"/>
      <w:numFmt w:val="lowerLetter"/>
      <w:start w:val="1"/>
    </w:lvl>
    <w:lvl w:ilvl="1">
      <w:lvlJc w:val="left"/>
      <w:lvlText w:val="(%2)"/>
      <w:numFmt w:val="lowerLetter"/>
      <w:start w:val="9"/>
    </w:lvl>
  </w:abstractNum>
  <w:abstractNum w:abstractNumId="52">
    <w:nsid w:val="39386575"/>
    <w:multiLevelType w:val="hybridMultilevel"/>
    <w:lvl w:ilvl="0">
      <w:lvlJc w:val="left"/>
      <w:lvlText w:val="(%1)"/>
      <w:numFmt w:val="lowerRoman"/>
      <w:start w:val="2"/>
    </w:lvl>
  </w:abstractNum>
  <w:abstractNum w:abstractNumId="53">
    <w:nsid w:val="1CF10FD8"/>
    <w:multiLevelType w:val="hybridMultilevel"/>
    <w:lvl w:ilvl="0">
      <w:lvlJc w:val="left"/>
      <w:lvlText w:val="(%1)"/>
      <w:numFmt w:val="lowerLetter"/>
      <w:start w:val="2"/>
    </w:lvl>
  </w:abstractNum>
  <w:abstractNum w:abstractNumId="54">
    <w:nsid w:val="180115BE"/>
    <w:multiLevelType w:val="hybridMultilevel"/>
    <w:lvl w:ilvl="0">
      <w:lvlJc w:val="left"/>
      <w:lvlText w:val="(%1)"/>
      <w:numFmt w:val="lowerLetter"/>
      <w:start w:val="1"/>
    </w:lvl>
  </w:abstractNum>
  <w:abstractNum w:abstractNumId="55">
    <w:nsid w:val="235BA861"/>
    <w:multiLevelType w:val="hybridMultilevel"/>
    <w:lvl w:ilvl="0">
      <w:lvlJc w:val="left"/>
      <w:lvlText w:val="(%1)"/>
      <w:numFmt w:val="lowerLetter"/>
      <w:start w:val="1"/>
    </w:lvl>
    <w:lvl w:ilvl="1">
      <w:lvlJc w:val="left"/>
      <w:lvlText w:val="(%2)"/>
      <w:numFmt w:val="lowerRoman"/>
      <w:start w:val="1"/>
    </w:lvl>
  </w:abstractNum>
  <w:abstractNum w:abstractNumId="56">
    <w:nsid w:val="47398C89"/>
    <w:multiLevelType w:val="hybridMultilevel"/>
    <w:lvl w:ilvl="0">
      <w:lvlJc w:val="left"/>
      <w:lvlText w:val="(%1)"/>
      <w:numFmt w:val="lowerLetter"/>
      <w:start w:val="4"/>
    </w:lvl>
  </w:abstractNum>
  <w:abstractNum w:abstractNumId="57">
    <w:nsid w:val="354FE9F9"/>
    <w:multiLevelType w:val="hybridMultilevel"/>
    <w:lvl w:ilvl="0">
      <w:lvlJc w:val="left"/>
      <w:lvlText w:val="(%1)"/>
      <w:numFmt w:val="lowerLetter"/>
      <w:start w:val="9"/>
    </w:lvl>
  </w:abstractNum>
  <w:abstractNum w:abstractNumId="58">
    <w:nsid w:val="15B5AF5C"/>
    <w:multiLevelType w:val="hybridMultilevel"/>
    <w:lvl w:ilvl="0">
      <w:lvlJc w:val="left"/>
      <w:lvlText w:val="%1)"/>
      <w:numFmt w:val="decimal"/>
      <w:start w:val="1"/>
    </w:lvl>
  </w:abstractNum>
  <w:abstractNum w:abstractNumId="59">
    <w:nsid w:val="741226B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2023-08-07T16:35:05Z</dcterms:created>
  <dcterms:modified xsi:type="dcterms:W3CDTF">2023-08-07T16:35:05Z</dcterms:modified>
</cp:coreProperties>
</file>