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83185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pacing w:after="0" w:line="21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82" w:lineRule="exact"/>
        <w:rPr>
          <w:sz w:val="24"/>
          <w:szCs w:val="24"/>
          <w:color w:val="auto"/>
        </w:rPr>
      </w:pPr>
    </w:p>
    <w:p>
      <w:pPr>
        <w:ind w:left="660" w:hanging="188"/>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2"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4"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OR</w:t>
      </w:r>
    </w:p>
    <w:p>
      <w:pPr>
        <w:spacing w:after="0" w:line="43" w:lineRule="exact"/>
        <w:rPr>
          <w:sz w:val="24"/>
          <w:szCs w:val="24"/>
          <w:color w:val="auto"/>
        </w:rPr>
      </w:pPr>
    </w:p>
    <w:p>
      <w:pPr>
        <w:ind w:left="300"/>
        <w:spacing w:after="0" w:line="207" w:lineRule="exact"/>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85725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AXSOME THERAPEUTICS, INC.</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7" w:lineRule="exact"/>
        <w:rPr>
          <w:sz w:val="24"/>
          <w:szCs w:val="24"/>
          <w:color w:val="auto"/>
        </w:rPr>
      </w:pPr>
    </w:p>
    <w:tbl>
      <w:tblPr>
        <w:tblLayout w:type="fixed"/>
        <w:tblInd w:w="1180" w:type="dxa"/>
        <w:tblCellMar>
          <w:top w:w="0" w:type="dxa"/>
          <w:left w:w="0" w:type="dxa"/>
          <w:bottom w:w="0" w:type="dxa"/>
          <w:right w:w="0" w:type="dxa"/>
        </w:tblCellMar>
      </w:tblPr>
      <w:tr>
        <w:trPr>
          <w:trHeight w:val="216"/>
        </w:trPr>
        <w:tc>
          <w:tcPr>
            <w:tcW w:w="3740" w:type="dxa"/>
            <w:vAlign w:val="bottom"/>
          </w:tcPr>
          <w:p>
            <w:pPr>
              <w:jc w:val="center"/>
              <w:ind w:right="1058"/>
              <w:spacing w:after="0"/>
              <w:rPr>
                <w:sz w:val="20"/>
                <w:szCs w:val="20"/>
                <w:color w:val="auto"/>
              </w:rPr>
            </w:pPr>
            <w:r>
              <w:rPr>
                <w:rFonts w:ascii="Arial" w:cs="Arial" w:eastAsia="Arial" w:hAnsi="Arial"/>
                <w:sz w:val="18"/>
                <w:szCs w:val="18"/>
                <w:b w:val="1"/>
                <w:bCs w:val="1"/>
                <w:color w:val="auto"/>
                <w:w w:val="91"/>
              </w:rPr>
              <w:t>Delaware</w:t>
            </w:r>
          </w:p>
        </w:tc>
        <w:tc>
          <w:tcPr>
            <w:tcW w:w="3900" w:type="dxa"/>
            <w:vAlign w:val="bottom"/>
          </w:tcPr>
          <w:p>
            <w:pPr>
              <w:jc w:val="right"/>
              <w:ind w:right="863"/>
              <w:spacing w:after="0"/>
              <w:rPr>
                <w:sz w:val="20"/>
                <w:szCs w:val="20"/>
                <w:color w:val="auto"/>
              </w:rPr>
            </w:pPr>
            <w:r>
              <w:rPr>
                <w:rFonts w:ascii="Arial" w:cs="Arial" w:eastAsia="Arial" w:hAnsi="Arial"/>
                <w:sz w:val="18"/>
                <w:szCs w:val="18"/>
                <w:b w:val="1"/>
                <w:bCs w:val="1"/>
                <w:color w:val="auto"/>
              </w:rPr>
              <w:t>45-4241907</w:t>
            </w:r>
          </w:p>
        </w:tc>
      </w:tr>
      <w:tr>
        <w:trPr>
          <w:trHeight w:val="148"/>
        </w:trPr>
        <w:tc>
          <w:tcPr>
            <w:tcW w:w="3740" w:type="dxa"/>
            <w:vAlign w:val="bottom"/>
          </w:tcPr>
          <w:p>
            <w:pPr>
              <w:jc w:val="center"/>
              <w:ind w:right="103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900" w:type="dxa"/>
            <w:vAlign w:val="bottom"/>
          </w:tcPr>
          <w:p>
            <w:pPr>
              <w:jc w:val="center"/>
              <w:ind w:left="1063"/>
              <w:spacing w:after="0" w:line="149" w:lineRule="exact"/>
              <w:rPr>
                <w:sz w:val="20"/>
                <w:szCs w:val="20"/>
                <w:color w:val="auto"/>
              </w:rPr>
            </w:pPr>
            <w:r>
              <w:rPr>
                <w:rFonts w:ascii="Arial" w:cs="Arial" w:eastAsia="Arial" w:hAnsi="Arial"/>
                <w:sz w:val="14"/>
                <w:szCs w:val="14"/>
                <w:color w:val="auto"/>
                <w:w w:val="97"/>
              </w:rPr>
              <w:t>(I.R.S. Employer</w:t>
            </w:r>
          </w:p>
        </w:tc>
      </w:tr>
      <w:tr>
        <w:trPr>
          <w:trHeight w:val="182"/>
        </w:trPr>
        <w:tc>
          <w:tcPr>
            <w:tcW w:w="3740" w:type="dxa"/>
            <w:vAlign w:val="bottom"/>
          </w:tcPr>
          <w:p>
            <w:pPr>
              <w:jc w:val="center"/>
              <w:ind w:right="1038"/>
              <w:spacing w:after="0"/>
              <w:rPr>
                <w:sz w:val="20"/>
                <w:szCs w:val="20"/>
                <w:color w:val="auto"/>
              </w:rPr>
            </w:pPr>
            <w:r>
              <w:rPr>
                <w:rFonts w:ascii="Arial" w:cs="Arial" w:eastAsia="Arial" w:hAnsi="Arial"/>
                <w:sz w:val="14"/>
                <w:szCs w:val="14"/>
                <w:color w:val="auto"/>
                <w:w w:val="95"/>
              </w:rPr>
              <w:t>incorporation or organization)</w:t>
            </w:r>
          </w:p>
        </w:tc>
        <w:tc>
          <w:tcPr>
            <w:tcW w:w="3900" w:type="dxa"/>
            <w:vAlign w:val="bottom"/>
          </w:tcPr>
          <w:p>
            <w:pPr>
              <w:jc w:val="center"/>
              <w:ind w:left="1063"/>
              <w:spacing w:after="0"/>
              <w:rPr>
                <w:sz w:val="20"/>
                <w:szCs w:val="20"/>
                <w:color w:val="auto"/>
              </w:rPr>
            </w:pPr>
            <w:r>
              <w:rPr>
                <w:rFonts w:ascii="Arial" w:cs="Arial" w:eastAsia="Arial" w:hAnsi="Arial"/>
                <w:sz w:val="14"/>
                <w:szCs w:val="14"/>
                <w:color w:val="auto"/>
                <w:w w:val="99"/>
              </w:rPr>
              <w:t>Identification No.)</w:t>
            </w:r>
          </w:p>
        </w:tc>
      </w:tr>
      <w:tr>
        <w:trPr>
          <w:trHeight w:val="264"/>
        </w:trPr>
        <w:tc>
          <w:tcPr>
            <w:tcW w:w="3740" w:type="dxa"/>
            <w:vAlign w:val="bottom"/>
          </w:tcPr>
          <w:p>
            <w:pPr>
              <w:jc w:val="center"/>
              <w:ind w:right="1038"/>
              <w:spacing w:after="0"/>
              <w:rPr>
                <w:sz w:val="20"/>
                <w:szCs w:val="20"/>
                <w:color w:val="auto"/>
              </w:rPr>
            </w:pPr>
            <w:r>
              <w:rPr>
                <w:rFonts w:ascii="Arial" w:cs="Arial" w:eastAsia="Arial" w:hAnsi="Arial"/>
                <w:sz w:val="18"/>
                <w:szCs w:val="18"/>
                <w:b w:val="1"/>
                <w:bCs w:val="1"/>
                <w:color w:val="auto"/>
                <w:w w:val="90"/>
              </w:rPr>
              <w:t>200 Broadway</w:t>
            </w:r>
          </w:p>
        </w:tc>
        <w:tc>
          <w:tcPr>
            <w:tcW w:w="3900" w:type="dxa"/>
            <w:vAlign w:val="bottom"/>
          </w:tcPr>
          <w:p>
            <w:pPr>
              <w:spacing w:after="0"/>
              <w:rPr>
                <w:sz w:val="22"/>
                <w:szCs w:val="22"/>
                <w:color w:val="auto"/>
              </w:rPr>
            </w:pPr>
          </w:p>
        </w:tc>
      </w:tr>
      <w:tr>
        <w:trPr>
          <w:trHeight w:val="216"/>
        </w:trPr>
        <w:tc>
          <w:tcPr>
            <w:tcW w:w="3740" w:type="dxa"/>
            <w:vAlign w:val="bottom"/>
          </w:tcPr>
          <w:p>
            <w:pPr>
              <w:jc w:val="center"/>
              <w:ind w:right="1058"/>
              <w:spacing w:after="0"/>
              <w:rPr>
                <w:sz w:val="20"/>
                <w:szCs w:val="20"/>
                <w:color w:val="auto"/>
              </w:rPr>
            </w:pPr>
            <w:r>
              <w:rPr>
                <w:rFonts w:ascii="Arial" w:cs="Arial" w:eastAsia="Arial" w:hAnsi="Arial"/>
                <w:sz w:val="18"/>
                <w:szCs w:val="18"/>
                <w:b w:val="1"/>
                <w:bCs w:val="1"/>
                <w:color w:val="auto"/>
                <w:w w:val="94"/>
              </w:rPr>
              <w:t>3</w:t>
            </w:r>
            <w:r>
              <w:rPr>
                <w:rFonts w:ascii="Arial" w:cs="Arial" w:eastAsia="Arial" w:hAnsi="Arial"/>
                <w:sz w:val="8"/>
                <w:szCs w:val="8"/>
                <w:b w:val="1"/>
                <w:bCs w:val="1"/>
                <w:color w:val="auto"/>
                <w:w w:val="94"/>
              </w:rPr>
              <w:t>rd</w:t>
            </w:r>
            <w:r>
              <w:rPr>
                <w:rFonts w:ascii="Arial" w:cs="Arial" w:eastAsia="Arial" w:hAnsi="Arial"/>
                <w:sz w:val="18"/>
                <w:szCs w:val="18"/>
                <w:b w:val="1"/>
                <w:bCs w:val="1"/>
                <w:color w:val="auto"/>
                <w:w w:val="94"/>
              </w:rPr>
              <w:t xml:space="preserve"> Floor</w:t>
            </w:r>
          </w:p>
        </w:tc>
        <w:tc>
          <w:tcPr>
            <w:tcW w:w="3900" w:type="dxa"/>
            <w:vAlign w:val="bottom"/>
          </w:tcPr>
          <w:p>
            <w:pPr>
              <w:jc w:val="right"/>
              <w:ind w:right="1083"/>
              <w:spacing w:after="0"/>
              <w:rPr>
                <w:sz w:val="20"/>
                <w:szCs w:val="20"/>
                <w:color w:val="auto"/>
              </w:rPr>
            </w:pPr>
            <w:r>
              <w:rPr>
                <w:rFonts w:ascii="Arial" w:cs="Arial" w:eastAsia="Arial" w:hAnsi="Arial"/>
                <w:sz w:val="18"/>
                <w:szCs w:val="18"/>
                <w:b w:val="1"/>
                <w:bCs w:val="1"/>
                <w:color w:val="auto"/>
              </w:rPr>
              <w:t>10038</w:t>
            </w:r>
          </w:p>
        </w:tc>
      </w:tr>
      <w:tr>
        <w:trPr>
          <w:trHeight w:val="216"/>
        </w:trPr>
        <w:tc>
          <w:tcPr>
            <w:tcW w:w="3740" w:type="dxa"/>
            <w:vAlign w:val="bottom"/>
          </w:tcPr>
          <w:p>
            <w:pPr>
              <w:jc w:val="center"/>
              <w:ind w:right="1038"/>
              <w:spacing w:after="0"/>
              <w:rPr>
                <w:sz w:val="20"/>
                <w:szCs w:val="20"/>
                <w:color w:val="auto"/>
              </w:rPr>
            </w:pPr>
            <w:r>
              <w:rPr>
                <w:rFonts w:ascii="Arial" w:cs="Arial" w:eastAsia="Arial" w:hAnsi="Arial"/>
                <w:sz w:val="18"/>
                <w:szCs w:val="18"/>
                <w:b w:val="1"/>
                <w:bCs w:val="1"/>
                <w:color w:val="auto"/>
                <w:w w:val="93"/>
              </w:rPr>
              <w:t>New York, New York</w:t>
            </w:r>
          </w:p>
        </w:tc>
        <w:tc>
          <w:tcPr>
            <w:tcW w:w="3900" w:type="dxa"/>
            <w:vAlign w:val="bottom"/>
          </w:tcPr>
          <w:p>
            <w:pPr>
              <w:jc w:val="center"/>
              <w:ind w:left="1063"/>
              <w:spacing w:after="0"/>
              <w:rPr>
                <w:sz w:val="20"/>
                <w:szCs w:val="20"/>
                <w:color w:val="auto"/>
              </w:rPr>
            </w:pPr>
            <w:r>
              <w:rPr>
                <w:rFonts w:ascii="Arial" w:cs="Arial" w:eastAsia="Arial" w:hAnsi="Arial"/>
                <w:sz w:val="14"/>
                <w:szCs w:val="14"/>
                <w:color w:val="auto"/>
                <w:w w:val="96"/>
              </w:rPr>
              <w:t>(Zip Code)</w:t>
            </w:r>
          </w:p>
        </w:tc>
      </w:tr>
      <w:tr>
        <w:trPr>
          <w:trHeight w:val="182"/>
        </w:trPr>
        <w:tc>
          <w:tcPr>
            <w:tcW w:w="3740" w:type="dxa"/>
            <w:vAlign w:val="bottom"/>
          </w:tcPr>
          <w:p>
            <w:pPr>
              <w:jc w:val="center"/>
              <w:ind w:right="1058"/>
              <w:spacing w:after="0"/>
              <w:rPr>
                <w:sz w:val="20"/>
                <w:szCs w:val="20"/>
                <w:color w:val="auto"/>
              </w:rPr>
            </w:pPr>
            <w:r>
              <w:rPr>
                <w:rFonts w:ascii="Arial" w:cs="Arial" w:eastAsia="Arial" w:hAnsi="Arial"/>
                <w:sz w:val="14"/>
                <w:szCs w:val="14"/>
                <w:color w:val="auto"/>
                <w:w w:val="95"/>
              </w:rPr>
              <w:t>(Address of principal executive offices)</w:t>
            </w:r>
          </w:p>
        </w:tc>
        <w:tc>
          <w:tcPr>
            <w:tcW w:w="3900" w:type="dxa"/>
            <w:vAlign w:val="bottom"/>
          </w:tcPr>
          <w:p>
            <w:pPr>
              <w:spacing w:after="0"/>
              <w:rPr>
                <w:sz w:val="15"/>
                <w:szCs w:val="15"/>
                <w:color w:val="auto"/>
              </w:rPr>
            </w:pPr>
          </w:p>
        </w:tc>
      </w:tr>
      <w:tr>
        <w:trPr>
          <w:trHeight w:val="269"/>
        </w:trPr>
        <w:tc>
          <w:tcPr>
            <w:tcW w:w="7640" w:type="dxa"/>
            <w:vAlign w:val="bottom"/>
            <w:gridSpan w:val="2"/>
          </w:tcPr>
          <w:p>
            <w:pPr>
              <w:ind w:left="1360"/>
              <w:spacing w:after="0"/>
              <w:rPr>
                <w:sz w:val="20"/>
                <w:szCs w:val="20"/>
                <w:color w:val="auto"/>
              </w:rPr>
            </w:pPr>
            <w:r>
              <w:rPr>
                <w:rFonts w:ascii="Arial" w:cs="Arial" w:eastAsia="Arial" w:hAnsi="Arial"/>
                <w:sz w:val="18"/>
                <w:szCs w:val="18"/>
                <w:b w:val="1"/>
                <w:bCs w:val="1"/>
                <w:color w:val="auto"/>
              </w:rPr>
              <w:t>Registrant’s telephone number, including area code: (212) 332-3241</w:t>
            </w:r>
          </w:p>
        </w:tc>
      </w:tr>
      <w:tr>
        <w:trPr>
          <w:trHeight w:val="283"/>
        </w:trPr>
        <w:tc>
          <w:tcPr>
            <w:tcW w:w="7640" w:type="dxa"/>
            <w:vAlign w:val="bottom"/>
            <w:gridSpan w:val="2"/>
          </w:tcPr>
          <w:p>
            <w:pPr>
              <w:ind w:left="158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170"/>
        </w:trPr>
        <w:tc>
          <w:tcPr>
            <w:tcW w:w="3740" w:type="dxa"/>
            <w:vAlign w:val="bottom"/>
          </w:tcPr>
          <w:p>
            <w:pPr>
              <w:jc w:val="center"/>
              <w:ind w:right="1038"/>
              <w:spacing w:after="0"/>
              <w:rPr>
                <w:sz w:val="20"/>
                <w:szCs w:val="20"/>
                <w:color w:val="auto"/>
              </w:rPr>
            </w:pPr>
            <w:r>
              <w:rPr>
                <w:rFonts w:ascii="Arial" w:cs="Arial" w:eastAsia="Arial" w:hAnsi="Arial"/>
                <w:sz w:val="14"/>
                <w:szCs w:val="14"/>
                <w:color w:val="auto"/>
                <w:w w:val="91"/>
              </w:rPr>
              <w:t>Common Stock, Par Value $0.0001 Per Share</w:t>
            </w:r>
          </w:p>
        </w:tc>
        <w:tc>
          <w:tcPr>
            <w:tcW w:w="3900" w:type="dxa"/>
            <w:vAlign w:val="bottom"/>
          </w:tcPr>
          <w:p>
            <w:pPr>
              <w:jc w:val="center"/>
              <w:ind w:left="1063"/>
              <w:spacing w:after="0"/>
              <w:rPr>
                <w:sz w:val="20"/>
                <w:szCs w:val="20"/>
                <w:color w:val="auto"/>
              </w:rPr>
            </w:pPr>
            <w:r>
              <w:rPr>
                <w:rFonts w:ascii="Arial" w:cs="Arial" w:eastAsia="Arial" w:hAnsi="Arial"/>
                <w:sz w:val="14"/>
                <w:szCs w:val="14"/>
                <w:color w:val="auto"/>
                <w:w w:val="94"/>
              </w:rPr>
              <w:t>Nasdaq Global Market</w:t>
            </w:r>
          </w:p>
        </w:tc>
      </w:tr>
      <w:tr>
        <w:trPr>
          <w:trHeight w:val="182"/>
        </w:trPr>
        <w:tc>
          <w:tcPr>
            <w:tcW w:w="3740" w:type="dxa"/>
            <w:vAlign w:val="bottom"/>
          </w:tcPr>
          <w:p>
            <w:pPr>
              <w:jc w:val="center"/>
              <w:ind w:right="1038"/>
              <w:spacing w:after="0"/>
              <w:rPr>
                <w:sz w:val="20"/>
                <w:szCs w:val="20"/>
                <w:color w:val="auto"/>
              </w:rPr>
            </w:pPr>
            <w:r>
              <w:rPr>
                <w:rFonts w:ascii="Arial" w:cs="Arial" w:eastAsia="Arial" w:hAnsi="Arial"/>
                <w:sz w:val="14"/>
                <w:szCs w:val="14"/>
                <w:color w:val="auto"/>
                <w:w w:val="95"/>
              </w:rPr>
              <w:t>(Title of Class)</w:t>
            </w:r>
          </w:p>
        </w:tc>
        <w:tc>
          <w:tcPr>
            <w:tcW w:w="3900" w:type="dxa"/>
            <w:vAlign w:val="bottom"/>
          </w:tcPr>
          <w:p>
            <w:pPr>
              <w:jc w:val="center"/>
              <w:ind w:left="1063"/>
              <w:spacing w:after="0"/>
              <w:rPr>
                <w:sz w:val="20"/>
                <w:szCs w:val="20"/>
                <w:color w:val="auto"/>
              </w:rPr>
            </w:pPr>
            <w:r>
              <w:rPr>
                <w:rFonts w:ascii="Arial" w:cs="Arial" w:eastAsia="Arial" w:hAnsi="Arial"/>
                <w:sz w:val="14"/>
                <w:szCs w:val="14"/>
                <w:color w:val="auto"/>
                <w:w w:val="92"/>
              </w:rPr>
              <w:t>(Name of Each Exchange on Which Registered)</w:t>
            </w:r>
          </w:p>
        </w:tc>
      </w:tr>
    </w:tbl>
    <w:p>
      <w:pPr>
        <w:spacing w:after="0" w:line="1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None</w:t>
      </w:r>
    </w:p>
    <w:p>
      <w:pPr>
        <w:spacing w:after="0" w:line="43"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13"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7"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13"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7" w:lineRule="exact"/>
        <w:rPr>
          <w:sz w:val="24"/>
          <w:szCs w:val="24"/>
          <w:color w:val="auto"/>
        </w:rPr>
      </w:pPr>
    </w:p>
    <w:p>
      <w:pPr>
        <w:ind w:right="20" w:firstLine="64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2" w:lineRule="exact"/>
        <w:rPr>
          <w:sz w:val="24"/>
          <w:szCs w:val="24"/>
          <w:color w:val="auto"/>
        </w:rPr>
      </w:pPr>
    </w:p>
    <w:p>
      <w:pPr>
        <w:ind w:right="540"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firstLine="648"/>
        <w:spacing w:after="0" w:line="18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31" w:lineRule="exact"/>
        <w:rPr>
          <w:sz w:val="24"/>
          <w:szCs w:val="24"/>
          <w:color w:val="auto"/>
        </w:rPr>
      </w:pPr>
    </w:p>
    <w:p>
      <w:pPr>
        <w:ind w:right="80" w:firstLine="64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 and “emerging growth company” in Rule 12b-2 of the Exchange Act).</w:t>
      </w:r>
    </w:p>
    <w:p>
      <w:pPr>
        <w:sectPr>
          <w:pgSz w:w="11900" w:h="16838" w:orient="portrait"/>
          <w:cols w:equalWidth="0" w:num="1">
            <w:col w:w="9880"/>
          </w:cols>
          <w:pgMar w:left="980" w:top="233" w:right="1039" w:bottom="1440" w:gutter="0" w:footer="0" w:header="0"/>
        </w:sectPr>
      </w:pPr>
    </w:p>
    <w:p>
      <w:pPr>
        <w:spacing w:after="0" w:line="34" w:lineRule="exact"/>
        <w:rPr>
          <w:sz w:val="24"/>
          <w:szCs w:val="24"/>
          <w:color w:val="auto"/>
        </w:rPr>
      </w:pPr>
    </w:p>
    <w:p>
      <w:pPr>
        <w:jc w:val="center"/>
        <w:ind w:left="8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4360" w:space="720"/>
            <w:col w:w="4800"/>
          </w:cols>
          <w:pgMar w:left="980" w:top="233" w:right="1039" w:bottom="1440" w:gutter="0" w:footer="0" w:header="0"/>
          <w:type w:val="continuous"/>
        </w:sectPr>
      </w:pPr>
    </w:p>
    <w:p>
      <w:pPr>
        <w:jc w:val="center"/>
        <w:ind w:left="86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7" w:lineRule="exact"/>
        <w:rPr>
          <w:sz w:val="24"/>
          <w:szCs w:val="24"/>
          <w:color w:val="auto"/>
        </w:rPr>
      </w:pPr>
    </w:p>
    <w:p>
      <w:pPr>
        <w:sectPr>
          <w:pgSz w:w="11900" w:h="16838" w:orient="portrait"/>
          <w:cols w:equalWidth="0" w:num="2">
            <w:col w:w="4360" w:space="720"/>
            <w:col w:w="4800"/>
          </w:cols>
          <w:pgMar w:left="980" w:top="233" w:right="1039" w:bottom="1440" w:gutter="0" w:footer="0" w:header="0"/>
          <w:type w:val="continuous"/>
        </w:sectPr>
      </w:pPr>
    </w:p>
    <w:p>
      <w:pPr>
        <w:ind w:right="220" w:firstLine="648"/>
        <w:spacing w:after="0" w:line="16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jc w:val="both"/>
        <w:ind w:right="100" w:firstLine="648"/>
        <w:spacing w:after="0" w:line="238" w:lineRule="auto"/>
        <w:rPr>
          <w:sz w:val="20"/>
          <w:szCs w:val="20"/>
          <w:color w:val="auto"/>
        </w:rPr>
      </w:pPr>
      <w:r>
        <w:rPr>
          <w:rFonts w:ascii="Arial" w:cs="Arial" w:eastAsia="Arial" w:hAnsi="Arial"/>
          <w:sz w:val="14"/>
          <w:szCs w:val="14"/>
          <w:color w:val="auto"/>
        </w:rPr>
        <w:t>The aggregate market value of voting common stock held by non-affiliates of the registrant (assuming for purposes of this calculation, without conceding, that all executive officers and directors are “affiliates”) was approximately $675.0 million as of June 28, 2019, based on the closing sale price of such stock as reported on the Nasdaq Global Market.</w:t>
      </w:r>
    </w:p>
    <w:p>
      <w:pPr>
        <w:spacing w:after="0" w:line="34" w:lineRule="exact"/>
        <w:rPr>
          <w:sz w:val="24"/>
          <w:szCs w:val="24"/>
          <w:color w:val="auto"/>
        </w:rPr>
      </w:pPr>
    </w:p>
    <w:p>
      <w:pPr>
        <w:ind w:left="660"/>
        <w:spacing w:after="0"/>
        <w:rPr>
          <w:sz w:val="20"/>
          <w:szCs w:val="20"/>
          <w:color w:val="auto"/>
        </w:rPr>
      </w:pPr>
      <w:r>
        <w:rPr>
          <w:rFonts w:ascii="Arial" w:cs="Arial" w:eastAsia="Arial" w:hAnsi="Arial"/>
          <w:sz w:val="14"/>
          <w:szCs w:val="14"/>
          <w:color w:val="auto"/>
        </w:rPr>
        <w:t>There were 37,075,422 shares of the registrant’s common stock outstanding as of March 6, 2020.</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76" w:lineRule="exact"/>
        <w:rPr>
          <w:sz w:val="24"/>
          <w:szCs w:val="24"/>
          <w:color w:val="auto"/>
        </w:rPr>
      </w:pPr>
    </w:p>
    <w:p>
      <w:pPr>
        <w:ind w:left="280" w:right="60" w:firstLine="478"/>
        <w:spacing w:after="0" w:line="248" w:lineRule="auto"/>
        <w:rPr>
          <w:sz w:val="20"/>
          <w:szCs w:val="20"/>
          <w:color w:val="auto"/>
        </w:rPr>
      </w:pPr>
      <w:r>
        <w:rPr>
          <w:rFonts w:ascii="Arial" w:cs="Arial" w:eastAsia="Arial" w:hAnsi="Arial"/>
          <w:sz w:val="13"/>
          <w:szCs w:val="13"/>
          <w:color w:val="auto"/>
        </w:rPr>
        <w:t>Portions of the registrant's definitive proxy statement for its 2020 Annual Meeting of Stockholders (the "Proxy Statement"), to be filed within 120 days of the registrant's fiscal year ended December 31, 2019, are incorporated by reference in Part III of this Annual Report on Form 10-K. Except with respect to information</w:t>
      </w:r>
    </w:p>
    <w:p>
      <w:pPr>
        <w:ind w:left="160"/>
        <w:spacing w:after="0"/>
        <w:rPr>
          <w:sz w:val="20"/>
          <w:szCs w:val="20"/>
          <w:color w:val="auto"/>
        </w:rPr>
      </w:pPr>
      <w:r>
        <w:rPr>
          <w:rFonts w:ascii="Arial" w:cs="Arial" w:eastAsia="Arial" w:hAnsi="Arial"/>
          <w:sz w:val="13"/>
          <w:szCs w:val="13"/>
          <w:color w:val="auto"/>
        </w:rPr>
        <w:t>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192405</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560705</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233" w:right="103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gridSpan w:val="19"/>
          </w:tcPr>
          <w:p>
            <w:pPr>
              <w:jc w:val="center"/>
              <w:ind w:right="256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480" w:type="dxa"/>
            <w:vAlign w:val="bottom"/>
            <w:gridSpan w:val="3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CAUTIONARY NOTICE REGARDING FORWARD-LOOKING STATEMENTS</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bottom w:val="single" w:sz="8" w:color="0000EE"/>
            </w:tcBorders>
            <w:gridSpan w:val="2"/>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2000" w:type="dxa"/>
            <w:vAlign w:val="bottom"/>
            <w:tcBorders>
              <w:top w:val="single" w:sz="8" w:color="0000EE"/>
            </w:tcBorders>
            <w:gridSpan w:val="7"/>
          </w:tcPr>
          <w:p>
            <w:pPr>
              <w:spacing w:after="0"/>
              <w:rPr>
                <w:sz w:val="24"/>
                <w:szCs w:val="24"/>
                <w:color w:val="auto"/>
              </w:rPr>
            </w:pPr>
          </w:p>
        </w:tc>
        <w:tc>
          <w:tcPr>
            <w:tcW w:w="174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520" w:type="dxa"/>
            <w:vAlign w:val="bottom"/>
            <w:gridSpan w:val="2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72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ITEM 1A</w:t>
              </w:r>
            </w:hyperlink>
          </w:p>
        </w:tc>
        <w:tc>
          <w:tcPr>
            <w:tcW w:w="2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Risk Factors</w:t>
              </w:r>
            </w:hyperlink>
          </w:p>
        </w:tc>
        <w:tc>
          <w:tcPr>
            <w:tcW w:w="6620" w:type="dxa"/>
            <w:vAlign w:val="bottom"/>
            <w:gridSpan w:val="24"/>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ITEM 1B</w:t>
              </w:r>
            </w:hyperlink>
          </w:p>
        </w:tc>
        <w:tc>
          <w:tcPr>
            <w:tcW w:w="7520" w:type="dxa"/>
            <w:vAlign w:val="bottom"/>
            <w:gridSpan w:val="27"/>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Unresolved Staff Comments</w:t>
              </w:r>
            </w:hyperlink>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7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ITEM 2</w:t>
              </w:r>
            </w:hyperlink>
          </w:p>
        </w:tc>
        <w:tc>
          <w:tcPr>
            <w:tcW w:w="260" w:type="dxa"/>
            <w:vAlign w:val="bottom"/>
            <w:gridSpan w:val="2"/>
          </w:tcPr>
          <w:p>
            <w:pPr>
              <w:spacing w:after="0"/>
              <w:rPr>
                <w:sz w:val="17"/>
                <w:szCs w:val="17"/>
                <w:color w:val="auto"/>
              </w:rPr>
            </w:pPr>
          </w:p>
        </w:tc>
        <w:tc>
          <w:tcPr>
            <w:tcW w:w="20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Properties</w:t>
              </w:r>
            </w:hyperlink>
          </w:p>
        </w:tc>
        <w:tc>
          <w:tcPr>
            <w:tcW w:w="5480" w:type="dxa"/>
            <w:vAlign w:val="bottom"/>
            <w:gridSpan w:val="19"/>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ITEM 3</w:t>
              </w:r>
            </w:hyperlink>
          </w:p>
        </w:tc>
        <w:tc>
          <w:tcPr>
            <w:tcW w:w="7520" w:type="dxa"/>
            <w:vAlign w:val="bottom"/>
            <w:gridSpan w:val="27"/>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Legal Proceedings</w:t>
              </w:r>
            </w:hyperlink>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ITEM 4</w:t>
              </w:r>
            </w:hyperlink>
          </w:p>
        </w:tc>
        <w:tc>
          <w:tcPr>
            <w:tcW w:w="7520" w:type="dxa"/>
            <w:vAlign w:val="bottom"/>
            <w:gridSpan w:val="27"/>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Mine Safety Disclosures</w:t>
              </w:r>
            </w:hyperlink>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412"/>
        </w:trPr>
        <w:tc>
          <w:tcPr>
            <w:tcW w:w="5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gridSpan w:val="15"/>
          </w:tcPr>
          <w:p>
            <w:pPr>
              <w:jc w:val="center"/>
              <w:ind w:right="3720"/>
              <w:spacing w:after="0"/>
              <w:rPr>
                <w:rFonts w:ascii="Arial" w:cs="Arial" w:eastAsia="Arial" w:hAnsi="Arial"/>
                <w:sz w:val="18"/>
                <w:szCs w:val="18"/>
                <w:b w:val="1"/>
                <w:bCs w:val="1"/>
                <w:color w:val="0000EE"/>
                <w:w w:val="99"/>
              </w:rPr>
            </w:pPr>
            <w:hyperlink w:anchor="page114">
              <w:r>
                <w:rPr>
                  <w:rFonts w:ascii="Arial" w:cs="Arial" w:eastAsia="Arial" w:hAnsi="Arial"/>
                  <w:sz w:val="18"/>
                  <w:szCs w:val="18"/>
                  <w:b w:val="1"/>
                  <w:bCs w:val="1"/>
                  <w:color w:val="0000EE"/>
                  <w:w w:val="99"/>
                </w:rPr>
                <w:t>PART II</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412"/>
        </w:trPr>
        <w:tc>
          <w:tcPr>
            <w:tcW w:w="960" w:type="dxa"/>
            <w:vAlign w:val="bottom"/>
            <w:gridSpan w:val="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5</w:t>
              </w:r>
            </w:hyperlink>
          </w:p>
        </w:tc>
        <w:tc>
          <w:tcPr>
            <w:tcW w:w="7520" w:type="dxa"/>
            <w:vAlign w:val="bottom"/>
            <w:gridSpan w:val="27"/>
          </w:tcPr>
          <w:p>
            <w:pPr>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Market for Registrant’s Common Equity, Related Stockholder Matters and Issuer Purchases of Equity</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196"/>
        </w:trPr>
        <w:tc>
          <w:tcPr>
            <w:tcW w:w="5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Securities</w:t>
              </w:r>
            </w:hyperlink>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ITEM 6</w:t>
              </w:r>
            </w:hyperlink>
          </w:p>
        </w:tc>
        <w:tc>
          <w:tcPr>
            <w:tcW w:w="7520" w:type="dxa"/>
            <w:vAlign w:val="bottom"/>
            <w:gridSpan w:val="27"/>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Selected Financial Data</w:t>
              </w:r>
            </w:hyperlink>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ITEM 7</w:t>
              </w:r>
            </w:hyperlink>
          </w:p>
        </w:tc>
        <w:tc>
          <w:tcPr>
            <w:tcW w:w="7520" w:type="dxa"/>
            <w:vAlign w:val="bottom"/>
            <w:gridSpan w:val="27"/>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Management’s Discussion and Analysis of Financial Condition and Results of Operations</w:t>
              </w:r>
            </w:hyperlink>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720" w:type="dxa"/>
            <w:vAlign w:val="bottom"/>
            <w:gridSpan w:val="5"/>
          </w:tcPr>
          <w:p>
            <w:pPr>
              <w:spacing w:after="0" w:line="196" w:lineRule="exact"/>
              <w:rPr>
                <w:rFonts w:ascii="Arial" w:cs="Arial" w:eastAsia="Arial" w:hAnsi="Arial"/>
                <w:sz w:val="18"/>
                <w:szCs w:val="18"/>
                <w:color w:val="0000EE"/>
                <w:w w:val="99"/>
              </w:rPr>
            </w:pPr>
            <w:hyperlink w:anchor="page132">
              <w:r>
                <w:rPr>
                  <w:rFonts w:ascii="Arial" w:cs="Arial" w:eastAsia="Arial" w:hAnsi="Arial"/>
                  <w:sz w:val="18"/>
                  <w:szCs w:val="18"/>
                  <w:color w:val="0000EE"/>
                  <w:w w:val="99"/>
                </w:rPr>
                <w:t>ITEM 7A</w:t>
              </w:r>
            </w:hyperlink>
          </w:p>
        </w:tc>
        <w:tc>
          <w:tcPr>
            <w:tcW w:w="240" w:type="dxa"/>
            <w:vAlign w:val="bottom"/>
          </w:tcPr>
          <w:p>
            <w:pPr>
              <w:spacing w:after="0"/>
              <w:rPr>
                <w:sz w:val="17"/>
                <w:szCs w:val="17"/>
                <w:color w:val="auto"/>
              </w:rPr>
            </w:pPr>
          </w:p>
        </w:tc>
        <w:tc>
          <w:tcPr>
            <w:tcW w:w="7520" w:type="dxa"/>
            <w:vAlign w:val="bottom"/>
            <w:gridSpan w:val="2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Quantitative and Qualitative Disclosure About Market Risk</w:t>
              </w:r>
            </w:hyperlink>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7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ITEM 8</w:t>
              </w:r>
            </w:hyperlink>
          </w:p>
        </w:tc>
        <w:tc>
          <w:tcPr>
            <w:tcW w:w="240" w:type="dxa"/>
            <w:vAlign w:val="bottom"/>
          </w:tcPr>
          <w:p>
            <w:pPr>
              <w:spacing w:after="0"/>
              <w:rPr>
                <w:sz w:val="17"/>
                <w:szCs w:val="17"/>
                <w:color w:val="auto"/>
              </w:rPr>
            </w:pPr>
          </w:p>
        </w:tc>
        <w:tc>
          <w:tcPr>
            <w:tcW w:w="42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Financial Statements and Supplementary Data</w:t>
              </w:r>
            </w:hyperlink>
          </w:p>
        </w:tc>
        <w:tc>
          <w:tcPr>
            <w:tcW w:w="3240" w:type="dxa"/>
            <w:vAlign w:val="bottom"/>
            <w:gridSpan w:val="7"/>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ITEM 9</w:t>
              </w:r>
            </w:hyperlink>
          </w:p>
        </w:tc>
        <w:tc>
          <w:tcPr>
            <w:tcW w:w="7520" w:type="dxa"/>
            <w:vAlign w:val="bottom"/>
            <w:gridSpan w:val="2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Changes in and Disagreements With Accountants on Accounting and Financial Disclosure</w:t>
              </w:r>
            </w:hyperlink>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720" w:type="dxa"/>
            <w:vAlign w:val="bottom"/>
            <w:gridSpan w:val="5"/>
          </w:tcPr>
          <w:p>
            <w:pPr>
              <w:spacing w:after="0" w:line="196" w:lineRule="exact"/>
              <w:rPr>
                <w:rFonts w:ascii="Arial" w:cs="Arial" w:eastAsia="Arial" w:hAnsi="Arial"/>
                <w:sz w:val="18"/>
                <w:szCs w:val="18"/>
                <w:color w:val="0000EE"/>
                <w:w w:val="99"/>
              </w:rPr>
            </w:pPr>
            <w:hyperlink w:anchor="page133">
              <w:r>
                <w:rPr>
                  <w:rFonts w:ascii="Arial" w:cs="Arial" w:eastAsia="Arial" w:hAnsi="Arial"/>
                  <w:sz w:val="18"/>
                  <w:szCs w:val="18"/>
                  <w:color w:val="0000EE"/>
                  <w:w w:val="99"/>
                </w:rPr>
                <w:t>ITEM 9A</w:t>
              </w:r>
            </w:hyperlink>
          </w:p>
        </w:tc>
        <w:tc>
          <w:tcPr>
            <w:tcW w:w="240" w:type="dxa"/>
            <w:vAlign w:val="bottom"/>
          </w:tcPr>
          <w:p>
            <w:pPr>
              <w:spacing w:after="0"/>
              <w:rPr>
                <w:sz w:val="17"/>
                <w:szCs w:val="17"/>
                <w:color w:val="auto"/>
              </w:rPr>
            </w:pPr>
          </w:p>
        </w:tc>
        <w:tc>
          <w:tcPr>
            <w:tcW w:w="7520" w:type="dxa"/>
            <w:vAlign w:val="bottom"/>
            <w:gridSpan w:val="27"/>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Controls and Procedures</w:t>
              </w:r>
            </w:hyperlink>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720" w:type="dxa"/>
            <w:vAlign w:val="bottom"/>
            <w:tcBorders>
              <w:top w:val="single" w:sz="8" w:color="0000EE"/>
            </w:tcBorders>
            <w:gridSpan w:val="5"/>
          </w:tcPr>
          <w:p>
            <w:pPr>
              <w:spacing w:after="0" w:line="196" w:lineRule="exact"/>
              <w:rPr>
                <w:rFonts w:ascii="Arial" w:cs="Arial" w:eastAsia="Arial" w:hAnsi="Arial"/>
                <w:sz w:val="18"/>
                <w:szCs w:val="18"/>
                <w:color w:val="0000EE"/>
                <w:w w:val="99"/>
              </w:rPr>
            </w:pPr>
            <w:hyperlink w:anchor="page133">
              <w:r>
                <w:rPr>
                  <w:rFonts w:ascii="Arial" w:cs="Arial" w:eastAsia="Arial" w:hAnsi="Arial"/>
                  <w:sz w:val="18"/>
                  <w:szCs w:val="18"/>
                  <w:color w:val="0000EE"/>
                  <w:w w:val="99"/>
                </w:rPr>
                <w:t>ITEM 9B</w:t>
              </w:r>
            </w:hyperlink>
          </w:p>
        </w:tc>
        <w:tc>
          <w:tcPr>
            <w:tcW w:w="240" w:type="dxa"/>
            <w:vAlign w:val="bottom"/>
          </w:tcPr>
          <w:p>
            <w:pPr>
              <w:spacing w:after="0"/>
              <w:rPr>
                <w:sz w:val="17"/>
                <w:szCs w:val="17"/>
                <w:color w:val="auto"/>
              </w:rPr>
            </w:pP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Other Information</w:t>
              </w:r>
            </w:hyperlink>
          </w:p>
        </w:tc>
        <w:tc>
          <w:tcPr>
            <w:tcW w:w="5760" w:type="dxa"/>
            <w:vAlign w:val="bottom"/>
            <w:gridSpan w:val="21"/>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412"/>
        </w:trPr>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PART III</w:t>
              </w:r>
            </w:hyperlink>
          </w:p>
        </w:tc>
        <w:tc>
          <w:tcPr>
            <w:tcW w:w="366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680" w:type="dxa"/>
            <w:vAlign w:val="bottom"/>
            <w:gridSpan w:val="3"/>
          </w:tcPr>
          <w:p>
            <w:pPr>
              <w:spacing w:after="0"/>
              <w:rPr>
                <w:rFonts w:ascii="Arial" w:cs="Arial" w:eastAsia="Arial" w:hAnsi="Arial"/>
                <w:sz w:val="18"/>
                <w:szCs w:val="18"/>
                <w:color w:val="0000EE"/>
                <w:w w:val="96"/>
              </w:rPr>
            </w:pPr>
            <w:hyperlink w:anchor="page133">
              <w:r>
                <w:rPr>
                  <w:rFonts w:ascii="Arial" w:cs="Arial" w:eastAsia="Arial" w:hAnsi="Arial"/>
                  <w:sz w:val="18"/>
                  <w:szCs w:val="18"/>
                  <w:color w:val="0000EE"/>
                  <w:w w:val="96"/>
                </w:rPr>
                <w:t>ITEM 10</w:t>
              </w:r>
            </w:hyperlink>
          </w:p>
        </w:tc>
        <w:tc>
          <w:tcPr>
            <w:tcW w:w="280" w:type="dxa"/>
            <w:vAlign w:val="bottom"/>
            <w:gridSpan w:val="3"/>
          </w:tcPr>
          <w:p>
            <w:pPr>
              <w:spacing w:after="0"/>
              <w:rPr>
                <w:sz w:val="24"/>
                <w:szCs w:val="24"/>
                <w:color w:val="auto"/>
              </w:rPr>
            </w:pPr>
          </w:p>
        </w:tc>
        <w:tc>
          <w:tcPr>
            <w:tcW w:w="7520" w:type="dxa"/>
            <w:vAlign w:val="bottom"/>
            <w:gridSpan w:val="27"/>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Directors, Executive Officers and Corporate Governance</w:t>
              </w:r>
            </w:hyperlink>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196"/>
        </w:trPr>
        <w:tc>
          <w:tcPr>
            <w:tcW w:w="680" w:type="dxa"/>
            <w:vAlign w:val="bottom"/>
            <w:tcBorders>
              <w:top w:val="single" w:sz="8" w:color="0000EE"/>
            </w:tcBorders>
            <w:gridSpan w:val="3"/>
          </w:tcPr>
          <w:p>
            <w:pPr>
              <w:spacing w:after="0" w:line="196" w:lineRule="exact"/>
              <w:rPr>
                <w:rFonts w:ascii="Arial" w:cs="Arial" w:eastAsia="Arial" w:hAnsi="Arial"/>
                <w:sz w:val="18"/>
                <w:szCs w:val="18"/>
                <w:color w:val="0000EE"/>
                <w:w w:val="96"/>
              </w:rPr>
            </w:pPr>
            <w:hyperlink w:anchor="page133">
              <w:r>
                <w:rPr>
                  <w:rFonts w:ascii="Arial" w:cs="Arial" w:eastAsia="Arial" w:hAnsi="Arial"/>
                  <w:sz w:val="18"/>
                  <w:szCs w:val="18"/>
                  <w:color w:val="0000EE"/>
                  <w:w w:val="96"/>
                </w:rPr>
                <w:t>ITEM 11</w:t>
              </w:r>
            </w:hyperlink>
          </w:p>
        </w:tc>
        <w:tc>
          <w:tcPr>
            <w:tcW w:w="280" w:type="dxa"/>
            <w:vAlign w:val="bottom"/>
            <w:gridSpan w:val="3"/>
          </w:tcPr>
          <w:p>
            <w:pPr>
              <w:spacing w:after="0"/>
              <w:rPr>
                <w:sz w:val="17"/>
                <w:szCs w:val="17"/>
                <w:color w:val="auto"/>
              </w:rPr>
            </w:pPr>
          </w:p>
        </w:tc>
        <w:tc>
          <w:tcPr>
            <w:tcW w:w="40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Executive Compensation</w:t>
              </w:r>
            </w:hyperlink>
          </w:p>
        </w:tc>
        <w:tc>
          <w:tcPr>
            <w:tcW w:w="3440" w:type="dxa"/>
            <w:vAlign w:val="bottom"/>
            <w:gridSpan w:val="8"/>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196"/>
        </w:trPr>
        <w:tc>
          <w:tcPr>
            <w:tcW w:w="680" w:type="dxa"/>
            <w:vAlign w:val="bottom"/>
            <w:gridSpan w:val="3"/>
          </w:tcPr>
          <w:p>
            <w:pPr>
              <w:spacing w:after="0" w:line="196" w:lineRule="exact"/>
              <w:rPr>
                <w:rFonts w:ascii="Arial" w:cs="Arial" w:eastAsia="Arial" w:hAnsi="Arial"/>
                <w:sz w:val="18"/>
                <w:szCs w:val="18"/>
                <w:color w:val="0000EE"/>
                <w:w w:val="96"/>
              </w:rPr>
            </w:pPr>
            <w:hyperlink w:anchor="page134">
              <w:r>
                <w:rPr>
                  <w:rFonts w:ascii="Arial" w:cs="Arial" w:eastAsia="Arial" w:hAnsi="Arial"/>
                  <w:sz w:val="18"/>
                  <w:szCs w:val="18"/>
                  <w:color w:val="0000EE"/>
                  <w:w w:val="96"/>
                </w:rPr>
                <w:t>ITEM 12</w:t>
              </w:r>
            </w:hyperlink>
          </w:p>
        </w:tc>
        <w:tc>
          <w:tcPr>
            <w:tcW w:w="280" w:type="dxa"/>
            <w:vAlign w:val="bottom"/>
            <w:gridSpan w:val="3"/>
          </w:tcPr>
          <w:p>
            <w:pPr>
              <w:spacing w:after="0"/>
              <w:rPr>
                <w:sz w:val="17"/>
                <w:szCs w:val="17"/>
                <w:color w:val="auto"/>
              </w:rPr>
            </w:pPr>
          </w:p>
        </w:tc>
        <w:tc>
          <w:tcPr>
            <w:tcW w:w="7520" w:type="dxa"/>
            <w:vAlign w:val="bottom"/>
            <w:gridSpan w:val="27"/>
          </w:tcPr>
          <w:p>
            <w:pPr>
              <w:spacing w:after="0" w:line="196" w:lineRule="exact"/>
              <w:rPr>
                <w:rFonts w:ascii="Arial" w:cs="Arial" w:eastAsia="Arial" w:hAnsi="Arial"/>
                <w:sz w:val="18"/>
                <w:szCs w:val="18"/>
                <w:color w:val="0000EE"/>
                <w:w w:val="93"/>
              </w:rPr>
            </w:pPr>
            <w:hyperlink w:anchor="page134">
              <w:r>
                <w:rPr>
                  <w:rFonts w:ascii="Arial" w:cs="Arial" w:eastAsia="Arial" w:hAnsi="Arial"/>
                  <w:sz w:val="18"/>
                  <w:szCs w:val="18"/>
                  <w:color w:val="0000EE"/>
                  <w:w w:val="93"/>
                </w:rPr>
                <w:t>Security Ownership of Certain Beneficial Owners and Management and Related Stockholder Matters</w:t>
              </w:r>
            </w:hyperlink>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134">
              <w:r>
                <w:rPr>
                  <w:rFonts w:ascii="Arial" w:cs="Arial" w:eastAsia="Arial" w:hAnsi="Arial"/>
                  <w:sz w:val="18"/>
                  <w:szCs w:val="18"/>
                  <w:color w:val="0000EE"/>
                  <w:w w:val="96"/>
                </w:rPr>
                <w:t>ITEM 13</w:t>
              </w:r>
            </w:hyperlink>
          </w:p>
        </w:tc>
        <w:tc>
          <w:tcPr>
            <w:tcW w:w="280" w:type="dxa"/>
            <w:vAlign w:val="bottom"/>
            <w:gridSpan w:val="3"/>
          </w:tcPr>
          <w:p>
            <w:pPr>
              <w:spacing w:after="0"/>
              <w:rPr>
                <w:sz w:val="17"/>
                <w:szCs w:val="17"/>
                <w:color w:val="auto"/>
              </w:rPr>
            </w:pPr>
          </w:p>
        </w:tc>
        <w:tc>
          <w:tcPr>
            <w:tcW w:w="54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Certain Relationships and Related Transactions and Director Independence</w:t>
              </w:r>
            </w:hyperlink>
          </w:p>
        </w:tc>
        <w:tc>
          <w:tcPr>
            <w:tcW w:w="1880" w:type="dxa"/>
            <w:vAlign w:val="bottom"/>
            <w:tcBorders>
              <w:top w:val="single" w:sz="8" w:color="0000EE"/>
            </w:tcBorders>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960" w:type="dxa"/>
            <w:vAlign w:val="bottom"/>
            <w:gridSpan w:val="6"/>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ITEM 14</w:t>
              </w:r>
            </w:hyperlink>
          </w:p>
        </w:tc>
        <w:tc>
          <w:tcPr>
            <w:tcW w:w="7520" w:type="dxa"/>
            <w:vAlign w:val="bottom"/>
            <w:gridSpan w:val="27"/>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Principal Accountant Fees and Services</w:t>
              </w:r>
            </w:hyperlink>
          </w:p>
        </w:tc>
        <w:tc>
          <w:tcPr>
            <w:tcW w:w="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412"/>
        </w:trPr>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135">
              <w:r>
                <w:rPr>
                  <w:rFonts w:ascii="Arial" w:cs="Arial" w:eastAsia="Arial" w:hAnsi="Arial"/>
                  <w:sz w:val="18"/>
                  <w:szCs w:val="18"/>
                  <w:b w:val="1"/>
                  <w:bCs w:val="1"/>
                  <w:color w:val="0000EE"/>
                  <w:w w:val="98"/>
                </w:rPr>
                <w:t>PART IV</w:t>
              </w:r>
            </w:hyperlink>
          </w:p>
        </w:tc>
        <w:tc>
          <w:tcPr>
            <w:tcW w:w="3680" w:type="dxa"/>
            <w:vAlign w:val="bottom"/>
            <w:gridSpan w:val="10"/>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680" w:type="dxa"/>
            <w:vAlign w:val="bottom"/>
            <w:tcBorders>
              <w:bottom w:val="single" w:sz="8" w:color="0000EE"/>
            </w:tcBorders>
            <w:gridSpan w:val="3"/>
          </w:tcPr>
          <w:p>
            <w:pPr>
              <w:spacing w:after="0"/>
              <w:rPr>
                <w:rFonts w:ascii="Arial" w:cs="Arial" w:eastAsia="Arial" w:hAnsi="Arial"/>
                <w:sz w:val="18"/>
                <w:szCs w:val="18"/>
                <w:color w:val="0000EE"/>
                <w:w w:val="96"/>
              </w:rPr>
            </w:pPr>
            <w:hyperlink w:anchor="page135">
              <w:r>
                <w:rPr>
                  <w:rFonts w:ascii="Arial" w:cs="Arial" w:eastAsia="Arial" w:hAnsi="Arial"/>
                  <w:sz w:val="18"/>
                  <w:szCs w:val="18"/>
                  <w:color w:val="0000EE"/>
                  <w:w w:val="96"/>
                </w:rPr>
                <w:t>ITEM 15</w:t>
              </w:r>
            </w:hyperlink>
          </w:p>
        </w:tc>
        <w:tc>
          <w:tcPr>
            <w:tcW w:w="280" w:type="dxa"/>
            <w:vAlign w:val="bottom"/>
            <w:gridSpan w:val="3"/>
          </w:tcPr>
          <w:p>
            <w:pPr>
              <w:spacing w:after="0"/>
              <w:rPr>
                <w:sz w:val="24"/>
                <w:szCs w:val="24"/>
                <w:color w:val="auto"/>
              </w:rPr>
            </w:pP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35">
              <w:r>
                <w:rPr>
                  <w:rFonts w:ascii="Arial" w:cs="Arial" w:eastAsia="Arial" w:hAnsi="Arial"/>
                  <w:sz w:val="18"/>
                  <w:szCs w:val="18"/>
                  <w:color w:val="0000EE"/>
                  <w:w w:val="89"/>
                </w:rPr>
                <w:t>Exhibits and Financial Statement Schedules</w:t>
              </w:r>
            </w:hyperlink>
          </w:p>
        </w:tc>
        <w:tc>
          <w:tcPr>
            <w:tcW w:w="4360" w:type="dxa"/>
            <w:vAlign w:val="bottom"/>
            <w:gridSpan w:val="15"/>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w:t>
      </w:r>
    </w:p>
    <w:p>
      <w:pPr>
        <w:spacing w:after="0" w:line="22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ectPr>
          <w:pgSz w:w="11900" w:h="16838" w:orient="portrait"/>
          <w:cols w:equalWidth="0" w:num="1">
            <w:col w:w="9019"/>
          </w:cols>
          <w:pgMar w:left="1440" w:top="125" w:right="1440" w:bottom="1440" w:gutter="0" w:footer="0" w:header="0"/>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294"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78" w:lineRule="exact"/>
        <w:rPr>
          <w:sz w:val="20"/>
          <w:szCs w:val="20"/>
          <w:color w:val="auto"/>
        </w:rPr>
      </w:pPr>
    </w:p>
    <w:p>
      <w:pPr>
        <w:ind w:left="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expectations for increases or decreases in expenses;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expectations for the clinical and preclinical development, manufacturing, regulatory approval,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commercialization of our pharmaceutical product candidates or any other products that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acquire or in-license;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estimates of the sufficiency of our existing capital resources combined with future anticipated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flows to finance our operating requirements;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expectations for incurring capital expenditures to expand our research and development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capabilities;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expectations for generating revenue or becoming profitable on a sustained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expectations or ability to build our own commercial infrastructure to manufacture, market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sell our product candidates;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losses;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ability to obtain and maintain intellectual property protection for our product candidates;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acceptance of our products by doctors, patients, or payors;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price and its volatility;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ability to attract and retain key personnel;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of third-party manufacturers;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expectations for future capital requirements;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successfully implement our strategy.</w:t>
      </w:r>
    </w:p>
    <w:p>
      <w:pPr>
        <w:spacing w:after="0" w:line="200" w:lineRule="exact"/>
        <w:rPr>
          <w:sz w:val="20"/>
          <w:szCs w:val="20"/>
          <w:color w:val="auto"/>
        </w:rPr>
      </w:pPr>
    </w:p>
    <w:p>
      <w:pPr>
        <w:sectPr>
          <w:pgSz w:w="11900" w:h="16838" w:orient="portrait"/>
          <w:cols w:equalWidth="0" w:num="2">
            <w:col w:w="700" w:space="720"/>
            <w:col w:w="7599"/>
          </w:cols>
          <w:pgMar w:left="1440" w:top="125" w:right="1440" w:bottom="1440" w:gutter="0" w:footer="0" w:header="0"/>
          <w:type w:val="continuous"/>
        </w:sectPr>
      </w:pPr>
    </w:p>
    <w:p>
      <w:pPr>
        <w:spacing w:after="0" w:line="11" w:lineRule="exact"/>
        <w:rPr>
          <w:sz w:val="20"/>
          <w:szCs w:val="20"/>
          <w:color w:val="auto"/>
        </w:rPr>
      </w:pPr>
    </w:p>
    <w:p>
      <w:pPr>
        <w:jc w:val="both"/>
        <w:ind w:left="40" w:right="139" w:firstLine="648"/>
        <w:spacing w:after="0" w:line="342"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24" w:lineRule="exact"/>
        <w:rPr>
          <w:sz w:val="20"/>
          <w:szCs w:val="20"/>
          <w:color w:val="auto"/>
        </w:rPr>
      </w:pPr>
    </w:p>
    <w:p>
      <w:pPr>
        <w:jc w:val="both"/>
        <w:ind w:left="40" w:right="119" w:firstLine="648"/>
        <w:spacing w:after="0" w:line="263"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40" w:right="119" w:firstLine="648"/>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“Axsome,” “Company,” “we,” “us” and “our” and similar designations refer to Axsome Therapeutics, Inc. and our subsidiaries.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five CNS product candidates, AXS-05, AXS-07, AXS-09, AXS-12, and AXS-14 which are being developed for multiple indications. AXS-05 is currently in a Phase 3 trial in treatment resistant depression, or TRD, which we refer to as the STRIDE-1 study, a Phase 3 open-label safety trial in patients with TRD and major depressive disorder, or MDD, and a Phase 2/3 trial in agitation associated with Alzheimer's disease, or AD, which we refer to as the ADVANCE-1 study. For AXS-05, we have completed a Phase 2 trial and Phase 3 trial in MDD, which we refer to as the ASCEND study and the GEMINI study, respectively. We plan to file a New Drug Application, or NDA, for AXS-05 for the treatment of MDD based on the ASCEND and GEMINI trials. AXS-05 is also being developed for smoking cessation and a Phase 2 trial in the indication has been completed. AXS-07 is currently in a Phase 3 trial for the acute treatment of migraine, which we refer to as the INTERCEPT study and a Phase 3 open-label safety trial in patients with migraine. For AXS-07, we have completed a Phase 3 trial for the acute treatment of migraine, which we refer to as the MOMENTUM study. We plan to file an NDA for AXS-07 for the acute treatment of migraine based on the MOMENTUM trial. AXS-09 is being developed for the treatment of CNS disorders. AXS-12 is being developed for the treatment of narcolepsy. We have completed a Phase 2 trial with AXS-12, which we refer to as the CONCERT study. AXS-14 is being developed for the treatment of fibromyalgia. Additionally, we are currently evaluating other product candidates, which we intend to develop for CNS disorders. The Axsome Pain and Primary Care business unit, or Axsome PPC, houses our pain and primary care assets. We aim to become a fully integrated biopharmaceutical company that develops and commercializes differentiated therapies that expand the treatment options available to caregivers and improve the lives of patients living with CNS disorders.</w:t>
      </w:r>
    </w:p>
    <w:p>
      <w:pPr>
        <w:spacing w:after="0" w:line="182"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7"/>
          <w:szCs w:val="17"/>
          <w:color w:val="auto"/>
        </w:rPr>
        <w:t>AXS-05 is a novel, oral, investigational NMDA receptor antagonist with multimodal activity under development for the treatment of CNS disorders. AXS-05 consists of a proprietary formulation and dose of bupropion and dextromethorphan, or DM, and utilizes our metabolic inhibition technology. We are developing AXS</w:t>
      </w:r>
      <w:r>
        <w:rPr>
          <w:rFonts w:ascii="MS PGothic" w:cs="MS PGothic" w:eastAsia="MS PGothic" w:hAnsi="MS PGothic"/>
          <w:sz w:val="17"/>
          <w:szCs w:val="17"/>
          <w:color w:val="auto"/>
        </w:rPr>
        <w:t>‑</w:t>
      </w:r>
      <w:r>
        <w:rPr>
          <w:rFonts w:ascii="Arial" w:cs="Arial" w:eastAsia="Arial" w:hAnsi="Arial"/>
          <w:sz w:val="17"/>
          <w:szCs w:val="17"/>
          <w:color w:val="auto"/>
        </w:rPr>
        <w:t>05 initially for the following four indications: MDD, TRD, agitation associated with AD,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FDA approval for AXS</w:t>
      </w:r>
      <w:r>
        <w:rPr>
          <w:rFonts w:ascii="MS PGothic" w:cs="MS PGothic" w:eastAsia="MS PGothic" w:hAnsi="MS PGothic"/>
          <w:sz w:val="17"/>
          <w:szCs w:val="17"/>
          <w:color w:val="auto"/>
        </w:rPr>
        <w:t>‑</w:t>
      </w:r>
      <w:r>
        <w:rPr>
          <w:rFonts w:ascii="Arial" w:cs="Arial" w:eastAsia="Arial" w:hAnsi="Arial"/>
          <w:sz w:val="17"/>
          <w:szCs w:val="17"/>
          <w:color w:val="auto"/>
        </w:rPr>
        <w:t>05 utilizing the 505(b)(2) regulatory development pathway.</w:t>
      </w:r>
    </w:p>
    <w:p>
      <w:pPr>
        <w:spacing w:after="0" w:line="210" w:lineRule="exact"/>
        <w:rPr>
          <w:sz w:val="20"/>
          <w:szCs w:val="20"/>
          <w:color w:val="auto"/>
        </w:rPr>
      </w:pPr>
    </w:p>
    <w:p>
      <w:pPr>
        <w:ind w:left="40" w:right="99" w:firstLine="648"/>
        <w:spacing w:after="0" w:line="243" w:lineRule="auto"/>
        <w:rPr>
          <w:sz w:val="20"/>
          <w:szCs w:val="20"/>
          <w:color w:val="auto"/>
        </w:rPr>
      </w:pPr>
      <w:r>
        <w:rPr>
          <w:rFonts w:ascii="Arial" w:cs="Arial" w:eastAsia="Arial" w:hAnsi="Arial"/>
          <w:sz w:val="17"/>
          <w:szCs w:val="17"/>
          <w:color w:val="auto"/>
        </w:rPr>
        <w:t>AXS-07 is a novel, oral, rapidly absorbed, multi-mechanistic, investigational medicine. AXS-07 consists of MoSEIC™, or Molecular Solubility Enhanced Inclusion Complex, meloxicam and rizatriptan. We are developing AXS-07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8"/>
          <w:szCs w:val="28"/>
          <w:color w:val="auto"/>
          <w:vertAlign w:val="subscript"/>
        </w:rPr>
        <w:t>max</w:t>
      </w:r>
      <w:r>
        <w:rPr>
          <w:rFonts w:ascii="Arial" w:cs="Arial" w:eastAsia="Arial" w:hAnsi="Arial"/>
          <w:sz w:val="17"/>
          <w:szCs w:val="17"/>
          <w:color w:val="auto"/>
        </w:rPr>
        <w:t>,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5-HT1</w:t>
      </w:r>
      <w:r>
        <w:rPr>
          <w:rFonts w:ascii="Arial" w:cs="Arial" w:eastAsia="Arial" w:hAnsi="Arial"/>
          <w:sz w:val="28"/>
          <w:szCs w:val="28"/>
          <w:color w:val="auto"/>
          <w:vertAlign w:val="subscript"/>
        </w:rPr>
        <w:t>B/D</w:t>
      </w:r>
      <w:r>
        <w:rPr>
          <w:rFonts w:ascii="Arial" w:cs="Arial" w:eastAsia="Arial" w:hAnsi="Arial"/>
          <w:sz w:val="17"/>
          <w:szCs w:val="17"/>
          <w:color w:val="auto"/>
        </w:rPr>
        <w:t xml:space="preserve">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AXS-09 is an oral, investigational NMDA receptor antagonist with multimodal activity consisting of esbupropion and DM, which is being developed for the treatment of CNS disorders. AXS-09 contains esbupropion, the chirally pure S-enantiomer of bupropion, as compared to the company’s first generation product candidate AXS-05 which contains racemic bupropion, equal amounts of the S- and R-enantiomers.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S-enantiomer as compared to the R-enantiomer.</w:t>
      </w:r>
    </w:p>
    <w:p>
      <w:pPr>
        <w:spacing w:after="0" w:line="177" w:lineRule="exact"/>
        <w:rPr>
          <w:sz w:val="20"/>
          <w:szCs w:val="20"/>
          <w:color w:val="auto"/>
        </w:rPr>
      </w:pPr>
    </w:p>
    <w:p>
      <w:pPr>
        <w:ind w:left="40" w:right="419" w:firstLine="648"/>
        <w:spacing w:after="0" w:line="263" w:lineRule="auto"/>
        <w:rPr>
          <w:sz w:val="20"/>
          <w:szCs w:val="20"/>
          <w:color w:val="auto"/>
        </w:rPr>
      </w:pPr>
      <w:r>
        <w:rPr>
          <w:rFonts w:ascii="Arial" w:cs="Arial" w:eastAsia="Arial" w:hAnsi="Arial"/>
          <w:sz w:val="18"/>
          <w:szCs w:val="18"/>
          <w:color w:val="auto"/>
        </w:rPr>
        <w:t>AXS-12, reboxetine, is a novel, oral, investigational medicine in development for the treatment of narcolepsy. AXS-12 is a highly selective and potent norepinephrine reuptake inhibitor. AXS-12 has been granted Orphan Drug Designation by the FDA for the treatment of narcolepsy.</w:t>
      </w:r>
    </w:p>
    <w:p>
      <w:pPr>
        <w:spacing w:after="0" w:line="184"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AXS-14, esreboxetine, is a novel, oral, investigational medicine in development for the treatment of fibromyalgia. AXS-14 is a highly selective and potent norepinephrine reuptake inhibitor. We are initially developing esreboxetine for the treatment of fibromyalgia. Esreboxetine, the SS-enantiomer of reboxetine, is more potent and selective than racemic reboxetine.</w:t>
      </w:r>
    </w:p>
    <w:p>
      <w:pPr>
        <w:spacing w:after="0" w:line="187" w:lineRule="exact"/>
        <w:rPr>
          <w:sz w:val="20"/>
          <w:szCs w:val="20"/>
          <w:color w:val="auto"/>
        </w:rPr>
      </w:pPr>
    </w:p>
    <w:p>
      <w:pPr>
        <w:jc w:val="both"/>
        <w:ind w:left="40" w:right="179" w:firstLine="648"/>
        <w:spacing w:after="0" w:line="263" w:lineRule="auto"/>
        <w:rPr>
          <w:sz w:val="20"/>
          <w:szCs w:val="20"/>
          <w:color w:val="auto"/>
        </w:rPr>
      </w:pPr>
      <w:r>
        <w:rPr>
          <w:rFonts w:ascii="Arial" w:cs="Arial" w:eastAsia="Arial" w:hAnsi="Arial"/>
          <w:sz w:val="18"/>
          <w:szCs w:val="18"/>
          <w:color w:val="auto"/>
        </w:rPr>
        <w:t>The Axsome Pain and Primary Care business unit, or Axsome PPC, houses our pain and primary care assets, and includes intellectual property which covers these and related product candidates and molecules being developed by us and others.</w:t>
      </w:r>
    </w:p>
    <w:p>
      <w:pPr>
        <w:spacing w:after="0" w:line="184" w:lineRule="exact"/>
        <w:rPr>
          <w:sz w:val="20"/>
          <w:szCs w:val="20"/>
          <w:color w:val="auto"/>
        </w:rPr>
      </w:pPr>
    </w:p>
    <w:p>
      <w:pPr>
        <w:ind w:left="40" w:right="59" w:firstLine="648"/>
        <w:spacing w:after="0" w:line="220" w:lineRule="exact"/>
        <w:rPr>
          <w:sz w:val="20"/>
          <w:szCs w:val="20"/>
          <w:color w:val="auto"/>
        </w:rPr>
      </w:pPr>
      <w:r>
        <w:rPr>
          <w:rFonts w:ascii="Arial" w:cs="Arial" w:eastAsia="Arial" w:hAnsi="Arial"/>
          <w:sz w:val="18"/>
          <w:szCs w:val="18"/>
          <w:color w:val="auto"/>
        </w:rPr>
        <w:t>Our product candidates are protected through a combination of patents, trade secrets, and proprietary know</w:t>
      </w:r>
      <w:r>
        <w:rPr>
          <w:rFonts w:ascii="MS PGothic" w:cs="MS PGothic" w:eastAsia="MS PGothic" w:hAnsi="MS PGothic"/>
          <w:sz w:val="18"/>
          <w:szCs w:val="18"/>
          <w:color w:val="auto"/>
        </w:rPr>
        <w:t>‑</w:t>
      </w:r>
      <w:r>
        <w:rPr>
          <w:rFonts w:ascii="Arial" w:cs="Arial" w:eastAsia="Arial" w:hAnsi="Arial"/>
          <w:sz w:val="18"/>
          <w:szCs w:val="18"/>
          <w:color w:val="auto"/>
        </w:rPr>
        <w:t>how. If approved, they may also be eligible for periods of regulatory exclusivity. Our intellectual property portfolio includes issued U.S. and foreign patents with claims extending to 2034 for AXS</w:t>
      </w:r>
      <w:r>
        <w:rPr>
          <w:rFonts w:ascii="MS PGothic" w:cs="MS PGothic" w:eastAsia="MS PGothic" w:hAnsi="MS PGothic"/>
          <w:sz w:val="18"/>
          <w:szCs w:val="18"/>
          <w:color w:val="auto"/>
        </w:rPr>
        <w:t>‑</w:t>
      </w:r>
      <w:r>
        <w:rPr>
          <w:rFonts w:ascii="Arial" w:cs="Arial" w:eastAsia="Arial" w:hAnsi="Arial"/>
          <w:sz w:val="18"/>
          <w:szCs w:val="18"/>
          <w:color w:val="auto"/>
        </w:rPr>
        <w:t>05 and to 2036 for AXS-07, as well as U.S. and foreign patent applications for AXS-05, AXS-07, AXS-09, AXS-12, and AXS-14.</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40" w:right="279" w:firstLine="648"/>
        <w:spacing w:after="0" w:line="277" w:lineRule="auto"/>
        <w:rPr>
          <w:sz w:val="20"/>
          <w:szCs w:val="20"/>
          <w:color w:val="auto"/>
        </w:rPr>
      </w:pPr>
      <w:r>
        <w:rPr>
          <w:rFonts w:ascii="Arial" w:cs="Arial" w:eastAsia="Arial" w:hAnsi="Arial"/>
          <w:sz w:val="18"/>
          <w:szCs w:val="18"/>
          <w:color w:val="auto"/>
        </w:rPr>
        <w:t>Our goal is to efficiently develop and commercialize novel, differentiated therapies for the management of CNS disorders. The primary elements of our strategy to achieve this goal are the following:</w:t>
      </w:r>
    </w:p>
    <w:p>
      <w:pPr>
        <w:spacing w:after="0" w:line="170" w:lineRule="exact"/>
        <w:rPr>
          <w:sz w:val="20"/>
          <w:szCs w:val="20"/>
          <w:color w:val="auto"/>
        </w:rPr>
      </w:pPr>
    </w:p>
    <w:p>
      <w:pPr>
        <w:ind w:left="1020" w:right="199" w:hanging="328"/>
        <w:spacing w:after="0" w:line="217" w:lineRule="exact"/>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novel CNS indications with high unmet medical need. </w:t>
      </w:r>
      <w:r>
        <w:rPr>
          <w:rFonts w:ascii="Arial" w:cs="Arial" w:eastAsia="Arial" w:hAnsi="Arial"/>
          <w:sz w:val="16"/>
          <w:szCs w:val="16"/>
          <w:color w:val="auto"/>
        </w:rPr>
        <w:t>We believe that CNS disorders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significantly underserved therapeutic segments with currently limited treatment options. We are developing our product candidates for indications that have no or few FDA</w:t>
      </w:r>
      <w:r>
        <w:rPr>
          <w:rFonts w:ascii="MS PGothic" w:cs="MS PGothic" w:eastAsia="MS PGothic" w:hAnsi="MS PGothic"/>
          <w:sz w:val="16"/>
          <w:szCs w:val="16"/>
          <w:color w:val="auto"/>
        </w:rPr>
        <w:t>‑</w:t>
      </w:r>
      <w:r>
        <w:rPr>
          <w:rFonts w:ascii="Arial" w:cs="Arial" w:eastAsia="Arial" w:hAnsi="Arial"/>
          <w:sz w:val="16"/>
          <w:szCs w:val="16"/>
          <w:color w:val="auto"/>
        </w:rPr>
        <w:t>approved pharmacological treatments. For example, there currently is no drug approved by the FDA or the EMA for agitation associated with Alzheimer's disease. There are currently only two FDA</w:t>
      </w:r>
      <w:r>
        <w:rPr>
          <w:rFonts w:ascii="MS PGothic" w:cs="MS PGothic" w:eastAsia="MS PGothic" w:hAnsi="MS PGothic"/>
          <w:sz w:val="16"/>
          <w:szCs w:val="16"/>
          <w:color w:val="auto"/>
        </w:rPr>
        <w:t>‑</w:t>
      </w:r>
      <w:r>
        <w:rPr>
          <w:rFonts w:ascii="Arial" w:cs="Arial" w:eastAsia="Arial" w:hAnsi="Arial"/>
          <w:sz w:val="16"/>
          <w:szCs w:val="16"/>
          <w:color w:val="auto"/>
        </w:rPr>
        <w:t>approved drugs for TRD. These conditions are often disabling, difficult to treat, and associated with significant comorbidities. By focusing on novel indications, we aim to develop products that have the potential to change current medical practice, and that are highly relevant to patients, physicians, and regulatory bodies because they address unmet medical needs. Many of these indications have significant patient populations which, when combined with the lack or paucity of approved treatments, should provide us with attractive commercial opportunities.</w:t>
      </w:r>
    </w:p>
    <w:p>
      <w:pPr>
        <w:spacing w:after="0" w:line="206" w:lineRule="exact"/>
        <w:rPr>
          <w:rFonts w:ascii="Arial" w:cs="Arial" w:eastAsia="Arial" w:hAnsi="Arial"/>
          <w:sz w:val="16"/>
          <w:szCs w:val="16"/>
          <w:color w:val="auto"/>
        </w:rPr>
      </w:pPr>
    </w:p>
    <w:p>
      <w:pPr>
        <w:ind w:left="1020" w:right="119" w:hanging="328"/>
        <w:spacing w:after="0" w:line="27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products with our proprietary medicinal chemistry and formulation technologies. </w:t>
      </w:r>
      <w:r>
        <w:rPr>
          <w:rFonts w:ascii="Arial" w:cs="Arial" w:eastAsia="Arial" w:hAnsi="Arial"/>
          <w:sz w:val="17"/>
          <w:szCs w:val="17"/>
          <w:color w:val="auto"/>
        </w:rPr>
        <w:t>Our proprietary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medicinal chemistry and formulation technologies allow us to continue to design new and innovative medicines to treat CNS conditions. These technologies and capabilities include: (1) chiral chemistry and formulation to identify, isolate and stabilize chirally pure enantiomers, (2) metabolic inhibition as a novel drug delivery method to increase the bioavailability and prolong the half-life of target drug molecules, (3) the MoSEIC™ technology which is designed to substantially increase the solubility and speed the absorption of target drug molecules, and (4) proprietary chemical synthesis and analysis to increase the solubility and enable the oral delivery of target drug molecules.</w:t>
      </w:r>
    </w:p>
    <w:p>
      <w:pPr>
        <w:spacing w:after="0" w:line="178" w:lineRule="exact"/>
        <w:rPr>
          <w:rFonts w:ascii="Arial" w:cs="Arial" w:eastAsia="Arial" w:hAnsi="Arial"/>
          <w:sz w:val="17"/>
          <w:szCs w:val="17"/>
          <w:color w:val="auto"/>
        </w:rPr>
      </w:pPr>
    </w:p>
    <w:p>
      <w:pPr>
        <w:ind w:left="1020" w:right="99" w:hanging="328"/>
        <w:spacing w:after="0" w:line="218" w:lineRule="exact"/>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Develop products with differentiated profiles. </w:t>
      </w:r>
      <w:r>
        <w:rPr>
          <w:rFonts w:ascii="Arial" w:cs="Arial" w:eastAsia="Arial" w:hAnsi="Arial"/>
          <w:sz w:val="17"/>
          <w:szCs w:val="17"/>
          <w:color w:val="auto"/>
        </w:rPr>
        <w:t>We aim to develop products with novel mechanisms of 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intended indications that may yield differentiated product profiles. For example, AXS</w:t>
      </w:r>
      <w:r>
        <w:rPr>
          <w:rFonts w:ascii="MS PGothic" w:cs="MS PGothic" w:eastAsia="MS PGothic" w:hAnsi="MS PGothic"/>
          <w:sz w:val="17"/>
          <w:szCs w:val="17"/>
          <w:color w:val="auto"/>
        </w:rPr>
        <w:t>‑</w:t>
      </w:r>
      <w:r>
        <w:rPr>
          <w:rFonts w:ascii="Arial" w:cs="Arial" w:eastAsia="Arial" w:hAnsi="Arial"/>
          <w:sz w:val="17"/>
          <w:szCs w:val="17"/>
          <w:color w:val="auto"/>
        </w:rPr>
        <w:t>05 and AXS-09 combine several mechanisms of action resulting in a unique pharmacological profile that may be relevant to the treatment of numerous CNS disorders. The MoSEICTM technology is designed to improve the absorption of drug molecules after oral administration and is utilized in our AXS-07 product candidate. We believe that products with clearly differentiated features will be attractive to patients and their physicians, and will provide us with a competitive commercial advantage.</w:t>
      </w:r>
    </w:p>
    <w:p>
      <w:pPr>
        <w:spacing w:after="0" w:line="205" w:lineRule="exact"/>
        <w:rPr>
          <w:rFonts w:ascii="Arial" w:cs="Arial" w:eastAsia="Arial" w:hAnsi="Arial"/>
          <w:sz w:val="17"/>
          <w:szCs w:val="17"/>
          <w:color w:val="auto"/>
        </w:rPr>
      </w:pPr>
    </w:p>
    <w:p>
      <w:pPr>
        <w:ind w:left="1020" w:right="119" w:hanging="328"/>
        <w:spacing w:after="0" w:line="217" w:lineRule="exact"/>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 clinical and regulatory risk, limit development costs, and accelerate time to market. </w:t>
      </w:r>
      <w:r>
        <w:rPr>
          <w:rFonts w:ascii="Arial" w:cs="Arial" w:eastAsia="Arial" w:hAnsi="Arial"/>
          <w:sz w:val="16"/>
          <w:szCs w:val="16"/>
          <w:color w:val="auto"/>
        </w:rPr>
        <w:t>Our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incorporate chemical entities with long histories of clinical use and well</w:t>
      </w:r>
      <w:r>
        <w:rPr>
          <w:rFonts w:ascii="MS PGothic" w:cs="MS PGothic" w:eastAsia="MS PGothic" w:hAnsi="MS PGothic"/>
          <w:sz w:val="16"/>
          <w:szCs w:val="16"/>
          <w:color w:val="auto"/>
        </w:rPr>
        <w:t>‑</w:t>
      </w:r>
      <w:r>
        <w:rPr>
          <w:rFonts w:ascii="Arial" w:cs="Arial" w:eastAsia="Arial" w:hAnsi="Arial"/>
          <w:sz w:val="16"/>
          <w:szCs w:val="16"/>
          <w:color w:val="auto"/>
        </w:rPr>
        <w:t>characterized safety profiles. Use of well</w:t>
      </w:r>
      <w:r>
        <w:rPr>
          <w:rFonts w:ascii="MS PGothic" w:cs="MS PGothic" w:eastAsia="MS PGothic" w:hAnsi="MS PGothic"/>
          <w:sz w:val="16"/>
          <w:szCs w:val="16"/>
          <w:color w:val="auto"/>
        </w:rPr>
        <w:t>‑</w:t>
      </w:r>
      <w:r>
        <w:rPr>
          <w:rFonts w:ascii="Arial" w:cs="Arial" w:eastAsia="Arial" w:hAnsi="Arial"/>
          <w:sz w:val="16"/>
          <w:szCs w:val="16"/>
          <w:color w:val="auto"/>
        </w:rPr>
        <w:t>characterized molecules has allowed us to rapidly complete early clinical development of our product candidates, and may reduce the risk of late</w:t>
      </w:r>
      <w:r>
        <w:rPr>
          <w:rFonts w:ascii="MS PGothic" w:cs="MS PGothic" w:eastAsia="MS PGothic" w:hAnsi="MS PGothic"/>
          <w:sz w:val="16"/>
          <w:szCs w:val="16"/>
          <w:color w:val="auto"/>
        </w:rPr>
        <w:t>‑</w:t>
      </w:r>
      <w:r>
        <w:rPr>
          <w:rFonts w:ascii="Arial" w:cs="Arial" w:eastAsia="Arial" w:hAnsi="Arial"/>
          <w:sz w:val="16"/>
          <w:szCs w:val="16"/>
          <w:color w:val="auto"/>
        </w:rPr>
        <w:t>stage clinical failures due to unexpected toxicities. This strategy also allows us to seek FDA approval for some of our product candidates using the 505(b)(2) regulatory pathway. Section 505(b)(2) of the Federal Food, Drug, and Cosmetic Act, or FDCA, permits an applicant to file a new drug application, or NDA, that relies, in part, on the FDA’s prior findings of safety and efficacy in the approval of a similar drug, or on published literature. It therefore allows us to leverage previous preclinical and clinical experience with the active molecules in some of our product candidates and potentially forego conducting certain lengthy and costly preclinical studies, reduce clinical and regulatory risk, limit development costs, and accelerate our time to commercialization.</w:t>
      </w:r>
    </w:p>
    <w:p>
      <w:pPr>
        <w:spacing w:after="0" w:line="205" w:lineRule="exact"/>
        <w:rPr>
          <w:rFonts w:ascii="Arial" w:cs="Arial" w:eastAsia="Arial" w:hAnsi="Arial"/>
          <w:sz w:val="16"/>
          <w:szCs w:val="16"/>
          <w:color w:val="auto"/>
        </w:rPr>
      </w:pPr>
    </w:p>
    <w:p>
      <w:pPr>
        <w:ind w:left="1020" w:right="379" w:hanging="328"/>
        <w:spacing w:after="0" w:line="218" w:lineRule="exact"/>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Retain commercial rights in the United States, where appropriate, and selectively partner outside of the United States to maximize the value of our product candidates. </w:t>
      </w:r>
      <w:r>
        <w:rPr>
          <w:rFonts w:ascii="Arial" w:cs="Arial" w:eastAsia="Arial" w:hAnsi="Arial"/>
          <w:sz w:val="18"/>
          <w:szCs w:val="18"/>
          <w:color w:val="auto"/>
        </w:rPr>
        <w:t>We intend to commercialize our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if approved, in the United States through the establishment of our own focused, cost</w:t>
      </w:r>
      <w:r>
        <w:rPr>
          <w:rFonts w:ascii="MS PGothic" w:cs="MS PGothic" w:eastAsia="MS PGothic" w:hAnsi="MS PGothic"/>
          <w:sz w:val="18"/>
          <w:szCs w:val="18"/>
          <w:color w:val="auto"/>
        </w:rPr>
        <w:t>‑</w:t>
      </w:r>
      <w:r>
        <w:rPr>
          <w:rFonts w:ascii="Arial" w:cs="Arial" w:eastAsia="Arial" w:hAnsi="Arial"/>
          <w:sz w:val="18"/>
          <w:szCs w:val="18"/>
          <w:color w:val="auto"/>
        </w:rPr>
        <w:t>effective sales and marketing organization targeting high</w:t>
      </w:r>
      <w:r>
        <w:rPr>
          <w:rFonts w:ascii="MS PGothic" w:cs="MS PGothic" w:eastAsia="MS PGothic" w:hAnsi="MS PGothic"/>
          <w:sz w:val="18"/>
          <w:szCs w:val="18"/>
          <w:color w:val="auto"/>
        </w:rPr>
        <w:t>‑</w:t>
      </w:r>
      <w:r>
        <w:rPr>
          <w:rFonts w:ascii="Arial" w:cs="Arial" w:eastAsia="Arial" w:hAnsi="Arial"/>
          <w:sz w:val="18"/>
          <w:szCs w:val="18"/>
          <w:color w:val="auto"/>
        </w:rPr>
        <w:t>prescribing specialists. We intend to selectively partner commercial rights outside of the United States with third parties to maximize the value of our product candidates without the substantial investment required to develop independent sales forces in those geographies. We continue to evaluate strategic options for the commercialization of our other product candidates.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151765</wp:posOffset>
            </wp:positionV>
            <wp:extent cx="5057775" cy="213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5777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CNS Product Candidates</w:t>
      </w:r>
    </w:p>
    <w:p>
      <w:pPr>
        <w:spacing w:after="0" w:line="225"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05</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AXS-05 is a novel, oral, investigational NMDA receptor antagonist with multimodal activity under development for the treatment of CNS disorders. AXS-05 consists of a proprietary formulation and dose of dextromethorphan, or DM, and bupropion and utilizes Axsome’s metabolic inhibition technology.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w:t>
      </w:r>
    </w:p>
    <w:p>
      <w:pPr>
        <w:spacing w:after="0" w:line="192" w:lineRule="exact"/>
        <w:rPr>
          <w:sz w:val="20"/>
          <w:szCs w:val="20"/>
          <w:color w:val="auto"/>
        </w:rPr>
      </w:pPr>
    </w:p>
    <w:p>
      <w:pPr>
        <w:ind w:left="40" w:right="59" w:firstLine="648"/>
        <w:spacing w:after="0" w:line="221"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is potentially applicable to the treatment of a variety of CNS disorders, based on the multiple mechanisms of action. We are developing AXS</w:t>
      </w:r>
      <w:r>
        <w:rPr>
          <w:rFonts w:ascii="MS PGothic" w:cs="MS PGothic" w:eastAsia="MS PGothic" w:hAnsi="MS PGothic"/>
          <w:sz w:val="16"/>
          <w:szCs w:val="16"/>
          <w:color w:val="auto"/>
        </w:rPr>
        <w:t>‑</w:t>
      </w:r>
      <w:r>
        <w:rPr>
          <w:rFonts w:ascii="Arial" w:cs="Arial" w:eastAsia="Arial" w:hAnsi="Arial"/>
          <w:sz w:val="16"/>
          <w:szCs w:val="16"/>
          <w:color w:val="auto"/>
        </w:rPr>
        <w:t>05 initially as a therapeutic for major depressive disorder, or MDD, treatment resistant depression, or TRD, agitation associated with Alzheimer’s disease, or AD, and as an aid to smoking cessation.</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Scientific Rationale</w:t>
      </w:r>
    </w:p>
    <w:p>
      <w:pPr>
        <w:spacing w:after="0" w:line="225"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DM and bupropion each target different CNS receptor systems that are potentially relevant to the treatment of CNS disorders. Combining the distinct and independent mechanisms of action of these two compounds may be additive or synergistic in the treatment of depression and other CNS disorders. However, DM is quickly eliminated from the body following administration due to extensive first pass metabolism, which results in low blood levels even at high doses. Attainment of potential therapeutic plasma levels of DM is therefore difficult when DM is dosed as a single agent. The bupropion component of AXS-05 serves to increase the bioavailability of dextromethorphan. This positive pharmacokinetic interaction between bupropion and DM therefore may enable DM’s clinical utility by increasing DM’s plasma levels into a potentially therapeutic range. We believe this dual pharmacodynamic and pharmacokinetic synergy results in a unique pharmacological profile that could potentially be efficacious in CNS disorders.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8"/>
          <w:szCs w:val="18"/>
          <w:color w:val="auto"/>
        </w:rPr>
        <w:t>Bupropion is a well</w:t>
      </w:r>
      <w:r>
        <w:rPr>
          <w:rFonts w:ascii="MS PGothic" w:cs="MS PGothic" w:eastAsia="MS PGothic" w:hAnsi="MS PGothic"/>
          <w:sz w:val="18"/>
          <w:szCs w:val="18"/>
          <w:color w:val="auto"/>
        </w:rPr>
        <w:t>‑</w:t>
      </w:r>
      <w:r>
        <w:rPr>
          <w:rFonts w:ascii="Arial" w:cs="Arial" w:eastAsia="Arial" w:hAnsi="Arial"/>
          <w:sz w:val="18"/>
          <w:szCs w:val="18"/>
          <w:color w:val="auto"/>
        </w:rPr>
        <w:t>characterized antidepressant that is chemically unrelated to tricyclic, tetracyclic, selective serotonin reuptake inhibitor, or other known antidepressant agents. It is an inhibitor of the neuronal uptake of norepinephrine and dopamine, and does not inhibit monoamine oxidase or the reuptake of serotonin. It is the only antidepressant currently available that is capable of selectively inhibiting both dopamine and norepinephrine reuptake. Bupropion was approved in the United States in 1985 and is marketed under the trade name Wellbutrin for the treatment of major depressive disorder, or MDD, and seasonal affective disorder, or SAD, and under the trade name Zyban as an aid to smoking cessation.</w:t>
      </w:r>
    </w:p>
    <w:p>
      <w:pPr>
        <w:spacing w:after="0" w:line="207" w:lineRule="exact"/>
        <w:rPr>
          <w:sz w:val="20"/>
          <w:szCs w:val="20"/>
          <w:color w:val="auto"/>
        </w:rPr>
      </w:pPr>
    </w:p>
    <w:p>
      <w:pPr>
        <w:jc w:val="both"/>
        <w:ind w:left="40" w:right="59" w:firstLine="648"/>
        <w:spacing w:after="0" w:line="221" w:lineRule="exact"/>
        <w:rPr>
          <w:sz w:val="20"/>
          <w:szCs w:val="20"/>
          <w:color w:val="auto"/>
        </w:rPr>
      </w:pPr>
      <w:r>
        <w:rPr>
          <w:rFonts w:ascii="Arial" w:cs="Arial" w:eastAsia="Arial" w:hAnsi="Arial"/>
          <w:sz w:val="16"/>
          <w:szCs w:val="16"/>
          <w:color w:val="auto"/>
        </w:rPr>
        <w:t>DM is a noncompetitive N</w:t>
      </w:r>
      <w:r>
        <w:rPr>
          <w:rFonts w:ascii="MS PGothic" w:cs="MS PGothic" w:eastAsia="MS PGothic" w:hAnsi="MS PGothic"/>
          <w:sz w:val="16"/>
          <w:szCs w:val="16"/>
          <w:color w:val="auto"/>
        </w:rPr>
        <w:t>‑</w:t>
      </w:r>
      <w:r>
        <w:rPr>
          <w:rFonts w:ascii="Arial" w:cs="Arial" w:eastAsia="Arial" w:hAnsi="Arial"/>
          <w:sz w:val="16"/>
          <w:szCs w:val="16"/>
          <w:color w:val="auto"/>
        </w:rPr>
        <w:t>methyl</w:t>
      </w:r>
      <w:r>
        <w:rPr>
          <w:rFonts w:ascii="MS PGothic" w:cs="MS PGothic" w:eastAsia="MS PGothic" w:hAnsi="MS PGothic"/>
          <w:sz w:val="16"/>
          <w:szCs w:val="16"/>
          <w:color w:val="auto"/>
        </w:rPr>
        <w:t>‑</w:t>
      </w:r>
      <w:r>
        <w:rPr>
          <w:rFonts w:ascii="Arial" w:cs="Arial" w:eastAsia="Arial" w:hAnsi="Arial"/>
          <w:sz w:val="16"/>
          <w:szCs w:val="16"/>
          <w:color w:val="auto"/>
        </w:rPr>
        <w:t>D</w:t>
      </w:r>
      <w:r>
        <w:rPr>
          <w:rFonts w:ascii="MS PGothic" w:cs="MS PGothic" w:eastAsia="MS PGothic" w:hAnsi="MS PGothic"/>
          <w:sz w:val="16"/>
          <w:szCs w:val="16"/>
          <w:color w:val="auto"/>
        </w:rPr>
        <w:t>‑</w:t>
      </w:r>
      <w:r>
        <w:rPr>
          <w:rFonts w:ascii="Arial" w:cs="Arial" w:eastAsia="Arial" w:hAnsi="Arial"/>
          <w:sz w:val="16"/>
          <w:szCs w:val="16"/>
          <w:color w:val="auto"/>
        </w:rPr>
        <w:t>aspartate, or NMDA, receptor antagonist, a sigma</w:t>
      </w:r>
      <w:r>
        <w:rPr>
          <w:rFonts w:ascii="MS PGothic" w:cs="MS PGothic" w:eastAsia="MS PGothic" w:hAnsi="MS PGothic"/>
          <w:sz w:val="16"/>
          <w:szCs w:val="16"/>
          <w:color w:val="auto"/>
        </w:rPr>
        <w:t>‑</w:t>
      </w:r>
      <w:r>
        <w:rPr>
          <w:rFonts w:ascii="Arial" w:cs="Arial" w:eastAsia="Arial" w:hAnsi="Arial"/>
          <w:sz w:val="16"/>
          <w:szCs w:val="16"/>
          <w:color w:val="auto"/>
        </w:rPr>
        <w:t>1 receptor agonist, and an inhibitor of the serotonin transporter, or SERT, and norepinephrine transporter, or NET. Each of these mechanisms of action has been shown to be associated with antidepressant response. DM is a well</w:t>
      </w:r>
      <w:r>
        <w:rPr>
          <w:rFonts w:ascii="MS PGothic" w:cs="MS PGothic" w:eastAsia="MS PGothic" w:hAnsi="MS PGothic"/>
          <w:sz w:val="16"/>
          <w:szCs w:val="16"/>
          <w:color w:val="auto"/>
        </w:rPr>
        <w:t>‑</w:t>
      </w:r>
      <w:r>
        <w:rPr>
          <w:rFonts w:ascii="Arial" w:cs="Arial" w:eastAsia="Arial" w:hAnsi="Arial"/>
          <w:sz w:val="16"/>
          <w:szCs w:val="16"/>
          <w:color w:val="auto"/>
        </w:rPr>
        <w:t>known agent that is used as an antitussive.</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Depression</w:t>
      </w:r>
    </w:p>
    <w:p>
      <w:pPr>
        <w:spacing w:after="0" w:line="225" w:lineRule="exact"/>
        <w:rPr>
          <w:sz w:val="20"/>
          <w:szCs w:val="20"/>
          <w:color w:val="auto"/>
        </w:rPr>
      </w:pPr>
    </w:p>
    <w:p>
      <w:pPr>
        <w:ind w:left="40" w:right="299" w:firstLine="648"/>
        <w:spacing w:after="0" w:line="263" w:lineRule="auto"/>
        <w:rPr>
          <w:sz w:val="20"/>
          <w:szCs w:val="20"/>
          <w:color w:val="auto"/>
        </w:rPr>
      </w:pPr>
      <w:r>
        <w:rPr>
          <w:rFonts w:ascii="Arial" w:cs="Arial" w:eastAsia="Arial" w:hAnsi="Arial"/>
          <w:sz w:val="18"/>
          <w:szCs w:val="18"/>
          <w:color w:val="auto"/>
        </w:rPr>
        <w:t>We are developing AXS-05 for the treatment of major depressive disorder, or MDD, and treatment resistant depression, or TRD. We believe there is a substantial need for new effective treatments for this large underserved patient population.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Indication Overview</w:t>
      </w:r>
    </w:p>
    <w:p>
      <w:pPr>
        <w:spacing w:after="0" w:line="225" w:lineRule="exact"/>
        <w:rPr>
          <w:sz w:val="20"/>
          <w:szCs w:val="20"/>
          <w:color w:val="auto"/>
        </w:rPr>
      </w:pPr>
    </w:p>
    <w:p>
      <w:pPr>
        <w:ind w:left="40" w:right="139" w:firstLine="648"/>
        <w:spacing w:after="0" w:line="301" w:lineRule="auto"/>
        <w:rPr>
          <w:sz w:val="20"/>
          <w:szCs w:val="20"/>
          <w:color w:val="auto"/>
        </w:rPr>
      </w:pPr>
      <w:r>
        <w:rPr>
          <w:rFonts w:ascii="Arial" w:cs="Arial" w:eastAsia="Arial" w:hAnsi="Arial"/>
          <w:sz w:val="16"/>
          <w:szCs w:val="16"/>
          <w:color w:val="auto"/>
        </w:rPr>
        <w:t>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7.1% of U.S. adults, or approximately 17.3 million, experience MDD each year.</w:t>
      </w:r>
    </w:p>
    <w:p>
      <w:pPr>
        <w:spacing w:after="0" w:line="157"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Patients diagnosed with MDD are defined as having TRD if they have failed two or more antidepressant therapies. MDD is a serious condition characterized by depressed mood or a loss of interest or pleasure in daily activities consistently for at least a two</w:t>
      </w:r>
      <w:r>
        <w:rPr>
          <w:rFonts w:ascii="MS PGothic" w:cs="MS PGothic" w:eastAsia="MS PGothic" w:hAnsi="MS PGothic"/>
          <w:sz w:val="16"/>
          <w:szCs w:val="16"/>
          <w:color w:val="auto"/>
        </w:rPr>
        <w:t>‑</w:t>
      </w:r>
      <w:r>
        <w:rPr>
          <w:rFonts w:ascii="Arial" w:cs="Arial" w:eastAsia="Arial" w:hAnsi="Arial"/>
          <w:sz w:val="16"/>
          <w:szCs w:val="16"/>
          <w:color w:val="auto"/>
        </w:rPr>
        <w:t>week period, and which impairs social, occupational, educational, or other important functioning. MDD is highly prevalent and difficult to treat. According to the National Institutes of Health, or NIH, an estimated 7.1% of U.S. adults experience MDD each year, and of them 64% had severe impairment associated with their depression. Results of the Sequenced Treatment Alternatives to Relieve Depression, or STAR*D trial, funded by the National Institute of Mental Health, indicate that nearly two</w:t>
      </w:r>
      <w:r>
        <w:rPr>
          <w:rFonts w:ascii="MS PGothic" w:cs="MS PGothic" w:eastAsia="MS PGothic" w:hAnsi="MS PGothic"/>
          <w:sz w:val="16"/>
          <w:szCs w:val="16"/>
          <w:color w:val="auto"/>
        </w:rPr>
        <w:t>‑</w:t>
      </w:r>
      <w:r>
        <w:rPr>
          <w:rFonts w:ascii="Arial" w:cs="Arial" w:eastAsia="Arial" w:hAnsi="Arial"/>
          <w:sz w:val="16"/>
          <w:szCs w:val="16"/>
          <w:color w:val="auto"/>
        </w:rPr>
        <w:t>thirds of diagnosed and treated patients do not experience adequate treatment response with first</w:t>
      </w:r>
      <w:r>
        <w:rPr>
          <w:rFonts w:ascii="MS PGothic" w:cs="MS PGothic" w:eastAsia="MS PGothic" w:hAnsi="MS PGothic"/>
          <w:sz w:val="16"/>
          <w:szCs w:val="16"/>
          <w:color w:val="auto"/>
        </w:rPr>
        <w:t>‑</w:t>
      </w:r>
      <w:r>
        <w:rPr>
          <w:rFonts w:ascii="Arial" w:cs="Arial" w:eastAsia="Arial" w:hAnsi="Arial"/>
          <w:sz w:val="16"/>
          <w:szCs w:val="16"/>
          <w:color w:val="auto"/>
        </w:rPr>
        <w:t>line therapy, and that the majority of these initial failures also fail second</w:t>
      </w:r>
      <w:r>
        <w:rPr>
          <w:rFonts w:ascii="MS PGothic" w:cs="MS PGothic" w:eastAsia="MS PGothic" w:hAnsi="MS PGothic"/>
          <w:sz w:val="16"/>
          <w:szCs w:val="16"/>
          <w:color w:val="auto"/>
        </w:rPr>
        <w:t>‑</w:t>
      </w:r>
      <w:r>
        <w:rPr>
          <w:rFonts w:ascii="Arial" w:cs="Arial" w:eastAsia="Arial" w:hAnsi="Arial"/>
          <w:sz w:val="16"/>
          <w:szCs w:val="16"/>
          <w:color w:val="auto"/>
        </w:rPr>
        <w:t>line treatment. Based on these observations, we estimate that there are approximately 3 million patients with TRD in the United States.</w:t>
      </w:r>
    </w:p>
    <w:p>
      <w:pPr>
        <w:spacing w:after="0" w:line="207"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i w:val="1"/>
          <w:iCs w:val="1"/>
          <w:color w:val="auto"/>
        </w:rPr>
        <w:t>Rationale for the Use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 in Depression</w:t>
      </w:r>
    </w:p>
    <w:p>
      <w:pPr>
        <w:spacing w:after="0" w:line="225" w:lineRule="exact"/>
        <w:rPr>
          <w:sz w:val="20"/>
          <w:szCs w:val="20"/>
          <w:color w:val="auto"/>
        </w:rPr>
      </w:pPr>
    </w:p>
    <w:p>
      <w:pPr>
        <w:ind w:left="40" w:right="179" w:firstLine="648"/>
        <w:spacing w:after="0" w:line="286" w:lineRule="auto"/>
        <w:rPr>
          <w:sz w:val="20"/>
          <w:szCs w:val="20"/>
          <w:color w:val="auto"/>
        </w:rPr>
      </w:pPr>
      <w:r>
        <w:rPr>
          <w:rFonts w:ascii="Arial" w:cs="Arial" w:eastAsia="Arial" w:hAnsi="Arial"/>
          <w:sz w:val="17"/>
          <w:szCs w:val="17"/>
          <w:color w:val="auto"/>
        </w:rPr>
        <w:t>The rationale for the use of AXS-05 in the treatment of depression is based on clinical evidence of antidepressant effects of AXS-05, the mechanisms of action of the DM component of AXS-05, preclinical evidence of antidepressant effects of DM, and the established clinical efficacy of the bupropion component of AXS-05 in MDD.</w:t>
      </w:r>
    </w:p>
    <w:p>
      <w:pPr>
        <w:spacing w:after="0" w:line="165"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6"/>
          <w:szCs w:val="16"/>
          <w:i w:val="1"/>
          <w:iCs w:val="1"/>
          <w:color w:val="auto"/>
        </w:rPr>
        <w:t xml:space="preserve">Mechanistic rationale. </w:t>
      </w:r>
      <w:r>
        <w:rPr>
          <w:rFonts w:ascii="Arial" w:cs="Arial" w:eastAsia="Arial" w:hAnsi="Arial"/>
          <w:sz w:val="16"/>
          <w:szCs w:val="16"/>
          <w:color w:val="auto"/>
        </w:rPr>
        <w:t>AXS-05 is an NMDA receptor antagonist with multimodal activity. DM’s mechanisms of</w:t>
      </w:r>
      <w:r>
        <w:rPr>
          <w:rFonts w:ascii="Arial" w:cs="Arial" w:eastAsia="Arial" w:hAnsi="Arial"/>
          <w:sz w:val="16"/>
          <w:szCs w:val="16"/>
          <w:i w:val="1"/>
          <w:iCs w:val="1"/>
          <w:color w:val="auto"/>
        </w:rPr>
        <w:t xml:space="preserve"> </w:t>
      </w:r>
      <w:r>
        <w:rPr>
          <w:rFonts w:ascii="Arial" w:cs="Arial" w:eastAsia="Arial" w:hAnsi="Arial"/>
          <w:sz w:val="16"/>
          <w:szCs w:val="16"/>
          <w:color w:val="auto"/>
        </w:rPr>
        <w:t>action encompass those of several currently marketed antidepressant drugs such as esketamine (Spravato), duloxetine (Cymbalta), fluoxetine (Prozac), and fluvoxamine (Luvox). Bupropion inhibits the reuptake of dopamine and is a nicotinic acetylocholine receptor antagonist. The distinct mechanisms of action of DM and bupropion may therefore be complementary. Additionally, we believe that, if successfully developed, the NMDA receptor antagonist properties of DM in AXS</w:t>
      </w:r>
      <w:r>
        <w:rPr>
          <w:rFonts w:ascii="MS PGothic" w:cs="MS PGothic" w:eastAsia="MS PGothic" w:hAnsi="MS PGothic"/>
          <w:sz w:val="16"/>
          <w:szCs w:val="16"/>
          <w:color w:val="auto"/>
        </w:rPr>
        <w:t>‑</w:t>
      </w:r>
      <w:r>
        <w:rPr>
          <w:rFonts w:ascii="Arial" w:cs="Arial" w:eastAsia="Arial" w:hAnsi="Arial"/>
          <w:sz w:val="16"/>
          <w:szCs w:val="16"/>
          <w:color w:val="auto"/>
        </w:rPr>
        <w:t>05 may potentially result in a faster onset of action than currently available antidepressant treatments.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Agitation associated with Alzheimer’s Disease (AD)</w:t>
      </w:r>
    </w:p>
    <w:p>
      <w:pPr>
        <w:spacing w:after="0" w:line="225" w:lineRule="exact"/>
        <w:rPr>
          <w:sz w:val="20"/>
          <w:szCs w:val="20"/>
          <w:color w:val="auto"/>
        </w:rPr>
      </w:pPr>
    </w:p>
    <w:p>
      <w:pPr>
        <w:ind w:left="40" w:right="1179" w:firstLine="648"/>
        <w:spacing w:after="0" w:line="224" w:lineRule="exact"/>
        <w:rPr>
          <w:sz w:val="20"/>
          <w:szCs w:val="20"/>
          <w:color w:val="auto"/>
        </w:rPr>
      </w:pPr>
      <w:r>
        <w:rPr>
          <w:rFonts w:ascii="Arial" w:cs="Arial" w:eastAsia="Arial" w:hAnsi="Arial"/>
          <w:sz w:val="17"/>
          <w:szCs w:val="17"/>
          <w:color w:val="auto"/>
        </w:rPr>
        <w:t>We are developing AXS</w:t>
      </w:r>
      <w:r>
        <w:rPr>
          <w:rFonts w:ascii="MS PGothic" w:cs="MS PGothic" w:eastAsia="MS PGothic" w:hAnsi="MS PGothic"/>
          <w:sz w:val="17"/>
          <w:szCs w:val="17"/>
          <w:color w:val="auto"/>
        </w:rPr>
        <w:t>‑</w:t>
      </w:r>
      <w:r>
        <w:rPr>
          <w:rFonts w:ascii="Arial" w:cs="Arial" w:eastAsia="Arial" w:hAnsi="Arial"/>
          <w:sz w:val="17"/>
          <w:szCs w:val="17"/>
          <w:color w:val="auto"/>
        </w:rPr>
        <w:t>05 for the treatment of agitation associated with AD. There is currently no FDA</w:t>
      </w:r>
      <w:r>
        <w:rPr>
          <w:rFonts w:ascii="MS PGothic" w:cs="MS PGothic" w:eastAsia="MS PGothic" w:hAnsi="MS PGothic"/>
          <w:sz w:val="17"/>
          <w:szCs w:val="17"/>
          <w:color w:val="auto"/>
        </w:rPr>
        <w:t>‑</w:t>
      </w:r>
      <w:r>
        <w:rPr>
          <w:rFonts w:ascii="Arial" w:cs="Arial" w:eastAsia="Arial" w:hAnsi="Arial"/>
          <w:sz w:val="17"/>
          <w:szCs w:val="17"/>
          <w:color w:val="auto"/>
        </w:rPr>
        <w:t>approved pharmacological treatment for the indication of agitation associated with AD.</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Indication Overview</w:t>
      </w:r>
    </w:p>
    <w:p>
      <w:pPr>
        <w:spacing w:after="0" w:line="225" w:lineRule="exact"/>
        <w:rPr>
          <w:sz w:val="20"/>
          <w:szCs w:val="20"/>
          <w:color w:val="auto"/>
        </w:rPr>
      </w:pPr>
    </w:p>
    <w:p>
      <w:pPr>
        <w:ind w:left="40" w:right="179" w:firstLine="648"/>
        <w:spacing w:after="0" w:line="271" w:lineRule="auto"/>
        <w:rPr>
          <w:sz w:val="20"/>
          <w:szCs w:val="20"/>
          <w:color w:val="auto"/>
        </w:rPr>
      </w:pPr>
      <w:r>
        <w:rPr>
          <w:rFonts w:ascii="Arial" w:cs="Arial" w:eastAsia="Arial" w:hAnsi="Arial"/>
          <w:sz w:val="17"/>
          <w:szCs w:val="17"/>
          <w:color w:val="auto"/>
        </w:rPr>
        <w:t>AD is a progressive neurodegenerative disorder that manifests initially as forgetfulness advancing to severe cognitive impairment and memory loss. It is a common form of dementia and afflicts an estimated 5 million individuals in the United States, a number that is anticipated to increase to approximately 14 million by 2050. In addition to cognitive decline, individuals diagnosed with AD typically experience behavioral and psychological symptoms including agitation and aggression. These symptoms are seen in a high percentage of AD sufferers with agitation being reported in up to 70% of patients. Agitation is characterized by emotional distress, aggressive behaviors, disruptive irritability, and disinhibition. Agitation associated with AD has been associated with increased caregiver burden, decreased functioning, earlier nursing home placement, and death.</w:t>
      </w:r>
    </w:p>
    <w:p>
      <w:pPr>
        <w:spacing w:after="0" w:line="178" w:lineRule="exact"/>
        <w:rPr>
          <w:sz w:val="20"/>
          <w:szCs w:val="20"/>
          <w:color w:val="auto"/>
        </w:rPr>
      </w:pPr>
    </w:p>
    <w:p>
      <w:pPr>
        <w:ind w:left="40" w:right="279" w:firstLine="648"/>
        <w:spacing w:after="0" w:line="219" w:lineRule="exact"/>
        <w:rPr>
          <w:sz w:val="20"/>
          <w:szCs w:val="20"/>
          <w:color w:val="auto"/>
        </w:rPr>
      </w:pPr>
      <w:r>
        <w:rPr>
          <w:rFonts w:ascii="Arial" w:cs="Arial" w:eastAsia="Arial" w:hAnsi="Arial"/>
          <w:sz w:val="16"/>
          <w:szCs w:val="16"/>
          <w:color w:val="auto"/>
        </w:rPr>
        <w:t>Because there are no FDA</w:t>
      </w:r>
      <w:r>
        <w:rPr>
          <w:rFonts w:ascii="MS PGothic" w:cs="MS PGothic" w:eastAsia="MS PGothic" w:hAnsi="MS PGothic"/>
          <w:sz w:val="16"/>
          <w:szCs w:val="16"/>
          <w:color w:val="auto"/>
        </w:rPr>
        <w:t>‑</w:t>
      </w:r>
      <w:r>
        <w:rPr>
          <w:rFonts w:ascii="Arial" w:cs="Arial" w:eastAsia="Arial" w:hAnsi="Arial"/>
          <w:sz w:val="16"/>
          <w:szCs w:val="16"/>
          <w:color w:val="auto"/>
        </w:rPr>
        <w:t>approved pharmacological treatments for the indication of agitation associated with AD, patients are currently treated off</w:t>
      </w:r>
      <w:r>
        <w:rPr>
          <w:rFonts w:ascii="MS PGothic" w:cs="MS PGothic" w:eastAsia="MS PGothic" w:hAnsi="MS PGothic"/>
          <w:sz w:val="16"/>
          <w:szCs w:val="16"/>
          <w:color w:val="auto"/>
        </w:rPr>
        <w:t>‑</w:t>
      </w:r>
      <w:r>
        <w:rPr>
          <w:rFonts w:ascii="Arial" w:cs="Arial" w:eastAsia="Arial" w:hAnsi="Arial"/>
          <w:sz w:val="16"/>
          <w:szCs w:val="16"/>
          <w:color w:val="auto"/>
        </w:rPr>
        <w:t>label with various agents including antipsychotics, which have been considered the mainstay of treatment. These treatments however are limited by safety concerns. Typical antipsychotics prescribed for agitation, aggression, or insomnia are associated with functional decline in patients with AD, while studies indicate that atypical antipsychotics may be associated with increased rates of cerebrovascular events in patients with dementia.</w:t>
      </w:r>
    </w:p>
    <w:p>
      <w:pPr>
        <w:spacing w:after="0" w:line="204"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 in Agitation associated with AD</w:t>
      </w:r>
    </w:p>
    <w:p>
      <w:pPr>
        <w:spacing w:after="0" w:line="225" w:lineRule="exact"/>
        <w:rPr>
          <w:sz w:val="20"/>
          <w:szCs w:val="20"/>
          <w:color w:val="auto"/>
        </w:rPr>
      </w:pPr>
    </w:p>
    <w:p>
      <w:pPr>
        <w:ind w:left="40" w:right="119" w:firstLine="648"/>
        <w:spacing w:after="0" w:line="220" w:lineRule="exact"/>
        <w:rPr>
          <w:sz w:val="20"/>
          <w:szCs w:val="20"/>
          <w:color w:val="auto"/>
        </w:rPr>
      </w:pPr>
      <w:r>
        <w:rPr>
          <w:rFonts w:ascii="Arial" w:cs="Arial" w:eastAsia="Arial" w:hAnsi="Arial"/>
          <w:sz w:val="18"/>
          <w:szCs w:val="18"/>
          <w:color w:val="auto"/>
        </w:rPr>
        <w:t>The rationale for the use of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AD is based on the mechanisms of action of DM, and preliminary clinical evidence of the effect of DM when co</w:t>
      </w:r>
      <w:r>
        <w:rPr>
          <w:rFonts w:ascii="MS PGothic" w:cs="MS PGothic" w:eastAsia="MS PGothic" w:hAnsi="MS PGothic"/>
          <w:sz w:val="18"/>
          <w:szCs w:val="18"/>
          <w:color w:val="auto"/>
        </w:rPr>
        <w:t>‑</w:t>
      </w:r>
      <w:r>
        <w:rPr>
          <w:rFonts w:ascii="Arial" w:cs="Arial" w:eastAsia="Arial" w:hAnsi="Arial"/>
          <w:sz w:val="18"/>
          <w:szCs w:val="18"/>
          <w:color w:val="auto"/>
        </w:rPr>
        <w:t>administered with an inhibitor of its metabolism in agitation associated with AD.</w:t>
      </w:r>
    </w:p>
    <w:p>
      <w:pPr>
        <w:spacing w:after="0" w:line="204" w:lineRule="exact"/>
        <w:rPr>
          <w:sz w:val="20"/>
          <w:szCs w:val="20"/>
          <w:color w:val="auto"/>
        </w:rPr>
      </w:pPr>
    </w:p>
    <w:p>
      <w:pPr>
        <w:ind w:left="40" w:right="119" w:firstLine="648"/>
        <w:spacing w:after="0" w:line="219" w:lineRule="exact"/>
        <w:rPr>
          <w:sz w:val="20"/>
          <w:szCs w:val="20"/>
          <w:color w:val="auto"/>
        </w:rPr>
      </w:pPr>
      <w:r>
        <w:rPr>
          <w:rFonts w:ascii="Arial" w:cs="Arial" w:eastAsia="Arial" w:hAnsi="Arial"/>
          <w:sz w:val="17"/>
          <w:szCs w:val="17"/>
          <w:i w:val="1"/>
          <w:iCs w:val="1"/>
          <w:color w:val="auto"/>
        </w:rPr>
        <w:t xml:space="preserve">Mechanistic rationale. </w:t>
      </w:r>
      <w:r>
        <w:rPr>
          <w:rFonts w:ascii="Arial" w:cs="Arial" w:eastAsia="Arial" w:hAnsi="Arial"/>
          <w:sz w:val="17"/>
          <w:szCs w:val="17"/>
          <w:color w:val="auto"/>
        </w:rPr>
        <w:t>Mechanisms of action of DM include NMDA receptor antagonism and sigma</w:t>
      </w:r>
      <w:r>
        <w:rPr>
          <w:rFonts w:ascii="MS PGothic" w:cs="MS PGothic" w:eastAsia="MS PGothic" w:hAnsi="MS PGothic"/>
          <w:sz w:val="17"/>
          <w:szCs w:val="17"/>
          <w:color w:val="auto"/>
        </w:rPr>
        <w:t>‑</w:t>
      </w:r>
      <w:r>
        <w:rPr>
          <w:rFonts w:ascii="Arial" w:cs="Arial" w:eastAsia="Arial" w:hAnsi="Arial"/>
          <w:sz w:val="17"/>
          <w:szCs w:val="17"/>
          <w:color w:val="auto"/>
        </w:rPr>
        <w:t>1 receptor</w:t>
      </w:r>
      <w:r>
        <w:rPr>
          <w:rFonts w:ascii="Arial" w:cs="Arial" w:eastAsia="Arial" w:hAnsi="Arial"/>
          <w:sz w:val="17"/>
          <w:szCs w:val="17"/>
          <w:i w:val="1"/>
          <w:iCs w:val="1"/>
          <w:color w:val="auto"/>
        </w:rPr>
        <w:t xml:space="preserve"> </w:t>
      </w:r>
      <w:r>
        <w:rPr>
          <w:rFonts w:ascii="Arial" w:cs="Arial" w:eastAsia="Arial" w:hAnsi="Arial"/>
          <w:sz w:val="17"/>
          <w:szCs w:val="17"/>
          <w:color w:val="auto"/>
        </w:rPr>
        <w:t>agonism. Altered glutamate transmission via NMDA receptors has been suggested to play a role in behavioral changes in dementia, and clinical evidence suggests that NMDA antagonism may reduce agitation and aggression in AD patients. The pharmacologic action of agents used in the treatment of dementia, such as donepezil (Aricept),and behavioral disorders, such as fluvoxamine, include sigma</w:t>
      </w:r>
      <w:r>
        <w:rPr>
          <w:rFonts w:ascii="MS PGothic" w:cs="MS PGothic" w:eastAsia="MS PGothic" w:hAnsi="MS PGothic"/>
          <w:sz w:val="17"/>
          <w:szCs w:val="17"/>
          <w:color w:val="auto"/>
        </w:rPr>
        <w:t>‑</w:t>
      </w:r>
      <w:r>
        <w:rPr>
          <w:rFonts w:ascii="Arial" w:cs="Arial" w:eastAsia="Arial" w:hAnsi="Arial"/>
          <w:sz w:val="17"/>
          <w:szCs w:val="17"/>
          <w:color w:val="auto"/>
        </w:rPr>
        <w:t>1 receptor agonism. Furthermore, the mechanism of NMDA antagonism is a treatment for dementia, such as with memantine (Namenda).</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Smoking Cessation</w:t>
      </w:r>
    </w:p>
    <w:p>
      <w:pPr>
        <w:spacing w:after="0" w:line="225" w:lineRule="exact"/>
        <w:rPr>
          <w:sz w:val="20"/>
          <w:szCs w:val="20"/>
          <w:color w:val="auto"/>
        </w:rPr>
      </w:pPr>
    </w:p>
    <w:p>
      <w:pPr>
        <w:ind w:left="40" w:right="99" w:firstLine="648"/>
        <w:spacing w:after="0" w:line="219"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05 as an aid to smoking cessation treatment. In December 2017, we entered into a collaboration with Duke University for the conduct of a Phase 2 trial of AXS-05 under an Investigator Sponsor IND in smokers interesting in quitting. Products that are currently approved in the United States as aids to smoking cessation treatment include Zyban, or bupropion, which is marketed by GlaxoSmithKline, Chantix, or varenicline, which is marketed by Pfizer Inc., and various types of nicotine replacement approaches.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Indication Overview</w:t>
      </w:r>
    </w:p>
    <w:p>
      <w:pPr>
        <w:spacing w:after="0" w:line="225" w:lineRule="exact"/>
        <w:rPr>
          <w:sz w:val="20"/>
          <w:szCs w:val="20"/>
          <w:color w:val="auto"/>
        </w:rPr>
      </w:pPr>
    </w:p>
    <w:p>
      <w:pPr>
        <w:ind w:left="40" w:right="139" w:firstLine="648"/>
        <w:spacing w:after="0" w:line="293" w:lineRule="auto"/>
        <w:rPr>
          <w:sz w:val="20"/>
          <w:szCs w:val="20"/>
          <w:color w:val="auto"/>
        </w:rPr>
      </w:pPr>
      <w:r>
        <w:rPr>
          <w:rFonts w:ascii="Arial" w:cs="Arial" w:eastAsia="Arial" w:hAnsi="Arial"/>
          <w:sz w:val="16"/>
          <w:szCs w:val="16"/>
          <w:color w:val="auto"/>
        </w:rPr>
        <w:t>Nearly 40 million American adults smoke and around 70% report that they want to quit. Tobacco use results in approximately 500,000 premature deaths each year in the U.S., according to the Centers for Disease Control and Prevention. Smoking is the single largest cause of premature deaths worldwide accounting for an estimated 20% of all deaths in developed countries. Direct health care and lost productivity costs as a result of smoking total nearly $300 billion a year in the U.S. alone. It is estimated that only 3% to 5% of cigarette smokers who attempt to quit without assistance are successful for 6 to 12 months, and even with the currently available treatment options, relapse rates remain above 80%.</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 in Smoking Cessation</w:t>
      </w:r>
    </w:p>
    <w:p>
      <w:pPr>
        <w:spacing w:after="0" w:line="225" w:lineRule="exact"/>
        <w:rPr>
          <w:sz w:val="20"/>
          <w:szCs w:val="20"/>
          <w:color w:val="auto"/>
        </w:rPr>
      </w:pPr>
    </w:p>
    <w:p>
      <w:pPr>
        <w:ind w:left="40" w:right="499" w:firstLine="648"/>
        <w:spacing w:after="0" w:line="221" w:lineRule="exact"/>
        <w:rPr>
          <w:sz w:val="20"/>
          <w:szCs w:val="20"/>
          <w:color w:val="auto"/>
        </w:rPr>
      </w:pPr>
      <w:r>
        <w:rPr>
          <w:rFonts w:ascii="Arial" w:cs="Arial" w:eastAsia="Arial" w:hAnsi="Arial"/>
          <w:sz w:val="16"/>
          <w:szCs w:val="16"/>
          <w:color w:val="auto"/>
        </w:rPr>
        <w:t>The rationale for the use of AXS</w:t>
      </w:r>
      <w:r>
        <w:rPr>
          <w:rFonts w:ascii="MS PGothic" w:cs="MS PGothic" w:eastAsia="MS PGothic" w:hAnsi="MS PGothic"/>
          <w:sz w:val="16"/>
          <w:szCs w:val="16"/>
          <w:color w:val="auto"/>
        </w:rPr>
        <w:t>‑</w:t>
      </w:r>
      <w:r>
        <w:rPr>
          <w:rFonts w:ascii="Arial" w:cs="Arial" w:eastAsia="Arial" w:hAnsi="Arial"/>
          <w:sz w:val="16"/>
          <w:szCs w:val="16"/>
          <w:color w:val="auto"/>
        </w:rPr>
        <w:t>05 as an aid to smoking cessation treatment is based on the mechanisms of action of DM and bupropion, nonclinical evidence of the effect of DM in models of nicotine dependence, and the established clinical efficacy of bupropion in the indication. Both bupropion and DM are nicotine receptor antagonists.</w:t>
      </w:r>
    </w:p>
    <w:p>
      <w:pPr>
        <w:spacing w:after="0" w:line="204"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7"/>
          <w:szCs w:val="17"/>
          <w:color w:val="auto"/>
        </w:rPr>
        <w:t>Results of preclinical studies conducted at Duke University demonstrated that the dextromethorphan component of AXS-05 significantly reduced nicotine self-administration in nicotine-dependent rats in a dose-dependent manner (p&lt;0.0005 versus control). Results of pharmacokinetic clinical trials conducted by us have demonstrated that, in human subjects, AXS-05 results in a significant increase in dextromethorphan plasma concentrations (p&lt;0.0001 versus administration of dextromethorphan as a single agent). Furthermore, bupropion, a component of AXS-05, has been found to be effective for smoking cessation in clinical trials. The preclinical and clinical efficacy of the individual components of AXS-05 combined with their positive pharmacokinetic interaction supports the potential for AXS-05 to be effective in the treatment of tobacco dependence in humans.</w:t>
      </w:r>
    </w:p>
    <w:p>
      <w:pPr>
        <w:spacing w:after="0" w:line="178" w:lineRule="exact"/>
        <w:rPr>
          <w:sz w:val="20"/>
          <w:szCs w:val="20"/>
          <w:color w:val="auto"/>
        </w:rPr>
      </w:pPr>
    </w:p>
    <w:p>
      <w:pPr>
        <w:jc w:val="both"/>
        <w:ind w:left="40" w:right="339" w:firstLine="648"/>
        <w:spacing w:after="0" w:line="263" w:lineRule="auto"/>
        <w:rPr>
          <w:sz w:val="20"/>
          <w:szCs w:val="20"/>
          <w:color w:val="auto"/>
        </w:rPr>
      </w:pPr>
      <w:r>
        <w:rPr>
          <w:rFonts w:ascii="Arial" w:cs="Arial" w:eastAsia="Arial" w:hAnsi="Arial"/>
          <w:sz w:val="18"/>
          <w:szCs w:val="18"/>
          <w:color w:val="auto"/>
        </w:rPr>
        <w:t>In April 2019 we announced the positive results of a Phase 2 trial for smoking cessation with AXS-05 that was conducted at Duke University. The results showed that AXS-05 met the prespecified primary endpoint and significantly reduced daily smoking as compared to the active comparator bupropion.</w:t>
      </w:r>
    </w:p>
    <w:p>
      <w:pPr>
        <w:spacing w:after="0" w:line="184"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w:t>
      </w:r>
    </w:p>
    <w:p>
      <w:pPr>
        <w:spacing w:after="0" w:line="225"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8"/>
          <w:szCs w:val="18"/>
          <w:color w:val="auto"/>
        </w:rPr>
        <w:t>We are developing AXS-05 and intend to seek FDA approval for the product utilizing the 505(b)(2) regulatory pathway. Section 505(b)(2) of the FDCA permits an applicant to file an NDA that relies, in part, on data not developed by or for the applicant and to which the applicant has not received a right of reference, such as the FDA’s findings of safety and efficacy in the approval of a similar drug, or reference listed drug, or published literature, in support of its application. We have completed one Phase 2 trial and one Phase 3 trial of AXS-05 in MDD and three Phase 1 pharmacokinetic clinical trials of AXS-05.</w:t>
      </w:r>
    </w:p>
    <w:p>
      <w:pPr>
        <w:spacing w:after="0" w:line="192" w:lineRule="exact"/>
        <w:rPr>
          <w:sz w:val="20"/>
          <w:szCs w:val="20"/>
          <w:color w:val="auto"/>
        </w:rPr>
      </w:pPr>
    </w:p>
    <w:p>
      <w:pPr>
        <w:ind w:left="40" w:right="99" w:firstLine="648"/>
        <w:spacing w:after="0" w:line="221" w:lineRule="exact"/>
        <w:rPr>
          <w:sz w:val="20"/>
          <w:szCs w:val="20"/>
          <w:color w:val="auto"/>
        </w:rPr>
      </w:pPr>
      <w:r>
        <w:rPr>
          <w:rFonts w:ascii="Arial" w:cs="Arial" w:eastAsia="Arial" w:hAnsi="Arial"/>
          <w:sz w:val="17"/>
          <w:szCs w:val="17"/>
          <w:color w:val="auto"/>
        </w:rPr>
        <w:t>We held a pre</w:t>
      </w:r>
      <w:r>
        <w:rPr>
          <w:rFonts w:ascii="MS PGothic" w:cs="MS PGothic" w:eastAsia="MS PGothic" w:hAnsi="MS PGothic"/>
          <w:sz w:val="17"/>
          <w:szCs w:val="17"/>
          <w:color w:val="auto"/>
        </w:rPr>
        <w:t>‑</w:t>
      </w:r>
      <w:r>
        <w:rPr>
          <w:rFonts w:ascii="Arial" w:cs="Arial" w:eastAsia="Arial" w:hAnsi="Arial"/>
          <w:sz w:val="17"/>
          <w:szCs w:val="17"/>
          <w:color w:val="auto"/>
        </w:rPr>
        <w:t>IND meeting with the FDA in February 2015 where we discussed our clinical development plan for AXS</w:t>
      </w:r>
      <w:r>
        <w:rPr>
          <w:rFonts w:ascii="MS PGothic" w:cs="MS PGothic" w:eastAsia="MS PGothic" w:hAnsi="MS PGothic"/>
          <w:sz w:val="17"/>
          <w:szCs w:val="17"/>
          <w:color w:val="auto"/>
        </w:rPr>
        <w:t>‑</w:t>
      </w:r>
      <w:r>
        <w:rPr>
          <w:rFonts w:ascii="Arial" w:cs="Arial" w:eastAsia="Arial" w:hAnsi="Arial"/>
          <w:sz w:val="17"/>
          <w:szCs w:val="17"/>
          <w:color w:val="auto"/>
        </w:rPr>
        <w:t>05 in TRD. Based on that meeting, we submitted an investigational new drug application, or IND, to the FDA to conduct two Phase 3 trials of AXS</w:t>
      </w:r>
      <w:r>
        <w:rPr>
          <w:rFonts w:ascii="MS PGothic" w:cs="MS PGothic" w:eastAsia="MS PGothic" w:hAnsi="MS PGothic"/>
          <w:sz w:val="17"/>
          <w:szCs w:val="17"/>
          <w:color w:val="auto"/>
        </w:rPr>
        <w:t>‑</w:t>
      </w:r>
      <w:r>
        <w:rPr>
          <w:rFonts w:ascii="Arial" w:cs="Arial" w:eastAsia="Arial" w:hAnsi="Arial"/>
          <w:sz w:val="17"/>
          <w:szCs w:val="17"/>
          <w:color w:val="auto"/>
        </w:rPr>
        <w:t>05 in TRD to support an NDA filing for this indication.</w:t>
      </w:r>
    </w:p>
    <w:p>
      <w:pPr>
        <w:spacing w:after="0" w:line="202" w:lineRule="exact"/>
        <w:rPr>
          <w:sz w:val="20"/>
          <w:szCs w:val="20"/>
          <w:color w:val="auto"/>
        </w:rPr>
      </w:pPr>
    </w:p>
    <w:p>
      <w:pPr>
        <w:ind w:left="40" w:right="259" w:firstLine="648"/>
        <w:spacing w:after="0" w:line="223" w:lineRule="exact"/>
        <w:rPr>
          <w:sz w:val="20"/>
          <w:szCs w:val="20"/>
          <w:color w:val="auto"/>
        </w:rPr>
      </w:pPr>
      <w:r>
        <w:rPr>
          <w:rFonts w:ascii="Arial" w:cs="Arial" w:eastAsia="Arial" w:hAnsi="Arial"/>
          <w:sz w:val="18"/>
          <w:szCs w:val="18"/>
          <w:color w:val="auto"/>
        </w:rPr>
        <w:t>In March 2016, we initiated the STRIDE-1 study, a Phase 3, randomized, double</w:t>
      </w:r>
      <w:r>
        <w:rPr>
          <w:rFonts w:ascii="MS PGothic" w:cs="MS PGothic" w:eastAsia="MS PGothic" w:hAnsi="MS PGothic"/>
          <w:sz w:val="18"/>
          <w:szCs w:val="18"/>
          <w:color w:val="auto"/>
        </w:rPr>
        <w:t>‑</w:t>
      </w:r>
      <w:r>
        <w:rPr>
          <w:rFonts w:ascii="Arial" w:cs="Arial" w:eastAsia="Arial" w:hAnsi="Arial"/>
          <w:sz w:val="18"/>
          <w:szCs w:val="18"/>
          <w:color w:val="auto"/>
        </w:rPr>
        <w:t>blind, active</w:t>
      </w:r>
      <w:r>
        <w:rPr>
          <w:rFonts w:ascii="MS PGothic" w:cs="MS PGothic" w:eastAsia="MS PGothic" w:hAnsi="MS PGothic"/>
          <w:sz w:val="18"/>
          <w:szCs w:val="18"/>
          <w:color w:val="auto"/>
        </w:rPr>
        <w:t>‑</w:t>
      </w:r>
      <w:r>
        <w:rPr>
          <w:rFonts w:ascii="Arial" w:cs="Arial" w:eastAsia="Arial" w:hAnsi="Arial"/>
          <w:sz w:val="18"/>
          <w:szCs w:val="18"/>
          <w:color w:val="auto"/>
        </w:rPr>
        <w:t>controlled trial to assess the efficacy and safety of AXS</w:t>
      </w:r>
      <w:r>
        <w:rPr>
          <w:rFonts w:ascii="MS PGothic" w:cs="MS PGothic" w:eastAsia="MS PGothic" w:hAnsi="MS PGothic"/>
          <w:sz w:val="18"/>
          <w:szCs w:val="18"/>
          <w:color w:val="auto"/>
        </w:rPr>
        <w:t>‑</w:t>
      </w:r>
      <w:r>
        <w:rPr>
          <w:rFonts w:ascii="Arial" w:cs="Arial" w:eastAsia="Arial" w:hAnsi="Arial"/>
          <w:sz w:val="18"/>
          <w:szCs w:val="18"/>
          <w:color w:val="auto"/>
        </w:rPr>
        <w:t>05 in the treatment of TRD.</w:t>
      </w:r>
    </w:p>
    <w:p>
      <w:pPr>
        <w:spacing w:after="0" w:line="203" w:lineRule="exact"/>
        <w:rPr>
          <w:sz w:val="20"/>
          <w:szCs w:val="20"/>
          <w:color w:val="auto"/>
        </w:rPr>
      </w:pPr>
    </w:p>
    <w:p>
      <w:pPr>
        <w:ind w:left="40" w:right="119" w:firstLine="648"/>
        <w:spacing w:after="0" w:line="223" w:lineRule="exact"/>
        <w:rPr>
          <w:sz w:val="20"/>
          <w:szCs w:val="20"/>
          <w:color w:val="auto"/>
        </w:rPr>
      </w:pPr>
      <w:r>
        <w:rPr>
          <w:rFonts w:ascii="Arial" w:cs="Arial" w:eastAsia="Arial" w:hAnsi="Arial"/>
          <w:sz w:val="18"/>
          <w:szCs w:val="18"/>
          <w:color w:val="auto"/>
        </w:rPr>
        <w:t>In January 2017, we received IND clearance from the FDA to proceed with our Phase 2/3 clinical trial of AXS</w:t>
      </w:r>
      <w:r>
        <w:rPr>
          <w:rFonts w:ascii="MS PGothic" w:cs="MS PGothic" w:eastAsia="MS PGothic" w:hAnsi="MS PGothic"/>
          <w:sz w:val="18"/>
          <w:szCs w:val="18"/>
          <w:color w:val="auto"/>
        </w:rPr>
        <w:t>‑</w:t>
      </w:r>
      <w:r>
        <w:rPr>
          <w:rFonts w:ascii="Arial" w:cs="Arial" w:eastAsia="Arial" w:hAnsi="Arial"/>
          <w:sz w:val="18"/>
          <w:szCs w:val="18"/>
          <w:color w:val="auto"/>
        </w:rPr>
        <w:t>05 in agitation associated with AD.</w:t>
      </w:r>
    </w:p>
    <w:p>
      <w:pPr>
        <w:spacing w:after="0" w:line="203" w:lineRule="exact"/>
        <w:rPr>
          <w:sz w:val="20"/>
          <w:szCs w:val="20"/>
          <w:color w:val="auto"/>
        </w:rPr>
      </w:pPr>
    </w:p>
    <w:p>
      <w:pPr>
        <w:ind w:left="700"/>
        <w:spacing w:after="0" w:line="207" w:lineRule="exact"/>
        <w:rPr>
          <w:sz w:val="20"/>
          <w:szCs w:val="20"/>
          <w:color w:val="auto"/>
        </w:rPr>
      </w:pPr>
      <w:r>
        <w:rPr>
          <w:rFonts w:ascii="Arial" w:cs="Arial" w:eastAsia="Arial" w:hAnsi="Arial"/>
          <w:sz w:val="18"/>
          <w:szCs w:val="18"/>
          <w:color w:val="auto"/>
        </w:rPr>
        <w:t>In February 2017, we received Fast Track designation from the FDA for AXS</w:t>
      </w:r>
      <w:r>
        <w:rPr>
          <w:rFonts w:ascii="MS PGothic" w:cs="MS PGothic" w:eastAsia="MS PGothic" w:hAnsi="MS PGothic"/>
          <w:sz w:val="18"/>
          <w:szCs w:val="18"/>
          <w:color w:val="auto"/>
        </w:rPr>
        <w:t>‑</w:t>
      </w:r>
      <w:r>
        <w:rPr>
          <w:rFonts w:ascii="Arial" w:cs="Arial" w:eastAsia="Arial" w:hAnsi="Arial"/>
          <w:sz w:val="18"/>
          <w:szCs w:val="18"/>
          <w:color w:val="auto"/>
        </w:rPr>
        <w:t>05 for TRD.</w:t>
      </w:r>
    </w:p>
    <w:p>
      <w:pPr>
        <w:spacing w:after="0" w:line="225" w:lineRule="exact"/>
        <w:rPr>
          <w:sz w:val="20"/>
          <w:szCs w:val="20"/>
          <w:color w:val="auto"/>
        </w:rPr>
      </w:pPr>
    </w:p>
    <w:p>
      <w:pPr>
        <w:ind w:left="40" w:right="559" w:firstLine="648"/>
        <w:spacing w:after="0" w:line="277" w:lineRule="auto"/>
        <w:rPr>
          <w:sz w:val="20"/>
          <w:szCs w:val="20"/>
          <w:color w:val="auto"/>
        </w:rPr>
      </w:pPr>
      <w:r>
        <w:rPr>
          <w:rFonts w:ascii="Arial" w:cs="Arial" w:eastAsia="Arial" w:hAnsi="Arial"/>
          <w:sz w:val="18"/>
          <w:szCs w:val="18"/>
          <w:color w:val="auto"/>
        </w:rPr>
        <w:t>In July 2017, we initiated the ADVANCE-1 study, a Phase 2/3, randomized, double-blind, controlled trial to evaluate the efficacy and safety of AXS-05 in patients with agitation associated with AD.</w:t>
      </w:r>
    </w:p>
    <w:p>
      <w:pPr>
        <w:spacing w:after="0" w:line="170" w:lineRule="exact"/>
        <w:rPr>
          <w:sz w:val="20"/>
          <w:szCs w:val="20"/>
          <w:color w:val="auto"/>
        </w:rPr>
      </w:pPr>
    </w:p>
    <w:p>
      <w:pPr>
        <w:ind w:left="40" w:right="159" w:firstLine="648"/>
        <w:spacing w:after="0" w:line="223" w:lineRule="exact"/>
        <w:rPr>
          <w:sz w:val="20"/>
          <w:szCs w:val="20"/>
          <w:color w:val="auto"/>
        </w:rPr>
      </w:pPr>
      <w:r>
        <w:rPr>
          <w:rFonts w:ascii="Arial" w:cs="Arial" w:eastAsia="Arial" w:hAnsi="Arial"/>
          <w:sz w:val="18"/>
          <w:szCs w:val="18"/>
          <w:color w:val="auto"/>
        </w:rPr>
        <w:t>In December 2017, we entered into a research collaboration agreement with Duke University to evaluate AXS</w:t>
      </w:r>
      <w:r>
        <w:rPr>
          <w:rFonts w:ascii="MS PGothic" w:cs="MS PGothic" w:eastAsia="MS PGothic" w:hAnsi="MS PGothic"/>
          <w:sz w:val="18"/>
          <w:szCs w:val="18"/>
          <w:color w:val="auto"/>
        </w:rPr>
        <w:t>‑</w:t>
      </w:r>
      <w:r>
        <w:rPr>
          <w:rFonts w:ascii="Arial" w:cs="Arial" w:eastAsia="Arial" w:hAnsi="Arial"/>
          <w:sz w:val="18"/>
          <w:szCs w:val="18"/>
          <w:color w:val="auto"/>
        </w:rPr>
        <w:t>05 in a Phase 2 clinical trial in smoking cessation.</w:t>
      </w:r>
    </w:p>
    <w:p>
      <w:pPr>
        <w:spacing w:after="0" w:line="203" w:lineRule="exact"/>
        <w:rPr>
          <w:sz w:val="20"/>
          <w:szCs w:val="20"/>
          <w:color w:val="auto"/>
        </w:rPr>
      </w:pPr>
    </w:p>
    <w:p>
      <w:pPr>
        <w:ind w:left="40" w:right="79" w:firstLine="648"/>
        <w:spacing w:after="0" w:line="342" w:lineRule="auto"/>
        <w:rPr>
          <w:sz w:val="20"/>
          <w:szCs w:val="20"/>
          <w:color w:val="auto"/>
        </w:rPr>
      </w:pPr>
      <w:r>
        <w:rPr>
          <w:rFonts w:ascii="Arial" w:cs="Arial" w:eastAsia="Arial" w:hAnsi="Arial"/>
          <w:sz w:val="16"/>
          <w:szCs w:val="16"/>
          <w:color w:val="auto"/>
        </w:rPr>
        <w:t>In April 2018, we announced the enrollment of the first patient into a Phase 2 clinical trial of AXS-05 for smoking cessation treatment, which is being conducted under a research collaboration agreement between us and Duke University.</w:t>
      </w:r>
    </w:p>
    <w:p>
      <w:pPr>
        <w:spacing w:after="0" w:line="124" w:lineRule="exact"/>
        <w:rPr>
          <w:sz w:val="20"/>
          <w:szCs w:val="20"/>
          <w:color w:val="auto"/>
        </w:rPr>
      </w:pPr>
    </w:p>
    <w:p>
      <w:pPr>
        <w:ind w:left="40" w:right="99" w:firstLine="648"/>
        <w:spacing w:after="0" w:line="311" w:lineRule="auto"/>
        <w:rPr>
          <w:sz w:val="20"/>
          <w:szCs w:val="20"/>
          <w:color w:val="auto"/>
        </w:rPr>
      </w:pPr>
      <w:r>
        <w:rPr>
          <w:rFonts w:ascii="Arial" w:cs="Arial" w:eastAsia="Arial" w:hAnsi="Arial"/>
          <w:sz w:val="16"/>
          <w:szCs w:val="16"/>
          <w:color w:val="auto"/>
        </w:rPr>
        <w:t>In April 2018, we announced that an IDMC had conducted an interim futility analysis for the STRIDE-1 study. Based on the results of the analysis, the IDMC recommended that the trial continue. The IDMC also reviewed the available safety information from the study and indicated that, based on the interim results, AXS-05 appears safe and well-tolerated.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firstLine="648"/>
        <w:spacing w:after="0" w:line="277" w:lineRule="auto"/>
        <w:rPr>
          <w:sz w:val="20"/>
          <w:szCs w:val="20"/>
          <w:color w:val="auto"/>
        </w:rPr>
      </w:pPr>
      <w:r>
        <w:rPr>
          <w:rFonts w:ascii="Arial" w:cs="Arial" w:eastAsia="Arial" w:hAnsi="Arial"/>
          <w:sz w:val="18"/>
          <w:szCs w:val="18"/>
          <w:color w:val="auto"/>
        </w:rPr>
        <w:t>In June 2018, we initiated the ASCEND study, a Phase 2 randomized, double-blind, controlled trial to evaluate the efficacy and safety of AXS-05 in patients with MDD.</w:t>
      </w:r>
    </w:p>
    <w:p>
      <w:pPr>
        <w:spacing w:after="0" w:line="170" w:lineRule="exact"/>
        <w:rPr>
          <w:sz w:val="20"/>
          <w:szCs w:val="20"/>
          <w:color w:val="auto"/>
        </w:rPr>
      </w:pPr>
    </w:p>
    <w:p>
      <w:pPr>
        <w:ind w:left="40" w:right="219" w:firstLine="648"/>
        <w:spacing w:after="0" w:line="220" w:lineRule="exact"/>
        <w:rPr>
          <w:sz w:val="20"/>
          <w:szCs w:val="20"/>
          <w:color w:val="auto"/>
        </w:rPr>
      </w:pPr>
      <w:r>
        <w:rPr>
          <w:rFonts w:ascii="Arial" w:cs="Arial" w:eastAsia="Arial" w:hAnsi="Arial"/>
          <w:sz w:val="18"/>
          <w:szCs w:val="18"/>
          <w:color w:val="auto"/>
        </w:rPr>
        <w:t>In December 2018, we announced that an IDMC had conducted an interim futility analysis for the ADVANCE</w:t>
      </w:r>
      <w:r>
        <w:rPr>
          <w:rFonts w:ascii="MS PGothic" w:cs="MS PGothic" w:eastAsia="MS PGothic" w:hAnsi="MS PGothic"/>
          <w:sz w:val="18"/>
          <w:szCs w:val="18"/>
          <w:color w:val="auto"/>
        </w:rPr>
        <w:t>‑</w:t>
      </w:r>
      <w:r>
        <w:rPr>
          <w:rFonts w:ascii="Arial" w:cs="Arial" w:eastAsia="Arial" w:hAnsi="Arial"/>
          <w:sz w:val="18"/>
          <w:szCs w:val="18"/>
          <w:color w:val="auto"/>
        </w:rPr>
        <w:t>1 study. Based on the results of the analysis, the IDMC recommended continuation of the AXS-05 treatment arm. Additionally, the IDMC recommended no further randomization of subjects to the bupropion treatment arm of the study. The IDMC did not indicate that there were any safety concerns in the study.</w:t>
      </w:r>
    </w:p>
    <w:p>
      <w:pPr>
        <w:spacing w:after="0" w:line="204" w:lineRule="exact"/>
        <w:rPr>
          <w:sz w:val="20"/>
          <w:szCs w:val="20"/>
          <w:color w:val="auto"/>
        </w:rPr>
      </w:pPr>
    </w:p>
    <w:p>
      <w:pPr>
        <w:ind w:left="40" w:right="299" w:firstLine="648"/>
        <w:spacing w:after="0" w:line="277" w:lineRule="auto"/>
        <w:rPr>
          <w:sz w:val="20"/>
          <w:szCs w:val="20"/>
          <w:color w:val="auto"/>
        </w:rPr>
      </w:pPr>
      <w:r>
        <w:rPr>
          <w:rFonts w:ascii="Arial" w:cs="Arial" w:eastAsia="Arial" w:hAnsi="Arial"/>
          <w:sz w:val="18"/>
          <w:szCs w:val="18"/>
          <w:color w:val="auto"/>
        </w:rPr>
        <w:t>In January 2019, we announced that AXS-05 met the prespecified primary endpoint and significantly improved symptoms of depression in the ASCEND study.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March 2019, we received FDA Breakthrough Therapy designation for AXS-05 for the treatment of MDD.</w:t>
      </w:r>
    </w:p>
    <w:p>
      <w:pPr>
        <w:spacing w:after="0" w:line="237" w:lineRule="exact"/>
        <w:rPr>
          <w:sz w:val="20"/>
          <w:szCs w:val="20"/>
          <w:color w:val="auto"/>
        </w:rPr>
      </w:pPr>
    </w:p>
    <w:p>
      <w:pPr>
        <w:ind w:left="40" w:right="499" w:firstLine="648"/>
        <w:spacing w:after="0" w:line="277" w:lineRule="auto"/>
        <w:rPr>
          <w:sz w:val="20"/>
          <w:szCs w:val="20"/>
          <w:color w:val="auto"/>
        </w:rPr>
      </w:pPr>
      <w:r>
        <w:rPr>
          <w:rFonts w:ascii="Arial" w:cs="Arial" w:eastAsia="Arial" w:hAnsi="Arial"/>
          <w:sz w:val="18"/>
          <w:szCs w:val="18"/>
          <w:color w:val="auto"/>
        </w:rPr>
        <w:t>In April 2019, we announced that AXS-05 met the prespecified primary endpoint in Phase 2 trial in smoking cessation.</w:t>
      </w:r>
    </w:p>
    <w:p>
      <w:pPr>
        <w:spacing w:after="0" w:line="170"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In May 2019, we announced pivotal status of the ASCEND trial allowing for expedited development of AXS-05 for the treatment of MDD based on the outcome of an FDA Breakthrough Therapy meeting.</w:t>
      </w:r>
    </w:p>
    <w:p>
      <w:pPr>
        <w:spacing w:after="0" w:line="170" w:lineRule="exact"/>
        <w:rPr>
          <w:sz w:val="20"/>
          <w:szCs w:val="20"/>
          <w:color w:val="auto"/>
        </w:rPr>
      </w:pPr>
    </w:p>
    <w:p>
      <w:pPr>
        <w:ind w:left="40" w:right="759" w:firstLine="648"/>
        <w:spacing w:after="0" w:line="277" w:lineRule="auto"/>
        <w:rPr>
          <w:sz w:val="20"/>
          <w:szCs w:val="20"/>
          <w:color w:val="auto"/>
        </w:rPr>
      </w:pPr>
      <w:r>
        <w:rPr>
          <w:rFonts w:ascii="Arial" w:cs="Arial" w:eastAsia="Arial" w:hAnsi="Arial"/>
          <w:sz w:val="18"/>
          <w:szCs w:val="18"/>
          <w:color w:val="auto"/>
        </w:rPr>
        <w:t>In June 2019, we initiated the GEMINI study, a Phase 3, randomized, double-blind, multicenter, placebo-controlled trial of AXS-05 in the treatment of MDD.</w:t>
      </w:r>
    </w:p>
    <w:p>
      <w:pPr>
        <w:spacing w:after="0" w:line="170" w:lineRule="exact"/>
        <w:rPr>
          <w:sz w:val="20"/>
          <w:szCs w:val="20"/>
          <w:color w:val="auto"/>
        </w:rPr>
      </w:pPr>
    </w:p>
    <w:p>
      <w:pPr>
        <w:ind w:left="40" w:right="459" w:firstLine="648"/>
        <w:spacing w:after="0" w:line="277" w:lineRule="auto"/>
        <w:rPr>
          <w:sz w:val="20"/>
          <w:szCs w:val="20"/>
          <w:color w:val="auto"/>
        </w:rPr>
      </w:pPr>
      <w:r>
        <w:rPr>
          <w:rFonts w:ascii="Arial" w:cs="Arial" w:eastAsia="Arial" w:hAnsi="Arial"/>
          <w:sz w:val="18"/>
          <w:szCs w:val="18"/>
          <w:color w:val="auto"/>
        </w:rPr>
        <w:t>In July 2019, we announced that we initiated an open-label study in order to build a patient safety database to support the filing of an NDA for AXS-05 for the treatment of MDD.</w:t>
      </w:r>
    </w:p>
    <w:p>
      <w:pPr>
        <w:spacing w:after="0" w:line="170" w:lineRule="exact"/>
        <w:rPr>
          <w:sz w:val="20"/>
          <w:szCs w:val="20"/>
          <w:color w:val="auto"/>
        </w:rPr>
      </w:pPr>
    </w:p>
    <w:p>
      <w:pPr>
        <w:ind w:left="40" w:right="559" w:firstLine="648"/>
        <w:spacing w:after="0" w:line="277" w:lineRule="auto"/>
        <w:rPr>
          <w:sz w:val="20"/>
          <w:szCs w:val="20"/>
          <w:color w:val="auto"/>
        </w:rPr>
      </w:pPr>
      <w:r>
        <w:rPr>
          <w:rFonts w:ascii="Arial" w:cs="Arial" w:eastAsia="Arial" w:hAnsi="Arial"/>
          <w:sz w:val="18"/>
          <w:szCs w:val="18"/>
          <w:color w:val="auto"/>
        </w:rPr>
        <w:t>In December 2019, we announced that AXS-05 achieved the primary endpoint and rapidly and significantly improved symptoms of depression in the GEMINI study.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Completed GEMINI Study</w:t>
      </w:r>
    </w:p>
    <w:p>
      <w:pPr>
        <w:spacing w:after="0" w:line="225"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We have completed the GEMINI Phase 3 study, a randomized, double-blind, placebo-controlled, multi-center, U.S. trial, in which 327 adult patients with confirmed moderate to severe MDD were randomized to treatment with either AXS-05 (45 mg dextromethorphan/ 105 mg bupropion modulated delivery tablet) or placebo once daily for the first 3 days and twice daily thereafter for a total of 6 weeks.</w:t>
      </w:r>
    </w:p>
    <w:p>
      <w:pPr>
        <w:spacing w:after="0" w:line="187" w:lineRule="exact"/>
        <w:rPr>
          <w:sz w:val="20"/>
          <w:szCs w:val="20"/>
          <w:color w:val="auto"/>
        </w:rPr>
      </w:pPr>
    </w:p>
    <w:p>
      <w:pPr>
        <w:ind w:left="40" w:right="219" w:firstLine="648"/>
        <w:spacing w:after="0" w:line="254" w:lineRule="auto"/>
        <w:rPr>
          <w:sz w:val="20"/>
          <w:szCs w:val="20"/>
          <w:color w:val="auto"/>
        </w:rPr>
      </w:pPr>
      <w:r>
        <w:rPr>
          <w:rFonts w:ascii="Arial" w:cs="Arial" w:eastAsia="Arial" w:hAnsi="Arial"/>
          <w:sz w:val="18"/>
          <w:szCs w:val="18"/>
          <w:color w:val="auto"/>
        </w:rPr>
        <w:t>AXS-05 met the primary endpoint by demonstrating a highly statistically significant reduction in the Montgomery-Åsberg Depression Rating Scale, or MADRS, total score compared to placebo at Week 6, with mean reductions from baseline of 16.6 points for AXS-05 and 11.9 points for placebo (p=0.002). AXS-05 rapidly and durably improved depressive symptoms as compared to placebo with statistical significance on the MADRS total score demonstrated at Week 1, the earliest time point assessed, and at all time points thereafter. Rates of remission from depression (defined as MADRS ≤10) were statistically significantly greater for AXS-05 compared to placebo at Week 2 (p=0.013) and at every time point thereafter, being achieved by 39.5% of AXS-05 patients compared to 17.3% of placebo patients at Week 6 (p&lt;0.001).</w:t>
      </w:r>
    </w:p>
    <w:p>
      <w:pPr>
        <w:spacing w:after="0" w:line="192"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AXS-05 demonstrated rapid onset of action with statistically significant improvement as compared to placebo on numerous endpoints at Week 1, or only 4 days after receiving the target dose of AXS-05. Statistically significant improvements at Week 1 were observed for MADRS total score (key secondary endpoint, p=0.007); Patient Global Impression-Improvement, or PGI-I, (p=0.008); Clinical Global Impression-Severity, or CGI-S, (p=0.013); Clinical Global Impression-Improvement, or CGI-I, (p=0.035); Quick Inventory of Depressive Symptomatology-Self-Rated, or QIDS-SR-16, (p=0.016); Quality of Life Enjoyment and Satisfaction Questionnaire-Short Form, or Q-LES-Q-SF, (p=0.031); and other endpoints.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On all secondary endpoints including the following, AXS-05 demonstrated statistically significant improvement at Week 6 compared to placebo, reflecting increasing treatment effects over time: clinical response on the MADRS total score (defined as ≥50%) (p&lt;0.001); PGI-I (p=0.007); CGI-S (p=0.002); CGI-I (p=0.016); QIDS-SR-16 (p=0.001); Sheehan Disability Scale (SDS) (p=0.002); and Q-LES-Q-SF (p=0.011).</w:t>
      </w:r>
    </w:p>
    <w:p>
      <w:pPr>
        <w:spacing w:after="0" w:line="187"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AXS-05 was well tolerated in the trial. The most commonly reported adverse events in the AXS-05 arm were dizziness, nausea, headache, diarrhea, somnolence, and dry mouth. There was one serious adverse event in the AXS-05 arm which was deemed by the investigator not to be study-drug related. The rates of discontinuation due to adverse events were low in both treatment groups (6.2% for AXS-05 and 0.6% for placebo). Treatment with AXS-05 was not associated with psychotomimetic effects or weight gain.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Depressive symptom change with AXS-05 in patients with MDD in the GEMINI Phase 3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154305</wp:posOffset>
            </wp:positionV>
            <wp:extent cx="4594860" cy="3694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94860" cy="3694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Completed ASCEND Study</w:t>
      </w:r>
    </w:p>
    <w:p>
      <w:pPr>
        <w:spacing w:after="0" w:line="225"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We have completed the ASCEND Phase 2 study, a randomized, double-blind, active-controlled, multi-center, U.S. trial, in which 80 adult patients with confirmed moderate to severe MDD were treated either with AXS-05 (45 mg dextromethorphan/105 mg bupropion modulated delivery tablet), or the active comparator bupropion (105 mg), twice daily for 6 weeks.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AXS-05 met the prespecified primary endpoint by demonstrating a highly statistically significant reduction in the MADRS total score, averaged over the 6-week treatment period, the overall treatment effect, as compared to bupropion (p&lt;0.001). At Week 6, AXS-05 demonstrated a 17.2 point reduction in the MADRS total score compared to a 12.1 point reduction for bupropion (p=0.013). AXS-05 rapidly reduced depressive symptoms, demonstrating a statistically significant improvement over bupropion on the CGI-I at Week 1 (p=0.045). Starting at Week 1, or only four days after receiving the target dose, AXS-05 achieved numerical superiority over bupropion on the MADRS total score, with statistical significance achieved at Week 2 and maintained at all time points thereafter. At Week 6, 47% of patients who received AXS-05 achieved remission, prospectively defined as a score of 10 or less on the MADRS, compared with 16% of patients who received bupropion (p=0.004).</w:t>
      </w:r>
    </w:p>
    <w:p>
      <w:pPr>
        <w:spacing w:after="0" w:line="181"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AXS-05 was superior to bupropion on multiple prespecified secondary endpoints, with statistically significant effects demonstrated on most, including the following: MADRS-6 (p=0.007 at Week 6); percentage of responders on MADRS-6, response defined as ≥ 50% reduction from baseline, (p=0.014 at Week 6); CGI-I (p=0.045 at Week 1, and 0.051 at Week 6); CGI-S (p=0.038 at Week 6); percentage of patients achieving remission on MADRS, remission defined as MADRS ≤ 10, (p=0.004 at Week 6). Additionally, the treatment effect observed with bupropion in the study was consistent with that observed in prior published trials.</w:t>
      </w:r>
    </w:p>
    <w:p>
      <w:pPr>
        <w:spacing w:after="0" w:line="192" w:lineRule="exact"/>
        <w:rPr>
          <w:sz w:val="20"/>
          <w:szCs w:val="20"/>
          <w:color w:val="auto"/>
        </w:rPr>
      </w:pPr>
    </w:p>
    <w:p>
      <w:pPr>
        <w:ind w:left="40" w:right="339" w:firstLine="648"/>
        <w:spacing w:after="0" w:line="263" w:lineRule="auto"/>
        <w:rPr>
          <w:sz w:val="20"/>
          <w:szCs w:val="20"/>
          <w:color w:val="auto"/>
        </w:rPr>
      </w:pPr>
      <w:r>
        <w:rPr>
          <w:rFonts w:ascii="Arial" w:cs="Arial" w:eastAsia="Arial" w:hAnsi="Arial"/>
          <w:sz w:val="18"/>
          <w:szCs w:val="18"/>
          <w:color w:val="auto"/>
        </w:rPr>
        <w:t>Fifty-one percent of patients in the trial had experienced three or more major depressive episodes prior to enrollment. Twenty-three percent of study participants had received first line treatment in their current major depressive episode prior to treatment with study medication.</w:t>
      </w:r>
    </w:p>
    <w:p>
      <w:pPr>
        <w:spacing w:after="0" w:line="184" w:lineRule="exact"/>
        <w:rPr>
          <w:sz w:val="20"/>
          <w:szCs w:val="20"/>
          <w:color w:val="auto"/>
        </w:rPr>
      </w:pPr>
    </w:p>
    <w:p>
      <w:pPr>
        <w:ind w:left="40" w:right="139" w:firstLine="648"/>
        <w:spacing w:after="0" w:line="255" w:lineRule="auto"/>
        <w:rPr>
          <w:sz w:val="20"/>
          <w:szCs w:val="20"/>
          <w:color w:val="auto"/>
        </w:rPr>
      </w:pPr>
      <w:r>
        <w:rPr>
          <w:rFonts w:ascii="Arial" w:cs="Arial" w:eastAsia="Arial" w:hAnsi="Arial"/>
          <w:sz w:val="18"/>
          <w:szCs w:val="18"/>
          <w:color w:val="auto"/>
        </w:rPr>
        <w:t>AXS-05 was safe and well tolerated with no serious adverse events. The most commonly reported adverse events in the AXS-05 arm were nausea, dizziness, dry mouth, decreased appetite, and anxiety. Overall, rates of adverse events were similar between AXS-05 and bupropion. Retention of patients in the study was favorable overall and higher in the AXS-05 treatment arm. There was no meaningful difference between the two treatment arms in discontinuations due to adverse events. Treatment with AXS-05 was not associated with psychotomimetic effects, weight gain, or increased sexual dysfunction.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Depressive symptom change with AXS-05 in patients with MDD in the ASCEND Phase 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154305</wp:posOffset>
            </wp:positionV>
            <wp:extent cx="4286250" cy="33947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8625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i w:val="1"/>
          <w:iCs w:val="1"/>
          <w:color w:val="auto"/>
        </w:rPr>
        <w:t>Completed Phase 1 Trials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05</w:t>
      </w:r>
    </w:p>
    <w:p>
      <w:pPr>
        <w:spacing w:after="0" w:line="225" w:lineRule="exact"/>
        <w:rPr>
          <w:sz w:val="20"/>
          <w:szCs w:val="20"/>
          <w:color w:val="auto"/>
        </w:rPr>
      </w:pPr>
    </w:p>
    <w:p>
      <w:pPr>
        <w:ind w:left="40" w:right="99" w:firstLine="648"/>
        <w:spacing w:after="0" w:line="221" w:lineRule="exact"/>
        <w:rPr>
          <w:sz w:val="20"/>
          <w:szCs w:val="20"/>
          <w:color w:val="auto"/>
        </w:rPr>
      </w:pPr>
      <w:r>
        <w:rPr>
          <w:rFonts w:ascii="Arial" w:cs="Arial" w:eastAsia="Arial" w:hAnsi="Arial"/>
          <w:sz w:val="18"/>
          <w:szCs w:val="18"/>
          <w:color w:val="auto"/>
        </w:rPr>
        <w:t>We have completed three Phase 1 pharmacokinetic clinical trials of AXS</w:t>
      </w:r>
      <w:r>
        <w:rPr>
          <w:rFonts w:ascii="MS PGothic" w:cs="MS PGothic" w:eastAsia="MS PGothic" w:hAnsi="MS PGothic"/>
          <w:sz w:val="18"/>
          <w:szCs w:val="18"/>
          <w:color w:val="auto"/>
        </w:rPr>
        <w:t>‑</w:t>
      </w:r>
      <w:r>
        <w:rPr>
          <w:rFonts w:ascii="Arial" w:cs="Arial" w:eastAsia="Arial" w:hAnsi="Arial"/>
          <w:sz w:val="18"/>
          <w:szCs w:val="18"/>
          <w:color w:val="auto"/>
        </w:rPr>
        <w:t>05. The objectives of these trials were to assess the pharmacokinetics of DM when co</w:t>
      </w:r>
      <w:r>
        <w:rPr>
          <w:rFonts w:ascii="MS PGothic" w:cs="MS PGothic" w:eastAsia="MS PGothic" w:hAnsi="MS PGothic"/>
          <w:sz w:val="18"/>
          <w:szCs w:val="18"/>
          <w:color w:val="auto"/>
        </w:rPr>
        <w:t>‑</w:t>
      </w:r>
      <w:r>
        <w:rPr>
          <w:rFonts w:ascii="Arial" w:cs="Arial" w:eastAsia="Arial" w:hAnsi="Arial"/>
          <w:sz w:val="18"/>
          <w:szCs w:val="18"/>
          <w:color w:val="auto"/>
        </w:rPr>
        <w:t>administered with bupropion, and to assess the safety and tolerability of the combination. In the first two Phase 1 trials, the components of AXS</w:t>
      </w:r>
      <w:r>
        <w:rPr>
          <w:rFonts w:ascii="MS PGothic" w:cs="MS PGothic" w:eastAsia="MS PGothic" w:hAnsi="MS PGothic"/>
          <w:sz w:val="18"/>
          <w:szCs w:val="18"/>
          <w:color w:val="auto"/>
        </w:rPr>
        <w:t>‑</w:t>
      </w:r>
      <w:r>
        <w:rPr>
          <w:rFonts w:ascii="Arial" w:cs="Arial" w:eastAsia="Arial" w:hAnsi="Arial"/>
          <w:sz w:val="18"/>
          <w:szCs w:val="18"/>
          <w:color w:val="auto"/>
        </w:rPr>
        <w:t>05, DM and bupropion, were co</w:t>
      </w:r>
      <w:r>
        <w:rPr>
          <w:rFonts w:ascii="MS PGothic" w:cs="MS PGothic" w:eastAsia="MS PGothic" w:hAnsi="MS PGothic"/>
          <w:sz w:val="18"/>
          <w:szCs w:val="18"/>
          <w:color w:val="auto"/>
        </w:rPr>
        <w:t>‑</w:t>
      </w:r>
      <w:r>
        <w:rPr>
          <w:rFonts w:ascii="Arial" w:cs="Arial" w:eastAsia="Arial" w:hAnsi="Arial"/>
          <w:sz w:val="18"/>
          <w:szCs w:val="18"/>
          <w:color w:val="auto"/>
        </w:rPr>
        <w:t>administered as separate tablets. In the third Phase 1 trial, AXS-05 was dosed as a bilayer tablet. In each study, administration of bupropion in combination with DM resulted in substantial increases in DM plasma concentrations measured using C</w:t>
      </w:r>
      <w:r>
        <w:rPr>
          <w:rFonts w:ascii="Arial" w:cs="Arial" w:eastAsia="Arial" w:hAnsi="Arial"/>
          <w:sz w:val="29"/>
          <w:szCs w:val="29"/>
          <w:color w:val="auto"/>
          <w:vertAlign w:val="subscript"/>
        </w:rPr>
        <w:t>max</w:t>
      </w:r>
      <w:r>
        <w:rPr>
          <w:rFonts w:ascii="Arial" w:cs="Arial" w:eastAsia="Arial" w:hAnsi="Arial"/>
          <w:sz w:val="18"/>
          <w:szCs w:val="18"/>
          <w:color w:val="auto"/>
        </w:rPr>
        <w:t xml:space="preserve"> and AUC at all doses tested.</w:t>
      </w:r>
    </w:p>
    <w:p>
      <w:pPr>
        <w:spacing w:after="0" w:line="203"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6"/>
          <w:szCs w:val="16"/>
          <w:color w:val="auto"/>
        </w:rPr>
        <w:t>The first Phase 1 trial was a randomized, multiple</w:t>
      </w:r>
      <w:r>
        <w:rPr>
          <w:rFonts w:ascii="MS PGothic" w:cs="MS PGothic" w:eastAsia="MS PGothic" w:hAnsi="MS PGothic"/>
          <w:sz w:val="16"/>
          <w:szCs w:val="16"/>
          <w:color w:val="auto"/>
        </w:rPr>
        <w:t>‑</w:t>
      </w:r>
      <w:r>
        <w:rPr>
          <w:rFonts w:ascii="Arial" w:cs="Arial" w:eastAsia="Arial" w:hAnsi="Arial"/>
          <w:sz w:val="16"/>
          <w:szCs w:val="16"/>
          <w:color w:val="auto"/>
        </w:rPr>
        <w:t>dose, open</w:t>
      </w:r>
      <w:r>
        <w:rPr>
          <w:rFonts w:ascii="MS PGothic" w:cs="MS PGothic" w:eastAsia="MS PGothic" w:hAnsi="MS PGothic"/>
          <w:sz w:val="16"/>
          <w:szCs w:val="16"/>
          <w:color w:val="auto"/>
        </w:rPr>
        <w:t>‑</w:t>
      </w:r>
      <w:r>
        <w:rPr>
          <w:rFonts w:ascii="Arial" w:cs="Arial" w:eastAsia="Arial" w:hAnsi="Arial"/>
          <w:sz w:val="16"/>
          <w:szCs w:val="16"/>
          <w:color w:val="auto"/>
        </w:rPr>
        <w:t>label study to determine the pharmacokinetics of DM when various doses of DM are administered concomitantly with bupropion under fasting conditions, as well as the safety of the combination. Subjects were randomized to receive twice</w:t>
      </w:r>
      <w:r>
        <w:rPr>
          <w:rFonts w:ascii="MS PGothic" w:cs="MS PGothic" w:eastAsia="MS PGothic" w:hAnsi="MS PGothic"/>
          <w:sz w:val="16"/>
          <w:szCs w:val="16"/>
          <w:color w:val="auto"/>
        </w:rPr>
        <w:t>‑</w:t>
      </w:r>
      <w:r>
        <w:rPr>
          <w:rFonts w:ascii="Arial" w:cs="Arial" w:eastAsia="Arial" w:hAnsi="Arial"/>
          <w:sz w:val="16"/>
          <w:szCs w:val="16"/>
          <w:color w:val="auto"/>
        </w:rPr>
        <w:t>daily administrations of 150 mg of bupropion in combination with DM at various doses up to 60 mg, or 60 mg of DM alone, for 8 consecutive days. Bupropion was titrated with subjects being dosed once daily for the first 3 days, then twice daily thereafter. A total of 32 healthy, adult volunteers were included in this study in four treatment groups. Full pharmacokinetic assessments were made on Day 1 and Day 8.</w:t>
      </w:r>
    </w:p>
    <w:p>
      <w:pPr>
        <w:spacing w:after="0" w:line="4" w:lineRule="exact"/>
        <w:rPr>
          <w:sz w:val="20"/>
          <w:szCs w:val="20"/>
          <w:color w:val="auto"/>
        </w:rPr>
      </w:pPr>
    </w:p>
    <w:p>
      <w:pPr>
        <w:ind w:left="40" w:right="99"/>
        <w:spacing w:after="0" w:line="223" w:lineRule="exact"/>
        <w:rPr>
          <w:sz w:val="20"/>
          <w:szCs w:val="20"/>
          <w:color w:val="auto"/>
        </w:rPr>
      </w:pPr>
      <w:r>
        <w:rPr>
          <w:rFonts w:ascii="Arial" w:cs="Arial" w:eastAsia="Arial" w:hAnsi="Arial"/>
          <w:sz w:val="16"/>
          <w:szCs w:val="16"/>
          <w:color w:val="auto"/>
        </w:rPr>
        <w:t>For the dose of 60 mg of DM / 150 mg of bupropion,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values on Day 8 for DM when dosed in combination with bupropion were approximately 60 times and 40 times, respectively, the values for DM when dosed alone.</w:t>
      </w:r>
    </w:p>
    <w:p>
      <w:pPr>
        <w:spacing w:after="0" w:line="1" w:lineRule="exact"/>
        <w:rPr>
          <w:sz w:val="20"/>
          <w:szCs w:val="20"/>
          <w:color w:val="auto"/>
        </w:rPr>
      </w:pPr>
    </w:p>
    <w:p>
      <w:pPr>
        <w:jc w:val="both"/>
        <w:ind w:left="40" w:right="99"/>
        <w:spacing w:after="0" w:line="225" w:lineRule="exact"/>
        <w:rPr>
          <w:sz w:val="20"/>
          <w:szCs w:val="20"/>
          <w:color w:val="auto"/>
        </w:rPr>
      </w:pPr>
      <w:r>
        <w:rPr>
          <w:rFonts w:ascii="Arial" w:cs="Arial" w:eastAsia="Arial" w:hAnsi="Arial"/>
          <w:sz w:val="16"/>
          <w:szCs w:val="16"/>
          <w:color w:val="auto"/>
        </w:rPr>
        <w:t>For all doses tested, administration of DM in combination with bupropion resulted in substantial increases in AUC</w:t>
      </w:r>
      <w:r>
        <w:rPr>
          <w:rFonts w:ascii="Arial" w:cs="Arial" w:eastAsia="Arial" w:hAnsi="Arial"/>
          <w:sz w:val="26"/>
          <w:szCs w:val="26"/>
          <w:color w:val="auto"/>
          <w:vertAlign w:val="subscript"/>
        </w:rPr>
        <w:t>0</w:t>
      </w:r>
      <w:r>
        <w:rPr>
          <w:rFonts w:ascii="MS PGothic" w:cs="MS PGothic" w:eastAsia="MS PGothic" w:hAnsi="MS PGothic"/>
          <w:sz w:val="26"/>
          <w:szCs w:val="26"/>
          <w:color w:val="auto"/>
          <w:vertAlign w:val="subscript"/>
        </w:rPr>
        <w:t>‑</w:t>
      </w:r>
      <w:r>
        <w:rPr>
          <w:rFonts w:ascii="Arial" w:cs="Arial" w:eastAsia="Arial" w:hAnsi="Arial"/>
          <w:sz w:val="26"/>
          <w:szCs w:val="26"/>
          <w:color w:val="auto"/>
          <w:vertAlign w:val="subscript"/>
        </w:rPr>
        <w:t>12</w:t>
      </w:r>
      <w:r>
        <w:rPr>
          <w:rFonts w:ascii="Arial" w:cs="Arial" w:eastAsia="Arial" w:hAnsi="Arial"/>
          <w:sz w:val="16"/>
          <w:szCs w:val="16"/>
          <w:color w:val="auto"/>
        </w:rPr>
        <w:t xml:space="preserve">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values of DM on Day 8 as compared to Day 1 of dosing. DM exposure measured using AUC and C</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increased in a dose dependent manner with increasing doses of DM. Administration of DM did not appear to affect the pharmacokinetics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 bupropion.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left="40" w:right="219" w:firstLine="648"/>
        <w:spacing w:after="0" w:line="218" w:lineRule="exact"/>
        <w:rPr>
          <w:sz w:val="20"/>
          <w:szCs w:val="20"/>
          <w:color w:val="auto"/>
        </w:rPr>
      </w:pPr>
      <w:r>
        <w:rPr>
          <w:rFonts w:ascii="Arial" w:cs="Arial" w:eastAsia="Arial" w:hAnsi="Arial"/>
          <w:sz w:val="16"/>
          <w:szCs w:val="16"/>
          <w:color w:val="auto"/>
        </w:rPr>
        <w:t>There were no reported serious adverse events in the trial. The majority of treatment</w:t>
      </w:r>
      <w:r>
        <w:rPr>
          <w:rFonts w:ascii="MS PGothic" w:cs="MS PGothic" w:eastAsia="MS PGothic" w:hAnsi="MS PGothic"/>
          <w:sz w:val="16"/>
          <w:szCs w:val="16"/>
          <w:color w:val="auto"/>
        </w:rPr>
        <w:t>‑</w:t>
      </w:r>
      <w:r>
        <w:rPr>
          <w:rFonts w:ascii="Arial" w:cs="Arial" w:eastAsia="Arial" w:hAnsi="Arial"/>
          <w:sz w:val="16"/>
          <w:szCs w:val="16"/>
          <w:color w:val="auto"/>
        </w:rPr>
        <w:t>emergent adverse events experienced were graded as mild or moderate in severity, and had resolved by the end of the study. The most commonly reported adverse events were dizziness, nausea, headache, insomnia, dry mouth, constipation, hypoesthesia, palpitation, disturbance in attention, tremor, and hyperhidrosis. Adverse events were reported more frequently in the AXS</w:t>
      </w:r>
      <w:r>
        <w:rPr>
          <w:rFonts w:ascii="MS PGothic" w:cs="MS PGothic" w:eastAsia="MS PGothic" w:hAnsi="MS PGothic"/>
          <w:sz w:val="16"/>
          <w:szCs w:val="16"/>
          <w:color w:val="auto"/>
        </w:rPr>
        <w:t>‑</w:t>
      </w:r>
      <w:r>
        <w:rPr>
          <w:rFonts w:ascii="Arial" w:cs="Arial" w:eastAsia="Arial" w:hAnsi="Arial"/>
          <w:sz w:val="16"/>
          <w:szCs w:val="16"/>
          <w:color w:val="auto"/>
        </w:rPr>
        <w:t>05 arm as compared to the DM</w:t>
      </w:r>
      <w:r>
        <w:rPr>
          <w:rFonts w:ascii="MS PGothic" w:cs="MS PGothic" w:eastAsia="MS PGothic" w:hAnsi="MS PGothic"/>
          <w:sz w:val="16"/>
          <w:szCs w:val="16"/>
          <w:color w:val="auto"/>
        </w:rPr>
        <w:t>‑</w:t>
      </w:r>
      <w:r>
        <w:rPr>
          <w:rFonts w:ascii="Arial" w:cs="Arial" w:eastAsia="Arial" w:hAnsi="Arial"/>
          <w:sz w:val="16"/>
          <w:szCs w:val="16"/>
          <w:color w:val="auto"/>
        </w:rPr>
        <w:t>only arm. The majority of these adverse events were expected with the administration of bupropion, having been already reported in the FDA package inserts for products containing bupropion.</w:t>
      </w:r>
    </w:p>
    <w:p>
      <w:pPr>
        <w:spacing w:after="0" w:line="206"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6"/>
          <w:szCs w:val="16"/>
          <w:color w:val="auto"/>
        </w:rPr>
        <w:t>The second Phase 1 trial was a randomized, multiple</w:t>
      </w:r>
      <w:r>
        <w:rPr>
          <w:rFonts w:ascii="MS PGothic" w:cs="MS PGothic" w:eastAsia="MS PGothic" w:hAnsi="MS PGothic"/>
          <w:sz w:val="16"/>
          <w:szCs w:val="16"/>
          <w:color w:val="auto"/>
        </w:rPr>
        <w:t>‑</w:t>
      </w:r>
      <w:r>
        <w:rPr>
          <w:rFonts w:ascii="Arial" w:cs="Arial" w:eastAsia="Arial" w:hAnsi="Arial"/>
          <w:sz w:val="16"/>
          <w:szCs w:val="16"/>
          <w:color w:val="auto"/>
        </w:rPr>
        <w:t>dose, open</w:t>
      </w:r>
      <w:r>
        <w:rPr>
          <w:rFonts w:ascii="MS PGothic" w:cs="MS PGothic" w:eastAsia="MS PGothic" w:hAnsi="MS PGothic"/>
          <w:sz w:val="16"/>
          <w:szCs w:val="16"/>
          <w:color w:val="auto"/>
        </w:rPr>
        <w:t>‑</w:t>
      </w:r>
      <w:r>
        <w:rPr>
          <w:rFonts w:ascii="Arial" w:cs="Arial" w:eastAsia="Arial" w:hAnsi="Arial"/>
          <w:sz w:val="16"/>
          <w:szCs w:val="16"/>
          <w:color w:val="auto"/>
        </w:rPr>
        <w:t>label study to determine the pharmacokinetics of DM when various doses of DM are administered concomitantly with various doses of bupropion and to assess safety during co</w:t>
      </w:r>
      <w:r>
        <w:rPr>
          <w:rFonts w:ascii="MS PGothic" w:cs="MS PGothic" w:eastAsia="MS PGothic" w:hAnsi="MS PGothic"/>
          <w:sz w:val="16"/>
          <w:szCs w:val="16"/>
          <w:color w:val="auto"/>
        </w:rPr>
        <w:t>‑</w:t>
      </w:r>
      <w:r>
        <w:rPr>
          <w:rFonts w:ascii="Arial" w:cs="Arial" w:eastAsia="Arial" w:hAnsi="Arial"/>
          <w:sz w:val="16"/>
          <w:szCs w:val="16"/>
          <w:color w:val="auto"/>
        </w:rPr>
        <w:t>administration of bupropion and DM. A total of 40 healthy, adult volunteers were included in this study in five treatment groups. Subjects were randomized to receive twice</w:t>
      </w:r>
      <w:r>
        <w:rPr>
          <w:rFonts w:ascii="MS PGothic" w:cs="MS PGothic" w:eastAsia="MS PGothic" w:hAnsi="MS PGothic"/>
          <w:sz w:val="16"/>
          <w:szCs w:val="16"/>
          <w:color w:val="auto"/>
        </w:rPr>
        <w:t>‑</w:t>
      </w:r>
      <w:r>
        <w:rPr>
          <w:rFonts w:ascii="Arial" w:cs="Arial" w:eastAsia="Arial" w:hAnsi="Arial"/>
          <w:sz w:val="16"/>
          <w:szCs w:val="16"/>
          <w:color w:val="auto"/>
        </w:rPr>
        <w:t>daily administration of either 150 mg of bupropion alone, or combinations of varying doses of bupropion and DM for 8 consecutive days. Bupropion was titrated with subjects being dosed once daily for the first 3 days, then twice daily thereafter. Full pharmacokinetic assessments were made on Day 1 and Day 8. Similar to the results in our first study, administration of DM in combination with bupropion resulted in substantial</w:t>
      </w:r>
    </w:p>
    <w:p>
      <w:pPr>
        <w:spacing w:after="0" w:line="2" w:lineRule="exact"/>
        <w:rPr>
          <w:sz w:val="20"/>
          <w:szCs w:val="20"/>
          <w:color w:val="auto"/>
        </w:rPr>
      </w:pPr>
    </w:p>
    <w:p>
      <w:pPr>
        <w:ind w:left="40" w:right="219"/>
        <w:spacing w:after="0" w:line="224" w:lineRule="exact"/>
        <w:rPr>
          <w:sz w:val="20"/>
          <w:szCs w:val="20"/>
          <w:color w:val="auto"/>
        </w:rPr>
      </w:pPr>
      <w:r>
        <w:rPr>
          <w:rFonts w:ascii="Arial" w:cs="Arial" w:eastAsia="Arial" w:hAnsi="Arial"/>
          <w:sz w:val="17"/>
          <w:szCs w:val="17"/>
          <w:color w:val="auto"/>
        </w:rPr>
        <w:t>increases in AUC</w:t>
      </w:r>
      <w:r>
        <w:rPr>
          <w:rFonts w:ascii="Arial" w:cs="Arial" w:eastAsia="Arial" w:hAnsi="Arial"/>
          <w:sz w:val="28"/>
          <w:szCs w:val="28"/>
          <w:color w:val="auto"/>
          <w:vertAlign w:val="subscript"/>
        </w:rPr>
        <w:t>0</w:t>
      </w:r>
      <w:r>
        <w:rPr>
          <w:rFonts w:ascii="MS PGothic" w:cs="MS PGothic" w:eastAsia="MS PGothic" w:hAnsi="MS PGothic"/>
          <w:sz w:val="28"/>
          <w:szCs w:val="28"/>
          <w:color w:val="auto"/>
          <w:vertAlign w:val="subscript"/>
        </w:rPr>
        <w:t>‑</w:t>
      </w:r>
      <w:r>
        <w:rPr>
          <w:rFonts w:ascii="Arial" w:cs="Arial" w:eastAsia="Arial" w:hAnsi="Arial"/>
          <w:sz w:val="28"/>
          <w:szCs w:val="28"/>
          <w:color w:val="auto"/>
          <w:vertAlign w:val="subscript"/>
        </w:rPr>
        <w:t>12</w:t>
      </w:r>
      <w:r>
        <w:rPr>
          <w:rFonts w:ascii="Arial" w:cs="Arial" w:eastAsia="Arial" w:hAnsi="Arial"/>
          <w:sz w:val="17"/>
          <w:szCs w:val="17"/>
          <w:color w:val="auto"/>
        </w:rPr>
        <w:t xml:space="preserve"> and C</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values of DM on Day 8 as compared to Day 1 of dosing for all combinations tested. DM exposure measured using AUC and C</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increased in a dose</w:t>
      </w:r>
      <w:r>
        <w:rPr>
          <w:rFonts w:ascii="MS PGothic" w:cs="MS PGothic" w:eastAsia="MS PGothic" w:hAnsi="MS PGothic"/>
          <w:sz w:val="17"/>
          <w:szCs w:val="17"/>
          <w:color w:val="auto"/>
        </w:rPr>
        <w:t>‑</w:t>
      </w:r>
      <w:r>
        <w:rPr>
          <w:rFonts w:ascii="Arial" w:cs="Arial" w:eastAsia="Arial" w:hAnsi="Arial"/>
          <w:sz w:val="17"/>
          <w:szCs w:val="17"/>
          <w:color w:val="auto"/>
        </w:rPr>
        <w:t>dependent manner as doses of either DM or bupropion were increased. Administration of DM did not appear to affect the pharmacokinetics of bupropion.</w:t>
      </w:r>
    </w:p>
    <w:p>
      <w:pPr>
        <w:spacing w:after="0" w:line="205" w:lineRule="exact"/>
        <w:rPr>
          <w:sz w:val="20"/>
          <w:szCs w:val="20"/>
          <w:color w:val="auto"/>
        </w:rPr>
      </w:pPr>
    </w:p>
    <w:p>
      <w:pPr>
        <w:ind w:left="40" w:right="59" w:firstLine="648"/>
        <w:spacing w:after="0" w:line="219" w:lineRule="exact"/>
        <w:rPr>
          <w:sz w:val="20"/>
          <w:szCs w:val="20"/>
          <w:color w:val="auto"/>
        </w:rPr>
      </w:pPr>
      <w:r>
        <w:rPr>
          <w:rFonts w:ascii="Arial" w:cs="Arial" w:eastAsia="Arial" w:hAnsi="Arial"/>
          <w:sz w:val="17"/>
          <w:szCs w:val="17"/>
          <w:color w:val="auto"/>
        </w:rPr>
        <w:t>There were no reported serious adverse events in the trial. The majority of treatment</w:t>
      </w:r>
      <w:r>
        <w:rPr>
          <w:rFonts w:ascii="MS PGothic" w:cs="MS PGothic" w:eastAsia="MS PGothic" w:hAnsi="MS PGothic"/>
          <w:sz w:val="17"/>
          <w:szCs w:val="17"/>
          <w:color w:val="auto"/>
        </w:rPr>
        <w:t>‑</w:t>
      </w:r>
      <w:r>
        <w:rPr>
          <w:rFonts w:ascii="Arial" w:cs="Arial" w:eastAsia="Arial" w:hAnsi="Arial"/>
          <w:sz w:val="17"/>
          <w:szCs w:val="17"/>
          <w:color w:val="auto"/>
        </w:rPr>
        <w:t>emergent adverse events experienced were graded as mild in severity, and had resolved by the end of the study. The most commonly reported adverse events were headache, nausea, dizziness, fatigue, increased heart rate, palpitations, constipation, diarrhea, increased blood pressure, and tremor. No particular trend was observed when comparing the rates or types of adverse events in the combination groups as compared to the group receiving bupropion alone.</w:t>
      </w:r>
    </w:p>
    <w:p>
      <w:pPr>
        <w:spacing w:after="0" w:line="205" w:lineRule="exact"/>
        <w:rPr>
          <w:sz w:val="20"/>
          <w:szCs w:val="20"/>
          <w:color w:val="auto"/>
        </w:rPr>
      </w:pPr>
    </w:p>
    <w:p>
      <w:pPr>
        <w:ind w:left="40" w:right="219" w:firstLine="648"/>
        <w:spacing w:after="0" w:line="220" w:lineRule="exact"/>
        <w:rPr>
          <w:sz w:val="20"/>
          <w:szCs w:val="20"/>
          <w:color w:val="auto"/>
        </w:rPr>
      </w:pPr>
      <w:r>
        <w:rPr>
          <w:rFonts w:ascii="Arial" w:cs="Arial" w:eastAsia="Arial" w:hAnsi="Arial"/>
          <w:sz w:val="17"/>
          <w:szCs w:val="17"/>
          <w:color w:val="auto"/>
        </w:rPr>
        <w:t>The third Phase 1 trial was a randomized, multiple</w:t>
      </w:r>
      <w:r>
        <w:rPr>
          <w:rFonts w:ascii="MS PGothic" w:cs="MS PGothic" w:eastAsia="MS PGothic" w:hAnsi="MS PGothic"/>
          <w:sz w:val="17"/>
          <w:szCs w:val="17"/>
          <w:color w:val="auto"/>
        </w:rPr>
        <w:t>‑</w:t>
      </w:r>
      <w:r>
        <w:rPr>
          <w:rFonts w:ascii="Arial" w:cs="Arial" w:eastAsia="Arial" w:hAnsi="Arial"/>
          <w:sz w:val="17"/>
          <w:szCs w:val="17"/>
          <w:color w:val="auto"/>
        </w:rPr>
        <w:t>dose, double-blind pharmacokinetic study of AXS-05 conducted using a single tablet containing DM and buproprion. In this study, which enrolled a total of 30 healthy, adult volunteers, administration of AXS-05 as a single tablet resulted in substantial increases in AUC</w:t>
      </w:r>
      <w:r>
        <w:rPr>
          <w:rFonts w:ascii="Arial" w:cs="Arial" w:eastAsia="Arial" w:hAnsi="Arial"/>
          <w:sz w:val="28"/>
          <w:szCs w:val="28"/>
          <w:color w:val="auto"/>
          <w:vertAlign w:val="subscript"/>
        </w:rPr>
        <w:t>0</w:t>
      </w:r>
      <w:r>
        <w:rPr>
          <w:rFonts w:ascii="MS PGothic" w:cs="MS PGothic" w:eastAsia="MS PGothic" w:hAnsi="MS PGothic"/>
          <w:sz w:val="28"/>
          <w:szCs w:val="28"/>
          <w:color w:val="auto"/>
          <w:vertAlign w:val="subscript"/>
        </w:rPr>
        <w:t>‑</w:t>
      </w:r>
      <w:r>
        <w:rPr>
          <w:rFonts w:ascii="Arial" w:cs="Arial" w:eastAsia="Arial" w:hAnsi="Arial"/>
          <w:sz w:val="28"/>
          <w:szCs w:val="28"/>
          <w:color w:val="auto"/>
          <w:vertAlign w:val="subscript"/>
        </w:rPr>
        <w:t>12</w:t>
      </w:r>
      <w:r>
        <w:rPr>
          <w:rFonts w:ascii="Arial" w:cs="Arial" w:eastAsia="Arial" w:hAnsi="Arial"/>
          <w:sz w:val="17"/>
          <w:szCs w:val="17"/>
          <w:color w:val="auto"/>
        </w:rPr>
        <w:t xml:space="preserve"> and C</w:t>
      </w:r>
      <w:r>
        <w:rPr>
          <w:rFonts w:ascii="Arial" w:cs="Arial" w:eastAsia="Arial" w:hAnsi="Arial"/>
          <w:sz w:val="28"/>
          <w:szCs w:val="28"/>
          <w:color w:val="auto"/>
          <w:vertAlign w:val="subscript"/>
        </w:rPr>
        <w:t>max</w:t>
      </w:r>
      <w:r>
        <w:rPr>
          <w:rFonts w:ascii="Arial" w:cs="Arial" w:eastAsia="Arial" w:hAnsi="Arial"/>
          <w:sz w:val="17"/>
          <w:szCs w:val="17"/>
          <w:color w:val="auto"/>
        </w:rPr>
        <w:t xml:space="preserve"> values of DM compared to Day 1 levels similar to the increases observed in our first two Phase 1 studies. There were no reported serious adverse events in the trial. The majority of treatment</w:t>
      </w:r>
      <w:r>
        <w:rPr>
          <w:rFonts w:ascii="MS PGothic" w:cs="MS PGothic" w:eastAsia="MS PGothic" w:hAnsi="MS PGothic"/>
          <w:sz w:val="17"/>
          <w:szCs w:val="17"/>
          <w:color w:val="auto"/>
        </w:rPr>
        <w:t>‑</w:t>
      </w:r>
      <w:r>
        <w:rPr>
          <w:rFonts w:ascii="Arial" w:cs="Arial" w:eastAsia="Arial" w:hAnsi="Arial"/>
          <w:sz w:val="17"/>
          <w:szCs w:val="17"/>
          <w:color w:val="auto"/>
        </w:rPr>
        <w:t>emergent adverse events experienced were graded as mild in severity, and had resolved by the end of the study. The most commonly reported adverse events were dizziness, fatigue, headache, and insomnia.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Ongoing STRIDE-1 Study</w:t>
      </w:r>
    </w:p>
    <w:p>
      <w:pPr>
        <w:spacing w:after="0" w:line="225" w:lineRule="exact"/>
        <w:rPr>
          <w:sz w:val="20"/>
          <w:szCs w:val="20"/>
          <w:color w:val="auto"/>
        </w:rPr>
      </w:pPr>
    </w:p>
    <w:p>
      <w:pPr>
        <w:ind w:left="40" w:right="119" w:firstLine="648"/>
        <w:spacing w:after="0" w:line="219" w:lineRule="exact"/>
        <w:rPr>
          <w:sz w:val="20"/>
          <w:szCs w:val="20"/>
          <w:color w:val="auto"/>
        </w:rPr>
      </w:pPr>
      <w:r>
        <w:rPr>
          <w:rFonts w:ascii="Arial" w:cs="Arial" w:eastAsia="Arial" w:hAnsi="Arial"/>
          <w:sz w:val="16"/>
          <w:szCs w:val="16"/>
          <w:color w:val="auto"/>
        </w:rPr>
        <w:t>In March 2016, we initiated the STRIDE-1 study, a Phase 3, randomized, double</w:t>
      </w:r>
      <w:r>
        <w:rPr>
          <w:rFonts w:ascii="MS PGothic" w:cs="MS PGothic" w:eastAsia="MS PGothic" w:hAnsi="MS PGothic"/>
          <w:sz w:val="16"/>
          <w:szCs w:val="16"/>
          <w:color w:val="auto"/>
        </w:rPr>
        <w:t>‑</w:t>
      </w:r>
      <w:r>
        <w:rPr>
          <w:rFonts w:ascii="Arial" w:cs="Arial" w:eastAsia="Arial" w:hAnsi="Arial"/>
          <w:sz w:val="16"/>
          <w:szCs w:val="16"/>
          <w:color w:val="auto"/>
        </w:rPr>
        <w:t>blind, active</w:t>
      </w:r>
      <w:r>
        <w:rPr>
          <w:rFonts w:ascii="MS PGothic" w:cs="MS PGothic" w:eastAsia="MS PGothic" w:hAnsi="MS PGothic"/>
          <w:sz w:val="16"/>
          <w:szCs w:val="16"/>
          <w:color w:val="auto"/>
        </w:rPr>
        <w:t>‑</w:t>
      </w:r>
      <w:r>
        <w:rPr>
          <w:rFonts w:ascii="Arial" w:cs="Arial" w:eastAsia="Arial" w:hAnsi="Arial"/>
          <w:sz w:val="16"/>
          <w:szCs w:val="16"/>
          <w:color w:val="auto"/>
        </w:rPr>
        <w:t>controlled trial to assess the efficacy and safety of AXS</w:t>
      </w:r>
      <w:r>
        <w:rPr>
          <w:rFonts w:ascii="MS PGothic" w:cs="MS PGothic" w:eastAsia="MS PGothic" w:hAnsi="MS PGothic"/>
          <w:sz w:val="16"/>
          <w:szCs w:val="16"/>
          <w:color w:val="auto"/>
        </w:rPr>
        <w:t>‑</w:t>
      </w:r>
      <w:r>
        <w:rPr>
          <w:rFonts w:ascii="Arial" w:cs="Arial" w:eastAsia="Arial" w:hAnsi="Arial"/>
          <w:sz w:val="16"/>
          <w:szCs w:val="16"/>
          <w:color w:val="auto"/>
        </w:rPr>
        <w:t>05 in the treatment of TRD. Patients with MDD who have had inadequate response to one or two antidepressant treatments are treated in an open</w:t>
      </w:r>
      <w:r>
        <w:rPr>
          <w:rFonts w:ascii="MS PGothic" w:cs="MS PGothic" w:eastAsia="MS PGothic" w:hAnsi="MS PGothic"/>
          <w:sz w:val="16"/>
          <w:szCs w:val="16"/>
          <w:color w:val="auto"/>
        </w:rPr>
        <w:t>‑</w:t>
      </w:r>
      <w:r>
        <w:rPr>
          <w:rFonts w:ascii="Arial" w:cs="Arial" w:eastAsia="Arial" w:hAnsi="Arial"/>
          <w:sz w:val="16"/>
          <w:szCs w:val="16"/>
          <w:color w:val="auto"/>
        </w:rPr>
        <w:t>label fashion with bupropion during a 6</w:t>
      </w:r>
      <w:r>
        <w:rPr>
          <w:rFonts w:ascii="MS PGothic" w:cs="MS PGothic" w:eastAsia="MS PGothic" w:hAnsi="MS PGothic"/>
          <w:sz w:val="16"/>
          <w:szCs w:val="16"/>
          <w:color w:val="auto"/>
        </w:rPr>
        <w:t>‑</w:t>
      </w:r>
      <w:r>
        <w:rPr>
          <w:rFonts w:ascii="Arial" w:cs="Arial" w:eastAsia="Arial" w:hAnsi="Arial"/>
          <w:sz w:val="16"/>
          <w:szCs w:val="16"/>
          <w:color w:val="auto"/>
        </w:rPr>
        <w:t>week lead</w:t>
      </w:r>
      <w:r>
        <w:rPr>
          <w:rFonts w:ascii="MS PGothic" w:cs="MS PGothic" w:eastAsia="MS PGothic" w:hAnsi="MS PGothic"/>
          <w:sz w:val="16"/>
          <w:szCs w:val="16"/>
          <w:color w:val="auto"/>
        </w:rPr>
        <w:t>‑</w:t>
      </w:r>
      <w:r>
        <w:rPr>
          <w:rFonts w:ascii="Arial" w:cs="Arial" w:eastAsia="Arial" w:hAnsi="Arial"/>
          <w:sz w:val="16"/>
          <w:szCs w:val="16"/>
          <w:color w:val="auto"/>
        </w:rPr>
        <w:t>in period. Patients who had inadequate response to bupropion during this lead</w:t>
      </w:r>
      <w:r>
        <w:rPr>
          <w:rFonts w:ascii="MS PGothic" w:cs="MS PGothic" w:eastAsia="MS PGothic" w:hAnsi="MS PGothic"/>
          <w:sz w:val="16"/>
          <w:szCs w:val="16"/>
          <w:color w:val="auto"/>
        </w:rPr>
        <w:t>‑</w:t>
      </w:r>
      <w:r>
        <w:rPr>
          <w:rFonts w:ascii="Arial" w:cs="Arial" w:eastAsia="Arial" w:hAnsi="Arial"/>
          <w:sz w:val="16"/>
          <w:szCs w:val="16"/>
          <w:color w:val="auto"/>
        </w:rPr>
        <w:t>in period are considered to have TRD and are randomly assigned in a 1:1 ratio to receive bupropion or AXS</w:t>
      </w:r>
      <w:r>
        <w:rPr>
          <w:rFonts w:ascii="MS PGothic" w:cs="MS PGothic" w:eastAsia="MS PGothic" w:hAnsi="MS PGothic"/>
          <w:sz w:val="16"/>
          <w:szCs w:val="16"/>
          <w:color w:val="auto"/>
        </w:rPr>
        <w:t>‑</w:t>
      </w:r>
      <w:r>
        <w:rPr>
          <w:rFonts w:ascii="Arial" w:cs="Arial" w:eastAsia="Arial" w:hAnsi="Arial"/>
          <w:sz w:val="16"/>
          <w:szCs w:val="16"/>
          <w:color w:val="auto"/>
        </w:rPr>
        <w:t>05 under fasting conditions in a double</w:t>
      </w:r>
      <w:r>
        <w:rPr>
          <w:rFonts w:ascii="MS PGothic" w:cs="MS PGothic" w:eastAsia="MS PGothic" w:hAnsi="MS PGothic"/>
          <w:sz w:val="16"/>
          <w:szCs w:val="16"/>
          <w:color w:val="auto"/>
        </w:rPr>
        <w:t>‑</w:t>
      </w:r>
      <w:r>
        <w:rPr>
          <w:rFonts w:ascii="Arial" w:cs="Arial" w:eastAsia="Arial" w:hAnsi="Arial"/>
          <w:sz w:val="16"/>
          <w:szCs w:val="16"/>
          <w:color w:val="auto"/>
        </w:rPr>
        <w:t>blind fashion for</w:t>
      </w:r>
    </w:p>
    <w:p>
      <w:pPr>
        <w:spacing w:after="0" w:line="2" w:lineRule="exact"/>
        <w:rPr>
          <w:sz w:val="20"/>
          <w:szCs w:val="20"/>
          <w:color w:val="auto"/>
        </w:rPr>
      </w:pPr>
    </w:p>
    <w:p>
      <w:pPr>
        <w:jc w:val="both"/>
        <w:ind w:left="40" w:right="179"/>
        <w:spacing w:after="0" w:line="255" w:lineRule="auto"/>
        <w:rPr>
          <w:sz w:val="20"/>
          <w:szCs w:val="20"/>
          <w:color w:val="auto"/>
        </w:rPr>
      </w:pPr>
      <w:r>
        <w:rPr>
          <w:rFonts w:ascii="Arial" w:cs="Arial" w:eastAsia="Arial" w:hAnsi="Arial"/>
          <w:sz w:val="18"/>
          <w:szCs w:val="18"/>
          <w:color w:val="auto"/>
        </w:rPr>
        <w:t>6 weeks. The primary endpoint is the change in the MADRS after 6 weeks of treatment. In April 2018, an interim analysis was performed on the first approximately 40% of the target number of subjects to assess futility. The interim analysis was performed by an IDMC which recommended that the trial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403860</wp:posOffset>
            </wp:positionV>
            <wp:extent cx="5554980" cy="1928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5498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Ongoing ADVANCE-1 Study</w:t>
      </w:r>
    </w:p>
    <w:p>
      <w:pPr>
        <w:spacing w:after="0" w:line="225"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7"/>
          <w:szCs w:val="17"/>
          <w:color w:val="auto"/>
        </w:rPr>
        <w:t>In July 2017, we initiated the ADVANCE-1 study, a Phase 2/3, randomized, double-blind, controlled trial to evaluate the efficacy and safety of AXS-05 in patients with agitation associated with AD. Patients with probable AD and clinically significant agitation are randomly assigned in a 1:1:1 ratio to receive bupropion, placebo, or AXS-05 in a double-blind fashion. The primary endpoint is the change is the Cohen-Mansfield Agitation Inventory. The trial will randomize a total of approximately 435 patients. In December 2018, an interim analysis was performed on the first approximately 30% of the target number of subjects to assess futility. The interim analysis was conducted by an IDMC which recommended continuation of the AXS-05 arm and no further enrollment into the bupropion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121920</wp:posOffset>
            </wp:positionV>
            <wp:extent cx="5554980" cy="2177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5498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07</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07 is novel, oral, rapidly absorbed, multi-mechanistic, investigational medicine. AXS-07 consists of MoSEIC™ meloxicam and rizatriptan. We are developing AXS-07 for the acute treatment of migraine. Meloxicam is a new molecular entity for migraine enabled by Axsome’s MoSEIC technology, which results in rapid absorption of meloxicam while maintaining a long plasma half-life. Rizatriptan is FDA approved for the acute treatment of migraine as a single agent. The distinct mechanism of action and rapid absorption of MoSEIC™ meloxicam, combined with the known efficacy of rizatriptan, is designed to provide potentially rapid, superior and consistent relief of migraine pain, with lower symptom recurrence, as compared to currently available therapies.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Migraine</w:t>
      </w:r>
    </w:p>
    <w:p>
      <w:pPr>
        <w:spacing w:after="0" w:line="225" w:lineRule="exact"/>
        <w:rPr>
          <w:sz w:val="20"/>
          <w:szCs w:val="20"/>
          <w:color w:val="auto"/>
        </w:rPr>
      </w:pPr>
    </w:p>
    <w:p>
      <w:pPr>
        <w:ind w:left="40" w:right="79" w:firstLine="648"/>
        <w:spacing w:after="0" w:line="223" w:lineRule="exact"/>
        <w:rPr>
          <w:sz w:val="20"/>
          <w:szCs w:val="20"/>
          <w:color w:val="auto"/>
        </w:rPr>
      </w:pPr>
      <w:r>
        <w:rPr>
          <w:rFonts w:ascii="Arial" w:cs="Arial" w:eastAsia="Arial" w:hAnsi="Arial"/>
          <w:sz w:val="18"/>
          <w:szCs w:val="18"/>
          <w:color w:val="auto"/>
        </w:rPr>
        <w:t>We are developing AXS</w:t>
      </w:r>
      <w:r>
        <w:rPr>
          <w:rFonts w:ascii="MS PGothic" w:cs="MS PGothic" w:eastAsia="MS PGothic" w:hAnsi="MS PGothic"/>
          <w:sz w:val="18"/>
          <w:szCs w:val="18"/>
          <w:color w:val="auto"/>
        </w:rPr>
        <w:t>‑</w:t>
      </w:r>
      <w:r>
        <w:rPr>
          <w:rFonts w:ascii="Arial" w:cs="Arial" w:eastAsia="Arial" w:hAnsi="Arial"/>
          <w:sz w:val="18"/>
          <w:szCs w:val="18"/>
          <w:color w:val="auto"/>
        </w:rPr>
        <w:t>07 for the acute treatment of migraine. A majority of migraine sufferers indicate that they are not fully satisfied with currently available treatment options.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Indication Overview</w:t>
      </w:r>
    </w:p>
    <w:p>
      <w:pPr>
        <w:spacing w:after="0" w:line="225"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Migraine is a disorder characterized by recurrent attacks of pulsating, unilateral or bilateral head pain, often associated with nausea, photobobia, and phonophobia. Migraine attacks may occur with or without an aura, which is a focal neurological symptom, such as vision changes, that typically precedes other symptoms. Migraine attacks generally last from 4 to 72 hours and are often severe and disabling, requiring bed rest.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Over 37 million Americans suffer from migraine according to the Centers for Disease Control, and it is the leading cause of disability among neurological disorders in the United States according to the American Migraine Foundation. It is estimated that migraine accounts for $78 billion in direct costs, such as doctor visits and medications, and indirect costs, such as missed work and lost productivity, each year in the United States. Published surveys of migraine sufferers indicate that more than 70% are not fully satisfied with their current treatment, that nearly 80% would try a new therapy, and that they desire treatments that work faster, more consistently, and result in less symptom recurrence.</w:t>
      </w:r>
    </w:p>
    <w:p>
      <w:pPr>
        <w:spacing w:after="0" w:line="164"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07 in Migraine</w:t>
      </w:r>
    </w:p>
    <w:p>
      <w:pPr>
        <w:spacing w:after="0" w:line="225" w:lineRule="exact"/>
        <w:rPr>
          <w:sz w:val="20"/>
          <w:szCs w:val="20"/>
          <w:color w:val="auto"/>
        </w:rPr>
      </w:pPr>
    </w:p>
    <w:p>
      <w:pPr>
        <w:ind w:left="40" w:right="139" w:firstLine="648"/>
        <w:spacing w:after="0" w:line="301" w:lineRule="auto"/>
        <w:rPr>
          <w:sz w:val="20"/>
          <w:szCs w:val="20"/>
          <w:color w:val="auto"/>
        </w:rPr>
      </w:pPr>
      <w:r>
        <w:rPr>
          <w:rFonts w:ascii="Arial" w:cs="Arial" w:eastAsia="Arial" w:hAnsi="Arial"/>
          <w:sz w:val="16"/>
          <w:szCs w:val="16"/>
          <w:color w:val="auto"/>
        </w:rPr>
        <w:t>The rationale for the development of AXS-07 in the treatment of migraine is based on clinical evidence of improvements in migraine pain and most bothersome symptom as well as the mechanisms of action of both components of AXS-07. By combining rizatriptan with MoSEIC™ meloxicam, AXS-07 may overcome some the limitations of current acute treatments which include incomplete pain relief, suboptimal onset of action, and recurrence of symptoms.</w:t>
      </w:r>
    </w:p>
    <w:p>
      <w:pPr>
        <w:spacing w:after="0" w:line="157"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6"/>
          <w:szCs w:val="16"/>
          <w:i w:val="1"/>
          <w:iCs w:val="1"/>
          <w:color w:val="auto"/>
        </w:rPr>
        <w:t xml:space="preserve">Mechanistic rationale. </w:t>
      </w:r>
      <w:r>
        <w:rPr>
          <w:rFonts w:ascii="Arial" w:cs="Arial" w:eastAsia="Arial" w:hAnsi="Arial"/>
          <w:sz w:val="16"/>
          <w:szCs w:val="16"/>
          <w:color w:val="auto"/>
        </w:rPr>
        <w:t>The meloxicam component of AXS-07 is a COX-2 preferential NSAID that inhibits the</w:t>
      </w:r>
      <w:r>
        <w:rPr>
          <w:rFonts w:ascii="Arial" w:cs="Arial" w:eastAsia="Arial" w:hAnsi="Arial"/>
          <w:sz w:val="16"/>
          <w:szCs w:val="16"/>
          <w:i w:val="1"/>
          <w:iCs w:val="1"/>
          <w:color w:val="auto"/>
        </w:rPr>
        <w:t xml:space="preserve"> </w:t>
      </w:r>
      <w:r>
        <w:rPr>
          <w:rFonts w:ascii="Arial" w:cs="Arial" w:eastAsia="Arial" w:hAnsi="Arial"/>
          <w:sz w:val="16"/>
          <w:szCs w:val="16"/>
          <w:color w:val="auto"/>
        </w:rPr>
        <w:t>synthesis of prostaglandins, may reduce meningeal inflammation and inhibit central sensitization resulting from the activation of glial cells in the brain stem. Meloxicam is a new molecular entity for migraine and is not currently approved for this indication. Axsome’s MoSEIC™ technology enables meloxicam’s use in this indication by potentially significantly increasing the speed of its absorption after oral administration. In addition, MoSEIC™ meloxicam maintains an approximately 20-hour half-life, which may provide more sustained efficacy with less recurrence of symptoms as compared to current treatments. Less recurrence would be expected to result in reduced use of rescue or repeat medication. The rizatriptan component of AXS-07 is a 5-HT</w:t>
      </w:r>
      <w:r>
        <w:rPr>
          <w:rFonts w:ascii="Arial" w:cs="Arial" w:eastAsia="Arial" w:hAnsi="Arial"/>
          <w:sz w:val="26"/>
          <w:szCs w:val="26"/>
          <w:color w:val="auto"/>
          <w:vertAlign w:val="subscript"/>
        </w:rPr>
        <w:t>1B/D</w:t>
      </w:r>
      <w:r>
        <w:rPr>
          <w:rFonts w:ascii="Arial" w:cs="Arial" w:eastAsia="Arial" w:hAnsi="Arial"/>
          <w:sz w:val="16"/>
          <w:szCs w:val="16"/>
          <w:color w:val="auto"/>
        </w:rPr>
        <w:t xml:space="preserve"> agonist that inhibits CGRP–mediated vasodilation, has been shown to have central trigeminal antinociceptive activity, and may reduce the release of inflammatory mediators from trigeminal nerves. Rizatriptan is currently approved as a single agent for the acute treatment of migraine.</w:t>
      </w:r>
    </w:p>
    <w:p>
      <w:pPr>
        <w:spacing w:after="0" w:line="182"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07</w:t>
      </w:r>
    </w:p>
    <w:p>
      <w:pPr>
        <w:spacing w:after="0" w:line="225" w:lineRule="exact"/>
        <w:rPr>
          <w:sz w:val="20"/>
          <w:szCs w:val="20"/>
          <w:color w:val="auto"/>
        </w:rPr>
      </w:pPr>
    </w:p>
    <w:p>
      <w:pPr>
        <w:ind w:left="700"/>
        <w:spacing w:after="0" w:line="196" w:lineRule="exact"/>
        <w:rPr>
          <w:sz w:val="20"/>
          <w:szCs w:val="20"/>
          <w:color w:val="auto"/>
        </w:rPr>
      </w:pPr>
      <w:r>
        <w:rPr>
          <w:rFonts w:ascii="Arial" w:cs="Arial" w:eastAsia="Arial" w:hAnsi="Arial"/>
          <w:sz w:val="17"/>
          <w:szCs w:val="17"/>
          <w:color w:val="auto"/>
        </w:rPr>
        <w:t>We are developing AXS</w:t>
      </w:r>
      <w:r>
        <w:rPr>
          <w:rFonts w:ascii="MS PGothic" w:cs="MS PGothic" w:eastAsia="MS PGothic" w:hAnsi="MS PGothic"/>
          <w:sz w:val="17"/>
          <w:szCs w:val="17"/>
          <w:color w:val="auto"/>
        </w:rPr>
        <w:t>‑</w:t>
      </w:r>
      <w:r>
        <w:rPr>
          <w:rFonts w:ascii="Arial" w:cs="Arial" w:eastAsia="Arial" w:hAnsi="Arial"/>
          <w:sz w:val="17"/>
          <w:szCs w:val="17"/>
          <w:color w:val="auto"/>
        </w:rPr>
        <w:t>07 and intend to seek FDA approval for the product utilizing the 505(b)(2) regulatory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pathway.</w:t>
      </w:r>
    </w:p>
    <w:p>
      <w:pPr>
        <w:spacing w:after="0" w:line="211" w:lineRule="exact"/>
        <w:rPr>
          <w:sz w:val="20"/>
          <w:szCs w:val="20"/>
          <w:color w:val="auto"/>
        </w:rPr>
      </w:pPr>
    </w:p>
    <w:p>
      <w:pPr>
        <w:ind w:left="40" w:right="279" w:firstLine="648"/>
        <w:spacing w:after="0" w:line="223" w:lineRule="exact"/>
        <w:rPr>
          <w:sz w:val="20"/>
          <w:szCs w:val="20"/>
          <w:color w:val="auto"/>
        </w:rPr>
      </w:pPr>
      <w:r>
        <w:rPr>
          <w:rFonts w:ascii="Arial" w:cs="Arial" w:eastAsia="Arial" w:hAnsi="Arial"/>
          <w:sz w:val="18"/>
          <w:szCs w:val="18"/>
          <w:color w:val="auto"/>
        </w:rPr>
        <w:t>We received written pre</w:t>
      </w:r>
      <w:r>
        <w:rPr>
          <w:rFonts w:ascii="MS PGothic" w:cs="MS PGothic" w:eastAsia="MS PGothic" w:hAnsi="MS PGothic"/>
          <w:sz w:val="18"/>
          <w:szCs w:val="18"/>
          <w:color w:val="auto"/>
        </w:rPr>
        <w:t>‑</w:t>
      </w:r>
      <w:r>
        <w:rPr>
          <w:rFonts w:ascii="Arial" w:cs="Arial" w:eastAsia="Arial" w:hAnsi="Arial"/>
          <w:sz w:val="18"/>
          <w:szCs w:val="18"/>
          <w:color w:val="auto"/>
        </w:rPr>
        <w:t>IND meeting guidance from the FDA in August 2017 on our clinical development plan for AXS</w:t>
      </w:r>
      <w:r>
        <w:rPr>
          <w:rFonts w:ascii="MS PGothic" w:cs="MS PGothic" w:eastAsia="MS PGothic" w:hAnsi="MS PGothic"/>
          <w:sz w:val="18"/>
          <w:szCs w:val="18"/>
          <w:color w:val="auto"/>
        </w:rPr>
        <w:t>‑</w:t>
      </w:r>
      <w:r>
        <w:rPr>
          <w:rFonts w:ascii="Arial" w:cs="Arial" w:eastAsia="Arial" w:hAnsi="Arial"/>
          <w:sz w:val="18"/>
          <w:szCs w:val="18"/>
          <w:color w:val="auto"/>
        </w:rPr>
        <w:t>07 in migraine.</w:t>
      </w:r>
    </w:p>
    <w:p>
      <w:pPr>
        <w:spacing w:after="0" w:line="203" w:lineRule="exact"/>
        <w:rPr>
          <w:sz w:val="20"/>
          <w:szCs w:val="20"/>
          <w:color w:val="auto"/>
        </w:rPr>
      </w:pPr>
    </w:p>
    <w:p>
      <w:pPr>
        <w:ind w:left="40" w:right="199" w:firstLine="648"/>
        <w:spacing w:after="0" w:line="259" w:lineRule="auto"/>
        <w:rPr>
          <w:sz w:val="20"/>
          <w:szCs w:val="20"/>
          <w:color w:val="auto"/>
        </w:rPr>
      </w:pPr>
      <w:r>
        <w:rPr>
          <w:rFonts w:ascii="Arial" w:cs="Arial" w:eastAsia="Arial" w:hAnsi="Arial"/>
          <w:sz w:val="18"/>
          <w:szCs w:val="18"/>
          <w:color w:val="auto"/>
        </w:rPr>
        <w:t>In February 2019, we reached agreement with the FDA under an SPA for the design, endpoints, and statistical approach of the planned MOMENTUM (Maximizing Outcomes in Treating Acute Migraine) Phase 3 trial of AXS-07 in the acute treatment of migraine. Based on FDA feedback during this SPA process, Axsome believes that only one Phase 3 trial may be needed for the approval of AXS-07.</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March 2019, we initiated the MOMENTUM study.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May 2019, we announced the acceleration of the timeline for reporting topline results from the MOMENTUM</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study.</w:t>
      </w:r>
    </w:p>
    <w:p>
      <w:pPr>
        <w:spacing w:after="0" w:line="211" w:lineRule="exact"/>
        <w:rPr>
          <w:sz w:val="20"/>
          <w:szCs w:val="20"/>
          <w:color w:val="auto"/>
        </w:rPr>
      </w:pPr>
    </w:p>
    <w:p>
      <w:pPr>
        <w:ind w:left="40" w:right="99" w:firstLine="648"/>
        <w:spacing w:after="0" w:line="308" w:lineRule="auto"/>
        <w:rPr>
          <w:sz w:val="20"/>
          <w:szCs w:val="20"/>
          <w:color w:val="auto"/>
        </w:rPr>
      </w:pPr>
      <w:r>
        <w:rPr>
          <w:rFonts w:ascii="Arial" w:cs="Arial" w:eastAsia="Arial" w:hAnsi="Arial"/>
          <w:sz w:val="17"/>
          <w:szCs w:val="17"/>
          <w:color w:val="auto"/>
        </w:rPr>
        <w:t>In July 2019, we announced that we are enrolling an open-label study in order to build safety databases of patients to support the filing of a New Drug Application, or NDA for AXS-07 in the acute treatment of migraine.</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September 2019, we announced positive results from a Phase 1 pharmacokinetic trial of AXS-07.</w:t>
      </w:r>
    </w:p>
    <w:p>
      <w:pPr>
        <w:spacing w:after="0" w:line="225"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In October 2019, we initiated the INTERCEPT study, a Phase 3, randomized, double-blind, multicenter, placebo-controlled trial evaluating the early treatment of migraine with AXS-07.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59" w:firstLine="648"/>
        <w:spacing w:after="0" w:line="277" w:lineRule="auto"/>
        <w:rPr>
          <w:sz w:val="20"/>
          <w:szCs w:val="20"/>
          <w:color w:val="auto"/>
        </w:rPr>
      </w:pPr>
      <w:r>
        <w:rPr>
          <w:rFonts w:ascii="Arial" w:cs="Arial" w:eastAsia="Arial" w:hAnsi="Arial"/>
          <w:sz w:val="18"/>
          <w:szCs w:val="18"/>
          <w:color w:val="auto"/>
        </w:rPr>
        <w:t>In October 2019, we announced the results of the MINDSET physician survey, which affirms the unmet need and favorable profile of AXS-07 in the acute treatment of migraine.</w:t>
      </w:r>
    </w:p>
    <w:p>
      <w:pPr>
        <w:spacing w:after="0" w:line="170" w:lineRule="exact"/>
        <w:rPr>
          <w:sz w:val="20"/>
          <w:szCs w:val="20"/>
          <w:color w:val="auto"/>
        </w:rPr>
      </w:pPr>
    </w:p>
    <w:p>
      <w:pPr>
        <w:ind w:left="40" w:right="939" w:firstLine="648"/>
        <w:spacing w:after="0" w:line="263" w:lineRule="auto"/>
        <w:rPr>
          <w:sz w:val="20"/>
          <w:szCs w:val="20"/>
          <w:color w:val="auto"/>
        </w:rPr>
      </w:pPr>
      <w:r>
        <w:rPr>
          <w:rFonts w:ascii="Arial" w:cs="Arial" w:eastAsia="Arial" w:hAnsi="Arial"/>
          <w:sz w:val="18"/>
          <w:szCs w:val="18"/>
          <w:color w:val="auto"/>
        </w:rPr>
        <w:t>In December 2019, we announced that AXS-07 achieved co-primary and key secondary endpoints and significantly improved migraine pain, freedom from most bother symptom, and sustained pain freedom, in the MOMENTUM study.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Completed MOMENTUM Study</w:t>
      </w:r>
    </w:p>
    <w:p>
      <w:pPr>
        <w:spacing w:after="0" w:line="225"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8"/>
          <w:szCs w:val="18"/>
          <w:color w:val="auto"/>
        </w:rPr>
        <w:t>MOMENTUM was a randomized, double-blind, placebo- and active-controlled trial which enrolled only patients with a history of inadequate response to prior acute migraine treatments, assessed using the Migraine Treatment Optimization Questionnaire, or mTOQ-4. A total of 1,594 patients were randomized in a 2:2:2:1 ratio to AXS-07 (20 mg MoSEIC™ meloxicam/10 mg rizatriptan), rizatriptan (10 mg), MoSEIC™ meloxicam (20 mg), or placebo, to treat a single migraine attack of moderate or severe intensity. In addition to a history of inadequate response, enrolled patients exhibited a high rate of characteristics that are strongly associated with poor treatment outcomes including cutaneous allodynia (75.4%), severe migraine pain intensity (41.2%), obesity (43.7%), and morning migraine (36.6%). The study was conducted pursuant to an FDA Special Protocol Assessment, or SPA. Rizatriptan, an active comparator in the trial, is considered to be the fastest acting oral triptan and one of the most effective medications currently available for the acute treatment of migraine.</w:t>
      </w:r>
    </w:p>
    <w:p>
      <w:pPr>
        <w:spacing w:after="0" w:line="194" w:lineRule="exact"/>
        <w:rPr>
          <w:sz w:val="20"/>
          <w:szCs w:val="20"/>
          <w:color w:val="auto"/>
        </w:rPr>
      </w:pPr>
    </w:p>
    <w:p>
      <w:pPr>
        <w:ind w:left="40" w:right="219" w:firstLine="648"/>
        <w:spacing w:after="0" w:line="272" w:lineRule="auto"/>
        <w:rPr>
          <w:sz w:val="20"/>
          <w:szCs w:val="20"/>
          <w:color w:val="auto"/>
        </w:rPr>
      </w:pPr>
      <w:r>
        <w:rPr>
          <w:rFonts w:ascii="Arial" w:cs="Arial" w:eastAsia="Arial" w:hAnsi="Arial"/>
          <w:sz w:val="17"/>
          <w:szCs w:val="17"/>
          <w:color w:val="auto"/>
        </w:rPr>
        <w:t>AXS-07 met the two regulatory co-primary endpoints by demonstrating, with high statistical significance, a greater percentage of patients as compared to placebo achieving pain freedom (19.9% versus 6.7%, p&lt;0.001) and absence of most bothersome symptom (36.9% versus 24.4%, p=0.002), 2 hours after dosing. Superiority of AXS-07 to rizatriptan and MoSEIC™ meloxicam (component contribution) was established as specified in the SPA, by demonstration of a greater percentage of AXS-07 patients achieving sustained pain freedom from 2 to 24 hours after dosing, compared to rizatriptan and MoSEIC™ meloxicam, as well as to placebo (16.1%, 11.2%, 8.8% and 5.3%, respectively; p=0.038, p=0.001, and p&lt;0.001, respectively versus AXS-07).</w:t>
      </w:r>
    </w:p>
    <w:p>
      <w:pPr>
        <w:spacing w:after="0" w:line="177" w:lineRule="exact"/>
        <w:rPr>
          <w:sz w:val="20"/>
          <w:szCs w:val="20"/>
          <w:color w:val="auto"/>
        </w:rPr>
      </w:pPr>
    </w:p>
    <w:p>
      <w:pPr>
        <w:ind w:left="40" w:right="199" w:firstLine="648"/>
        <w:spacing w:after="0" w:line="271" w:lineRule="auto"/>
        <w:rPr>
          <w:sz w:val="20"/>
          <w:szCs w:val="20"/>
          <w:color w:val="auto"/>
        </w:rPr>
      </w:pPr>
      <w:r>
        <w:rPr>
          <w:rFonts w:ascii="Arial" w:cs="Arial" w:eastAsia="Arial" w:hAnsi="Arial"/>
          <w:sz w:val="17"/>
          <w:szCs w:val="17"/>
          <w:color w:val="auto"/>
        </w:rPr>
        <w:t>AXS-07 provided substantially greater and more sustained migraine pain relief compared to placebo and rizatriptan, which translated to a significant reduction in rescue medication use for AXS-07 compared to placebo and rizatriptan. The percentage of patients experiencing sustained pain relief from 2 to 24 hours after dosing was 53.3% for AXS-07, compared to 33.5% for placebo and 43.9% for rizatriptan (p&lt;0.001, p=0.006, respectively versus AXS-07). Sustained pain relief from 2 to 48 hours was also experienced by a statistically significantly greater proportion of AXS-07 patients (46.5%), compared to placebo (31.1%) and rizatriptan (36.5%) patients (p&lt;0.001, p=0.003, respectively versus AXS-07). Rescue medication was used by 23.0% of AXS-07 patients, compared to 43.5% of placebo and 34.7% of rizatriptan patients (p&lt;0.001 for each group versus AXS-07).</w:t>
      </w:r>
    </w:p>
    <w:p>
      <w:pPr>
        <w:spacing w:after="0" w:line="178" w:lineRule="exact"/>
        <w:rPr>
          <w:sz w:val="20"/>
          <w:szCs w:val="20"/>
          <w:color w:val="auto"/>
        </w:rPr>
      </w:pPr>
    </w:p>
    <w:p>
      <w:pPr>
        <w:ind w:left="40" w:right="179" w:firstLine="648"/>
        <w:spacing w:after="0" w:line="293" w:lineRule="auto"/>
        <w:rPr>
          <w:sz w:val="20"/>
          <w:szCs w:val="20"/>
          <w:color w:val="auto"/>
        </w:rPr>
      </w:pPr>
      <w:r>
        <w:rPr>
          <w:rFonts w:ascii="Arial" w:cs="Arial" w:eastAsia="Arial" w:hAnsi="Arial"/>
          <w:sz w:val="16"/>
          <w:szCs w:val="16"/>
          <w:color w:val="auto"/>
        </w:rPr>
        <w:t>AXS-07 provided rapid relief of migraine pain with the percentage of patients achieving pain relief with AXS-07 being numerically greater than with rizatriptan at every time point measured starting at 15 minutes, and statistically significantly greater than with rizatriptan by 60 minutes (p=0.04). The proportions of patients experiencing pain relief 1.5 hours after dosing were 60.5% for AXS-07 compared to 52.5% for rizatriptan and 48.3% for placebo (p=0.019, p=0.004, respectively versus AXS-07). AXS-07 was statistically significantly superior to rizatriptan on several other secondary endpoints including PGI-C (p=0.022), and return to normal functioning at 24 hours (p=0.027).</w:t>
      </w:r>
    </w:p>
    <w:p>
      <w:pPr>
        <w:spacing w:after="0" w:line="164" w:lineRule="exact"/>
        <w:rPr>
          <w:sz w:val="20"/>
          <w:szCs w:val="20"/>
          <w:color w:val="auto"/>
        </w:rPr>
      </w:pPr>
    </w:p>
    <w:p>
      <w:pPr>
        <w:ind w:left="40" w:right="99" w:firstLine="648"/>
        <w:spacing w:after="0" w:line="311" w:lineRule="auto"/>
        <w:rPr>
          <w:sz w:val="20"/>
          <w:szCs w:val="20"/>
          <w:color w:val="auto"/>
        </w:rPr>
      </w:pPr>
      <w:r>
        <w:rPr>
          <w:rFonts w:ascii="Arial" w:cs="Arial" w:eastAsia="Arial" w:hAnsi="Arial"/>
          <w:sz w:val="16"/>
          <w:szCs w:val="16"/>
          <w:color w:val="auto"/>
        </w:rPr>
        <w:t>AXS-07 was safe and well tolerated in the trial. The most commonly reported adverse events with AXS-07 were nausea, dizziness and somnolence, none of which occurred at a rate greater than placebo or greater than 3%. There was one serious adverse event in the AXS-07 arm which was deemed by the investigator not to be related to study drug.</w:t>
      </w:r>
    </w:p>
    <w:p>
      <w:pPr>
        <w:spacing w:after="0" w:line="149" w:lineRule="exact"/>
        <w:rPr>
          <w:sz w:val="20"/>
          <w:szCs w:val="20"/>
          <w:color w:val="auto"/>
        </w:rPr>
      </w:pPr>
    </w:p>
    <w:p>
      <w:pPr>
        <w:jc w:val="both"/>
        <w:ind w:left="40" w:right="139" w:firstLine="648"/>
        <w:spacing w:after="0" w:line="259" w:lineRule="auto"/>
        <w:rPr>
          <w:sz w:val="20"/>
          <w:szCs w:val="20"/>
          <w:color w:val="auto"/>
        </w:rPr>
      </w:pPr>
      <w:r>
        <w:rPr>
          <w:rFonts w:ascii="Arial" w:cs="Arial" w:eastAsia="Arial" w:hAnsi="Arial"/>
          <w:sz w:val="18"/>
          <w:szCs w:val="18"/>
          <w:color w:val="auto"/>
        </w:rPr>
        <w:t>The MOMENTUM study was conducted pursuant to an SPA with the FDA. The SPA provides agreement that the overall MOMENTUM trial design (e.g., entry criteria, dose selection, endpoints) and planned analysis adequately address objectives that, if met, will support filing of an NDA of AXS-07 for the indication of acute treatment of migraine in adults with or without aura.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AXS-07 MOMENTUM Phase 3 Trial for the treatment of acute migraine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5349240" cy="3103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Ongoing INTERCEPT Study</w:t>
      </w:r>
    </w:p>
    <w:p>
      <w:pPr>
        <w:spacing w:after="0" w:line="225" w:lineRule="exact"/>
        <w:rPr>
          <w:sz w:val="20"/>
          <w:szCs w:val="20"/>
          <w:color w:val="auto"/>
        </w:rPr>
      </w:pPr>
    </w:p>
    <w:p>
      <w:pPr>
        <w:ind w:left="40" w:right="79" w:firstLine="648"/>
        <w:spacing w:after="0" w:line="293" w:lineRule="auto"/>
        <w:rPr>
          <w:sz w:val="20"/>
          <w:szCs w:val="20"/>
          <w:color w:val="auto"/>
        </w:rPr>
      </w:pPr>
      <w:r>
        <w:rPr>
          <w:rFonts w:ascii="Arial" w:cs="Arial" w:eastAsia="Arial" w:hAnsi="Arial"/>
          <w:sz w:val="16"/>
          <w:szCs w:val="16"/>
          <w:color w:val="auto"/>
        </w:rPr>
        <w:t>In October 2019, we initiated the INTERCEPT study, a Phase 3, randomized, double-blind, placebo-controlled trial evaluating the early treatment of migraine with AXS-07. Patients are randomly assigned in a 1:1 ratio to receive AXS-07 or placebo in a double-blind fashion. Patients are to administer AXS-07 at the earliest sign of migraine pain. The two co-primary endpoints of the trial are the proportion of patients who are free from headache pain two hours after dosing, and the proportion of patients who no longer suffer from their most bothersome migraine-associated symptom (nausea, photophobia, or phonophobia) two hours after dosing. The trial will randomize a total of approximately 300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113665</wp:posOffset>
            </wp:positionV>
            <wp:extent cx="4757420" cy="1036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5742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AXS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09</w:t>
      </w:r>
    </w:p>
    <w:p>
      <w:pPr>
        <w:spacing w:after="0" w:line="229" w:lineRule="exact"/>
        <w:rPr>
          <w:sz w:val="20"/>
          <w:szCs w:val="20"/>
          <w:color w:val="auto"/>
        </w:rPr>
      </w:pPr>
    </w:p>
    <w:p>
      <w:pPr>
        <w:ind w:left="40" w:right="59" w:firstLine="648"/>
        <w:spacing w:after="0" w:line="219" w:lineRule="exact"/>
        <w:rPr>
          <w:sz w:val="20"/>
          <w:szCs w:val="20"/>
          <w:color w:val="auto"/>
        </w:rPr>
      </w:pPr>
      <w:r>
        <w:rPr>
          <w:rFonts w:ascii="Arial" w:cs="Arial" w:eastAsia="Arial" w:hAnsi="Arial"/>
          <w:sz w:val="18"/>
          <w:szCs w:val="18"/>
          <w:color w:val="auto"/>
        </w:rPr>
        <w:t>AXS</w:t>
      </w:r>
      <w:r>
        <w:rPr>
          <w:rFonts w:ascii="MS PGothic" w:cs="MS PGothic" w:eastAsia="MS PGothic" w:hAnsi="MS PGothic"/>
          <w:sz w:val="18"/>
          <w:szCs w:val="18"/>
          <w:color w:val="auto"/>
        </w:rPr>
        <w:t>‑</w:t>
      </w:r>
      <w:r>
        <w:rPr>
          <w:rFonts w:ascii="Arial" w:cs="Arial" w:eastAsia="Arial" w:hAnsi="Arial"/>
          <w:sz w:val="18"/>
          <w:szCs w:val="18"/>
          <w:color w:val="auto"/>
        </w:rPr>
        <w:t xml:space="preserve">09 is a novel, oral, investigational medicine consisting of chirally pure esbupropion and DM. Esbupropion is the </w:t>
      </w:r>
      <w:r>
        <w:rPr>
          <w:rFonts w:ascii="Arial" w:cs="Arial" w:eastAsia="Arial" w:hAnsi="Arial"/>
          <w:sz w:val="18"/>
          <w:szCs w:val="18"/>
          <w:i w:val="1"/>
          <w:iCs w:val="1"/>
          <w:color w:val="auto"/>
        </w:rPr>
        <w:t>S</w:t>
      </w:r>
      <w:r>
        <w:rPr>
          <w:rFonts w:ascii="Arial" w:cs="Arial" w:eastAsia="Arial" w:hAnsi="Arial"/>
          <w:sz w:val="18"/>
          <w:szCs w:val="18"/>
          <w:color w:val="auto"/>
        </w:rPr>
        <w:t>-enantiomer of bupropion, a dopamine and norepinephrine reuptake inhibitor and nicotinic acetylcholine receptor antagonist which also serves to increase the bioavailability of DM. Enantiomers are molecules which are identical in chemical structure but which differ in the three-dimensional arrangement of the atoms, i.e. the molecules are mirror images. AXS-09 may potentially be applicable to the treatment of a variety of CNS disorders, based on the mechanisms of action of its two components.</w:t>
      </w:r>
    </w:p>
    <w:p>
      <w:pPr>
        <w:spacing w:after="0" w:line="203" w:lineRule="exact"/>
        <w:rPr>
          <w:sz w:val="20"/>
          <w:szCs w:val="20"/>
          <w:color w:val="auto"/>
        </w:rPr>
      </w:pPr>
    </w:p>
    <w:p>
      <w:pPr>
        <w:ind w:left="40" w:right="79" w:firstLine="648"/>
        <w:spacing w:after="0" w:line="275" w:lineRule="auto"/>
        <w:rPr>
          <w:sz w:val="20"/>
          <w:szCs w:val="20"/>
          <w:color w:val="auto"/>
        </w:rPr>
      </w:pPr>
      <w:r>
        <w:rPr>
          <w:rFonts w:ascii="Arial" w:cs="Arial" w:eastAsia="Arial" w:hAnsi="Arial"/>
          <w:sz w:val="17"/>
          <w:szCs w:val="17"/>
          <w:color w:val="auto"/>
        </w:rPr>
        <w:t xml:space="preserve">In February 2018, we announced the results of a Phase 1 pharmacokinetic trial of AXS-09. The Phase 1 trial was a randomized, multiple-dose, parallel group pharmacokinetic trial. A total of 32 healthy adult subjects were randomly assigned to treatment with AXS-09, </w:t>
      </w:r>
      <w:r>
        <w:rPr>
          <w:rFonts w:ascii="Arial" w:cs="Arial" w:eastAsia="Arial" w:hAnsi="Arial"/>
          <w:sz w:val="17"/>
          <w:szCs w:val="17"/>
          <w:i w:val="1"/>
          <w:iCs w:val="1"/>
          <w:color w:val="auto"/>
        </w:rPr>
        <w:t>R</w:t>
      </w:r>
      <w:r>
        <w:rPr>
          <w:rFonts w:ascii="Arial" w:cs="Arial" w:eastAsia="Arial" w:hAnsi="Arial"/>
          <w:sz w:val="17"/>
          <w:szCs w:val="17"/>
          <w:color w:val="auto"/>
        </w:rPr>
        <w:t xml:space="preserve">-bupropion and DM, single-entity </w:t>
      </w:r>
      <w:r>
        <w:rPr>
          <w:rFonts w:ascii="Arial" w:cs="Arial" w:eastAsia="Arial" w:hAnsi="Arial"/>
          <w:sz w:val="17"/>
          <w:szCs w:val="17"/>
          <w:i w:val="1"/>
          <w:iCs w:val="1"/>
          <w:color w:val="auto"/>
        </w:rPr>
        <w:t>S</w:t>
      </w:r>
      <w:r>
        <w:rPr>
          <w:rFonts w:ascii="Arial" w:cs="Arial" w:eastAsia="Arial" w:hAnsi="Arial"/>
          <w:sz w:val="17"/>
          <w:szCs w:val="17"/>
          <w:color w:val="auto"/>
        </w:rPr>
        <w:t xml:space="preserve">-bupropion, or single-entity </w:t>
      </w:r>
      <w:r>
        <w:rPr>
          <w:rFonts w:ascii="Arial" w:cs="Arial" w:eastAsia="Arial" w:hAnsi="Arial"/>
          <w:sz w:val="17"/>
          <w:szCs w:val="17"/>
          <w:i w:val="1"/>
          <w:iCs w:val="1"/>
          <w:color w:val="auto"/>
        </w:rPr>
        <w:t>R</w:t>
      </w:r>
      <w:r>
        <w:rPr>
          <w:rFonts w:ascii="Arial" w:cs="Arial" w:eastAsia="Arial" w:hAnsi="Arial"/>
          <w:sz w:val="17"/>
          <w:szCs w:val="17"/>
          <w:color w:val="auto"/>
        </w:rPr>
        <w:t>-bupropion tablets, for 8 days under fasting conditions. Plasma concentrations of DM, bupropion, and their metabolites were measured. The primary endpoint was the change in DM plasma concentrations from day 1 to day 8.</w:t>
      </w:r>
    </w:p>
    <w:p>
      <w:pPr>
        <w:spacing w:after="0" w:line="176" w:lineRule="exact"/>
        <w:rPr>
          <w:sz w:val="20"/>
          <w:szCs w:val="20"/>
          <w:color w:val="auto"/>
        </w:rPr>
      </w:pPr>
    </w:p>
    <w:p>
      <w:pPr>
        <w:ind w:left="40" w:right="59" w:firstLine="693"/>
        <w:spacing w:after="0" w:line="272" w:lineRule="auto"/>
        <w:rPr>
          <w:sz w:val="20"/>
          <w:szCs w:val="20"/>
          <w:color w:val="auto"/>
        </w:rPr>
      </w:pPr>
      <w:r>
        <w:rPr>
          <w:rFonts w:ascii="Arial" w:cs="Arial" w:eastAsia="Arial" w:hAnsi="Arial"/>
          <w:sz w:val="17"/>
          <w:szCs w:val="17"/>
          <w:color w:val="auto"/>
        </w:rPr>
        <w:t xml:space="preserve">Results of the Phase 1 trial demonstrated that AXS-09 resulted in substantial increases in DM plasma concentrations into a potentially therapeutic range with repeated dosing, p&lt;0.0001 day 1 versus day 8. AXS-09 was well tolerated with no serious adverse events reported in the trial. The increased plasma concentrations of DM after dosing with AXS-09, which contains the chirally pure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of bupropion, are comparable to those achieved with dosing of our first generation product candidate, AXS-05, which contains racemic bupropion, equal amounts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 and </w:t>
      </w:r>
      <w:r>
        <w:rPr>
          <w:rFonts w:ascii="Arial" w:cs="Arial" w:eastAsia="Arial" w:hAnsi="Arial"/>
          <w:sz w:val="17"/>
          <w:szCs w:val="17"/>
          <w:i w:val="1"/>
          <w:iCs w:val="1"/>
          <w:color w:val="auto"/>
        </w:rPr>
        <w:t>R</w:t>
      </w:r>
      <w:r>
        <w:rPr>
          <w:rFonts w:ascii="Arial" w:cs="Arial" w:eastAsia="Arial" w:hAnsi="Arial"/>
          <w:sz w:val="17"/>
          <w:szCs w:val="17"/>
          <w:color w:val="auto"/>
        </w:rPr>
        <w:t xml:space="preserve">-enantiomers. Results of this Phase 1 trial coupled with preclinical data also indicate the potential for enhanced absorption and therapeutic effect of the </w:t>
      </w:r>
      <w:r>
        <w:rPr>
          <w:rFonts w:ascii="Arial" w:cs="Arial" w:eastAsia="Arial" w:hAnsi="Arial"/>
          <w:sz w:val="17"/>
          <w:szCs w:val="17"/>
          <w:i w:val="1"/>
          <w:iCs w:val="1"/>
          <w:color w:val="auto"/>
        </w:rPr>
        <w:t>S</w:t>
      </w:r>
      <w:r>
        <w:rPr>
          <w:rFonts w:ascii="Arial" w:cs="Arial" w:eastAsia="Arial" w:hAnsi="Arial"/>
          <w:sz w:val="17"/>
          <w:szCs w:val="17"/>
          <w:color w:val="auto"/>
        </w:rPr>
        <w:t xml:space="preserve">-enantiomer as compared to the </w:t>
      </w:r>
      <w:r>
        <w:rPr>
          <w:rFonts w:ascii="Arial" w:cs="Arial" w:eastAsia="Arial" w:hAnsi="Arial"/>
          <w:sz w:val="17"/>
          <w:szCs w:val="17"/>
          <w:i w:val="1"/>
          <w:iCs w:val="1"/>
          <w:color w:val="auto"/>
        </w:rPr>
        <w:t>R</w:t>
      </w:r>
      <w:r>
        <w:rPr>
          <w:rFonts w:ascii="Arial" w:cs="Arial" w:eastAsia="Arial" w:hAnsi="Arial"/>
          <w:sz w:val="17"/>
          <w:szCs w:val="17"/>
          <w:color w:val="auto"/>
        </w:rPr>
        <w:t>-enantiomer.</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AXS-12</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0" w:right="159" w:firstLine="648"/>
        <w:spacing w:after="0" w:line="308" w:lineRule="auto"/>
        <w:rPr>
          <w:sz w:val="20"/>
          <w:szCs w:val="20"/>
          <w:color w:val="auto"/>
        </w:rPr>
      </w:pPr>
      <w:r>
        <w:rPr>
          <w:rFonts w:ascii="Arial" w:cs="Arial" w:eastAsia="Arial" w:hAnsi="Arial"/>
          <w:sz w:val="17"/>
          <w:szCs w:val="17"/>
          <w:color w:val="auto"/>
        </w:rPr>
        <w:t>AXS-12, reboxetine, is a novel, oral, investigational medicine that we are initially developing for the treatment of the symptoms of narcolepsy. AXS-12 is a highly selective and potent norepinephrine reuptake inhibitor.</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Narcolepsy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Indication Overview</w:t>
      </w:r>
    </w:p>
    <w:p>
      <w:pPr>
        <w:spacing w:after="0" w:line="225"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Narcolepsy is a serious and debilitating neurological condition that causes dysregulation of the sleep-wake cycle and is characterized clinically by excessive daytime sleepiness, cataplexy, hypnagogic hallucinations, sleep paralysis, and disrupted nocturnal sleep. Narcolepsy afflicts an estimated 185,000 individuals in the U.S. Cataplexy is seen in an estimated 70% of narcolepsy patients and is a sudden reduction or loss of muscle tone while a patient is awake, typically triggered by strong emotions such as laughter, fear, anger, stress, or excitement. Narcolepsy interferes with cognitive, psychological, and social functioning, increases the risk of work- and driving-related accidents, and is associated with a 1.5 fold higher mortality rate.</w:t>
      </w:r>
    </w:p>
    <w:p>
      <w:pPr>
        <w:spacing w:after="0" w:line="195"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12 in Narcolepsy</w:t>
      </w:r>
    </w:p>
    <w:p>
      <w:pPr>
        <w:spacing w:after="0" w:line="225" w:lineRule="exact"/>
        <w:rPr>
          <w:sz w:val="20"/>
          <w:szCs w:val="20"/>
          <w:color w:val="auto"/>
        </w:rPr>
      </w:pPr>
    </w:p>
    <w:p>
      <w:pPr>
        <w:ind w:left="40" w:right="259" w:firstLine="648"/>
        <w:spacing w:after="0" w:line="259" w:lineRule="auto"/>
        <w:rPr>
          <w:sz w:val="20"/>
          <w:szCs w:val="20"/>
          <w:color w:val="auto"/>
        </w:rPr>
      </w:pPr>
      <w:r>
        <w:rPr>
          <w:rFonts w:ascii="Arial" w:cs="Arial" w:eastAsia="Arial" w:hAnsi="Arial"/>
          <w:sz w:val="18"/>
          <w:szCs w:val="18"/>
          <w:color w:val="auto"/>
        </w:rPr>
        <w:t>The rationale for the development of AXS-12 in narcolepsy is supported by positive pre-clinical and clinical results in narcolepsy, and an extensive clinical safety record. Reboxetine has an extensive safety record in Europe and in over 40 countries where it is approved for the treatment of depression. Depression is reported in up to 57% of narcolepsy patients.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i w:val="1"/>
          <w:iCs w:val="1"/>
          <w:color w:val="auto"/>
        </w:rPr>
        <w:t xml:space="preserve">Mechanistic rationale. </w:t>
      </w:r>
      <w:r>
        <w:rPr>
          <w:rFonts w:ascii="Arial" w:cs="Arial" w:eastAsia="Arial" w:hAnsi="Arial"/>
          <w:sz w:val="17"/>
          <w:szCs w:val="17"/>
          <w:color w:val="auto"/>
        </w:rPr>
        <w:t>Animal models have demonstrated that adrenergic neurotransmission play an important</w:t>
      </w:r>
      <w:r>
        <w:rPr>
          <w:rFonts w:ascii="Arial" w:cs="Arial" w:eastAsia="Arial" w:hAnsi="Arial"/>
          <w:sz w:val="17"/>
          <w:szCs w:val="17"/>
          <w:i w:val="1"/>
          <w:iCs w:val="1"/>
          <w:color w:val="auto"/>
        </w:rPr>
        <w:t xml:space="preserve"> </w:t>
      </w:r>
      <w:r>
        <w:rPr>
          <w:rFonts w:ascii="Arial" w:cs="Arial" w:eastAsia="Arial" w:hAnsi="Arial"/>
          <w:sz w:val="17"/>
          <w:szCs w:val="17"/>
          <w:color w:val="auto"/>
        </w:rPr>
        <w:t>role in cataplexy. Compounds acting on noradrenergic transmission strongly suppressed canine cataplexy at low doses. In contrast, serotonergic uptake blockers were only partially active against cataplexy at high doses, and dopaminergic agents were inactive. AXS-12 is a potent norepinephrine reuptake inhibitor. In a murine model of narcolepsy, reboxetine dose-dependently reduced the number of narcoleptic episodes in orexin-deficient mice (p&lt;0.0001). Reboxetine also significantly reduced the total duration of time spent in narcoleptic episodes (p&lt;0.0001). A comparison with the serotonin reuptake inhibitor escitalopram in this same model revealed a median effective dose (ED50) for reboxetine (0.012 mg/kg) that was markedly lower than for escitalopram (0.44 mg/kg), suggesting that selective inhibition of norepinephrine reuptake may be more potent in treating cataplexy than selective inhibition of serotonin reuptake. Currently approved pharmacological treatments for cataplexy and excessive daytime sleepiness, or, EDS have mechanisms which include inhibition of norepinephrine reuptake.</w:t>
      </w:r>
    </w:p>
    <w:p>
      <w:pPr>
        <w:spacing w:after="0" w:line="182"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12</w:t>
      </w:r>
    </w:p>
    <w:p>
      <w:pPr>
        <w:spacing w:after="0" w:line="225" w:lineRule="exact"/>
        <w:rPr>
          <w:sz w:val="20"/>
          <w:szCs w:val="20"/>
          <w:color w:val="auto"/>
        </w:rPr>
      </w:pPr>
    </w:p>
    <w:p>
      <w:pPr>
        <w:ind w:left="40" w:right="279" w:firstLine="648"/>
        <w:spacing w:after="0" w:line="223" w:lineRule="exact"/>
        <w:rPr>
          <w:sz w:val="20"/>
          <w:szCs w:val="20"/>
          <w:color w:val="auto"/>
        </w:rPr>
      </w:pPr>
      <w:r>
        <w:rPr>
          <w:rFonts w:ascii="Arial" w:cs="Arial" w:eastAsia="Arial" w:hAnsi="Arial"/>
          <w:sz w:val="18"/>
          <w:szCs w:val="18"/>
          <w:color w:val="auto"/>
        </w:rPr>
        <w:t>We received written pre</w:t>
      </w:r>
      <w:r>
        <w:rPr>
          <w:rFonts w:ascii="MS PGothic" w:cs="MS PGothic" w:eastAsia="MS PGothic" w:hAnsi="MS PGothic"/>
          <w:sz w:val="18"/>
          <w:szCs w:val="18"/>
          <w:color w:val="auto"/>
        </w:rPr>
        <w:t>‑</w:t>
      </w:r>
      <w:r>
        <w:rPr>
          <w:rFonts w:ascii="Arial" w:cs="Arial" w:eastAsia="Arial" w:hAnsi="Arial"/>
          <w:sz w:val="18"/>
          <w:szCs w:val="18"/>
          <w:color w:val="auto"/>
        </w:rPr>
        <w:t>IND meeting guidance from the FDA in August 2018 on our clinical development plan for AXS</w:t>
      </w:r>
      <w:r>
        <w:rPr>
          <w:rFonts w:ascii="MS PGothic" w:cs="MS PGothic" w:eastAsia="MS PGothic" w:hAnsi="MS PGothic"/>
          <w:sz w:val="18"/>
          <w:szCs w:val="18"/>
          <w:color w:val="auto"/>
        </w:rPr>
        <w:t>‑</w:t>
      </w:r>
      <w:r>
        <w:rPr>
          <w:rFonts w:ascii="Arial" w:cs="Arial" w:eastAsia="Arial" w:hAnsi="Arial"/>
          <w:sz w:val="18"/>
          <w:szCs w:val="18"/>
          <w:color w:val="auto"/>
        </w:rPr>
        <w:t>12 in narcolepsy.</w:t>
      </w:r>
    </w:p>
    <w:p>
      <w:pPr>
        <w:spacing w:after="0" w:line="203" w:lineRule="exact"/>
        <w:rPr>
          <w:sz w:val="20"/>
          <w:szCs w:val="20"/>
          <w:color w:val="auto"/>
        </w:rPr>
      </w:pPr>
    </w:p>
    <w:p>
      <w:pPr>
        <w:ind w:left="40" w:right="879" w:firstLine="648"/>
        <w:spacing w:after="0" w:line="277" w:lineRule="auto"/>
        <w:rPr>
          <w:sz w:val="20"/>
          <w:szCs w:val="20"/>
          <w:color w:val="auto"/>
        </w:rPr>
      </w:pPr>
      <w:r>
        <w:rPr>
          <w:rFonts w:ascii="Arial" w:cs="Arial" w:eastAsia="Arial" w:hAnsi="Arial"/>
          <w:sz w:val="18"/>
          <w:szCs w:val="18"/>
          <w:color w:val="auto"/>
        </w:rPr>
        <w:t>In October 2018, we received Orphan Drug Designation from the FDA for AXS-12 for the treatment of narcolepsy.</w:t>
      </w:r>
    </w:p>
    <w:p>
      <w:pPr>
        <w:spacing w:after="0" w:line="170" w:lineRule="exact"/>
        <w:rPr>
          <w:sz w:val="20"/>
          <w:szCs w:val="20"/>
          <w:color w:val="auto"/>
        </w:rPr>
      </w:pPr>
    </w:p>
    <w:p>
      <w:pPr>
        <w:ind w:left="40" w:right="659" w:firstLine="648"/>
        <w:spacing w:after="0" w:line="277" w:lineRule="auto"/>
        <w:rPr>
          <w:sz w:val="20"/>
          <w:szCs w:val="20"/>
          <w:color w:val="auto"/>
        </w:rPr>
      </w:pPr>
      <w:r>
        <w:rPr>
          <w:rFonts w:ascii="Arial" w:cs="Arial" w:eastAsia="Arial" w:hAnsi="Arial"/>
          <w:sz w:val="18"/>
          <w:szCs w:val="18"/>
          <w:color w:val="auto"/>
        </w:rPr>
        <w:t>In January 2019, we initiated the CONCERT study, a Phase 2 randomized, double-blind, controlled trial to evaluate the efficacy and safety of AXS-12 in narcolepsy.</w:t>
      </w:r>
    </w:p>
    <w:p>
      <w:pPr>
        <w:spacing w:after="0" w:line="170"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In December 2019, we announced that AXS-12 met the prespecified primary endpoint and significantly reduced the total number of cataplexy attacks in the CONCERT Phase 2 trial.</w:t>
      </w:r>
    </w:p>
    <w:p>
      <w:pPr>
        <w:spacing w:after="0" w:line="170" w:lineRule="exact"/>
        <w:rPr>
          <w:sz w:val="20"/>
          <w:szCs w:val="20"/>
          <w:color w:val="auto"/>
        </w:rPr>
      </w:pPr>
    </w:p>
    <w:p>
      <w:pPr>
        <w:ind w:left="40" w:right="799" w:firstLine="648"/>
        <w:spacing w:after="0" w:line="308" w:lineRule="auto"/>
        <w:rPr>
          <w:sz w:val="20"/>
          <w:szCs w:val="20"/>
          <w:color w:val="auto"/>
        </w:rPr>
      </w:pPr>
      <w:r>
        <w:rPr>
          <w:rFonts w:ascii="Arial" w:cs="Arial" w:eastAsia="Arial" w:hAnsi="Arial"/>
          <w:sz w:val="17"/>
          <w:szCs w:val="17"/>
          <w:color w:val="auto"/>
        </w:rPr>
        <w:t>In January 2020, we entered into an exclusive license agreement with Pfizer Inc. for Pfizer’s clinical and nonclinical data, and intellectual property for reboxetine, the active pharmaceutical ingredient in AXS-12.</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Completed CONCERT Study</w:t>
      </w:r>
    </w:p>
    <w:p>
      <w:pPr>
        <w:spacing w:after="0" w:line="225" w:lineRule="exact"/>
        <w:rPr>
          <w:sz w:val="20"/>
          <w:szCs w:val="20"/>
          <w:color w:val="auto"/>
        </w:rPr>
      </w:pPr>
    </w:p>
    <w:p>
      <w:pPr>
        <w:jc w:val="both"/>
        <w:ind w:left="40" w:right="379" w:firstLine="648"/>
        <w:spacing w:after="0" w:line="311" w:lineRule="auto"/>
        <w:rPr>
          <w:sz w:val="20"/>
          <w:szCs w:val="20"/>
          <w:color w:val="auto"/>
        </w:rPr>
      </w:pPr>
      <w:r>
        <w:rPr>
          <w:rFonts w:ascii="Arial" w:cs="Arial" w:eastAsia="Arial" w:hAnsi="Arial"/>
          <w:sz w:val="16"/>
          <w:szCs w:val="16"/>
          <w:color w:val="auto"/>
        </w:rPr>
        <w:t>CONCERT was a Phase 2, randomized, double-blind, placebo-controlled, crossover, multicenter, U.S. trial in which 21 patients with a diagnosis of narcolepsy with cataplexy were all treated with orally administered AXS-12 for 2 weeks, and with placebo for 2 weeks, with the treatment periods separated by 1 week of down-titration and washout.</w:t>
      </w:r>
    </w:p>
    <w:p>
      <w:pPr>
        <w:spacing w:after="0" w:line="149"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AXS-12 met the prespecified primary endpoint by demonstrating a highly statistically significant reduction from baseline in the mean weekly number of cataplexy attacks, averaged for the 2-week treatment period, the overall treatment effect, as compared to placebo (p&lt;0.001). At Week 2, AXS-12 demonstrated a mean reduction of 14.6 cataplexy attacks per week compared to a reduction of 2.6 attacks per week for placebo (p=0.002), representing mean reductions of 48.8% and</w:t>
      </w:r>
    </w:p>
    <w:p>
      <w:pPr>
        <w:spacing w:after="0" w:line="1" w:lineRule="exact"/>
        <w:rPr>
          <w:sz w:val="20"/>
          <w:szCs w:val="20"/>
          <w:color w:val="auto"/>
        </w:rPr>
      </w:pPr>
    </w:p>
    <w:p>
      <w:pPr>
        <w:ind w:left="40" w:right="139"/>
        <w:spacing w:after="0" w:line="302" w:lineRule="auto"/>
        <w:rPr>
          <w:sz w:val="20"/>
          <w:szCs w:val="20"/>
          <w:color w:val="auto"/>
        </w:rPr>
      </w:pPr>
      <w:r>
        <w:rPr>
          <w:rFonts w:ascii="Arial" w:cs="Arial" w:eastAsia="Arial" w:hAnsi="Arial"/>
          <w:sz w:val="16"/>
          <w:szCs w:val="16"/>
          <w:color w:val="auto"/>
        </w:rPr>
        <w:t>8.6% from baseline, respectively. The proportion of patients achieving a 50% or greater reduction in the weekly number of cataplexy attacks was 76.2% for AXS-12, compared to 30.0% for placebo (p=0.003) at Week 2. The improvement in cataplexy was rapid with AXS-12 demonstrating significant benefit over placebo as early as Week 1 (p&lt;0.001).</w:t>
      </w:r>
    </w:p>
    <w:p>
      <w:pPr>
        <w:spacing w:after="0" w:line="155" w:lineRule="exact"/>
        <w:rPr>
          <w:sz w:val="20"/>
          <w:szCs w:val="20"/>
          <w:color w:val="auto"/>
        </w:rPr>
      </w:pPr>
    </w:p>
    <w:p>
      <w:pPr>
        <w:ind w:left="40" w:right="219" w:firstLine="648"/>
        <w:spacing w:after="0" w:line="293" w:lineRule="auto"/>
        <w:rPr>
          <w:sz w:val="20"/>
          <w:szCs w:val="20"/>
          <w:color w:val="auto"/>
        </w:rPr>
      </w:pPr>
      <w:r>
        <w:rPr>
          <w:rFonts w:ascii="Arial" w:cs="Arial" w:eastAsia="Arial" w:hAnsi="Arial"/>
          <w:sz w:val="16"/>
          <w:szCs w:val="16"/>
          <w:color w:val="auto"/>
        </w:rPr>
        <w:t>AXS-12 significantly improved EDS symptoms compared to placebo, as measured by the Epworth Sleepiness Scale, or ESS, and by the frequency of inadvertent naps. The improvement on the ESS with AXS-12 treatment was twice that observed with placebo, with reductions from baseline in the ESS score of 6.0 and 3.1, respectively for AXS-12 and placebo (p=0.003). AXS-12 treatment resulted in a 31.8% mean reduction from baseline in the average weekly number of inadvertent naps versus a 5.3% mean reduction for placebo (p&lt;0.001) at Week 2. The improvement in frequency of inadvertent naps was rapid with AXS-12 demonstrating significant benefit over placebo as early as Week 1 (p=0.038).</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AXS-12 significantly improved cognitive function compared to placebo over the 2-week treatment period as measured by the Ability to Concentrate item of the Narcolepsy Symptom Assessment Questionnaire (NSAQ), which was assessed daily (p&lt;0.001). For this assessment, patients rated their ability to concentrate on a 5-point scale (1=very good to 5=very poor). At the end of treatment, 42.9% of patients had an ability to concentrate that was “good” to “very good” with AXS-12 treatment, compared to 25.0% of patients with placebo, and 0% of patients at baseline. The improvement in the ability to concentrate was rapid with AXS-12 demonstrating significant improvement over placebo as early as Week 1 (p=0.007).</w:t>
      </w:r>
    </w:p>
    <w:p>
      <w:pPr>
        <w:spacing w:after="0" w:line="195" w:lineRule="exact"/>
        <w:rPr>
          <w:sz w:val="20"/>
          <w:szCs w:val="20"/>
          <w:color w:val="auto"/>
        </w:rPr>
      </w:pPr>
    </w:p>
    <w:p>
      <w:pPr>
        <w:ind w:left="40" w:right="139" w:firstLine="648"/>
        <w:spacing w:after="0" w:line="273" w:lineRule="auto"/>
        <w:rPr>
          <w:sz w:val="20"/>
          <w:szCs w:val="20"/>
          <w:color w:val="auto"/>
        </w:rPr>
      </w:pPr>
      <w:r>
        <w:rPr>
          <w:rFonts w:ascii="Arial" w:cs="Arial" w:eastAsia="Arial" w:hAnsi="Arial"/>
          <w:sz w:val="17"/>
          <w:szCs w:val="17"/>
          <w:color w:val="auto"/>
        </w:rPr>
        <w:t>AXS-12 significantly improved sleep quality, as measured by overall improvement and by number of awakenings at night, and reduced sleep-related symptoms, as compared to placebo. AXS-12 treatment resulted in 45.0% of patients reporting improved sleep quality versus 5.3% of patients with placebo (p=0.007). AXS-12 treatment resulted in 30.0% of patients reporting a reduction in the number of awakenings at night versus 5.3% of patients with placebo (p=0.044). AXS-12 treatment also resulted in greater proportions of patients with reductions in sleep paralysis episodes, and in hypnagogic hallucinations, as compared to placebo (p=ns).</w:t>
      </w:r>
    </w:p>
    <w:p>
      <w:pPr>
        <w:spacing w:after="0" w:line="178" w:lineRule="exact"/>
        <w:rPr>
          <w:sz w:val="20"/>
          <w:szCs w:val="20"/>
          <w:color w:val="auto"/>
        </w:rPr>
      </w:pPr>
    </w:p>
    <w:p>
      <w:pPr>
        <w:ind w:left="40" w:right="179" w:firstLine="648"/>
        <w:spacing w:after="0" w:line="275" w:lineRule="auto"/>
        <w:rPr>
          <w:sz w:val="20"/>
          <w:szCs w:val="20"/>
          <w:color w:val="auto"/>
        </w:rPr>
      </w:pPr>
      <w:r>
        <w:rPr>
          <w:rFonts w:ascii="Arial" w:cs="Arial" w:eastAsia="Arial" w:hAnsi="Arial"/>
          <w:sz w:val="17"/>
          <w:szCs w:val="17"/>
          <w:color w:val="auto"/>
        </w:rPr>
        <w:t>AXS-12 was safe and well tolerated. There were no serious adverse events reported in the trial, and no discontinuations due to adverse events. The overall percentage of patients experiencing adverse events was 42.9% with AXS-12 and 40.0% with placebo, with the most commonly reported adverse events with AXS-12 treatment being anxiety, constipation, and insomnia. The completion rate was 91% for patients randomized to treatment sequence 1 (AXS-12 followed by placebo) and 100% for those randomized to sequence 2 (placebo followed by AXS-12).</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AXS-14</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0" w:right="519" w:firstLine="648"/>
        <w:spacing w:after="0" w:line="263" w:lineRule="auto"/>
        <w:rPr>
          <w:sz w:val="20"/>
          <w:szCs w:val="20"/>
          <w:color w:val="auto"/>
        </w:rPr>
      </w:pPr>
      <w:r>
        <w:rPr>
          <w:rFonts w:ascii="Arial" w:cs="Arial" w:eastAsia="Arial" w:hAnsi="Arial"/>
          <w:sz w:val="18"/>
          <w:szCs w:val="18"/>
          <w:color w:val="auto"/>
        </w:rPr>
        <w:t>AXS-14, esreboxetine, is a highly selective and potent norepinephrine reuptake inhibitor for the treatment of fibromyalgia and other conditions. Esreboxetine, the SS-enantiomer of reboxetine, is more potent and selective than racemic reboxetine.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Fibromyalgia</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Indication Overview</w:t>
      </w:r>
    </w:p>
    <w:p>
      <w:pPr>
        <w:spacing w:after="0" w:line="225" w:lineRule="exact"/>
        <w:rPr>
          <w:sz w:val="20"/>
          <w:szCs w:val="20"/>
          <w:color w:val="auto"/>
        </w:rPr>
      </w:pPr>
    </w:p>
    <w:p>
      <w:pPr>
        <w:ind w:left="40" w:right="99" w:firstLine="648"/>
        <w:spacing w:after="0" w:line="275" w:lineRule="auto"/>
        <w:rPr>
          <w:sz w:val="20"/>
          <w:szCs w:val="20"/>
          <w:color w:val="auto"/>
        </w:rPr>
      </w:pPr>
      <w:r>
        <w:rPr>
          <w:rFonts w:ascii="Arial" w:cs="Arial" w:eastAsia="Arial" w:hAnsi="Arial"/>
          <w:sz w:val="17"/>
          <w:szCs w:val="17"/>
          <w:color w:val="auto"/>
        </w:rPr>
        <w:t>Fibromyalgia is a chronic disorder often characterized by widespread pain, fatigue, disturbed sleep, depression, and cognitive impairment. Other symptoms of this disorder can include tingling in the hands and feet and headaches. Fibromyalgia is considered to be mediated mainly in the central nervous system. Approximately 5 million Americans, 90% of whom are women, are estimated to suffer from fibromyalgia. Treatment options for fibromyalgia are limited with only three pharmacologic treatments currently approved by the FDA.</w:t>
      </w:r>
    </w:p>
    <w:p>
      <w:pPr>
        <w:spacing w:after="0" w:line="176"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i w:val="1"/>
          <w:iCs w:val="1"/>
          <w:color w:val="auto"/>
        </w:rPr>
        <w:t>Rationale for the Development of AXS</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14 in Fibromyalgia</w:t>
      </w:r>
    </w:p>
    <w:p>
      <w:pPr>
        <w:spacing w:after="0" w:line="225" w:lineRule="exact"/>
        <w:rPr>
          <w:sz w:val="20"/>
          <w:szCs w:val="20"/>
          <w:color w:val="auto"/>
        </w:rPr>
      </w:pPr>
    </w:p>
    <w:p>
      <w:pPr>
        <w:ind w:left="40" w:right="519" w:firstLine="648"/>
        <w:spacing w:after="0" w:line="308" w:lineRule="auto"/>
        <w:rPr>
          <w:sz w:val="20"/>
          <w:szCs w:val="20"/>
          <w:color w:val="auto"/>
        </w:rPr>
      </w:pPr>
      <w:r>
        <w:rPr>
          <w:rFonts w:ascii="Arial" w:cs="Arial" w:eastAsia="Arial" w:hAnsi="Arial"/>
          <w:sz w:val="17"/>
          <w:szCs w:val="17"/>
          <w:color w:val="auto"/>
        </w:rPr>
        <w:t>The rationale for the development of AXS-14 in the treatment of fibromyalgia is based on the mechanism of action of esreboxetine in fibromyalgia and is supported by clinical efficacy and safety results.</w:t>
      </w:r>
    </w:p>
    <w:p>
      <w:pPr>
        <w:spacing w:after="0" w:line="146"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i w:val="1"/>
          <w:iCs w:val="1"/>
          <w:color w:val="auto"/>
        </w:rPr>
        <w:t xml:space="preserve">Mechanistic rationale. </w:t>
      </w:r>
      <w:r>
        <w:rPr>
          <w:rFonts w:ascii="Arial" w:cs="Arial" w:eastAsia="Arial" w:hAnsi="Arial"/>
          <w:sz w:val="18"/>
          <w:szCs w:val="18"/>
          <w:color w:val="auto"/>
        </w:rPr>
        <w:t>Esreboxetine is the S,S-enantiomer of racemic reboxetine, the S,S- enantiomer is more</w:t>
      </w:r>
      <w:r>
        <w:rPr>
          <w:rFonts w:ascii="Arial" w:cs="Arial" w:eastAsia="Arial" w:hAnsi="Arial"/>
          <w:sz w:val="18"/>
          <w:szCs w:val="18"/>
          <w:i w:val="1"/>
          <w:iCs w:val="1"/>
          <w:color w:val="auto"/>
        </w:rPr>
        <w:t xml:space="preserve"> </w:t>
      </w:r>
      <w:r>
        <w:rPr>
          <w:rFonts w:ascii="Arial" w:cs="Arial" w:eastAsia="Arial" w:hAnsi="Arial"/>
          <w:sz w:val="18"/>
          <w:szCs w:val="18"/>
          <w:color w:val="auto"/>
        </w:rPr>
        <w:t>potent and selective than racemic reboxetine. In the spinal cord, inhibition of norepinephrine reuptake enhances descending norepinephrine transmission to the spinal cord, which produces analgesic effects. Thus, selective norepinephrine reuptake inhibition by esreboxetine is expected to provide effective pain relief for the treatment of chronic pain. Current pharmacological treatments for fibromyalgia have mechanisms which include norepinephrine reuptake inhibition, such as duloxetine (Cymbalta) and milnacipran (Savella).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Clinical Development of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14</w:t>
      </w:r>
    </w:p>
    <w:p>
      <w:pPr>
        <w:spacing w:after="0" w:line="225"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In January 2020, Axsome received from Pfizer an exclusive license to develop and commercialize esreboxetine in the U.S. for fibromyalgia and all other indications. The license encompasses nonclinical and clinical data for esreboxetine including results from a positive Phase 3 and a positive Phase 2 trial of esreboxetine in the treatment of fibromyalgia conducted by Pfizer.</w:t>
      </w:r>
    </w:p>
    <w:p>
      <w:pPr>
        <w:spacing w:after="0" w:line="187" w:lineRule="exact"/>
        <w:rPr>
          <w:sz w:val="20"/>
          <w:szCs w:val="20"/>
          <w:color w:val="auto"/>
        </w:rPr>
      </w:pPr>
    </w:p>
    <w:p>
      <w:pPr>
        <w:ind w:left="40" w:right="119" w:firstLine="648"/>
        <w:spacing w:after="0" w:line="291" w:lineRule="auto"/>
        <w:rPr>
          <w:sz w:val="20"/>
          <w:szCs w:val="20"/>
          <w:color w:val="auto"/>
        </w:rPr>
      </w:pPr>
      <w:r>
        <w:rPr>
          <w:rFonts w:ascii="Arial" w:cs="Arial" w:eastAsia="Arial" w:hAnsi="Arial"/>
          <w:sz w:val="16"/>
          <w:szCs w:val="16"/>
          <w:color w:val="auto"/>
        </w:rPr>
        <w:t>In a Phase 3 trial conducted by Pfizer in 1,122 patients with fibromyalgia treated with esreboxetine or placebo for 14 weeks, the study met the two primary endpoints demonstrating statistically significant improvements compared to placebo in the weekly mean pain score (p&lt;0.001, p&lt;0.001, and p=0.025, for 4 mg, 8 mg and 10 mg daily doses, respectively), and the Fibromyalgia Impact Questionnaire, or FIQ, total score (p&lt;0.001, p&lt;0.001, and p=0.023, for 4 mg, 8 mg and 10 mg doses, respectively). Esreboxetine also resulted in statistically significant improvements as compared to placebo on the PGI-C scale (p=0.002, p=0.001, and p=0.007, for 4 mg, 8 mg and 10 mg doses, respectively), and in fatigue as measured using the Global Fatigue Index (p=0.001 and p=0.001, for 4 mg and 8 mg daily doses, respectively).</w:t>
      </w:r>
    </w:p>
    <w:p>
      <w:pPr>
        <w:spacing w:after="0" w:line="166" w:lineRule="exact"/>
        <w:rPr>
          <w:sz w:val="20"/>
          <w:szCs w:val="20"/>
          <w:color w:val="auto"/>
        </w:rPr>
      </w:pPr>
    </w:p>
    <w:p>
      <w:pPr>
        <w:ind w:left="40" w:right="199" w:firstLine="648"/>
        <w:spacing w:after="0" w:line="296" w:lineRule="auto"/>
        <w:rPr>
          <w:sz w:val="20"/>
          <w:szCs w:val="20"/>
          <w:color w:val="auto"/>
        </w:rPr>
      </w:pPr>
      <w:r>
        <w:rPr>
          <w:rFonts w:ascii="Arial" w:cs="Arial" w:eastAsia="Arial" w:hAnsi="Arial"/>
          <w:sz w:val="16"/>
          <w:szCs w:val="16"/>
          <w:color w:val="auto"/>
        </w:rPr>
        <w:t>In a Phase 2 trial conducted by Pfizer in 267 patients with fibromyalgia treated with esreboxetine (dose escalated to 8 mg/day) or placebo for 8 weeks, esreboxetine met its primary endpoint demonstrating statistically significant improvements compared to placebo in the weekly mean pain score (p=0.006). The study also demonstrated statistically significant improvements in additional efficacy outcomes including the FIQ total score (p&lt;0.001), the PGIC scale (p&lt;0.001), and fatigue as measured using the Multidimensional Assessment of Fatigue scale (p&lt;0.001).</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Axsome PPC Product Candidates</w:t>
      </w:r>
    </w:p>
    <w:p>
      <w:pPr>
        <w:spacing w:after="0" w:line="229" w:lineRule="exact"/>
        <w:rPr>
          <w:sz w:val="20"/>
          <w:szCs w:val="20"/>
          <w:color w:val="auto"/>
        </w:rPr>
      </w:pPr>
    </w:p>
    <w:p>
      <w:pPr>
        <w:ind w:left="40" w:right="79" w:firstLine="648"/>
        <w:spacing w:after="0" w:line="220" w:lineRule="exact"/>
        <w:rPr>
          <w:sz w:val="20"/>
          <w:szCs w:val="20"/>
          <w:color w:val="auto"/>
        </w:rPr>
      </w:pPr>
      <w:r>
        <w:rPr>
          <w:rFonts w:ascii="Arial" w:cs="Arial" w:eastAsia="Arial" w:hAnsi="Arial"/>
          <w:sz w:val="18"/>
          <w:szCs w:val="18"/>
          <w:color w:val="auto"/>
        </w:rPr>
        <w:t>Axsome PPC houses our pain and primary care assets, including AXS-02 and AXS-06, which we are not currently developing. AXS</w:t>
      </w:r>
      <w:r>
        <w:rPr>
          <w:rFonts w:ascii="MS PGothic" w:cs="MS PGothic" w:eastAsia="MS PGothic" w:hAnsi="MS PGothic"/>
          <w:sz w:val="18"/>
          <w:szCs w:val="18"/>
          <w:color w:val="auto"/>
        </w:rPr>
        <w:t>‑</w:t>
      </w:r>
      <w:r>
        <w:rPr>
          <w:rFonts w:ascii="Arial" w:cs="Arial" w:eastAsia="Arial" w:hAnsi="Arial"/>
          <w:sz w:val="18"/>
          <w:szCs w:val="18"/>
          <w:color w:val="auto"/>
        </w:rPr>
        <w:t>02 (zoledronic acid) is a novel, targeted investigational pain therapeutic. It is an orally administered, non</w:t>
      </w:r>
      <w:r>
        <w:rPr>
          <w:rFonts w:ascii="MS PGothic" w:cs="MS PGothic" w:eastAsia="MS PGothic" w:hAnsi="MS PGothic"/>
          <w:sz w:val="18"/>
          <w:szCs w:val="18"/>
          <w:color w:val="auto"/>
        </w:rPr>
        <w:t>‑</w:t>
      </w:r>
      <w:r>
        <w:rPr>
          <w:rFonts w:ascii="Arial" w:cs="Arial" w:eastAsia="Arial" w:hAnsi="Arial"/>
          <w:sz w:val="18"/>
          <w:szCs w:val="18"/>
          <w:color w:val="auto"/>
        </w:rPr>
        <w:t>opioid agent with a new mechanism of action for the treatment of pain. AXS</w:t>
      </w:r>
      <w:r>
        <w:rPr>
          <w:rFonts w:ascii="MS PGothic" w:cs="MS PGothic" w:eastAsia="MS PGothic" w:hAnsi="MS PGothic"/>
          <w:sz w:val="18"/>
          <w:szCs w:val="18"/>
          <w:color w:val="auto"/>
        </w:rPr>
        <w:t>‑</w:t>
      </w:r>
      <w:r>
        <w:rPr>
          <w:rFonts w:ascii="Arial" w:cs="Arial" w:eastAsia="Arial" w:hAnsi="Arial"/>
          <w:sz w:val="18"/>
          <w:szCs w:val="18"/>
          <w:color w:val="auto"/>
        </w:rPr>
        <w:t>06 is a novel, oral, investigational medicine consisting of MoSEIC™ meloxicam and esomeprazole.</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Commercial Agreements</w:t>
      </w:r>
    </w:p>
    <w:p>
      <w:pPr>
        <w:spacing w:after="0" w:line="229" w:lineRule="exact"/>
        <w:rPr>
          <w:sz w:val="20"/>
          <w:szCs w:val="20"/>
          <w:color w:val="auto"/>
        </w:rPr>
      </w:pPr>
    </w:p>
    <w:p>
      <w:pPr>
        <w:ind w:left="40" w:right="99" w:firstLine="648"/>
        <w:spacing w:after="0" w:line="221" w:lineRule="exact"/>
        <w:rPr>
          <w:sz w:val="20"/>
          <w:szCs w:val="20"/>
          <w:color w:val="auto"/>
        </w:rPr>
      </w:pPr>
      <w:r>
        <w:rPr>
          <w:rFonts w:ascii="Arial" w:cs="Arial" w:eastAsia="Arial" w:hAnsi="Arial"/>
          <w:sz w:val="16"/>
          <w:szCs w:val="16"/>
          <w:color w:val="auto"/>
        </w:rPr>
        <w:t>We have customary clinical supply agreements and customary agreements with clinical research organizations to help manage our clinical trials. Each of our commercial agreements are non</w:t>
      </w:r>
      <w:r>
        <w:rPr>
          <w:rFonts w:ascii="MS PGothic" w:cs="MS PGothic" w:eastAsia="MS PGothic" w:hAnsi="MS PGothic"/>
          <w:sz w:val="16"/>
          <w:szCs w:val="16"/>
          <w:color w:val="auto"/>
        </w:rPr>
        <w:t>‑</w:t>
      </w:r>
      <w:r>
        <w:rPr>
          <w:rFonts w:ascii="Arial" w:cs="Arial" w:eastAsia="Arial" w:hAnsi="Arial"/>
          <w:sz w:val="16"/>
          <w:szCs w:val="16"/>
          <w:color w:val="auto"/>
        </w:rPr>
        <w:t>exclusive, and we have no material contractual obligations under such agreements, except to the extent we order supply or request services to be performed.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License Agreements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Exclusive License Agreements with Antecip</w:t>
      </w:r>
    </w:p>
    <w:p>
      <w:pPr>
        <w:spacing w:after="0" w:line="225"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05 and AXS</w:t>
      </w:r>
      <w:r>
        <w:rPr>
          <w:rFonts w:ascii="MS PGothic" w:cs="MS PGothic" w:eastAsia="MS PGothic" w:hAnsi="MS PGothic"/>
          <w:sz w:val="16"/>
          <w:szCs w:val="16"/>
          <w:color w:val="auto"/>
        </w:rPr>
        <w:t>‑</w:t>
      </w:r>
      <w:r>
        <w:rPr>
          <w:rFonts w:ascii="Arial" w:cs="Arial" w:eastAsia="Arial" w:hAnsi="Arial"/>
          <w:sz w:val="16"/>
          <w:szCs w:val="16"/>
          <w:color w:val="auto"/>
        </w:rPr>
        <w:t>02,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 stage development, anywhere in the world for veterinary and human therapeutic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w:t>
      </w:r>
      <w:r>
        <w:rPr>
          <w:rFonts w:ascii="MS PGothic" w:cs="MS PGothic" w:eastAsia="MS PGothic" w:hAnsi="MS PGothic"/>
          <w:sz w:val="16"/>
          <w:szCs w:val="16"/>
          <w:color w:val="auto"/>
        </w:rPr>
        <w:t>‑</w:t>
      </w:r>
      <w:r>
        <w:rPr>
          <w:rFonts w:ascii="Arial" w:cs="Arial" w:eastAsia="Arial" w:hAnsi="Arial"/>
          <w:sz w:val="16"/>
          <w:szCs w:val="16"/>
          <w:color w:val="auto"/>
        </w:rPr>
        <w:t>05,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we are required to pay to 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 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Exclusive License Agreement with Pfizer</w:t>
      </w:r>
    </w:p>
    <w:p>
      <w:pPr>
        <w:spacing w:after="0" w:line="225"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 million, based on the average closing price of our common stock for the 10 prior trading days of $97.538, in consideration for the license and rights. Pfizer also received an upfront cash payment of $3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seeking and maintaining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40" w:right="99" w:firstLine="648"/>
        <w:spacing w:after="0" w:line="219" w:lineRule="exact"/>
        <w:rPr>
          <w:sz w:val="20"/>
          <w:szCs w:val="20"/>
          <w:color w:val="auto"/>
        </w:rPr>
      </w:pPr>
      <w:r>
        <w:rPr>
          <w:rFonts w:ascii="Arial" w:cs="Arial" w:eastAsia="Arial" w:hAnsi="Arial"/>
          <w:sz w:val="17"/>
          <w:szCs w:val="17"/>
          <w:color w:val="auto"/>
        </w:rPr>
        <w:t>We seek to protect our product candidates and our technology through a combination of patents, trade secrets, proprietary know</w:t>
      </w:r>
      <w:r>
        <w:rPr>
          <w:rFonts w:ascii="MS PGothic" w:cs="MS PGothic" w:eastAsia="MS PGothic" w:hAnsi="MS PGothic"/>
          <w:sz w:val="17"/>
          <w:szCs w:val="17"/>
          <w:color w:val="auto"/>
        </w:rPr>
        <w:t>‑</w:t>
      </w:r>
      <w:r>
        <w:rPr>
          <w:rFonts w:ascii="Arial" w:cs="Arial" w:eastAsia="Arial" w:hAnsi="Arial"/>
          <w:sz w:val="17"/>
          <w:szCs w:val="17"/>
          <w:color w:val="auto"/>
        </w:rPr>
        <w:t>how, FDA and EMA exclusivity, and contractual restrictions on disclosure. Our policy is to pursue, maintain, and defend patent rights whether developed internally or licensed from third parties and to protect the proprietary position of our product candidates by, among other methods, filing U.S. and foreign patent applications related to our proprietary technology, inventions, and improvements that are important to the development of our business. U.S. patents generally have a term of 20 years from the earliest effective date of the application.</w:t>
      </w:r>
    </w:p>
    <w:p>
      <w:pPr>
        <w:spacing w:after="0" w:line="202"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As of March 6, 2020, our intellectual property portfolio contains 192 issued patents and more than 165 pending applications in the United States and worldwide. Thirty-one issued United States patents and three issued foreign patents covering our AXS</w:t>
      </w:r>
      <w:r>
        <w:rPr>
          <w:rFonts w:ascii="MS PGothic" w:cs="MS PGothic" w:eastAsia="MS PGothic" w:hAnsi="MS PGothic"/>
          <w:sz w:val="16"/>
          <w:szCs w:val="16"/>
          <w:color w:val="auto"/>
        </w:rPr>
        <w:t>‑</w:t>
      </w:r>
      <w:r>
        <w:rPr>
          <w:rFonts w:ascii="Arial" w:cs="Arial" w:eastAsia="Arial" w:hAnsi="Arial"/>
          <w:sz w:val="16"/>
          <w:szCs w:val="16"/>
          <w:color w:val="auto"/>
        </w:rPr>
        <w:t>05 product candidate have claims covering pharmaceutical composition, drug delivery, and pharmacokinetics with protection extending through 2034 for our issued and pending applications. Ninety-nine issued United States patents and 51 issued foreign patents covering our AXS</w:t>
      </w:r>
      <w:r>
        <w:rPr>
          <w:rFonts w:ascii="MS PGothic" w:cs="MS PGothic" w:eastAsia="MS PGothic" w:hAnsi="MS PGothic"/>
          <w:sz w:val="16"/>
          <w:szCs w:val="16"/>
          <w:color w:val="auto"/>
        </w:rPr>
        <w:t>‑</w:t>
      </w:r>
      <w:r>
        <w:rPr>
          <w:rFonts w:ascii="Arial" w:cs="Arial" w:eastAsia="Arial" w:hAnsi="Arial"/>
          <w:sz w:val="16"/>
          <w:szCs w:val="16"/>
          <w:color w:val="auto"/>
        </w:rPr>
        <w:t>02 product candidate, and related compounds, have claims covering various aspects, including method of delivery, pharmacokinetics, composition of matter, and methods of use with protection extending through 2034 for both our issued patents and pending applications. Six issued United States patents and two issued foreign patents covering our AXS</w:t>
      </w:r>
      <w:r>
        <w:rPr>
          <w:rFonts w:ascii="MS PGothic" w:cs="MS PGothic" w:eastAsia="MS PGothic" w:hAnsi="MS PGothic"/>
          <w:sz w:val="16"/>
          <w:szCs w:val="16"/>
          <w:color w:val="auto"/>
        </w:rPr>
        <w:t>‑</w:t>
      </w:r>
      <w:r>
        <w:rPr>
          <w:rFonts w:ascii="Arial" w:cs="Arial" w:eastAsia="Arial" w:hAnsi="Arial"/>
          <w:sz w:val="16"/>
          <w:szCs w:val="16"/>
          <w:color w:val="auto"/>
        </w:rPr>
        <w:t>07 and AXS-06 product candidates, and related compounds, have claims covering various aspects, including pharmacokinetics, pharmaceutical composition, method of delivery and methods of use with protection extending through 2036 for both our issued patents and pending applications. We have pending PCT applications, as well as pending applications in Australia, Canada, China, Europe, Hong Kong, Israel, Japan, Malaysia, Mexico, Singapore, South Korea, and New Zealand. We have other patent applications with claims covering the other programs in our pipeline, including those that are not relevant to our current programs in development. We have licensed the patents and pending applications which cover AXS</w:t>
      </w:r>
      <w:r>
        <w:rPr>
          <w:rFonts w:ascii="MS PGothic" w:cs="MS PGothic" w:eastAsia="MS PGothic" w:hAnsi="MS PGothic"/>
          <w:sz w:val="16"/>
          <w:szCs w:val="16"/>
          <w:color w:val="auto"/>
        </w:rPr>
        <w:t>‑</w:t>
      </w:r>
      <w:r>
        <w:rPr>
          <w:rFonts w:ascii="Arial" w:cs="Arial" w:eastAsia="Arial" w:hAnsi="Arial"/>
          <w:sz w:val="16"/>
          <w:szCs w:val="16"/>
          <w:color w:val="auto"/>
        </w:rPr>
        <w:t>02, AXS</w:t>
      </w:r>
      <w:r>
        <w:rPr>
          <w:rFonts w:ascii="MS PGothic" w:cs="MS PGothic" w:eastAsia="MS PGothic" w:hAnsi="MS PGothic"/>
          <w:sz w:val="16"/>
          <w:szCs w:val="16"/>
          <w:color w:val="auto"/>
        </w:rPr>
        <w:t>‑</w:t>
      </w:r>
      <w:r>
        <w:rPr>
          <w:rFonts w:ascii="Arial" w:cs="Arial" w:eastAsia="Arial" w:hAnsi="Arial"/>
          <w:sz w:val="16"/>
          <w:szCs w:val="16"/>
          <w:color w:val="auto"/>
        </w:rPr>
        <w:t>04, and AXS</w:t>
      </w:r>
      <w:r>
        <w:rPr>
          <w:rFonts w:ascii="MS PGothic" w:cs="MS PGothic" w:eastAsia="MS PGothic" w:hAnsi="MS PGothic"/>
          <w:sz w:val="16"/>
          <w:szCs w:val="16"/>
          <w:color w:val="auto"/>
        </w:rPr>
        <w:t>‑</w:t>
      </w:r>
      <w:r>
        <w:rPr>
          <w:rFonts w:ascii="Arial" w:cs="Arial" w:eastAsia="Arial" w:hAnsi="Arial"/>
          <w:sz w:val="16"/>
          <w:szCs w:val="16"/>
          <w:color w:val="auto"/>
        </w:rPr>
        <w:t>05 from Antecip. All of the other components of our intellectual property portfolio are owned by us.</w:t>
      </w:r>
    </w:p>
    <w:p>
      <w:pPr>
        <w:spacing w:after="0" w:line="202"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6"/>
          <w:szCs w:val="16"/>
          <w:color w:val="auto"/>
        </w:rPr>
        <w:t>Many pharmaceutical companies, biotechnology companies, and academic institutions are competing with us in the field of pain and CNS disorders and filing patent applications potentially relevant to our business. In order to contend with the inevitable possibility of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conflicts, from time to time we review and assess the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landscape for competitive and other developments that may inform or impact our intellectual property development and commercialization strategies. With respect to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it is impossible to establish with certainty that our product candidates or discovery platform will be free of claims by third</w:t>
      </w:r>
      <w:r>
        <w:rPr>
          <w:rFonts w:ascii="MS PGothic" w:cs="MS PGothic" w:eastAsia="MS PGothic" w:hAnsi="MS PGothic"/>
          <w:sz w:val="16"/>
          <w:szCs w:val="16"/>
          <w:color w:val="auto"/>
        </w:rPr>
        <w:t>‑</w:t>
      </w:r>
      <w:r>
        <w:rPr>
          <w:rFonts w:ascii="Arial" w:cs="Arial" w:eastAsia="Arial" w:hAnsi="Arial"/>
          <w:sz w:val="16"/>
          <w:szCs w:val="16"/>
          <w:color w:val="auto"/>
        </w:rPr>
        <w:t>party intellectual property holders or whether we will require licenses from such third parties. Even with modern databases and on</w:t>
      </w:r>
      <w:r>
        <w:rPr>
          <w:rFonts w:ascii="MS PGothic" w:cs="MS PGothic" w:eastAsia="MS PGothic" w:hAnsi="MS PGothic"/>
          <w:sz w:val="16"/>
          <w:szCs w:val="16"/>
          <w:color w:val="auto"/>
        </w:rPr>
        <w:t>‑</w:t>
      </w:r>
      <w:r>
        <w:rPr>
          <w:rFonts w:ascii="Arial" w:cs="Arial" w:eastAsia="Arial" w:hAnsi="Arial"/>
          <w:sz w:val="16"/>
          <w:szCs w:val="16"/>
          <w:color w:val="auto"/>
        </w:rPr>
        <w:t>line search engines, literature searches are imperfect and may fail to identify relevant patents and published applications. Even when a third</w:t>
      </w:r>
      <w:r>
        <w:rPr>
          <w:rFonts w:ascii="MS PGothic" w:cs="MS PGothic" w:eastAsia="MS PGothic" w:hAnsi="MS PGothic"/>
          <w:sz w:val="16"/>
          <w:szCs w:val="16"/>
          <w:color w:val="auto"/>
        </w:rPr>
        <w:t>‑</w:t>
      </w:r>
      <w:r>
        <w:rPr>
          <w:rFonts w:ascii="Arial" w:cs="Arial" w:eastAsia="Arial" w:hAnsi="Arial"/>
          <w:sz w:val="16"/>
          <w:szCs w:val="16"/>
          <w:color w:val="auto"/>
        </w:rPr>
        <w:t>party patent is identified, we may conclude, upon a thorough analysis, that we do not infringe the patent or that the patent is invalid. If the third</w:t>
      </w:r>
      <w:r>
        <w:rPr>
          <w:rFonts w:ascii="MS PGothic" w:cs="MS PGothic" w:eastAsia="MS PGothic" w:hAnsi="MS PGothic"/>
          <w:sz w:val="16"/>
          <w:szCs w:val="16"/>
          <w:color w:val="auto"/>
        </w:rPr>
        <w:t>‑</w:t>
      </w:r>
      <w:r>
        <w:rPr>
          <w:rFonts w:ascii="Arial" w:cs="Arial" w:eastAsia="Arial" w:hAnsi="Arial"/>
          <w:sz w:val="16"/>
          <w:szCs w:val="16"/>
          <w:color w:val="auto"/>
        </w:rPr>
        <w:t>party patent owner disagrees with our conclusion and we continue with the business activity in question, we might have patent litigation forced upon us. Alternatively, we might decide to initiate litigation in an attempt to have a court declare the third</w:t>
      </w:r>
      <w:r>
        <w:rPr>
          <w:rFonts w:ascii="MS PGothic" w:cs="MS PGothic" w:eastAsia="MS PGothic" w:hAnsi="MS PGothic"/>
          <w:sz w:val="16"/>
          <w:szCs w:val="16"/>
          <w:color w:val="auto"/>
        </w:rPr>
        <w:t>‑</w:t>
      </w:r>
      <w:r>
        <w:rPr>
          <w:rFonts w:ascii="Arial" w:cs="Arial" w:eastAsia="Arial" w:hAnsi="Arial"/>
          <w:sz w:val="16"/>
          <w:szCs w:val="16"/>
          <w:color w:val="auto"/>
        </w:rPr>
        <w:t>party patent invalid or not infringed by our activity. In either scenario, patent litigation typically is costly and time 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discovery platform as a result of patent infringement claims asserted against us. This could have a material adverse effect on our business. In addition to patents, we rely upon unpatented trade secrets, know</w:t>
      </w:r>
      <w:r>
        <w:rPr>
          <w:rFonts w:ascii="MS PGothic" w:cs="MS PGothic" w:eastAsia="MS PGothic" w:hAnsi="MS PGothic"/>
          <w:sz w:val="16"/>
          <w:szCs w:val="16"/>
          <w:color w:val="auto"/>
        </w:rPr>
        <w:t>‑</w:t>
      </w:r>
      <w:r>
        <w:rPr>
          <w:rFonts w:ascii="Arial" w:cs="Arial" w:eastAsia="Arial" w:hAnsi="Arial"/>
          <w:sz w:val="16"/>
          <w:szCs w:val="16"/>
          <w:color w:val="auto"/>
        </w:rPr>
        <w:t>how, and continuing technological innovation to develop and maintain a competitive position. We seek to protect our proprietary information, including our trade secrets and proprietary know</w:t>
      </w:r>
      <w:r>
        <w:rPr>
          <w:rFonts w:ascii="MS PGothic" w:cs="MS PGothic" w:eastAsia="MS PGothic" w:hAnsi="MS PGothic"/>
          <w:sz w:val="16"/>
          <w:szCs w:val="16"/>
          <w:color w:val="auto"/>
        </w:rPr>
        <w:t>‑</w:t>
      </w:r>
      <w:r>
        <w:rPr>
          <w:rFonts w:ascii="Arial" w:cs="Arial" w:eastAsia="Arial" w:hAnsi="Arial"/>
          <w:sz w:val="16"/>
          <w:szCs w:val="16"/>
          <w:color w:val="auto"/>
        </w:rPr>
        <w:t>how, by requiring our employees to execute Proprietary Information, Inventions, Non</w:t>
      </w:r>
      <w:r>
        <w:rPr>
          <w:rFonts w:ascii="MS PGothic" w:cs="MS PGothic" w:eastAsia="MS PGothic" w:hAnsi="MS PGothic"/>
          <w:sz w:val="16"/>
          <w:szCs w:val="16"/>
          <w:color w:val="auto"/>
        </w:rPr>
        <w:t>‑</w:t>
      </w:r>
      <w:r>
        <w:rPr>
          <w:rFonts w:ascii="Arial" w:cs="Arial" w:eastAsia="Arial" w:hAnsi="Arial"/>
          <w:sz w:val="16"/>
          <w:szCs w:val="16"/>
          <w:color w:val="auto"/>
        </w:rPr>
        <w:t>Solicitation, and Non</w:t>
      </w:r>
      <w:r>
        <w:rPr>
          <w:rFonts w:ascii="MS PGothic" w:cs="MS PGothic" w:eastAsia="MS PGothic" w:hAnsi="MS PGothic"/>
          <w:sz w:val="16"/>
          <w:szCs w:val="16"/>
          <w:color w:val="auto"/>
        </w:rPr>
        <w:t>‑</w:t>
      </w:r>
      <w:r>
        <w:rPr>
          <w:rFonts w:ascii="Arial" w:cs="Arial" w:eastAsia="Arial" w:hAnsi="Arial"/>
          <w:sz w:val="16"/>
          <w:szCs w:val="16"/>
          <w:color w:val="auto"/>
        </w:rPr>
        <w:t>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Further, we require confidentiality agreements from entities that receive our confidential data or materials.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We intend to build a commercial infrastructure in the United States in advance of anticipated drug approval of our product candidates. We believe that we can cost effectively implement a targeted sales force required to commercialize our products, if approved, in the United States. Support for this team will include sales management, internal sales support, distribution support, and an internal marketing group. Additional requisite capabilities will include Value and Access inclusive of focused management of key accounts such as managed care organizations, group purchasing organizations, and government accounts. We may seek co promotion partners for our sales efforts to achieve broader reach or call frequency with other United States target physicians. We believe that there are significant market opportunities for our products outside of the United States. As a result, we plan to seek strategic partnerships with third parties, which may have greater reach and resources by virtue of their size and experience in the field, for the development and commercialization of our products outside the United States. We may elect in the future to utilize strategic partners, distributors, or contract sales forces to assist in the commercialization of our products. In order to implement this infrastructure, we will have to allocate management resources and make significant financial investments including some prior to product approval.</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Scientific Advisors</w:t>
      </w:r>
    </w:p>
    <w:p>
      <w:pPr>
        <w:spacing w:after="0" w:line="229" w:lineRule="exact"/>
        <w:rPr>
          <w:sz w:val="20"/>
          <w:szCs w:val="20"/>
          <w:color w:val="auto"/>
        </w:rPr>
      </w:pPr>
    </w:p>
    <w:p>
      <w:pPr>
        <w:ind w:left="40" w:right="99" w:firstLine="648"/>
        <w:spacing w:after="0" w:line="289" w:lineRule="auto"/>
        <w:rPr>
          <w:sz w:val="20"/>
          <w:szCs w:val="20"/>
          <w:color w:val="auto"/>
        </w:rPr>
      </w:pPr>
      <w:r>
        <w:rPr>
          <w:rFonts w:ascii="Arial" w:cs="Arial" w:eastAsia="Arial" w:hAnsi="Arial"/>
          <w:sz w:val="16"/>
          <w:szCs w:val="16"/>
          <w:color w:val="auto"/>
        </w:rPr>
        <w:t>In March 2015, we formed a Depression Scientific Advisory Board, or SAB, composed of leading experts in the areas of depression, FDA regulations, and clinical trial design. These experts provide key scientific, clinical, and strategic guidance concerning our development programs in depression and other CNS disorders. The following members were appointed to our Depression SAB: Maurizio Fava, M.D., Director of the Clinical Research Program and Executive Vice Chair of the Department of Psychiatry at Massachusetts General Hospital, and Slater Family Professor of Psychiatry at Harvard Medical School; Thomas Laughren, M.D., retired Division Director of the FDA’s Division of Psychiatry Products; and Dan Iosifescu, M.D., Associate Professor, Department of Psychiatry at NYU Langone Medical Center, and Consultant in Psychiatry at Massachusetts General Hospital. We also benefit from the guidance of our other scientific advisors in the areas of AD, smoking cessation, migraine, knee OA, CLBP, and clinical trial design.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Our industry is highly competitive and subject to rapid and significant technological change. The large size and expanding scope of the pain and CNS markets make them attractive therapeutic areas for biopharmaceutical businesses. Our potential competitors include pharmaceutical, biotechnology, and specialty pharmaceutical companies. While we believe that our employees and consultants, scientific knowledge, technology, and development experience provide us with competitive advantages, we face potential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 stage companies may also prove to be significant competitors, particularly through collaborative arrangements with large and established companies. The key competitive factors affecting the success of all of our product candidates, if approved, are likely to be their efficacy, safety, convenience, price, the level of branded and generic competition, and the availability of reimbursement from government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CNS Product Candidates</w:t>
      </w:r>
    </w:p>
    <w:p>
      <w:pPr>
        <w:spacing w:after="0" w:line="229"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05 Competition</w:t>
      </w:r>
    </w:p>
    <w:p>
      <w:pPr>
        <w:spacing w:after="0" w:line="225"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Patients with MDD are typically treated with a variety of anti-depressant medications such as SSRIs and SNRIs. Some of these treatments include: Prozac, which is marketed by Eli Lilly and Company; Zoloft, which is marketed by Pfizer, Inc.; Effexor, which is marketed by Pfizer, Inc. and Wellbutrin, which is marketed by GlaxoSmithKline. There are two medications approved for the treatment of TRD, Symbyax, which is marketed by Eli Lilly and Company, and Spravato, which is marketed by Janssen Pharmaceuticals, Inc. We are aware of several companies developing compounds for the treatment of depression including Relmada Therapeutics, Inc., Sage Therapeutics, Inc. and Minerva Neurosciences. We are aware of other companies working to develop therapeutics for the treatment of agitation associated with AD, including Otsuka Pharmaceutical Co. Ltd., which is working to develop a combination of deuterated dextromethorphan and quinidine for this indication. Products approved for smoking cessation include Chantix, which is marketed by Pfizer, Inc.; Zyban, which is marketed by GlaxoSmithKline; and various nicotine replacement therapies including skin patches, chewing gums, and lozenges.</w:t>
      </w:r>
    </w:p>
    <w:p>
      <w:pPr>
        <w:spacing w:after="0" w:line="209"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07 Competition</w:t>
      </w:r>
    </w:p>
    <w:p>
      <w:pPr>
        <w:spacing w:after="0" w:line="225"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There are a number of products approved for the acute treatment of migraine including Maxalt, which is marketed by Merck &amp; Co., Inc., Treximet, which is marketed by Pernix Therapeutics Holdings, Inc., Reyvow, which is marketed by Eli Lilly and Company Nurtec, which is marketed by Biohaven Pharmaceuticals, and Ubrelvy, which is marketed by Allergan plc.</w:t>
      </w:r>
    </w:p>
    <w:p>
      <w:pPr>
        <w:spacing w:after="0" w:line="187"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12 Competition</w:t>
      </w:r>
    </w:p>
    <w:p>
      <w:pPr>
        <w:spacing w:after="0" w:line="225"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Products approved to treat the symptoms of narcolepsy include Ritalin, which is marketed by Novartis Pharmaceuticals; Provigil and Nuvigil, which are both marketed by Teva Pharmaceutical Industries Ltd, Xyrem and Sunosi, which are both marketed by Jazz Pharmaceuticals plc; and Wakix which is marketed by Harmony Biosciences LLC. We are aware of several companies developing compounds for the treatment of the symptoms of narcolepsy including Avadel Pharmaceuticals plc; and Jazz Pharmaceuticals plc.</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AXS-14 Competition</w:t>
      </w:r>
    </w:p>
    <w:p>
      <w:pPr>
        <w:spacing w:after="0" w:line="225" w:lineRule="exact"/>
        <w:rPr>
          <w:sz w:val="20"/>
          <w:szCs w:val="20"/>
          <w:color w:val="auto"/>
        </w:rPr>
      </w:pPr>
    </w:p>
    <w:p>
      <w:pPr>
        <w:ind w:left="40" w:right="79" w:firstLine="648"/>
        <w:spacing w:after="0" w:line="279" w:lineRule="auto"/>
        <w:rPr>
          <w:sz w:val="20"/>
          <w:szCs w:val="20"/>
          <w:color w:val="auto"/>
        </w:rPr>
      </w:pPr>
      <w:r>
        <w:rPr>
          <w:rFonts w:ascii="Arial" w:cs="Arial" w:eastAsia="Arial" w:hAnsi="Arial"/>
          <w:sz w:val="17"/>
          <w:szCs w:val="17"/>
          <w:color w:val="auto"/>
        </w:rPr>
        <w:t>Products approved to treat fibromyalgia include Cymbalta, which is marketed by Eli Lilly and Company; Lyrica, which is marketed by Pfizer, Inc.; and Savella, which is marketed by Allergan plc. We are aware of other companies working to develop therapeutics for the treatment of fibromyalgia including Astellas Pharma, Inc.; Aptinyx Inc.; Innovative Med Concepts, Inc.; Teva Pharmaceutical Industries Ltd; and Tonix Pharmaceutical Holding Corp.</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Manufacturing of the drug substance and drug product for our drugs and product candidates are done by third-parties and must comply with FDA current good manufacturing practice, or cGMP, regulations. Our product candidates are comprised of synthetic small molecules made through a series of organic chemistry steps starting with commercially available organic chemical raw materials. We do not currently own or operate any manufacturing facilities for the clinical or commercial production of our drug candidates. We conduct manufacturing activities under individual purchase orders with independent contract manufacturing organizations, or CMOs, to supply our clinical trials. We conduct periodic quality audits of their facilities. We believe that our existing suppliers of our product candidate active pharmaceutical ingredients and finished products will be capable of providing sufficient quantities of each to meet our clinical trial supply needs. Other CMOs may be used in the future for clinical supplies and, subject to approval, commercial manufacturing.</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supranational regions, extensively regulate, among other things, the research, development, testing, manufacture, packaging, storage, recordkeeping, labeling, advertising, promotion, distribution, marketing, import, and export of pharmaceutical products such as those we are developing.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FDA Regulation</w:t>
      </w:r>
    </w:p>
    <w:p>
      <w:pPr>
        <w:spacing w:after="0" w:line="225" w:lineRule="exact"/>
        <w:rPr>
          <w:sz w:val="20"/>
          <w:szCs w:val="20"/>
          <w:color w:val="auto"/>
        </w:rPr>
      </w:pPr>
    </w:p>
    <w:p>
      <w:pPr>
        <w:ind w:left="40" w:right="159" w:firstLine="648"/>
        <w:spacing w:after="0" w:line="263"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required by the FDA before product candidates may be marketed in the United States generally involves the following:</w:t>
      </w:r>
    </w:p>
    <w:p>
      <w:pPr>
        <w:spacing w:after="0" w:line="184" w:lineRule="exact"/>
        <w:rPr>
          <w:sz w:val="20"/>
          <w:szCs w:val="20"/>
          <w:color w:val="auto"/>
        </w:rPr>
      </w:pPr>
    </w:p>
    <w:p>
      <w:pPr>
        <w:ind w:left="700" w:right="25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225" w:lineRule="exact"/>
        <w:rPr>
          <w:rFonts w:ascii="Arial" w:cs="Arial" w:eastAsia="Arial" w:hAnsi="Arial"/>
          <w:sz w:val="18"/>
          <w:szCs w:val="18"/>
          <w:color w:val="auto"/>
        </w:rPr>
      </w:pPr>
    </w:p>
    <w:p>
      <w:pPr>
        <w:ind w:left="700" w:right="9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170" w:lineRule="exact"/>
        <w:rPr>
          <w:rFonts w:ascii="Arial" w:cs="Arial" w:eastAsia="Arial" w:hAnsi="Arial"/>
          <w:sz w:val="18"/>
          <w:szCs w:val="18"/>
          <w:color w:val="auto"/>
        </w:rPr>
      </w:pPr>
    </w:p>
    <w:p>
      <w:pPr>
        <w:ind w:left="700" w:right="659" w:hanging="332"/>
        <w:spacing w:after="0" w:line="224" w:lineRule="exact"/>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human clinical trials to establish the safety and efficacy of the proposed drug candidates for its intended use, performed in accordance with current Good Clinical Practices, or GCP;</w:t>
      </w:r>
    </w:p>
    <w:p>
      <w:pPr>
        <w:spacing w:after="0" w:line="201" w:lineRule="exact"/>
        <w:rPr>
          <w:rFonts w:ascii="Arial" w:cs="Arial" w:eastAsia="Arial" w:hAnsi="Arial"/>
          <w:sz w:val="16"/>
          <w:szCs w:val="16"/>
          <w:color w:val="auto"/>
        </w:rPr>
      </w:pPr>
    </w:p>
    <w:p>
      <w:pPr>
        <w:ind w:left="700" w:right="259" w:hanging="332"/>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 of manufacturing processes in compliance with current Good Manufacturing Practices (cGMPs) to ensure the drug’s identity, strength, quality, and purity;</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compilation of required information and submission to the FDA of an NDA;</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right="79" w:hanging="332"/>
        <w:spacing w:after="0" w:line="279" w:lineRule="auto"/>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71" w:lineRule="exact"/>
        <w:rPr>
          <w:rFonts w:ascii="Arial" w:cs="Arial" w:eastAsia="Arial" w:hAnsi="Arial"/>
          <w:sz w:val="17"/>
          <w:szCs w:val="17"/>
          <w:color w:val="auto"/>
        </w:rPr>
      </w:pPr>
    </w:p>
    <w:p>
      <w:pPr>
        <w:ind w:left="700" w:hanging="33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for particular indications for use.</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Preclinical Studies and IND Submission</w:t>
      </w:r>
    </w:p>
    <w:p>
      <w:pPr>
        <w:spacing w:after="0" w:line="225"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Good Laboratory Practice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In the case of 505(b)(2) applications, though, some of the IND components may not be required (for example, if previously established for an approved drug which is referenced). Some preclinical testing may continue even after the IND is submitted.</w:t>
      </w:r>
    </w:p>
    <w:p>
      <w:pPr>
        <w:spacing w:after="0" w:line="181" w:lineRule="exact"/>
        <w:rPr>
          <w:sz w:val="20"/>
          <w:szCs w:val="20"/>
          <w:color w:val="auto"/>
        </w:rPr>
      </w:pPr>
    </w:p>
    <w:p>
      <w:pPr>
        <w:ind w:left="40" w:right="99" w:firstLine="648"/>
        <w:spacing w:after="0" w:line="219" w:lineRule="exact"/>
        <w:rPr>
          <w:sz w:val="20"/>
          <w:szCs w:val="20"/>
          <w:color w:val="auto"/>
        </w:rPr>
      </w:pPr>
      <w:r>
        <w:rPr>
          <w:rFonts w:ascii="Arial" w:cs="Arial" w:eastAsia="Arial" w:hAnsi="Arial"/>
          <w:sz w:val="18"/>
          <w:szCs w:val="18"/>
          <w:color w:val="auto"/>
        </w:rPr>
        <w:t>An IND automatically becomes effective 30 days after receipt by the FDA, unless the FDA, within the 30</w:t>
      </w:r>
      <w:r>
        <w:rPr>
          <w:rFonts w:ascii="MS PGothic" w:cs="MS PGothic" w:eastAsia="MS PGothic" w:hAnsi="MS PGothic"/>
          <w:sz w:val="18"/>
          <w:szCs w:val="18"/>
          <w:color w:val="auto"/>
        </w:rPr>
        <w:t>‑</w:t>
      </w:r>
      <w:r>
        <w:rPr>
          <w:rFonts w:ascii="Arial" w:cs="Arial" w:eastAsia="Arial" w:hAnsi="Arial"/>
          <w:sz w:val="18"/>
          <w:szCs w:val="18"/>
          <w:color w:val="auto"/>
        </w:rPr>
        <w:t>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80" w:lineRule="exact"/>
        <w:rPr>
          <w:sz w:val="20"/>
          <w:szCs w:val="20"/>
          <w:color w:val="auto"/>
        </w:rPr>
      </w:pPr>
    </w:p>
    <w:p>
      <w:pPr>
        <w:jc w:val="both"/>
        <w:ind w:left="40" w:right="219" w:firstLine="648"/>
        <w:spacing w:after="0" w:line="263" w:lineRule="auto"/>
        <w:rPr>
          <w:sz w:val="20"/>
          <w:szCs w:val="20"/>
          <w:color w:val="auto"/>
        </w:rPr>
      </w:pPr>
      <w:r>
        <w:rPr>
          <w:rFonts w:ascii="Arial" w:cs="Arial" w:eastAsia="Arial" w:hAnsi="Arial"/>
          <w:sz w:val="18"/>
          <w:szCs w:val="18"/>
          <w:color w:val="auto"/>
        </w:rPr>
        <w:t>Information about certain clinical trials, including a description of the study and study results, must be submitted within specific timeframes to the National Institutes of Health, or NIH, for public dissemination on their clinicaltrials.gov website.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pacing w:after="0" w:line="178"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The manufacture of investigational drugs for the conduct of human clinical trials (and their active pharmaceutical ingredients)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188" w:lineRule="exact"/>
        <w:rPr>
          <w:sz w:val="20"/>
          <w:szCs w:val="20"/>
          <w:color w:val="auto"/>
        </w:rPr>
      </w:pPr>
    </w:p>
    <w:p>
      <w:pPr>
        <w:ind w:left="40" w:right="99" w:firstLine="648"/>
        <w:spacing w:after="0" w:line="277" w:lineRule="auto"/>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which may overlap or be combined.</w:t>
      </w:r>
    </w:p>
    <w:p>
      <w:pPr>
        <w:spacing w:after="0" w:line="170" w:lineRule="exact"/>
        <w:rPr>
          <w:sz w:val="20"/>
          <w:szCs w:val="20"/>
          <w:color w:val="auto"/>
        </w:rPr>
      </w:pPr>
    </w:p>
    <w:p>
      <w:pPr>
        <w:ind w:left="700" w:right="219" w:hanging="332"/>
        <w:spacing w:after="0" w:line="220" w:lineRule="exact"/>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—Studies are initially conducted in healthy human volunteers or subjects with the target disease or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and test the product candidate for safety, dosage tolerance, structure</w:t>
      </w:r>
      <w:r>
        <w:rPr>
          <w:rFonts w:ascii="MS PGothic" w:cs="MS PGothic" w:eastAsia="MS PGothic" w:hAnsi="MS PGothic"/>
          <w:sz w:val="18"/>
          <w:szCs w:val="18"/>
          <w:color w:val="auto"/>
        </w:rPr>
        <w:t>‑</w:t>
      </w:r>
      <w:r>
        <w:rPr>
          <w:rFonts w:ascii="Arial" w:cs="Arial" w:eastAsia="Arial" w:hAnsi="Arial"/>
          <w:sz w:val="18"/>
          <w:szCs w:val="18"/>
          <w:color w:val="auto"/>
        </w:rPr>
        <w:t>activity relationships, mechanism of action, absorption, metabolism, distribution, and excretion. If possible, Phase 1 trials may also be used to gain an initial indication of product effectiveness.</w:t>
      </w:r>
    </w:p>
    <w:p>
      <w:pPr>
        <w:spacing w:after="0" w:line="203" w:lineRule="exact"/>
        <w:rPr>
          <w:rFonts w:ascii="Arial" w:cs="Arial" w:eastAsia="Arial" w:hAnsi="Arial"/>
          <w:sz w:val="18"/>
          <w:szCs w:val="18"/>
          <w:color w:val="auto"/>
        </w:rPr>
      </w:pPr>
    </w:p>
    <w:p>
      <w:pPr>
        <w:ind w:left="700" w:right="179" w:hanging="332"/>
        <w:spacing w:after="0" w:line="263"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—Controlled studies are conducted in limited subject populations with a specified disease or condition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preliminary efficacy, identify optimal dosages, dosage tolerance and schedule, possible adverse effects and safety risks, and expanded evidence of safety.</w:t>
      </w:r>
    </w:p>
    <w:p>
      <w:pPr>
        <w:spacing w:after="0" w:line="183" w:lineRule="exact"/>
        <w:rPr>
          <w:rFonts w:ascii="Arial" w:cs="Arial" w:eastAsia="Arial" w:hAnsi="Arial"/>
          <w:sz w:val="18"/>
          <w:szCs w:val="18"/>
          <w:color w:val="auto"/>
        </w:rPr>
      </w:pPr>
    </w:p>
    <w:p>
      <w:pPr>
        <w:ind w:left="700" w:right="119" w:hanging="332"/>
        <w:spacing w:after="0" w:line="219" w:lineRule="exact"/>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These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clinical trials are undertaken in expanded subject populations,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at geographically dispersed clinical trial sites, to generate enough data to provide statistically significant evidence of clinical efficacy and safety of the product for approval, to establish the overall risk</w:t>
      </w:r>
      <w:r>
        <w:rPr>
          <w:rFonts w:ascii="MS PGothic" w:cs="MS PGothic" w:eastAsia="MS PGothic" w:hAnsi="MS PGothic"/>
          <w:sz w:val="18"/>
          <w:szCs w:val="18"/>
          <w:color w:val="auto"/>
        </w:rPr>
        <w:t>‑</w:t>
      </w:r>
      <w:r>
        <w:rPr>
          <w:rFonts w:ascii="Arial" w:cs="Arial" w:eastAsia="Arial" w:hAnsi="Arial"/>
          <w:sz w:val="18"/>
          <w:szCs w:val="18"/>
          <w:color w:val="auto"/>
        </w:rPr>
        <w:t>benefit profile of the product, and to provide adequate information for the labeling of the product. Typically, two Phase 3 trials are required by the FDA for product approval.</w:t>
      </w:r>
    </w:p>
    <w:p>
      <w:pPr>
        <w:spacing w:after="0" w:line="205"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 world evidence for already approved products, and, for appropriate indications sought through supplemental marketing applications, data summaries.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84" w:lineRule="exact"/>
        <w:rPr>
          <w:sz w:val="20"/>
          <w:szCs w:val="20"/>
          <w:color w:val="auto"/>
        </w:rPr>
      </w:pPr>
    </w:p>
    <w:p>
      <w:pPr>
        <w:ind w:left="40" w:right="179" w:firstLine="648"/>
        <w:spacing w:after="0" w:line="275" w:lineRule="auto"/>
        <w:rPr>
          <w:sz w:val="20"/>
          <w:szCs w:val="20"/>
          <w:color w:val="auto"/>
        </w:rPr>
      </w:pPr>
      <w:r>
        <w:rPr>
          <w:rFonts w:ascii="Arial" w:cs="Arial" w:eastAsia="Arial" w:hAnsi="Arial"/>
          <w:sz w:val="17"/>
          <w:szCs w:val="17"/>
          <w:color w:val="auto"/>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259"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66"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During the development of a new drug, a sponsor may be able to request a Special Protocol Assessment, or SPA,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w:t>
      </w:r>
      <w:r>
        <w:rPr>
          <w:rFonts w:ascii="MS PGothic" w:cs="MS PGothic" w:eastAsia="MS PGothic" w:hAnsi="MS PGothic"/>
          <w:sz w:val="16"/>
          <w:szCs w:val="16"/>
          <w:color w:val="auto"/>
        </w:rPr>
        <w:t>‑</w:t>
      </w:r>
      <w:r>
        <w:rPr>
          <w:rFonts w:ascii="Arial" w:cs="Arial" w:eastAsia="Arial" w:hAnsi="Arial"/>
          <w:sz w:val="16"/>
          <w:szCs w:val="16"/>
          <w:color w:val="auto"/>
        </w:rPr>
        <w:t>upon clinical trial protocol is followed, the clinical trial endpoints are achieved, and there is a favorable risk</w:t>
      </w:r>
      <w:r>
        <w:rPr>
          <w:rFonts w:ascii="MS PGothic" w:cs="MS PGothic" w:eastAsia="MS PGothic" w:hAnsi="MS PGothic"/>
          <w:sz w:val="16"/>
          <w:szCs w:val="16"/>
          <w:color w:val="auto"/>
        </w:rPr>
        <w:t>‑</w:t>
      </w:r>
      <w:r>
        <w:rPr>
          <w:rFonts w:ascii="Arial" w:cs="Arial" w:eastAsia="Arial" w:hAnsi="Arial"/>
          <w:sz w:val="16"/>
          <w:szCs w:val="16"/>
          <w:color w:val="auto"/>
        </w:rPr>
        <w:t>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NDA Submission, Review by the FDA, and Marketing Approval</w:t>
      </w:r>
    </w:p>
    <w:p>
      <w:pPr>
        <w:spacing w:after="0" w:line="225" w:lineRule="exact"/>
        <w:rPr>
          <w:sz w:val="20"/>
          <w:szCs w:val="20"/>
          <w:color w:val="auto"/>
        </w:rPr>
      </w:pPr>
    </w:p>
    <w:p>
      <w:pPr>
        <w:ind w:left="40" w:right="59" w:firstLine="648"/>
        <w:spacing w:after="0" w:line="289" w:lineRule="auto"/>
        <w:rPr>
          <w:sz w:val="20"/>
          <w:szCs w:val="20"/>
          <w:color w:val="auto"/>
        </w:rPr>
      </w:pPr>
      <w:r>
        <w:rPr>
          <w:rFonts w:ascii="Arial" w:cs="Arial" w:eastAsia="Arial" w:hAnsi="Arial"/>
          <w:sz w:val="16"/>
          <w:szCs w:val="16"/>
          <w:color w:val="auto"/>
        </w:rPr>
        <w:t>Assuming successful completion of the required clinical and preclinical testing, the results of product development, including chemistry, manufacturing, and control (CMC)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the Prescription Drug User Fee Act, or PDUFA.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also not subject to application user fees unless the application includes an indication other than the orphan indication.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In addition, under the Pediatric Research Equity Act, or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or PSP,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or REMS,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pacing w:after="0" w:line="180" w:lineRule="exact"/>
        <w:rPr>
          <w:sz w:val="20"/>
          <w:szCs w:val="20"/>
          <w:color w:val="auto"/>
        </w:rPr>
      </w:pPr>
    </w:p>
    <w:p>
      <w:pPr>
        <w:ind w:left="40" w:right="59" w:firstLine="648"/>
        <w:spacing w:after="0" w:line="219" w:lineRule="exact"/>
        <w:rPr>
          <w:sz w:val="20"/>
          <w:szCs w:val="20"/>
          <w:color w:val="auto"/>
        </w:rPr>
      </w:pPr>
      <w:r>
        <w:rPr>
          <w:rFonts w:ascii="Arial" w:cs="Arial" w:eastAsia="Arial" w:hAnsi="Arial"/>
          <w:sz w:val="16"/>
          <w:szCs w:val="16"/>
          <w:color w:val="auto"/>
        </w:rPr>
        <w:t>Once the FDA receives an application, it will determine within 60 days whether the NDA as filed is sufficiently complete to permit a substantive review (with this decision often referred to as the NDA being “accepted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PGothic" w:cs="MS PGothic" w:eastAsia="MS PGothic" w:hAnsi="MS PGothic"/>
          <w:sz w:val="16"/>
          <w:szCs w:val="16"/>
          <w:color w:val="auto"/>
        </w:rPr>
        <w:t>‑</w:t>
      </w:r>
      <w:r>
        <w:rPr>
          <w:rFonts w:ascii="Arial" w:cs="Arial" w:eastAsia="Arial" w:hAnsi="Arial"/>
          <w:sz w:val="16"/>
          <w:szCs w:val="16"/>
          <w:color w:val="auto"/>
        </w:rPr>
        <w:t>depth substantive review of the NDA.</w:t>
      </w:r>
    </w:p>
    <w:p>
      <w:pPr>
        <w:spacing w:after="0" w:line="204" w:lineRule="exact"/>
        <w:rPr>
          <w:sz w:val="20"/>
          <w:szCs w:val="20"/>
          <w:color w:val="auto"/>
        </w:rPr>
      </w:pPr>
    </w:p>
    <w:p>
      <w:pPr>
        <w:ind w:left="40" w:right="59" w:firstLine="648"/>
        <w:spacing w:after="0" w:line="254" w:lineRule="auto"/>
        <w:rPr>
          <w:sz w:val="20"/>
          <w:szCs w:val="20"/>
          <w:color w:val="auto"/>
        </w:rPr>
      </w:pPr>
      <w:r>
        <w:rPr>
          <w:rFonts w:ascii="Arial" w:cs="Arial" w:eastAsia="Arial" w:hAnsi="Arial"/>
          <w:sz w:val="18"/>
          <w:szCs w:val="18"/>
          <w:color w:val="auto"/>
        </w:rPr>
        <w:t>The FDA has agreed to a set of performance goals and procedures under PDUFA to review 90% of all applications within ten months from the 60 day filing date for its initial review of a standard NDA for a New Molecular Entity, or NME. For non 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spacing w:after="0" w:line="195" w:lineRule="exact"/>
        <w:rPr>
          <w:sz w:val="20"/>
          <w:szCs w:val="20"/>
          <w:color w:val="auto"/>
        </w:rPr>
      </w:pPr>
    </w:p>
    <w:p>
      <w:pPr>
        <w:ind w:left="40" w:right="79" w:firstLine="648"/>
        <w:spacing w:after="0" w:line="311" w:lineRule="auto"/>
        <w:rPr>
          <w:sz w:val="20"/>
          <w:szCs w:val="20"/>
          <w:color w:val="auto"/>
        </w:rPr>
      </w:pPr>
      <w:r>
        <w:rPr>
          <w:rFonts w:ascii="Arial" w:cs="Arial" w:eastAsia="Arial" w:hAnsi="Arial"/>
          <w:sz w:val="16"/>
          <w:szCs w:val="16"/>
          <w:color w:val="auto"/>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spacing w:after="0" w:line="149" w:lineRule="exact"/>
        <w:rPr>
          <w:sz w:val="20"/>
          <w:szCs w:val="20"/>
          <w:color w:val="auto"/>
        </w:rPr>
      </w:pPr>
    </w:p>
    <w:p>
      <w:pPr>
        <w:ind w:left="40" w:right="179" w:firstLine="648"/>
        <w:spacing w:after="0" w:line="259" w:lineRule="auto"/>
        <w:rPr>
          <w:sz w:val="20"/>
          <w:szCs w:val="20"/>
          <w:color w:val="auto"/>
        </w:rPr>
      </w:pPr>
      <w:r>
        <w:rPr>
          <w:rFonts w:ascii="Arial" w:cs="Arial" w:eastAsia="Arial" w:hAnsi="Arial"/>
          <w:sz w:val="18"/>
          <w:szCs w:val="18"/>
          <w:color w:val="auto"/>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7"/>
          <w:szCs w:val="17"/>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spacing w:after="0" w:line="204"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The approval process is lengthy and difficult, and involves numerous FDA personnel assigned to review different aspects of the NDA, and the FDA may refuse to approve an NDA if the applicable regulatory criteria are not satisfied or may require additional preclinical, clinical, chemistry, manufacturing, and control ("CMC"), or other data and information. Uncertainties can be presented by reviewers’ ability to exercise judgment and discretion during the review process. Even if such data and information are submitted, the FDA and may ultimately decide that the NDA does not satisfy the criteria for approval. Data obtained from clinical trials are not always conclusive and the FDA may interpret data differently than an applicant interprets the same data.</w:t>
      </w:r>
    </w:p>
    <w:p>
      <w:pPr>
        <w:spacing w:after="0" w:line="177"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or CRL.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CDER’s goal is to review the supplement within the same length of time (from receipt) as the initial review cycle (excluding an extension caused by a major amendment of the initial supplement).</w:t>
      </w:r>
    </w:p>
    <w:p>
      <w:pPr>
        <w:spacing w:after="0" w:line="174" w:lineRule="exact"/>
        <w:rPr>
          <w:sz w:val="20"/>
          <w:szCs w:val="20"/>
          <w:color w:val="auto"/>
        </w:rPr>
      </w:pPr>
    </w:p>
    <w:p>
      <w:pPr>
        <w:ind w:left="40" w:right="179" w:firstLine="648"/>
        <w:spacing w:after="0" w:line="301" w:lineRule="auto"/>
        <w:rPr>
          <w:sz w:val="20"/>
          <w:szCs w:val="20"/>
          <w:color w:val="auto"/>
        </w:rPr>
      </w:pPr>
      <w:r>
        <w:rPr>
          <w:rFonts w:ascii="Arial" w:cs="Arial" w:eastAsia="Arial" w:hAnsi="Arial"/>
          <w:sz w:val="16"/>
          <w:szCs w:val="16"/>
          <w:color w:val="auto"/>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157" w:lineRule="exact"/>
        <w:rPr>
          <w:sz w:val="20"/>
          <w:szCs w:val="20"/>
          <w:color w:val="auto"/>
        </w:rPr>
      </w:pPr>
    </w:p>
    <w:p>
      <w:pPr>
        <w:ind w:left="40" w:right="239" w:firstLine="648"/>
        <w:spacing w:after="0" w:line="218" w:lineRule="exact"/>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7"/>
          <w:szCs w:val="17"/>
          <w:color w:val="auto"/>
        </w:rPr>
        <w:t>‑</w:t>
      </w:r>
      <w:r>
        <w:rPr>
          <w:rFonts w:ascii="Arial" w:cs="Arial" w:eastAsia="Arial" w:hAnsi="Arial"/>
          <w:sz w:val="17"/>
          <w:szCs w:val="17"/>
          <w:color w:val="auto"/>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206" w:lineRule="exact"/>
        <w:rPr>
          <w:sz w:val="20"/>
          <w:szCs w:val="20"/>
          <w:color w:val="auto"/>
        </w:rPr>
      </w:pPr>
    </w:p>
    <w:p>
      <w:pPr>
        <w:ind w:left="40" w:right="179" w:firstLine="648"/>
        <w:spacing w:after="0" w:line="219" w:lineRule="exact"/>
        <w:rPr>
          <w:sz w:val="20"/>
          <w:szCs w:val="20"/>
          <w:color w:val="auto"/>
        </w:rPr>
      </w:pPr>
      <w:r>
        <w:rPr>
          <w:rFonts w:ascii="Arial" w:cs="Arial" w:eastAsia="Arial" w:hAnsi="Arial"/>
          <w:sz w:val="17"/>
          <w:szCs w:val="17"/>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PGothic" w:cs="MS PGothic" w:eastAsia="MS PGothic" w:hAnsi="MS PGothic"/>
          <w:sz w:val="17"/>
          <w:szCs w:val="17"/>
          <w:color w:val="auto"/>
        </w:rPr>
        <w:t>‑</w:t>
      </w:r>
      <w:r>
        <w:rPr>
          <w:rFonts w:ascii="Arial" w:cs="Arial" w:eastAsia="Arial" w:hAnsi="Arial"/>
          <w:sz w:val="17"/>
          <w:szCs w:val="17"/>
          <w:color w:val="auto"/>
        </w:rPr>
        <w:t xml:space="preserve"> and post</w:t>
      </w:r>
      <w:r>
        <w:rPr>
          <w:rFonts w:ascii="MS PGothic" w:cs="MS PGothic" w:eastAsia="MS PGothic" w:hAnsi="MS PGothic"/>
          <w:sz w:val="17"/>
          <w:szCs w:val="17"/>
          <w:color w:val="auto"/>
        </w:rPr>
        <w:t>‑</w:t>
      </w:r>
      <w:r>
        <w:rPr>
          <w:rFonts w:ascii="Arial" w:cs="Arial" w:eastAsia="Arial" w:hAnsi="Arial"/>
          <w:sz w:val="17"/>
          <w:szCs w:val="17"/>
          <w:color w:val="auto"/>
        </w:rPr>
        <w:t>marketing regulatory standards are not maintained or if problems occur after the product reaches the marketplace. Further, should new safety information arise, additional testing, product labeling, or FDA notification may be required.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505(b)(2) Approval Process</w:t>
      </w:r>
    </w:p>
    <w:p>
      <w:pPr>
        <w:spacing w:after="0" w:line="225"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6"/>
          <w:szCs w:val="16"/>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PGothic" w:cs="MS PGothic" w:eastAsia="MS PGothic" w:hAnsi="MS PGothic"/>
          <w:sz w:val="16"/>
          <w:szCs w:val="16"/>
          <w:color w:val="auto"/>
        </w:rPr>
        <w:t>‑</w:t>
      </w:r>
      <w:r>
        <w:rPr>
          <w:rFonts w:ascii="Arial" w:cs="Arial" w:eastAsia="Arial" w:hAnsi="Arial"/>
          <w:sz w:val="16"/>
          <w:szCs w:val="16"/>
          <w:color w:val="auto"/>
        </w:rPr>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505(b)(2) 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Orange Book Listing</w:t>
      </w:r>
    </w:p>
    <w:p>
      <w:pPr>
        <w:spacing w:after="0" w:line="225"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Abbreviated New Drug Application, or ANDA.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PGothic" w:cs="MS PGothic" w:eastAsia="MS PGothic" w:hAnsi="MS PGothic"/>
          <w:sz w:val="16"/>
          <w:szCs w:val="16"/>
          <w:color w:val="auto"/>
        </w:rPr>
        <w:t>‑</w:t>
      </w:r>
      <w:r>
        <w:rPr>
          <w:rFonts w:ascii="Arial" w:cs="Arial" w:eastAsia="Arial" w:hAnsi="Arial"/>
          <w:sz w:val="16"/>
          <w:szCs w:val="16"/>
          <w:color w:val="auto"/>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spacing w:after="0" w:line="203"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Arial" w:cs="Arial" w:eastAsia="Arial" w:hAnsi="Arial"/>
          <w:sz w:val="18"/>
          <w:szCs w:val="18"/>
          <w:i w:val="1"/>
          <w:iCs w:val="1"/>
          <w:color w:val="auto"/>
        </w:rPr>
        <w:t>Approved Drug Products with Therapeutic Equivalence Evaluations</w:t>
      </w:r>
      <w:r>
        <w:rPr>
          <w:rFonts w:ascii="Arial" w:cs="Arial" w:eastAsia="Arial" w:hAnsi="Arial"/>
          <w:sz w:val="18"/>
          <w:szCs w:val="18"/>
          <w:color w:val="auto"/>
        </w:rPr>
        <w:t>, also known as the Orange Book.</w:t>
      </w:r>
    </w:p>
    <w:p>
      <w:pPr>
        <w:spacing w:after="0" w:line="187"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An applicant who files an ANDA seeking approval of a generic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w:t>
      </w:r>
    </w:p>
    <w:p>
      <w:pPr>
        <w:spacing w:after="0" w:line="1" w:lineRule="exact"/>
        <w:rPr>
          <w:sz w:val="20"/>
          <w:szCs w:val="20"/>
          <w:color w:val="auto"/>
        </w:rPr>
      </w:pPr>
    </w:p>
    <w:p>
      <w:pPr>
        <w:ind w:left="40" w:right="99" w:firstLine="4"/>
        <w:spacing w:after="0" w:line="251" w:lineRule="auto"/>
        <w:tabs>
          <w:tab w:leader="none" w:pos="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claiming the referenced product have expired.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6"/>
          <w:szCs w:val="16"/>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w:t>
      </w:r>
      <w:r>
        <w:rPr>
          <w:rFonts w:ascii="MS PGothic" w:cs="MS PGothic" w:eastAsia="MS PGothic" w:hAnsi="MS PGothic"/>
          <w:sz w:val="16"/>
          <w:szCs w:val="16"/>
          <w:color w:val="auto"/>
        </w:rPr>
        <w:t>‑</w:t>
      </w:r>
      <w:r>
        <w:rPr>
          <w:rFonts w:ascii="Arial" w:cs="Arial" w:eastAsia="Arial" w:hAnsi="Arial"/>
          <w:sz w:val="16"/>
          <w:szCs w:val="16"/>
          <w:color w:val="auto"/>
        </w:rPr>
        <w:t>month stay.</w:t>
      </w:r>
    </w:p>
    <w:p>
      <w:pPr>
        <w:spacing w:after="0" w:line="202" w:lineRule="exact"/>
        <w:rPr>
          <w:sz w:val="20"/>
          <w:szCs w:val="20"/>
          <w:color w:val="auto"/>
        </w:rPr>
      </w:pPr>
    </w:p>
    <w:p>
      <w:pPr>
        <w:ind w:left="40" w:right="199" w:firstLine="648"/>
        <w:spacing w:after="0" w:line="219" w:lineRule="exact"/>
        <w:rPr>
          <w:sz w:val="20"/>
          <w:szCs w:val="20"/>
          <w:color w:val="auto"/>
        </w:rPr>
      </w:pPr>
      <w:r>
        <w:rPr>
          <w:rFonts w:ascii="Arial" w:cs="Arial" w:eastAsia="Arial" w:hAnsi="Arial"/>
          <w:sz w:val="18"/>
          <w:szCs w:val="18"/>
          <w:color w:val="auto"/>
        </w:rPr>
        <w:t>In practice, where an ANDA or 505(b)(2) NDA applicant files a paragraph IV certification, the NDA holder or patent owners often take action to trigger the automatic 30</w:t>
      </w:r>
      <w:r>
        <w:rPr>
          <w:rFonts w:ascii="MS PGothic" w:cs="MS PGothic" w:eastAsia="MS PGothic" w:hAnsi="MS PGothic"/>
          <w:sz w:val="18"/>
          <w:szCs w:val="18"/>
          <w:color w:val="auto"/>
        </w:rPr>
        <w:t>‑</w:t>
      </w:r>
      <w:r>
        <w:rPr>
          <w:rFonts w:ascii="Arial" w:cs="Arial" w:eastAsia="Arial" w:hAnsi="Arial"/>
          <w:sz w:val="18"/>
          <w:szCs w:val="18"/>
          <w:color w:val="auto"/>
        </w:rPr>
        <w:t>month stay, resulting in patent litigation that may take many months or years to resolve. Thus, approval of an ANDA or 505(b)(2) application could be delayed for a significant period of time depending on the patent certification the applicant makes and the reference drug sponsor’s decision to initiate patent litigation.</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Regulatory Exclusivity</w:t>
      </w:r>
    </w:p>
    <w:p>
      <w:pPr>
        <w:spacing w:after="0" w:line="225" w:lineRule="exact"/>
        <w:rPr>
          <w:sz w:val="20"/>
          <w:szCs w:val="20"/>
          <w:color w:val="auto"/>
        </w:rPr>
      </w:pPr>
    </w:p>
    <w:p>
      <w:pPr>
        <w:ind w:left="40" w:right="119" w:firstLine="648"/>
        <w:spacing w:after="0" w:line="288" w:lineRule="auto"/>
        <w:rPr>
          <w:sz w:val="20"/>
          <w:szCs w:val="20"/>
          <w:color w:val="auto"/>
        </w:rPr>
      </w:pPr>
      <w:r>
        <w:rPr>
          <w:rFonts w:ascii="Arial" w:cs="Arial" w:eastAsia="Arial" w:hAnsi="Arial"/>
          <w:sz w:val="16"/>
          <w:szCs w:val="16"/>
          <w:color w:val="auto"/>
        </w:rPr>
        <w:t>Regulatory exclusivity provisions under the FDCA can also delay the submission or the approval effective date of certain applications. A regulatory exclusivity can provide the holder of an approved NDA protection from new competition in the marketplace for the innovation represented by its approved drug. Five years of exclusivity are available for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spacing w:after="0" w:line="168"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8"/>
          <w:szCs w:val="18"/>
          <w:color w:val="auto"/>
        </w:rPr>
        <w:t xml:space="preserve">Three years of exclusivity are available to the holder of an NDA, including a 505(b)(2) NDA, for a particular condition of approval, or change to a marketed product, such as a new formulation or indication for a drug </w:t>
      </w:r>
      <w:r>
        <w:rPr>
          <w:rFonts w:ascii="Arial" w:cs="Arial" w:eastAsia="Arial" w:hAnsi="Arial"/>
          <w:sz w:val="18"/>
          <w:szCs w:val="18"/>
          <w:color w:val="333333"/>
        </w:rPr>
        <w:t>product that</w:t>
      </w:r>
      <w:r>
        <w:rPr>
          <w:rFonts w:ascii="Arial" w:cs="Arial" w:eastAsia="Arial" w:hAnsi="Arial"/>
          <w:sz w:val="18"/>
          <w:szCs w:val="18"/>
          <w:color w:val="auto"/>
        </w:rPr>
        <w:t xml:space="preserve"> </w:t>
      </w:r>
      <w:r>
        <w:rPr>
          <w:rFonts w:ascii="Arial" w:cs="Arial" w:eastAsia="Arial" w:hAnsi="Arial"/>
          <w:sz w:val="18"/>
          <w:szCs w:val="18"/>
          <w:color w:val="333333"/>
        </w:rPr>
        <w:t xml:space="preserve">contains an active moiety that has been previously approved, when the application contains reports of new clinical investigations, other 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(NCI) was essential to approval of the application containing those changes. </w:t>
      </w:r>
      <w:r>
        <w:rPr>
          <w:rFonts w:ascii="Arial" w:cs="Arial" w:eastAsia="Arial" w:hAnsi="Arial"/>
          <w:sz w:val="17"/>
          <w:szCs w:val="17"/>
          <w:color w:val="000000"/>
        </w:rPr>
        <w:t>During the NCI exclusivity period, FDA may not approve an</w:t>
      </w:r>
      <w:r>
        <w:rPr>
          <w:rFonts w:ascii="Arial" w:cs="Arial" w:eastAsia="Arial" w:hAnsi="Arial"/>
          <w:sz w:val="18"/>
          <w:szCs w:val="18"/>
          <w:color w:val="333333"/>
        </w:rPr>
        <w:t xml:space="preserve"> </w:t>
      </w:r>
      <w:r>
        <w:rPr>
          <w:rFonts w:ascii="Arial" w:cs="Arial" w:eastAsia="Arial" w:hAnsi="Arial"/>
          <w:sz w:val="17"/>
          <w:szCs w:val="17"/>
          <w:color w:val="000000"/>
        </w:rPr>
        <w:t>ANDA or 505(b)(2) NDA by another company for the condition of the new drug’s approval. NCE and NCI exclusivities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7"/>
          <w:szCs w:val="17"/>
          <w:color w:val="000000"/>
        </w:rPr>
        <w:t>‑</w:t>
      </w:r>
      <w:r>
        <w:rPr>
          <w:rFonts w:ascii="Arial" w:cs="Arial" w:eastAsia="Arial" w:hAnsi="Arial"/>
          <w:sz w:val="17"/>
          <w:szCs w:val="17"/>
          <w:color w:val="000000"/>
        </w:rPr>
        <w:t>controlled clinical trials necessary to demonstrate safety and efficacy.</w:t>
      </w:r>
    </w:p>
    <w:p>
      <w:pPr>
        <w:spacing w:after="0" w:line="210"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7"/>
          <w:szCs w:val="17"/>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7"/>
          <w:szCs w:val="17"/>
          <w:color w:val="auto"/>
        </w:rPr>
        <w:t>‑</w:t>
      </w:r>
      <w:r>
        <w:rPr>
          <w:rFonts w:ascii="Arial" w:cs="Arial" w:eastAsia="Arial" w:hAnsi="Arial"/>
          <w:sz w:val="17"/>
          <w:szCs w:val="17"/>
          <w:color w:val="auto"/>
        </w:rPr>
        <w:t>patent exclusivity periods described above as well as applicable patent terms. This six</w:t>
      </w:r>
      <w:r>
        <w:rPr>
          <w:rFonts w:ascii="MS PGothic" w:cs="MS PGothic" w:eastAsia="MS PGothic" w:hAnsi="MS PGothic"/>
          <w:sz w:val="17"/>
          <w:szCs w:val="17"/>
          <w:color w:val="auto"/>
        </w:rPr>
        <w:t>‑</w:t>
      </w:r>
      <w:r>
        <w:rPr>
          <w:rFonts w:ascii="Arial" w:cs="Arial" w:eastAsia="Arial" w:hAnsi="Arial"/>
          <w:sz w:val="17"/>
          <w:szCs w:val="17"/>
          <w:color w:val="auto"/>
        </w:rPr>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6"/>
          <w:szCs w:val="16"/>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w:t>
      </w:r>
      <w:r>
        <w:rPr>
          <w:rFonts w:ascii="MS PGothic" w:cs="MS PGothic" w:eastAsia="MS PGothic" w:hAnsi="MS PGothic"/>
          <w:sz w:val="16"/>
          <w:szCs w:val="16"/>
          <w:color w:val="auto"/>
        </w:rPr>
        <w:t>‑</w:t>
      </w:r>
      <w:r>
        <w:rPr>
          <w:rFonts w:ascii="Arial" w:cs="Arial" w:eastAsia="Arial" w:hAnsi="Arial"/>
          <w:sz w:val="16"/>
          <w:szCs w:val="16"/>
          <w:color w:val="auto"/>
        </w:rPr>
        <w:t>fee waivers.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Special FDA Expedited Review and Approval Programs</w:t>
      </w:r>
    </w:p>
    <w:p>
      <w:pPr>
        <w:spacing w:after="0" w:line="225" w:lineRule="exact"/>
        <w:rPr>
          <w:sz w:val="20"/>
          <w:szCs w:val="20"/>
          <w:color w:val="auto"/>
        </w:rPr>
      </w:pPr>
    </w:p>
    <w:p>
      <w:pPr>
        <w:ind w:left="40" w:right="119" w:firstLine="648"/>
        <w:spacing w:after="0" w:line="275" w:lineRule="auto"/>
        <w:rPr>
          <w:sz w:val="20"/>
          <w:szCs w:val="20"/>
          <w:color w:val="auto"/>
        </w:rPr>
      </w:pPr>
      <w:r>
        <w:rPr>
          <w:rFonts w:ascii="Arial" w:cs="Arial" w:eastAsia="Arial" w:hAnsi="Arial"/>
          <w:sz w:val="17"/>
          <w:szCs w:val="17"/>
          <w:color w:val="auto"/>
        </w:rPr>
        <w:t>The FDA has various programs, including Fast Track designation, Priority Review and Breakthrough designation, that are intended to expedite or simplify the process for the development and FDA review of certain drug products that are intended for the treatment of serious or life 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76" w:lineRule="exact"/>
        <w:rPr>
          <w:sz w:val="20"/>
          <w:szCs w:val="20"/>
          <w:color w:val="auto"/>
        </w:rPr>
      </w:pPr>
    </w:p>
    <w:p>
      <w:pPr>
        <w:ind w:left="40" w:right="279" w:firstLine="648"/>
        <w:spacing w:after="0" w:line="273" w:lineRule="auto"/>
        <w:rPr>
          <w:sz w:val="20"/>
          <w:szCs w:val="20"/>
          <w:color w:val="auto"/>
        </w:rPr>
      </w:pPr>
      <w:r>
        <w:rPr>
          <w:rFonts w:ascii="Arial" w:cs="Arial" w:eastAsia="Arial" w:hAnsi="Arial"/>
          <w:sz w:val="17"/>
          <w:szCs w:val="17"/>
          <w:color w:val="auto"/>
        </w:rPr>
        <w:t>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w:t>
      </w:r>
    </w:p>
    <w:p>
      <w:pPr>
        <w:spacing w:after="0" w:line="178"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In addition, if an applicant obtains “rolling review” the FDA may accept and initiate review of sections of an NDA before the application submission is complete, although it is not guaranteed that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some cases, a Fast Track product may be eligible for Accelerated Approval or Priority Review.</w:t>
      </w:r>
    </w:p>
    <w:p>
      <w:pPr>
        <w:spacing w:after="0" w:line="225" w:lineRule="exact"/>
        <w:rPr>
          <w:sz w:val="20"/>
          <w:szCs w:val="20"/>
          <w:color w:val="auto"/>
        </w:rPr>
      </w:pPr>
    </w:p>
    <w:p>
      <w:pPr>
        <w:ind w:left="40" w:right="119" w:firstLine="648"/>
        <w:spacing w:after="0" w:line="219" w:lineRule="exact"/>
        <w:rPr>
          <w:sz w:val="20"/>
          <w:szCs w:val="20"/>
          <w:color w:val="auto"/>
        </w:rPr>
      </w:pPr>
      <w:r>
        <w:rPr>
          <w:rFonts w:ascii="Arial" w:cs="Arial" w:eastAsia="Arial" w:hAnsi="Arial"/>
          <w:sz w:val="17"/>
          <w:szCs w:val="17"/>
          <w:color w:val="auto"/>
        </w:rPr>
        <w:t>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application within six months of receipt, rather than the standard review of ten months under current PDUFA guidelines, of the 60</w:t>
      </w:r>
      <w:r>
        <w:rPr>
          <w:rFonts w:ascii="MS PGothic" w:cs="MS PGothic" w:eastAsia="MS PGothic" w:hAnsi="MS PGothic"/>
          <w:sz w:val="17"/>
          <w:szCs w:val="17"/>
          <w:color w:val="auto"/>
        </w:rPr>
        <w:t>‑</w:t>
      </w:r>
      <w:r>
        <w:rPr>
          <w:rFonts w:ascii="Arial" w:cs="Arial" w:eastAsia="Arial" w:hAnsi="Arial"/>
          <w:sz w:val="17"/>
          <w:szCs w:val="17"/>
          <w:color w:val="auto"/>
        </w:rPr>
        <w:t>day filing date for NMEs and within six months of the submission receipt date for non</w:t>
      </w:r>
      <w:r>
        <w:rPr>
          <w:rFonts w:ascii="MS PGothic" w:cs="MS PGothic" w:eastAsia="MS PGothic" w:hAnsi="MS PGothic"/>
          <w:sz w:val="17"/>
          <w:szCs w:val="17"/>
          <w:color w:val="auto"/>
        </w:rPr>
        <w:t>‑</w:t>
      </w:r>
      <w:r>
        <w:rPr>
          <w:rFonts w:ascii="Arial" w:cs="Arial" w:eastAsia="Arial" w:hAnsi="Arial"/>
          <w:sz w:val="17"/>
          <w:szCs w:val="17"/>
          <w:color w:val="auto"/>
        </w:rPr>
        <w:t>NMEs. Products that are eligible for Fast Track designation may also be considered appropriate to receive a Priority Review.</w:t>
      </w:r>
    </w:p>
    <w:p>
      <w:pPr>
        <w:spacing w:after="0" w:line="202" w:lineRule="exact"/>
        <w:rPr>
          <w:sz w:val="20"/>
          <w:szCs w:val="20"/>
          <w:color w:val="auto"/>
        </w:rPr>
      </w:pPr>
    </w:p>
    <w:p>
      <w:pPr>
        <w:ind w:left="40" w:right="159" w:firstLine="648"/>
        <w:spacing w:after="0" w:line="218" w:lineRule="exact"/>
        <w:rPr>
          <w:sz w:val="20"/>
          <w:szCs w:val="20"/>
          <w:color w:val="auto"/>
        </w:rPr>
      </w:pPr>
      <w:r>
        <w:rPr>
          <w:rFonts w:ascii="Arial" w:cs="Arial" w:eastAsia="Arial" w:hAnsi="Arial"/>
          <w:sz w:val="17"/>
          <w:szCs w:val="17"/>
          <w:color w:val="auto"/>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w:t>
      </w:r>
      <w:r>
        <w:rPr>
          <w:rFonts w:ascii="MS PGothic" w:cs="MS PGothic" w:eastAsia="MS PGothic" w:hAnsi="MS PGothic"/>
          <w:sz w:val="17"/>
          <w:szCs w:val="17"/>
          <w:color w:val="auto"/>
        </w:rPr>
        <w:t>‑</w:t>
      </w:r>
      <w:r>
        <w:rPr>
          <w:rFonts w:ascii="Arial" w:cs="Arial" w:eastAsia="Arial" w:hAnsi="Arial"/>
          <w:sz w:val="17"/>
          <w:szCs w:val="17"/>
          <w:color w:val="auto"/>
        </w:rPr>
        <w:t>disciplinary review.</w:t>
      </w:r>
    </w:p>
    <w:p>
      <w:pPr>
        <w:spacing w:after="0" w:line="203" w:lineRule="exact"/>
        <w:rPr>
          <w:sz w:val="20"/>
          <w:szCs w:val="20"/>
          <w:color w:val="auto"/>
        </w:rPr>
      </w:pPr>
    </w:p>
    <w:p>
      <w:pPr>
        <w:ind w:left="40" w:right="59" w:firstLine="648"/>
        <w:spacing w:after="0" w:line="342"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approval Requirements</w:t>
      </w:r>
    </w:p>
    <w:p>
      <w:pPr>
        <w:spacing w:after="0" w:line="225"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Phase 4 clinical trials, REMS, and surveillance to assess safety and effectiveness after commercialization.</w:t>
      </w:r>
    </w:p>
    <w:p>
      <w:pPr>
        <w:spacing w:after="0" w:line="166"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PGothic" w:cs="MS PGothic" w:eastAsia="MS PGothic" w:hAnsi="MS PGothic"/>
          <w:sz w:val="17"/>
          <w:szCs w:val="17"/>
          <w:color w:val="auto"/>
        </w:rPr>
        <w:t>‑</w:t>
      </w:r>
      <w:r>
        <w:rPr>
          <w:rFonts w:ascii="Arial" w:cs="Arial" w:eastAsia="Arial" w:hAnsi="Arial"/>
          <w:sz w:val="17"/>
          <w:szCs w:val="17"/>
          <w:color w:val="auto"/>
        </w:rPr>
        <w:t>party manufacturers.</w:t>
      </w:r>
    </w:p>
    <w:p>
      <w:pPr>
        <w:spacing w:after="0" w:line="206" w:lineRule="exact"/>
        <w:rPr>
          <w:sz w:val="20"/>
          <w:szCs w:val="20"/>
          <w:color w:val="auto"/>
        </w:rPr>
      </w:pPr>
    </w:p>
    <w:p>
      <w:pPr>
        <w:ind w:left="40" w:right="79" w:firstLine="648"/>
        <w:spacing w:after="0" w:line="219" w:lineRule="exact"/>
        <w:rPr>
          <w:sz w:val="20"/>
          <w:szCs w:val="20"/>
          <w:color w:val="auto"/>
        </w:rPr>
      </w:pPr>
      <w:r>
        <w:rPr>
          <w:rFonts w:ascii="Arial" w:cs="Arial" w:eastAsia="Arial" w:hAnsi="Arial"/>
          <w:sz w:val="17"/>
          <w:szCs w:val="17"/>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that the sponsor may decide to use. Accordingly, manufacturers must continue to expend time, money, and effort in the area of production and quality control to maintain cGMP compliance.</w:t>
      </w:r>
    </w:p>
    <w:p>
      <w:pPr>
        <w:spacing w:after="0" w:line="205"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7"/>
          <w:szCs w:val="17"/>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7"/>
          <w:szCs w:val="17"/>
          <w:color w:val="auto"/>
        </w:rPr>
        <w:t>‑</w:t>
      </w:r>
      <w:r>
        <w:rPr>
          <w:rFonts w:ascii="Arial" w:cs="Arial" w:eastAsia="Arial" w:hAnsi="Arial"/>
          <w:sz w:val="17"/>
          <w:szCs w:val="17"/>
          <w:color w:val="auto"/>
        </w:rPr>
        <w:t>label uses, and a company that is found to have improperly promoted off</w:t>
      </w:r>
      <w:r>
        <w:rPr>
          <w:rFonts w:ascii="MS PGothic" w:cs="MS PGothic" w:eastAsia="MS PGothic" w:hAnsi="MS PGothic"/>
          <w:sz w:val="17"/>
          <w:szCs w:val="17"/>
          <w:color w:val="auto"/>
        </w:rPr>
        <w:t>‑</w:t>
      </w:r>
      <w:r>
        <w:rPr>
          <w:rFonts w:ascii="Arial" w:cs="Arial" w:eastAsia="Arial" w:hAnsi="Arial"/>
          <w:sz w:val="17"/>
          <w:szCs w:val="17"/>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False Claims Act exposure. Further, the FDA has not materially changed its position on off-label promotion following legal setbacks on First Amendment grounds and the DOJ has consistently asserted in FCA briefings that “speech that serves as a conduit for violations of the law is not constitutionally protected.”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The Drug Supply Chain Security Act, or DSCSA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Product identifier information (an aspect of the product tracing scheme) is also now required. The DSCSA requirements, development of standards, and the system for product tracing have been and will continue to be phased in over a period of years through 2023, and subject companies will need to continue their implementation efforts. Many states still have in place licensure and other requirements for manufacturers and distributors of drug products. The distribution of product samples continues to be regulated under the PDMA, and some states also impose regulations on drug sample distribution.</w:t>
      </w:r>
    </w:p>
    <w:p>
      <w:pPr>
        <w:spacing w:after="0" w:line="171"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w:t>
      </w:r>
      <w:r>
        <w:rPr>
          <w:rFonts w:ascii="MS PGothic" w:cs="MS PGothic" w:eastAsia="MS PGothic" w:hAnsi="MS PGothic"/>
          <w:sz w:val="17"/>
          <w:szCs w:val="17"/>
          <w:color w:val="auto"/>
        </w:rPr>
        <w:t>‑</w:t>
      </w:r>
      <w:r>
        <w:rPr>
          <w:rFonts w:ascii="Arial" w:cs="Arial" w:eastAsia="Arial" w:hAnsi="Arial"/>
          <w:sz w:val="17"/>
          <w:szCs w:val="17"/>
          <w:color w:val="auto"/>
        </w:rPr>
        <w: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Fraud and Abuse, and Transparency Laws and Regulations</w:t>
      </w:r>
    </w:p>
    <w:p>
      <w:pPr>
        <w:spacing w:after="0" w:line="225"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7"/>
          <w:szCs w:val="17"/>
          <w:color w:val="auto"/>
        </w:rPr>
        <w:t>Our business activities, including but not limited to research, sales, promotion, marketing, distribution, medical education, sponsorships, relationships with prescribers and other referral sources,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or CMS the Office of Inspector General, or OIG, and the Health Resources and Services Administration, or HRSA, the Department of Veterans Affairs, the Department of Defense, and certain state and local governments. Our business activities must comply with numerous healthcare laws, including but not limited to, anti</w:t>
      </w:r>
      <w:r>
        <w:rPr>
          <w:rFonts w:ascii="MS PGothic" w:cs="MS PGothic" w:eastAsia="MS PGothic" w:hAnsi="MS PGothic"/>
          <w:sz w:val="17"/>
          <w:szCs w:val="17"/>
          <w:color w:val="auto"/>
        </w:rPr>
        <w:t>‑</w:t>
      </w:r>
      <w:r>
        <w:rPr>
          <w:rFonts w:ascii="Arial" w:cs="Arial" w:eastAsia="Arial" w:hAnsi="Arial"/>
          <w:sz w:val="17"/>
          <w:szCs w:val="17"/>
          <w:color w:val="auto"/>
        </w:rPr>
        <w:t>kickback and false claims laws and regulations as well as data privacy and security laws and regulations, which are described below.</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firstLine="648"/>
        <w:spacing w:after="0" w:line="284" w:lineRule="auto"/>
        <w:rPr>
          <w:sz w:val="20"/>
          <w:szCs w:val="20"/>
          <w:color w:val="auto"/>
        </w:rPr>
      </w:pPr>
      <w:r>
        <w:rPr>
          <w:rFonts w:ascii="Arial" w:cs="Arial" w:eastAsia="Arial" w:hAnsi="Arial"/>
          <w:sz w:val="16"/>
          <w:szCs w:val="16"/>
          <w:color w:val="auto"/>
        </w:rPr>
        <w:t>The federal Anti 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 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 Kickback Statute. Instead, the legality of the arrangement will be evaluated on a case by case basis based on a cumulative review of all of its facts and circumstances to determine whether one purpose of an arrangement involving remuneration is to induce referrals of federal healthcare covered business. The Patient Protection and Affordable Care Act, or ACA, of 2010, as amended, modified the intent requirement under the Anti Kickback Statute to a stricter standard, such that a person or entity no longer needs to have actual knowledge of the statute or specific intent to violate it in order to have committed a violation. The ACA further amended the federal civil False Claims Act to provide that a claim that includes items or services resulting from a violation of the federal Anti-Kickback Statute constitutes a false or fraudulent claim under the False Claims Act. Therefore, either the federal government or private citizens under the False Claims Act’s qui tam provisions (discussed further below) can bring an action under the False Claims Act for violations of the Anti-Kickback Statute, potentially exposing an alleged violator to substantial monetary damages and penalties. Certain Anti-Kickback safe harbor provisions that protect the rebates paid by drug manufacturers to third parties may also be repealed or materially revised, as contemplated in a recent regulatory proposal.</w:t>
      </w:r>
    </w:p>
    <w:p>
      <w:pPr>
        <w:spacing w:after="0" w:line="177"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The government has asserted False Claims Act liability against manufacturers by alleging that improper arrangements with ordering physicians caused them or another provider to file false claims in violation of the False Claims Act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(EHR) vendors and pharmaceutical manufacturers for remunerative relationships involving the EHR platform’s recommendation of particular drugs and “prompting” technology to increase prescribing of particular drugs.</w:t>
      </w:r>
    </w:p>
    <w:p>
      <w:pPr>
        <w:spacing w:after="0" w:line="186" w:lineRule="exact"/>
        <w:rPr>
          <w:sz w:val="20"/>
          <w:szCs w:val="20"/>
          <w:color w:val="auto"/>
        </w:rPr>
      </w:pPr>
    </w:p>
    <w:p>
      <w:pPr>
        <w:jc w:val="both"/>
        <w:ind w:left="40" w:right="99" w:firstLine="648"/>
        <w:spacing w:after="0" w:line="255" w:lineRule="auto"/>
        <w:rPr>
          <w:sz w:val="20"/>
          <w:szCs w:val="20"/>
          <w:color w:val="auto"/>
        </w:rPr>
      </w:pPr>
      <w:r>
        <w:rPr>
          <w:rFonts w:ascii="Arial" w:cs="Arial" w:eastAsia="Arial" w:hAnsi="Arial"/>
          <w:sz w:val="18"/>
          <w:szCs w:val="18"/>
          <w:color w:val="auto"/>
        </w:rPr>
        <w:t>The ACA further created new federal requirements for reporting under the Physician Payments Sunshine Act, or the Sunshine Act, by applicable manufacturers of covered drugs, payments and other transfers of value to physicians and teaching hospitals, and ownership and investment interests held by physicians and their immediate family members. 2018 legislation extended the Sunshine Act to cover payments and transfers of value to physician assistants, nurse practitioners, and other mid-level practitioners (with reporting requirements going into effect in 2022 for payments and transfers of value made in 2021).</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The federal civil False Claims Act, or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False Claims Act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Intent to deceive is not required to establish liability under the civil False Claims Act; however, a November 2017 Department of Justice memorandum now prohibits the use of subregulatory guidance documents to impose new or more stringent requirements on entities outside the Executive Branch of the federal government. Because the Department has experienced recent administration changes, it is unclear whether the new Attorney General will continue this policy. Civil False Claims Act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False Claims Act lawsuits against pharmaceutical companies have increased significantly in volume and breadth, leading to several substantial civil and criminal settlements, as much as $3.0 billion, regarding certain sales practices and promoting off-label drug uses. For example, civil False Claims Act liability may be imposed for Medicare or Medicaid overpayments arising out of claims that were filed by providers but alleged to have been caused by manufacturers’ incentives, impermissible discounts, or overpayments caused by understated rebate amounts. False Claims Act enforcement may also arise from claims filed as the result of manufacturing marketing materials that contained inaccurate statements or provided certain reimbursement guidance.</w:t>
      </w:r>
    </w:p>
    <w:p>
      <w:pPr>
        <w:spacing w:after="0" w:line="386"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civil False Claims Act, requires proof of intent to submit a false claim. Similarly, the criminal healthcare fraud statutes impose criminal liability for, among other things, knowingly and willfully attempting or executing a scheme to defraud any healthcare benefit program, including private third-party payors, obtaining money or property of a benefit program by false or fraudulent means, or falsifying, concealing, or covering up a material fact or submitting a materially false statement in connection with the delivery of, or payment form healthcare benefits, items, or services. These statutes are not limited to items and services reimbursed by a governmental health care program and have been used to prosecute commercial insurance fraud as well.</w:t>
      </w:r>
    </w:p>
    <w:p>
      <w:pPr>
        <w:spacing w:after="0" w:line="181"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99" w:firstLine="648"/>
        <w:spacing w:after="0" w:line="268" w:lineRule="auto"/>
        <w:rPr>
          <w:sz w:val="20"/>
          <w:szCs w:val="20"/>
          <w:color w:val="auto"/>
        </w:rPr>
      </w:pPr>
      <w:r>
        <w:rPr>
          <w:rFonts w:ascii="Arial" w:cs="Arial" w:eastAsia="Arial" w:hAnsi="Arial"/>
          <w:sz w:val="17"/>
          <w:szCs w:val="17"/>
          <w:color w:val="auto"/>
        </w:rPr>
        <w:t>The exclusion statute requires the exclusion of entities and individuals who have been convicted of federal-program related crimes or health care felony fraud or controlled substance charges. The statute also permits the exclusion of those that have been convicted of any form of fraud, the anti-kickback statute, for obstructing an investigation or audit, misdemeanor controlled substance charges, those whose health care license has been revoked or suspended, and those who have filed claims for excessive charges or unnecessary services. If a company were to be excluded, its products would be ineligible for reimbursement from any federal programs, including Medicare and Medicaid, and no other entity participating in those programs would be permitted to enter into contracts with the company.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186"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7"/>
          <w:szCs w:val="17"/>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Application, or BLA, or an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w:t>
      </w:r>
      <w:r>
        <w:rPr>
          <w:rFonts w:ascii="MS PGothic" w:cs="MS PGothic" w:eastAsia="MS PGothic" w:hAnsi="MS PGothic"/>
          <w:sz w:val="17"/>
          <w:szCs w:val="17"/>
          <w:color w:val="auto"/>
        </w:rPr>
        <w:t>‑</w:t>
      </w:r>
      <w:r>
        <w:rPr>
          <w:rFonts w:ascii="Arial" w:cs="Arial" w:eastAsia="Arial" w:hAnsi="Arial"/>
          <w:sz w:val="17"/>
          <w:szCs w:val="17"/>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risk of submitting false information to the government, and resulting potential FCA liability.</w:t>
      </w:r>
    </w:p>
    <w:p>
      <w:pPr>
        <w:spacing w:after="0" w:line="207" w:lineRule="exact"/>
        <w:rPr>
          <w:sz w:val="20"/>
          <w:szCs w:val="20"/>
          <w:color w:val="auto"/>
        </w:rPr>
      </w:pPr>
    </w:p>
    <w:p>
      <w:pPr>
        <w:ind w:left="40" w:right="79" w:firstLine="648"/>
        <w:spacing w:after="0" w:line="290" w:lineRule="auto"/>
        <w:rPr>
          <w:sz w:val="20"/>
          <w:szCs w:val="20"/>
          <w:color w:val="auto"/>
        </w:rPr>
      </w:pPr>
      <w:r>
        <w:rPr>
          <w:rFonts w:ascii="Arial" w:cs="Arial" w:eastAsia="Arial" w:hAnsi="Arial"/>
          <w:sz w:val="16"/>
          <w:szCs w:val="16"/>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HRSA within Department of Health and Human Services. Manufacturers can be audited by HRSA and be subjected to civil monetary penalties for knowingly and intentionally overcharging covered entities for drugs.</w:t>
      </w:r>
    </w:p>
    <w:p>
      <w:pPr>
        <w:spacing w:after="0" w:line="165"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8"/>
          <w:szCs w:val="18"/>
          <w:color w:val="auto"/>
        </w:rPr>
        <w:t>The federal Health Insurance Portability and Accountability Act of 1996, or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The ACA, as amended, modified the intent requirement under the certain portions of these federal criminal statutes such that a person or entity no longer needs to have actual knowledge of the statute or specific intent to violate it.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Further, we may be subject to data privacy and security regulation by both the federal government and the states in which we conduct our business. HIPAA, as amended by the Health Information Technology for Economic and Clinical Health Act, or HITECH, and its respective implementing regulations, extended certain requirements relating to the privacy, security, and transmission of individually identifiable health information directly to business associates of HIPAA-covered entities. A business associate is defined as a person or organization, other than a member of a covered entity’s workforce, that performs certain functions or activities that involve the use or disclosure of protected health information on behalf of, or provides services to, a covered entity. We are not a covered entity under HIPAA but in certain limited situations, we may be considered a business associate.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174" w:lineRule="exact"/>
        <w:rPr>
          <w:sz w:val="20"/>
          <w:szCs w:val="20"/>
          <w:color w:val="auto"/>
        </w:rPr>
      </w:pPr>
    </w:p>
    <w:p>
      <w:pPr>
        <w:ind w:left="40" w:right="139" w:firstLine="648"/>
        <w:spacing w:after="0" w:line="270" w:lineRule="auto"/>
        <w:rPr>
          <w:sz w:val="20"/>
          <w:szCs w:val="20"/>
          <w:color w:val="auto"/>
        </w:rPr>
      </w:pPr>
      <w:r>
        <w:rPr>
          <w:rFonts w:ascii="Arial" w:cs="Arial" w:eastAsia="Arial" w:hAnsi="Arial"/>
          <w:sz w:val="17"/>
          <w:szCs w:val="17"/>
          <w:color w:val="auto"/>
        </w:rPr>
        <w:t>Even for entities that are not deemed “covered entities” or “business associates” under HIPAA, according to the United States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181"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color w:val="auto"/>
        </w:rPr>
        <w:t>In addition, other federal and state laws may govern the privacy and security of health and other information in certain circumstances, many of which differ from each other in significant ways and may not have the same effect, thus complicating compliance efforts. For example, California recently enacted legislation – the California Consumer Privacy Act, or CCPA, was made effective January 1, 2020. The CCPA, among other things, created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and it remains unclear what language the final Attorney General regulations will contain or how the statute and the regulations will be interpreted.</w:t>
      </w:r>
    </w:p>
    <w:p>
      <w:pPr>
        <w:spacing w:after="0" w:line="182"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w:t>
      </w:r>
      <w:r>
        <w:rPr>
          <w:rFonts w:ascii="MS PGothic" w:cs="MS PGothic" w:eastAsia="MS PGothic" w:hAnsi="MS PGothic"/>
          <w:sz w:val="17"/>
          <w:szCs w:val="17"/>
          <w:color w:val="auto"/>
        </w:rPr>
        <w:t>‑</w:t>
      </w:r>
      <w:r>
        <w:rPr>
          <w:rFonts w:ascii="Arial" w:cs="Arial" w:eastAsia="Arial" w:hAnsi="Arial"/>
          <w:sz w:val="17"/>
          <w:szCs w:val="17"/>
          <w:color w:val="auto"/>
        </w:rPr>
        <w:t>party payor, including commercial insurers, and some have transparency laws that require reporting price increases and related information. Certain state laws also regulate manufacturers’ use of prescriber</w:t>
      </w:r>
      <w:r>
        <w:rPr>
          <w:rFonts w:ascii="MS PGothic" w:cs="MS PGothic" w:eastAsia="MS PGothic" w:hAnsi="MS PGothic"/>
          <w:sz w:val="17"/>
          <w:szCs w:val="17"/>
          <w:color w:val="auto"/>
        </w:rPr>
        <w:t>‑</w:t>
      </w:r>
      <w:r>
        <w:rPr>
          <w:rFonts w:ascii="Arial" w:cs="Arial" w:eastAsia="Arial" w:hAnsi="Arial"/>
          <w:sz w:val="17"/>
          <w:szCs w:val="17"/>
          <w:color w:val="auto"/>
        </w:rPr>
        <w:t>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19" w:firstLine="648"/>
        <w:spacing w:after="0" w:line="289"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66" w:lineRule="exact"/>
        <w:rPr>
          <w:sz w:val="20"/>
          <w:szCs w:val="20"/>
          <w:color w:val="auto"/>
        </w:rPr>
      </w:pPr>
    </w:p>
    <w:p>
      <w:pPr>
        <w:ind w:left="40" w:right="239" w:firstLine="648"/>
        <w:spacing w:after="0" w:line="293" w:lineRule="auto"/>
        <w:rPr>
          <w:sz w:val="20"/>
          <w:szCs w:val="20"/>
          <w:color w:val="auto"/>
        </w:rPr>
      </w:pPr>
      <w:r>
        <w:rPr>
          <w:rFonts w:ascii="Arial" w:cs="Arial" w:eastAsia="Arial" w:hAnsi="Arial"/>
          <w:sz w:val="16"/>
          <w:szCs w:val="16"/>
          <w:color w:val="auto"/>
        </w:rPr>
        <w:t>If our operations are found to be in violation of any of the laws or regulations described above or any other laws that apply to us, we may be subject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 the extent that any of our products are sold in a foreign country, we may be subject to similar foreign laws and</w:t>
      </w:r>
    </w:p>
    <w:p>
      <w:pPr>
        <w:spacing w:after="0" w:line="46"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regulations, which may include, for instance, applicable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including safety surveillance,</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fraud and abuse laws, and implementation of corporate compliance programs and reporting of payments or transfers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value to healthcare professionals.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Coverage and Reimbursement Generally</w:t>
      </w:r>
    </w:p>
    <w:p>
      <w:pPr>
        <w:spacing w:after="0" w:line="225"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The commercial success of our product candidates and our ability to commercialize any approved product candidates successfully will depend in part on the extent to which governmental payor programs at the federal and state levels, including Medicare and Medicaid, private health insurers,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provide coverage for and establish adequate reimbursement levels for our product candidates. Government authorities, private health insurers, and other organizations generally decide which drugs they will pay for and establish reimbursement levels and potential access restrictions. Medicare is a federally funded program managed by the Centers for Medicare and Medicaid Services, or CMS, through local contractors that administer coverage and reimbursement for certain healthcare items and services furnished to the elderly and disabled. Medicaid is an insurance program for certain categories of patients whose income and assets fall below state</w:t>
      </w:r>
      <w:r>
        <w:rPr>
          <w:rFonts w:ascii="MS PGothic" w:cs="MS PGothic" w:eastAsia="MS PGothic" w:hAnsi="MS PGothic"/>
          <w:sz w:val="16"/>
          <w:szCs w:val="16"/>
          <w:color w:val="auto"/>
        </w:rPr>
        <w:t>‑</w:t>
      </w:r>
      <w:r>
        <w:rPr>
          <w:rFonts w:ascii="Arial" w:cs="Arial" w:eastAsia="Arial" w:hAnsi="Arial"/>
          <w:sz w:val="16"/>
          <w:szCs w:val="16"/>
          <w:color w:val="auto"/>
        </w:rPr>
        <w:t>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prioritize coverage for drugs on the state Preferred Drug List. Similarly, government laws and regulations establish the parameters for coverage of prescription drugs by Tricare, the health care program for military personnel, retirees, and related beneficiaries. Many states have also created pharmacy assistance programs for individuals who do not qualify for federal programs. In the United States, private health insurers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often provide reimbursement for products and services based on the level at which the government provides reimbursement through the Medicare or Medicaid programs for such products and services.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6"/>
          <w:szCs w:val="16"/>
          <w:color w:val="auto"/>
        </w:rPr>
        <w:t>In the United States, the European Union, and other potentially significant markets for our product candidates, government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attempting to limit or regulate the price of medical products and services, particularly for new and innovative products and therapies, which often has resulted in average selling prices lower than they would otherwise be. For example, in the United States, federal and state governments reimburse covered prescription drugs at varying rates generally below average wholesale price. Governmental and private payors may also establish certain access restrictions, such as prior approvals or evidence of failure on existing medications or therapies. These restrictions and limitations influence the purchase of healthcare services and products. Third</w:t>
      </w:r>
      <w:r>
        <w:rPr>
          <w:rFonts w:ascii="MS PGothic" w:cs="MS PGothic" w:eastAsia="MS PGothic" w:hAnsi="MS PGothic"/>
          <w:sz w:val="16"/>
          <w:szCs w:val="16"/>
          <w:color w:val="auto"/>
        </w:rPr>
        <w:t>‑</w:t>
      </w:r>
      <w:r>
        <w:rPr>
          <w:rFonts w:ascii="Arial" w:cs="Arial" w:eastAsia="Arial" w:hAnsi="Arial"/>
          <w:sz w:val="16"/>
          <w:szCs w:val="16"/>
          <w:color w:val="auto"/>
        </w:rPr>
        <w:t>party payors are developing increasingly sophisticated methods of controlling healthcare costs. Third</w:t>
      </w:r>
      <w:r>
        <w:rPr>
          <w:rFonts w:ascii="MS PGothic" w:cs="MS PGothic" w:eastAsia="MS PGothic" w:hAnsi="MS PGothic"/>
          <w:sz w:val="16"/>
          <w:szCs w:val="16"/>
          <w:color w:val="auto"/>
        </w:rPr>
        <w:t>‑</w:t>
      </w:r>
      <w:r>
        <w:rPr>
          <w:rFonts w:ascii="Arial" w:cs="Arial" w:eastAsia="Arial" w:hAnsi="Arial"/>
          <w:sz w:val="16"/>
          <w:szCs w:val="16"/>
          <w:color w:val="auto"/>
        </w:rPr>
        <w:t>party payors may limit coverage to specific drug products on an approved list, or formulary, which might not include all of the FDA</w:t>
      </w:r>
      <w:r>
        <w:rPr>
          <w:rFonts w:ascii="MS PGothic" w:cs="MS PGothic" w:eastAsia="MS PGothic" w:hAnsi="MS PGothic"/>
          <w:sz w:val="16"/>
          <w:szCs w:val="16"/>
          <w:color w:val="auto"/>
        </w:rPr>
        <w:t>‑</w:t>
      </w:r>
      <w:r>
        <w:rPr>
          <w:rFonts w:ascii="Arial" w:cs="Arial" w:eastAsia="Arial" w:hAnsi="Arial"/>
          <w:sz w:val="16"/>
          <w:szCs w:val="16"/>
          <w:color w:val="auto"/>
        </w:rPr>
        <w:t>approved drug products for a particular indication. Third</w:t>
      </w:r>
      <w:r>
        <w:rPr>
          <w:rFonts w:ascii="MS PGothic" w:cs="MS PGothic" w:eastAsia="MS PGothic" w:hAnsi="MS PGothic"/>
          <w:sz w:val="16"/>
          <w:szCs w:val="16"/>
          <w:color w:val="auto"/>
        </w:rPr>
        <w:t>‑</w:t>
      </w:r>
      <w:r>
        <w:rPr>
          <w:rFonts w:ascii="Arial" w:cs="Arial" w:eastAsia="Arial" w:hAnsi="Arial"/>
          <w:sz w:val="16"/>
          <w:szCs w:val="16"/>
          <w:color w:val="auto"/>
        </w:rPr>
        <w:t>party payors also control costs by requiring prior authorization or imposing other dispensing restrictions before covering certain products and by broadening therapeutic classes to increase competition.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challenging the price and examining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medical products and services, in addition to their safety and efficacy. Absent clinical differentiators, third</w:t>
      </w:r>
      <w:r>
        <w:rPr>
          <w:rFonts w:ascii="MS PGothic" w:cs="MS PGothic" w:eastAsia="MS PGothic" w:hAnsi="MS PGothic"/>
          <w:sz w:val="16"/>
          <w:szCs w:val="16"/>
          <w:color w:val="auto"/>
        </w:rPr>
        <w:t>‑</w:t>
      </w:r>
      <w:r>
        <w:rPr>
          <w:rFonts w:ascii="Arial" w:cs="Arial" w:eastAsia="Arial" w:hAnsi="Arial"/>
          <w:sz w:val="16"/>
          <w:szCs w:val="16"/>
          <w:color w:val="auto"/>
        </w:rPr>
        <w:t>party payors may treat products as therapeutically equivalent and base formulary decisions on net cost. To lower the prescription cost, manufacturers frequently rebate a portion of the prescription price to the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2"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95" w:lineRule="exact"/>
        <w:rPr>
          <w:sz w:val="20"/>
          <w:szCs w:val="20"/>
          <w:color w:val="auto"/>
        </w:rPr>
      </w:pPr>
    </w:p>
    <w:p>
      <w:pPr>
        <w:ind w:left="40" w:right="179" w:firstLine="648"/>
        <w:spacing w:after="0" w:line="296" w:lineRule="auto"/>
        <w:rPr>
          <w:sz w:val="20"/>
          <w:szCs w:val="20"/>
          <w:color w:val="auto"/>
        </w:rPr>
      </w:pPr>
      <w:r>
        <w:rPr>
          <w:rFonts w:ascii="Arial" w:cs="Arial" w:eastAsia="Arial" w:hAnsi="Arial"/>
          <w:sz w:val="16"/>
          <w:szCs w:val="16"/>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161"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7"/>
          <w:szCs w:val="17"/>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PGothic" w:cs="MS PGothic" w:eastAsia="MS PGothic" w:hAnsi="MS PGothic"/>
          <w:sz w:val="17"/>
          <w:szCs w:val="17"/>
          <w:color w:val="auto"/>
        </w:rPr>
        <w:t>‑</w:t>
      </w:r>
      <w:r>
        <w:rPr>
          <w:rFonts w:ascii="Arial" w:cs="Arial" w:eastAsia="Arial" w:hAnsi="Arial"/>
          <w:sz w:val="17"/>
          <w:szCs w:val="17"/>
          <w:color w:val="auto"/>
        </w:rPr>
        <w:t>party payors to reimburse all or part of the associated healthcare costs. Sales of our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208" w:lineRule="exact"/>
        <w:rPr>
          <w:sz w:val="20"/>
          <w:szCs w:val="20"/>
          <w:color w:val="auto"/>
        </w:rPr>
      </w:pPr>
    </w:p>
    <w:p>
      <w:pPr>
        <w:jc w:val="both"/>
        <w:ind w:left="40" w:right="219" w:firstLine="648"/>
        <w:spacing w:after="0" w:line="220" w:lineRule="exact"/>
        <w:rPr>
          <w:sz w:val="20"/>
          <w:szCs w:val="20"/>
          <w:color w:val="auto"/>
        </w:rPr>
      </w:pPr>
      <w:r>
        <w:rPr>
          <w:rFonts w:ascii="Arial" w:cs="Arial" w:eastAsia="Arial" w:hAnsi="Arial"/>
          <w:sz w:val="16"/>
          <w:szCs w:val="16"/>
          <w:color w:val="auto"/>
        </w:rPr>
        <w:t>As a result of the above, we may need to conduct expensive pharmacoeconomic studies in order to demonstrate the medical necessity and cost</w:t>
      </w:r>
      <w:r>
        <w:rPr>
          <w:rFonts w:ascii="MS PGothic" w:cs="MS PGothic" w:eastAsia="MS PGothic" w:hAnsi="MS PGothic"/>
          <w:sz w:val="16"/>
          <w:szCs w:val="16"/>
          <w:color w:val="auto"/>
        </w:rPr>
        <w:t>‑</w:t>
      </w:r>
      <w:r>
        <w:rPr>
          <w:rFonts w:ascii="Arial" w:cs="Arial" w:eastAsia="Arial" w:hAnsi="Arial"/>
          <w:sz w:val="16"/>
          <w:szCs w:val="16"/>
          <w:color w:val="auto"/>
        </w:rPr>
        <w:t>effectiveness of our products, in addition to the costs required to obtain the FDA and other comparable foreign regulatory authority approvals. Our product candidates may not be considered medically necessary or cost</w:t>
      </w:r>
      <w:r>
        <w:rPr>
          <w:rFonts w:ascii="MS PGothic" w:cs="MS PGothic" w:eastAsia="MS PGothic" w:hAnsi="MS PGothic"/>
          <w:sz w:val="16"/>
          <w:szCs w:val="16"/>
          <w:color w:val="auto"/>
        </w:rPr>
        <w:t>‑</w:t>
      </w:r>
      <w:r>
        <w:rPr>
          <w:rFonts w:ascii="Arial" w:cs="Arial" w:eastAsia="Arial" w:hAnsi="Arial"/>
          <w:sz w:val="16"/>
          <w:szCs w:val="16"/>
          <w:color w:val="auto"/>
        </w:rPr>
        <w:t>effective, or the rebate percentages required to secure coverage may not yield an adequate margin over cost.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85" w:lineRule="auto"/>
        <w:rPr>
          <w:sz w:val="20"/>
          <w:szCs w:val="20"/>
          <w:color w:val="auto"/>
        </w:rPr>
      </w:pPr>
      <w:r>
        <w:rPr>
          <w:rFonts w:ascii="Arial" w:cs="Arial" w:eastAsia="Arial" w:hAnsi="Arial"/>
          <w:sz w:val="16"/>
          <w:szCs w:val="16"/>
          <w:color w:val="auto"/>
        </w:rPr>
        <w:t>There is often pressure to renegotiate pricing and reimbursement levels, including, in particular, in connection with changes to Medicare. Third-party payors continue to demand discounted fee structures, and the trend toward consolidation among third-party payors tends to increase their bargaining power over price structures. If third-party payors reduce their rates for our products, then our revenue and profitability may decline and our operating margins will be reduced. Because some third-party payors rely on all or portions of Medicare payment systems to determine payment rates, changes to government healthcare programs that reduce payments under these programs may negatively impact payments from third-party payors. Our inability to maintain suitable financial arrangements with third-party payors could have a material adverse impact on our business. Additionally, the reimbursement process is complex and can involve lengthy delays. Third party payors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 party payors.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Any marketing efforts that are determined to have violated such policies could result in the denial or removal of our products from that hospital’s formulary.</w:t>
      </w:r>
    </w:p>
    <w:p>
      <w:pPr>
        <w:spacing w:after="0" w:line="387" w:lineRule="exact"/>
        <w:rPr>
          <w:sz w:val="20"/>
          <w:szCs w:val="20"/>
          <w:color w:val="auto"/>
        </w:rPr>
      </w:pPr>
    </w:p>
    <w:p>
      <w:pPr>
        <w:ind w:left="40" w:right="139" w:firstLine="648"/>
        <w:spacing w:after="0" w:line="218" w:lineRule="exact"/>
        <w:rPr>
          <w:sz w:val="20"/>
          <w:szCs w:val="20"/>
          <w:color w:val="auto"/>
        </w:rPr>
      </w:pPr>
      <w:r>
        <w:rPr>
          <w:rFonts w:ascii="Arial" w:cs="Arial" w:eastAsia="Arial" w:hAnsi="Arial"/>
          <w:sz w:val="16"/>
          <w:szCs w:val="16"/>
          <w:color w:val="auto"/>
        </w:rPr>
        <w:t>Moreover, a payor’s decision to provide coverage for a drug product does not imply that an adequate reimbursement rate will be approved. Adequate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w:t>
      </w:r>
      <w:r>
        <w:rPr>
          <w:rFonts w:ascii="MS PGothic" w:cs="MS PGothic" w:eastAsia="MS PGothic" w:hAnsi="MS PGothic"/>
          <w:sz w:val="16"/>
          <w:szCs w:val="16"/>
          <w:color w:val="auto"/>
        </w:rPr>
        <w:t>‑</w:t>
      </w:r>
      <w:r>
        <w:rPr>
          <w:rFonts w:ascii="Arial" w:cs="Arial" w:eastAsia="Arial" w:hAnsi="Arial"/>
          <w:sz w:val="16"/>
          <w:szCs w:val="16"/>
          <w:color w:val="auto"/>
        </w:rPr>
        <w:t>party coverage or adequate reimbursement for our product candidates in whole or in part.</w:t>
      </w:r>
    </w:p>
    <w:p>
      <w:pPr>
        <w:spacing w:after="0" w:line="202" w:lineRule="exact"/>
        <w:rPr>
          <w:sz w:val="20"/>
          <w:szCs w:val="20"/>
          <w:color w:val="auto"/>
        </w:rPr>
      </w:pPr>
    </w:p>
    <w:p>
      <w:pPr>
        <w:ind w:left="40" w:right="179" w:firstLine="648"/>
        <w:spacing w:after="0" w:line="259" w:lineRule="auto"/>
        <w:rPr>
          <w:sz w:val="20"/>
          <w:szCs w:val="20"/>
          <w:color w:val="auto"/>
        </w:rPr>
      </w:pPr>
      <w:r>
        <w:rPr>
          <w:rFonts w:ascii="Arial" w:cs="Arial" w:eastAsia="Arial" w:hAnsi="Arial"/>
          <w:sz w:val="18"/>
          <w:szCs w:val="18"/>
          <w:color w:val="auto"/>
        </w:rPr>
        <w:t>Pharmacy benefit managers, or PBM,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225" w:lineRule="exact"/>
        <w:rPr>
          <w:sz w:val="20"/>
          <w:szCs w:val="20"/>
          <w:color w:val="auto"/>
        </w:rPr>
      </w:pPr>
    </w:p>
    <w:p>
      <w:pPr>
        <w:ind w:left="40" w:right="259" w:firstLine="648"/>
        <w:spacing w:after="0" w:line="255"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For example, the Medicare Prescription Drug, Improvement, and Modernization Act of 2003, or MMA, established a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w:t>
      </w:r>
      <w:r>
        <w:rPr>
          <w:rFonts w:ascii="MS PGothic" w:cs="MS PGothic" w:eastAsia="MS PGothic" w:hAnsi="MS PGothic"/>
          <w:sz w:val="16"/>
          <w:szCs w:val="16"/>
          <w:color w:val="auto"/>
        </w:rPr>
        <w:t>‑</w:t>
      </w:r>
      <w:r>
        <w:rPr>
          <w:rFonts w:ascii="Arial" w:cs="Arial" w:eastAsia="Arial" w:hAnsi="Arial"/>
          <w:sz w:val="16"/>
          <w:szCs w:val="16"/>
          <w:color w:val="auto"/>
        </w:rPr>
        <w:t>governmental payors.</w:t>
      </w:r>
    </w:p>
    <w:p>
      <w:pPr>
        <w:spacing w:after="0" w:line="212"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7"/>
          <w:szCs w:val="17"/>
          <w:color w:val="auto"/>
        </w:rPr>
        <w:t>The ACA established the Patient-Centered Outcome Research Institute to organize and coordinate federally funded research to compare the effectiveness of different treatments for the same illness. Although the results of the comparative effectiveness studies are not intended to mandate coverage policies for public or private payors,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w:t>
      </w:r>
      <w:r>
        <w:rPr>
          <w:rFonts w:ascii="MS PGothic" w:cs="MS PGothic" w:eastAsia="MS PGothic" w:hAnsi="MS PGothic"/>
          <w:sz w:val="17"/>
          <w:szCs w:val="17"/>
          <w:color w:val="auto"/>
        </w:rPr>
        <w:t>‑</w:t>
      </w:r>
      <w:r>
        <w:rPr>
          <w:rFonts w:ascii="Arial" w:cs="Arial" w:eastAsia="Arial" w:hAnsi="Arial"/>
          <w:sz w:val="17"/>
          <w:szCs w:val="17"/>
          <w:color w:val="auto"/>
        </w:rPr>
        <w:t>party payors do not consider our product candidates to be cost</w:t>
      </w:r>
      <w:r>
        <w:rPr>
          <w:rFonts w:ascii="MS PGothic" w:cs="MS PGothic" w:eastAsia="MS PGothic" w:hAnsi="MS PGothic"/>
          <w:sz w:val="17"/>
          <w:szCs w:val="17"/>
          <w:color w:val="auto"/>
        </w:rPr>
        <w:t>‑</w:t>
      </w:r>
      <w:r>
        <w:rPr>
          <w:rFonts w:ascii="Arial" w:cs="Arial" w:eastAsia="Arial" w:hAnsi="Arial"/>
          <w:sz w:val="17"/>
          <w:szCs w:val="17"/>
          <w:color w:val="auto"/>
        </w:rPr>
        <w: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203" w:lineRule="exact"/>
        <w:rPr>
          <w:sz w:val="20"/>
          <w:szCs w:val="20"/>
          <w:color w:val="auto"/>
        </w:rPr>
      </w:pPr>
    </w:p>
    <w:p>
      <w:pPr>
        <w:ind w:left="40" w:right="59" w:firstLine="648"/>
        <w:spacing w:after="0" w:line="285" w:lineRule="auto"/>
        <w:rPr>
          <w:sz w:val="20"/>
          <w:szCs w:val="20"/>
          <w:color w:val="auto"/>
        </w:rPr>
      </w:pPr>
      <w:r>
        <w:rPr>
          <w:rFonts w:ascii="Arial" w:cs="Arial" w:eastAsia="Arial" w:hAnsi="Arial"/>
          <w:sz w:val="16"/>
          <w:szCs w:val="16"/>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 candidates.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99" w:firstLine="648"/>
        <w:spacing w:after="0" w:line="291" w:lineRule="auto"/>
        <w:rPr>
          <w:sz w:val="20"/>
          <w:szCs w:val="20"/>
          <w:color w:val="auto"/>
        </w:rPr>
      </w:pPr>
      <w:r>
        <w:rPr>
          <w:rFonts w:ascii="Arial" w:cs="Arial" w:eastAsia="Arial" w:hAnsi="Arial"/>
          <w:sz w:val="16"/>
          <w:szCs w:val="16"/>
          <w:color w:val="auto"/>
        </w:rPr>
        <w:t>The ACA also imposed an affirmative obligation to report and repay any overpayments, including those payments that resulted from violations of the Anti-Kickback Statute, false claims act, or civil monetary penalties statute, within sixty</w:t>
      </w:r>
    </w:p>
    <w:p>
      <w:pPr>
        <w:ind w:left="40" w:right="119" w:firstLine="4"/>
        <w:spacing w:after="0" w:line="255" w:lineRule="auto"/>
        <w:tabs>
          <w:tab w:leader="none" w:pos="385" w:val="left"/>
        </w:tabs>
        <w:numPr>
          <w:ilvl w:val="0"/>
          <w:numId w:val="8"/>
        </w:numPr>
        <w:rPr>
          <w:rFonts w:ascii="Arial" w:cs="Arial" w:eastAsia="Arial" w:hAnsi="Arial"/>
          <w:sz w:val="18"/>
          <w:szCs w:val="18"/>
          <w:color w:val="auto"/>
        </w:rPr>
      </w:pPr>
      <w:r>
        <w:rPr>
          <w:rFonts w:ascii="Arial" w:cs="Arial" w:eastAsia="Arial" w:hAnsi="Arial"/>
          <w:sz w:val="18"/>
          <w:szCs w:val="18"/>
          <w:color w:val="auto"/>
        </w:rPr>
        <w:t>days after such overpayment has been identified. Corresponding case law imposes an obligation on entities to exercise reasonable diligence in identifying such overpayments. The failure to timely report and repay is, itself, considered to constitute a violation of the False Claims Act.</w:t>
      </w:r>
    </w:p>
    <w:p>
      <w:pPr>
        <w:spacing w:after="0" w:line="190" w:lineRule="exact"/>
        <w:rPr>
          <w:sz w:val="20"/>
          <w:szCs w:val="20"/>
          <w:color w:val="auto"/>
        </w:rPr>
      </w:pPr>
    </w:p>
    <w:p>
      <w:pPr>
        <w:ind w:left="40" w:right="79" w:firstLine="648"/>
        <w:spacing w:after="0" w:line="283" w:lineRule="auto"/>
        <w:rPr>
          <w:sz w:val="20"/>
          <w:szCs w:val="20"/>
          <w:color w:val="auto"/>
        </w:rPr>
      </w:pPr>
      <w:r>
        <w:rPr>
          <w:rFonts w:ascii="Arial" w:cs="Arial" w:eastAsia="Arial" w:hAnsi="Arial"/>
          <w:sz w:val="16"/>
          <w:szCs w:val="16"/>
          <w:color w:val="auto"/>
        </w:rPr>
        <w:t>The cost of pharmaceuticals continues to generate substantial governmental and third party payor interest, and pharmaceutical pricing and marketing currently received a great deal of Congressional and administrative attention. There have been numerous initiatives on the federal and state levels in the United States for comprehensive reforms affecting the payment for, the availability of, and reimbursement for, healthcare services. In particular,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 Recent U.S. Congressional inquiries and proposed and enacted federal and state legislation have also been released and are designed to, among other things, bring more transparency to drug pricing, reduce the cost of prescription drugs under Medicare, review the relationship between pricing and manufacturer patient programs and reform government program reimbursement methodologies for drugs. Recent federal budget proposals have included measures to permit Medicare Part D plans to negotiate the price of certain drugs under Medicare Part B, to allow some states to negotiate drug prices under Medicaid, and to eliminate cost sharing for generic drugs for low-income patients. The U.S. Congress and the Trump Administration have indicated that they will continue to seek new legislative and administrative measures to control drug costs, including by addressing the role of PBMs in the supply chain. Current and future U.S. legislative healthcare reforms may result in price controls and other restrictions for any approved products, if covered, and could seriously harm our business. Drug pricing is and will remain a key bipartisan issue in the coming year. If drug pricing reform is not meaningfully addressed before the 2020 election, policies to be pursued in the future may be more aggressive, regardless of which party controls the White House. Given that drug pricing controls is a key legislative and administration priority, it is likely that additional pricing controls will be enacted and could harm our business, financial condition and results of operations.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states, such as California, have enacted transparency laws that require manufacturers to report drug price increases and related information. The boom in state laws targeting drug pricing is unprecedented and the requirements are not uniform from state to state, creating additional compliance and commercialization challenges for manufacturers. We further expect that the pharmaceutical industry will experience pricing pressures due to the trend toward managed healthcare, the increasing influence of managed care organizations, judicial interpretation of health care reform efforts, and additional legislative and regulatory proposals resulting in ongoing, relatively rapid changes to applicable laws and regulations. Our results of operations could be adversely affected by current and future healthcare reforms.</w:t>
      </w:r>
    </w:p>
    <w:p>
      <w:pPr>
        <w:spacing w:after="0" w:line="188" w:lineRule="exact"/>
        <w:rPr>
          <w:sz w:val="20"/>
          <w:szCs w:val="20"/>
          <w:color w:val="auto"/>
        </w:rPr>
      </w:pPr>
    </w:p>
    <w:p>
      <w:pPr>
        <w:ind w:left="40" w:right="139" w:firstLine="648"/>
        <w:spacing w:after="0" w:line="218" w:lineRule="exact"/>
        <w:rPr>
          <w:sz w:val="20"/>
          <w:szCs w:val="20"/>
          <w:color w:val="auto"/>
        </w:rPr>
      </w:pPr>
      <w:r>
        <w:rPr>
          <w:rFonts w:ascii="Arial" w:cs="Arial" w:eastAsia="Arial" w:hAnsi="Arial"/>
          <w:sz w:val="16"/>
          <w:szCs w:val="16"/>
          <w:color w:val="auto"/>
        </w:rPr>
        <w:t>Government and private payors also increasingly require pre</w:t>
      </w:r>
      <w:r>
        <w:rPr>
          <w:rFonts w:ascii="MS PGothic" w:cs="MS PGothic" w:eastAsia="MS PGothic" w:hAnsi="MS PGothic"/>
          <w:sz w:val="16"/>
          <w:szCs w:val="16"/>
          <w:color w:val="auto"/>
        </w:rPr>
        <w:t>‑</w:t>
      </w:r>
      <w:r>
        <w:rPr>
          <w:rFonts w:ascii="Arial" w:cs="Arial" w:eastAsia="Arial" w:hAnsi="Arial"/>
          <w:sz w:val="16"/>
          <w:szCs w:val="16"/>
          <w:color w:val="auto"/>
        </w:rPr>
        <w:t>approval of coverage for new or innovative devices or drug therapies or condition coverage on unsuccessful alternative treatment before they will reimburse healthcare providers that use such therapies. For some specialty drugs, payors are conditioning payment on successful treatment measured by objective metrics. While we cannot predict whether any proposed cost</w:t>
      </w:r>
      <w:r>
        <w:rPr>
          <w:rFonts w:ascii="MS PGothic" w:cs="MS PGothic" w:eastAsia="MS PGothic" w:hAnsi="MS PGothic"/>
          <w:sz w:val="16"/>
          <w:szCs w:val="16"/>
          <w:color w:val="auto"/>
        </w:rPr>
        <w:t>‑</w:t>
      </w:r>
      <w:r>
        <w:rPr>
          <w:rFonts w:ascii="Arial" w:cs="Arial" w:eastAsia="Arial" w:hAnsi="Arial"/>
          <w:sz w:val="16"/>
          <w:szCs w:val="16"/>
          <w:color w:val="auto"/>
        </w:rPr>
        <w:t>containment measures will be adopted or otherwise implemented in the future, the announcement or adoption of these proposals could have a material adverse effect on our ability to obtain adequate prices for our product candidates and operate profitably.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85" w:lineRule="auto"/>
        <w:rPr>
          <w:sz w:val="20"/>
          <w:szCs w:val="20"/>
          <w:color w:val="auto"/>
        </w:rPr>
      </w:pPr>
      <w:r>
        <w:rPr>
          <w:rFonts w:ascii="Arial" w:cs="Arial" w:eastAsia="Arial" w:hAnsi="Arial"/>
          <w:sz w:val="16"/>
          <w:szCs w:val="16"/>
          <w:color w:val="auto"/>
        </w:rPr>
        <w:t xml:space="preserve">Since January 2017, Congress and the Trump Administration have been engaged in various efforts to repeal or materially modify various aspects of ACA. The results and effects of such ongoing efforts have varied after facing judicial and Congressional challenges, but could affect our business operations and prospects in unknown ways, and it is unclear how ACA and other laws ultimately will be implemented. For example, on December 15, 2019, a federal district court in Texas struck down the ACA in its entirety, finding that the Tax Cuts and Jobs Act of 2017 (TCJA) rendered the individual mandate unconstitutional. The judge further concluded in </w:t>
      </w:r>
      <w:r>
        <w:rPr>
          <w:rFonts w:ascii="Arial" w:cs="Arial" w:eastAsia="Arial" w:hAnsi="Arial"/>
          <w:sz w:val="16"/>
          <w:szCs w:val="16"/>
          <w:i w:val="1"/>
          <w:iCs w:val="1"/>
          <w:color w:val="auto"/>
        </w:rPr>
        <w:t>Texas v. Azar</w:t>
      </w:r>
      <w:r>
        <w:rPr>
          <w:rFonts w:ascii="Arial" w:cs="Arial" w:eastAsia="Arial" w:hAnsi="Arial"/>
          <w:sz w:val="16"/>
          <w:szCs w:val="16"/>
          <w:color w:val="auto"/>
        </w:rPr>
        <w:t xml:space="preserve"> that since the individual mandate is “essential” to the ACA, it could not be severed from the rest of the ACA and therefore, the entire ACA was unconstitutional. Despite its decision, however, the court did not issue an injunction and therefore, immediate compliance is not required. In addition, the Trump Administration announced that it will continue to administer the law until a formal decision is made by the U.S. Supreme Court. The Supreme Court recently announced that it will hear a challenge in </w:t>
      </w:r>
      <w:r>
        <w:rPr>
          <w:rFonts w:ascii="Arial" w:cs="Arial" w:eastAsia="Arial" w:hAnsi="Arial"/>
          <w:sz w:val="16"/>
          <w:szCs w:val="16"/>
          <w:i w:val="1"/>
          <w:iCs w:val="1"/>
          <w:color w:val="auto"/>
        </w:rPr>
        <w:t>Texas v. United States</w:t>
      </w:r>
      <w:r>
        <w:rPr>
          <w:rFonts w:ascii="Arial" w:cs="Arial" w:eastAsia="Arial" w:hAnsi="Arial"/>
          <w:sz w:val="16"/>
          <w:szCs w:val="16"/>
          <w:color w:val="auto"/>
        </w:rPr>
        <w:t xml:space="preserve">, though arguments have not yet been set. It is likely that the case will be scheduled for arguments early in the next term that starts in October 2020. Apart from </w:t>
      </w:r>
      <w:r>
        <w:rPr>
          <w:rFonts w:ascii="Arial" w:cs="Arial" w:eastAsia="Arial" w:hAnsi="Arial"/>
          <w:sz w:val="16"/>
          <w:szCs w:val="16"/>
          <w:i w:val="1"/>
          <w:iCs w:val="1"/>
          <w:color w:val="auto"/>
        </w:rPr>
        <w:t>Texas v. United States</w:t>
      </w:r>
      <w:r>
        <w:rPr>
          <w:rFonts w:ascii="Arial" w:cs="Arial" w:eastAsia="Arial" w:hAnsi="Arial"/>
          <w:sz w:val="16"/>
          <w:szCs w:val="16"/>
          <w:color w:val="auto"/>
        </w:rPr>
        <w:t>, ACA litigation continues across the country in district and appellate courts, and before the Supreme Court. The Supreme Court will issue at least two ACA-related decisions before the end of its current term: one on the risk corridors program (</w:t>
      </w:r>
      <w:r>
        <w:rPr>
          <w:rFonts w:ascii="Arial" w:cs="Arial" w:eastAsia="Arial" w:hAnsi="Arial"/>
          <w:sz w:val="16"/>
          <w:szCs w:val="16"/>
          <w:i w:val="1"/>
          <w:iCs w:val="1"/>
          <w:u w:val="single" w:color="auto"/>
          <w:color w:val="auto"/>
        </w:rPr>
        <w:t>Maine Community Health Options v. United States</w:t>
      </w:r>
      <w:r>
        <w:rPr>
          <w:rFonts w:ascii="Arial" w:cs="Arial" w:eastAsia="Arial" w:hAnsi="Arial"/>
          <w:sz w:val="16"/>
          <w:szCs w:val="16"/>
          <w:color w:val="auto"/>
        </w:rPr>
        <w:t>) and the other on religious or moral exemptions to the contraceptive mandate (</w:t>
      </w:r>
      <w:r>
        <w:rPr>
          <w:rFonts w:ascii="Arial" w:cs="Arial" w:eastAsia="Arial" w:hAnsi="Arial"/>
          <w:sz w:val="16"/>
          <w:szCs w:val="16"/>
          <w:i w:val="1"/>
          <w:iCs w:val="1"/>
          <w:u w:val="single" w:color="auto"/>
          <w:color w:val="auto"/>
        </w:rPr>
        <w:t>Trump v. Pennsylvania</w:t>
      </w:r>
      <w:r>
        <w:rPr>
          <w:rFonts w:ascii="Arial" w:cs="Arial" w:eastAsia="Arial" w:hAnsi="Arial"/>
          <w:sz w:val="16"/>
          <w:szCs w:val="16"/>
          <w:color w:val="auto"/>
        </w:rPr>
        <w:t xml:space="preserve"> and </w:t>
      </w:r>
      <w:r>
        <w:rPr>
          <w:rFonts w:ascii="Arial" w:cs="Arial" w:eastAsia="Arial" w:hAnsi="Arial"/>
          <w:sz w:val="16"/>
          <w:szCs w:val="16"/>
          <w:i w:val="1"/>
          <w:iCs w:val="1"/>
          <w:u w:val="single" w:color="auto"/>
          <w:color w:val="auto"/>
        </w:rPr>
        <w:t>Little Sisters of the Poor v.</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Pennsylvania</w:t>
      </w:r>
      <w:r>
        <w:rPr>
          <w:rFonts w:ascii="Arial" w:cs="Arial" w:eastAsia="Arial" w:hAnsi="Arial"/>
          <w:sz w:val="16"/>
          <w:szCs w:val="16"/>
          <w:color w:val="auto"/>
        </w:rPr>
        <w:t>). Both decisions are expected before July 2020. It is unclear how the eventual decisions from the Supreme</w:t>
      </w:r>
      <w:r>
        <w:rPr>
          <w:rFonts w:ascii="Arial" w:cs="Arial" w:eastAsia="Arial" w:hAnsi="Arial"/>
          <w:sz w:val="16"/>
          <w:szCs w:val="16"/>
          <w:i w:val="1"/>
          <w:iCs w:val="1"/>
          <w:color w:val="auto"/>
        </w:rPr>
        <w:t xml:space="preserve"> </w:t>
      </w:r>
      <w:r>
        <w:rPr>
          <w:rFonts w:ascii="Arial" w:cs="Arial" w:eastAsia="Arial" w:hAnsi="Arial"/>
          <w:sz w:val="16"/>
          <w:szCs w:val="16"/>
          <w:color w:val="auto"/>
        </w:rPr>
        <w:t>Court and the various other courts across the country to repeal and replace the ACA will impact the ACA and our business. It is also unclear how regulations and sub-regulatory policy, which fluctuate continually, may affect interpretation and implementation of the ACA and its practical effects on our business, particularly entering an election year.</w:t>
      </w:r>
    </w:p>
    <w:p>
      <w:pPr>
        <w:spacing w:after="0" w:line="169" w:lineRule="exact"/>
        <w:rPr>
          <w:sz w:val="20"/>
          <w:szCs w:val="20"/>
          <w:color w:val="auto"/>
        </w:rPr>
      </w:pPr>
    </w:p>
    <w:p>
      <w:pPr>
        <w:ind w:left="40" w:right="99" w:firstLine="648"/>
        <w:spacing w:after="0" w:line="288" w:lineRule="auto"/>
        <w:rPr>
          <w:sz w:val="20"/>
          <w:szCs w:val="20"/>
          <w:color w:val="auto"/>
        </w:rPr>
      </w:pPr>
      <w:r>
        <w:rPr>
          <w:rFonts w:ascii="Arial" w:cs="Arial" w:eastAsia="Arial" w:hAnsi="Arial"/>
          <w:sz w:val="16"/>
          <w:szCs w:val="16"/>
          <w:color w:val="auto"/>
        </w:rPr>
        <w:t>In the future, there may continue to be additional proposals relating to the reform of the U.S. healthcare system, some of which could further limit the prices we will be able to charge for our product candidates, or the amounts of reimbursement available for our product candidates. If future legislation were to impose direct governmental price controls or access restrictions, it could have a significant adverse impact on our business. Managed care organizations, as well as Medicaid and other government agencies, continue to seek price discounts. Some states have implemented, and other states are considering, measures to reduce costs of the Medicaid program, and some states are considering implementing measures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68"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225"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6"/>
          <w:szCs w:val="16"/>
          <w:color w:val="auto"/>
        </w:rPr>
        <w:t>To the extent we choose to develop or sell any products outside of the United States, we will be subject to a variety of foreign regulatory requirements of other countries regarding safety and efficacy and governing, among other things, clinical trials, marketing authorization, commercial sales, and distribution of our products. For example, in the European Union, or EU, we must obtain authorization of a clinical trial application in each member state in which we intend to conduct a clinical trial prior to the pending introduction of a EU portal for EU-wide approvals.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United States, post</w:t>
      </w:r>
      <w:r>
        <w:rPr>
          <w:rFonts w:ascii="MS PGothic" w:cs="MS PGothic" w:eastAsia="MS PGothic" w:hAnsi="MS PGothic"/>
          <w:sz w:val="16"/>
          <w:szCs w:val="16"/>
          <w:color w:val="auto"/>
        </w:rPr>
        <w:t>‑</w:t>
      </w:r>
      <w:r>
        <w:rPr>
          <w:rFonts w:ascii="Arial" w:cs="Arial" w:eastAsia="Arial" w:hAnsi="Arial"/>
          <w:sz w:val="16"/>
          <w:szCs w:val="16"/>
          <w:color w:val="auto"/>
        </w:rPr>
        <w:t>approval regulatory requirements, such as those regarding product manufacture, marketing, or distribution, would apply to any product that is approved outside the United States.</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European Union Drug Approval Process</w:t>
      </w:r>
    </w:p>
    <w:p>
      <w:pPr>
        <w:spacing w:after="0" w:line="225" w:lineRule="exact"/>
        <w:rPr>
          <w:sz w:val="20"/>
          <w:szCs w:val="20"/>
          <w:color w:val="auto"/>
        </w:rPr>
      </w:pPr>
    </w:p>
    <w:p>
      <w:pPr>
        <w:ind w:left="40" w:right="219" w:firstLine="648"/>
        <w:spacing w:after="0" w:line="220" w:lineRule="exact"/>
        <w:rPr>
          <w:sz w:val="20"/>
          <w:szCs w:val="20"/>
          <w:color w:val="auto"/>
        </w:rPr>
      </w:pPr>
      <w:r>
        <w:rPr>
          <w:rFonts w:ascii="Arial" w:cs="Arial" w:eastAsia="Arial" w:hAnsi="Arial"/>
          <w:sz w:val="18"/>
          <w:szCs w:val="18"/>
          <w:color w:val="auto"/>
        </w:rPr>
        <w:t>To obtain a marketing authorization of a drug in the European Union, we may submit marketing authorization applications, or MAAs, either under the so</w:t>
      </w:r>
      <w:r>
        <w:rPr>
          <w:rFonts w:ascii="MS PGothic" w:cs="MS PGothic" w:eastAsia="MS PGothic" w:hAnsi="MS PGothic"/>
          <w:sz w:val="18"/>
          <w:szCs w:val="18"/>
          <w:color w:val="auto"/>
        </w:rPr>
        <w:t>‑</w:t>
      </w:r>
      <w:r>
        <w:rPr>
          <w:rFonts w:ascii="Arial" w:cs="Arial" w:eastAsia="Arial" w:hAnsi="Arial"/>
          <w:sz w:val="18"/>
          <w:szCs w:val="18"/>
          <w:color w:val="auto"/>
        </w:rPr>
        <w:t>called centralized, decentralized, mutual recognition, or national authorization procedures.</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Centralized Procedure</w:t>
      </w:r>
    </w:p>
    <w:p>
      <w:pPr>
        <w:spacing w:after="0" w:line="225" w:lineRule="exact"/>
        <w:rPr>
          <w:sz w:val="20"/>
          <w:szCs w:val="20"/>
          <w:color w:val="auto"/>
        </w:rPr>
      </w:pPr>
    </w:p>
    <w:p>
      <w:pPr>
        <w:ind w:left="40" w:right="99" w:firstLine="648"/>
        <w:spacing w:after="0" w:line="268" w:lineRule="auto"/>
        <w:rPr>
          <w:sz w:val="20"/>
          <w:szCs w:val="20"/>
          <w:color w:val="auto"/>
        </w:rPr>
      </w:pPr>
      <w:r>
        <w:rPr>
          <w:rFonts w:ascii="Arial" w:cs="Arial" w:eastAsia="Arial" w:hAnsi="Arial"/>
          <w:sz w:val="17"/>
          <w:szCs w:val="17"/>
          <w:color w:val="auto"/>
        </w:rPr>
        <w:t>The centralized procedure provides for the grant of a single marketing authorization following a favorable opinion by the European Medicines Agency, or EMA, that is valid in all European Union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and other immune dysfunctions.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or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clock stops.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Authorization Procedures</w:t>
      </w:r>
    </w:p>
    <w:p>
      <w:pPr>
        <w:spacing w:after="0" w:line="225" w:lineRule="exact"/>
        <w:rPr>
          <w:sz w:val="20"/>
          <w:szCs w:val="20"/>
          <w:color w:val="auto"/>
        </w:rPr>
      </w:pPr>
    </w:p>
    <w:p>
      <w:pPr>
        <w:ind w:left="40" w:right="419" w:firstLine="648"/>
        <w:spacing w:after="0" w:line="342" w:lineRule="auto"/>
        <w:rPr>
          <w:sz w:val="20"/>
          <w:szCs w:val="20"/>
          <w:color w:val="auto"/>
        </w:rPr>
      </w:pPr>
      <w:r>
        <w:rPr>
          <w:rFonts w:ascii="Arial" w:cs="Arial" w:eastAsia="Arial" w:hAnsi="Arial"/>
          <w:sz w:val="16"/>
          <w:szCs w:val="16"/>
          <w:color w:val="auto"/>
        </w:rPr>
        <w:t>There are also two other possible routes to authorize medicinal products in several European Union countries, which are available for investigational medicinal products that fall outside the scope of the centralized procedure:</w:t>
      </w:r>
    </w:p>
    <w:p>
      <w:pPr>
        <w:spacing w:after="0" w:line="124" w:lineRule="exact"/>
        <w:rPr>
          <w:sz w:val="20"/>
          <w:szCs w:val="20"/>
          <w:color w:val="auto"/>
        </w:rPr>
      </w:pPr>
    </w:p>
    <w:p>
      <w:pPr>
        <w:ind w:left="1020" w:right="79" w:hanging="328"/>
        <w:spacing w:after="0" w:line="25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Using the decentralized procedure, an applicant may apply in more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European Union country, although the applicant must nominate one reference European Union Member State, for simultaneous authorization of medicinal products that have not yet been authorized in any European Union country and that do not fall within the mandatory scope of the centralized procedure. Failing agreement, there is a procedure for resolving disagreements between member states and ultimately an arbitration procedure before the CHMP.</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1020" w:right="99" w:hanging="328"/>
        <w:spacing w:after="0" w:line="273"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Mutual recognition procedure. </w:t>
      </w:r>
      <w:r>
        <w:rPr>
          <w:rFonts w:ascii="Arial" w:cs="Arial" w:eastAsia="Arial" w:hAnsi="Arial"/>
          <w:sz w:val="17"/>
          <w:szCs w:val="17"/>
          <w:color w:val="auto"/>
        </w:rPr>
        <w:t>In the mutual recognition procedure, a medicine is first authorized in one</w:t>
      </w:r>
      <w:r>
        <w:rPr>
          <w:rFonts w:ascii="Arial" w:cs="Arial" w:eastAsia="Arial" w:hAnsi="Arial"/>
          <w:sz w:val="17"/>
          <w:szCs w:val="17"/>
          <w:i w:val="1"/>
          <w:iCs w:val="1"/>
          <w:color w:val="auto"/>
        </w:rPr>
        <w:t xml:space="preserve"> </w:t>
      </w:r>
      <w:r>
        <w:rPr>
          <w:rFonts w:ascii="Arial" w:cs="Arial" w:eastAsia="Arial" w:hAnsi="Arial"/>
          <w:sz w:val="17"/>
          <w:szCs w:val="17"/>
          <w:color w:val="auto"/>
        </w:rPr>
        <w:t>European Union Member State, referred to as the reference member state, in accordance with the national procedures of that country. Following this, further marketing authorizations can be sought from other nominated European Union countries, referred to as the concerned member states, in a procedure whereby the countries concerned agree to recognize the validity of the original, national marketing authorization. The procedure for disagreements described above similarly applies.</w:t>
      </w:r>
    </w:p>
    <w:p>
      <w:pPr>
        <w:spacing w:after="0" w:line="177" w:lineRule="exact"/>
        <w:rPr>
          <w:rFonts w:ascii="Arial" w:cs="Arial" w:eastAsia="Arial" w:hAnsi="Arial"/>
          <w:sz w:val="17"/>
          <w:szCs w:val="17"/>
          <w:color w:val="auto"/>
        </w:rPr>
      </w:pPr>
    </w:p>
    <w:p>
      <w:pPr>
        <w:ind w:left="1020" w:right="199" w:hanging="328"/>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National procedures. </w:t>
      </w:r>
      <w:r>
        <w:rPr>
          <w:rFonts w:ascii="Arial" w:cs="Arial" w:eastAsia="Arial" w:hAnsi="Arial"/>
          <w:sz w:val="18"/>
          <w:szCs w:val="18"/>
          <w:color w:val="auto"/>
        </w:rPr>
        <w:t>Purely national procedures continue to be possible but are strictly limited to where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is to be authorized in one member state only.</w:t>
      </w:r>
    </w:p>
    <w:p>
      <w:pPr>
        <w:spacing w:after="0" w:line="170" w:lineRule="exact"/>
        <w:rPr>
          <w:sz w:val="20"/>
          <w:szCs w:val="20"/>
          <w:color w:val="auto"/>
        </w:rPr>
      </w:pPr>
    </w:p>
    <w:p>
      <w:pPr>
        <w:ind w:left="40" w:right="119" w:firstLine="648"/>
        <w:spacing w:after="0" w:line="217" w:lineRule="exact"/>
        <w:rPr>
          <w:sz w:val="20"/>
          <w:szCs w:val="20"/>
          <w:color w:val="auto"/>
        </w:rPr>
      </w:pPr>
      <w:r>
        <w:rPr>
          <w:rFonts w:ascii="Arial" w:cs="Arial" w:eastAsia="Arial" w:hAnsi="Arial"/>
          <w:sz w:val="18"/>
          <w:szCs w:val="18"/>
          <w:color w:val="auto"/>
        </w:rPr>
        <w:t>In the European Union, new products authorized for marketing, referred to as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 10</w:t>
      </w:r>
      <w:r>
        <w:rPr>
          <w:rFonts w:ascii="MS PGothic" w:cs="MS PGothic" w:eastAsia="MS PGothic" w:hAnsi="MS PGothic"/>
          <w:sz w:val="18"/>
          <w:szCs w:val="18"/>
          <w:color w:val="auto"/>
        </w:rPr>
        <w:t>‑</w:t>
      </w:r>
      <w:r>
        <w:rPr>
          <w:rFonts w:ascii="Arial" w:cs="Arial" w:eastAsia="Arial" w:hAnsi="Arial"/>
          <w:sz w:val="18"/>
          <w:szCs w:val="18"/>
          <w:color w:val="auto"/>
        </w:rPr>
        <w:t>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40" w:right="119" w:firstLine="648"/>
        <w:spacing w:after="0" w:line="275" w:lineRule="auto"/>
        <w:rPr>
          <w:sz w:val="20"/>
          <w:szCs w:val="20"/>
          <w:color w:val="auto"/>
        </w:rPr>
      </w:pPr>
      <w:r>
        <w:rPr>
          <w:rFonts w:ascii="Arial" w:cs="Arial" w:eastAsia="Arial" w:hAnsi="Arial"/>
          <w:sz w:val="17"/>
          <w:szCs w:val="17"/>
          <w:color w:val="auto"/>
        </w:rPr>
        <w:t>Conducting research and development is central to our business model. We have invested and expect to continue to invest significant time and capital in our research and development operations. Our research and development expenses were $53.6 million, $23.5 million, and $20.0 million for the years ended December 31, 2019, 2018, and 2017, respectively. We plan to increase our research and development expenses for the foreseeable future as we seek to complete the development of AXS-05, AXS-07, AXS-09, AXS-12, AXS-14, AXS-02, and AXS-06.</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40" w:right="139" w:firstLine="648"/>
        <w:spacing w:after="0" w:line="220" w:lineRule="exact"/>
        <w:rPr>
          <w:sz w:val="20"/>
          <w:szCs w:val="20"/>
          <w:color w:val="auto"/>
        </w:rPr>
      </w:pPr>
      <w:r>
        <w:rPr>
          <w:rFonts w:ascii="Arial" w:cs="Arial" w:eastAsia="Arial" w:hAnsi="Arial"/>
          <w:sz w:val="18"/>
          <w:szCs w:val="18"/>
          <w:color w:val="auto"/>
        </w:rPr>
        <w:t>As of March 6, 2020, we had 45 full</w:t>
      </w:r>
      <w:r>
        <w:rPr>
          <w:rFonts w:ascii="MS PGothic" w:cs="MS PGothic" w:eastAsia="MS PGothic" w:hAnsi="MS PGothic"/>
          <w:sz w:val="18"/>
          <w:szCs w:val="18"/>
          <w:color w:val="auto"/>
        </w:rPr>
        <w:t>‑</w:t>
      </w:r>
      <w:r>
        <w:rPr>
          <w:rFonts w:ascii="Arial" w:cs="Arial" w:eastAsia="Arial" w:hAnsi="Arial"/>
          <w:sz w:val="18"/>
          <w:szCs w:val="18"/>
          <w:color w:val="auto"/>
        </w:rPr>
        <w:t>time employees. None of our employees is represented by a collective bargaining agreement and we have never experienced any work stoppage. We believe that we maintain good relations with our employees.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40" w:right="79" w:firstLine="648"/>
        <w:spacing w:after="0" w:line="277" w:lineRule="auto"/>
        <w:rPr>
          <w:sz w:val="20"/>
          <w:szCs w:val="20"/>
          <w:color w:val="auto"/>
        </w:rPr>
      </w:pPr>
      <w:r>
        <w:rPr>
          <w:rFonts w:ascii="Arial" w:cs="Arial" w:eastAsia="Arial" w:hAnsi="Arial"/>
          <w:sz w:val="18"/>
          <w:szCs w:val="18"/>
          <w:color w:val="auto"/>
        </w:rPr>
        <w:t>We were incorporated in Delaware in January 2012. Our offices are located at 200 Broadway, 3</w:t>
      </w:r>
      <w:r>
        <w:rPr>
          <w:rFonts w:ascii="Arial" w:cs="Arial" w:eastAsia="Arial" w:hAnsi="Arial"/>
          <w:sz w:val="8"/>
          <w:szCs w:val="8"/>
          <w:color w:val="auto"/>
        </w:rPr>
        <w:t>rd</w:t>
      </w:r>
      <w:r>
        <w:rPr>
          <w:rFonts w:ascii="Arial" w:cs="Arial" w:eastAsia="Arial" w:hAnsi="Arial"/>
          <w:sz w:val="18"/>
          <w:szCs w:val="18"/>
          <w:color w:val="auto"/>
        </w:rPr>
        <w:t xml:space="preserve"> Floor, New York, New York 10038, and our telephone number is (212) 332-3241.</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We file reports and other information with the SEC, as required by the Exchange Act. We make available free of charge through our website (http://www.axsome.com)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will remain an “emerging growth company” until the earliest of (i) the last day of the fiscal year in which we have total annual gross revenues of $1.07 billion or more; (ii) the last day of the fiscal year following the fifth anniversary of our initial public offering (December 31, 2020); (iii) the date on which we have issued more than $1.0 billion in nonconvertible debt during the previous three years; or (iv) the date on which we are deemed to be a “large accelerated filer” under the rules of the SEC.</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such, we anticipate that we will no longer be an emerging growth company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99"/>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 factors set forth below as well as the other information contained in this Annual Report on Form 10-K, including our consolidated financial statements and the related notes and the section titled “Management’s Discussion and Analysis of Financial Condition and Results of Operations.”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70" w:lineRule="exact"/>
        <w:rPr>
          <w:sz w:val="20"/>
          <w:szCs w:val="20"/>
          <w:color w:val="auto"/>
        </w:rPr>
      </w:pPr>
    </w:p>
    <w:p>
      <w:pPr>
        <w:ind w:left="40" w:right="139" w:firstLine="648"/>
        <w:spacing w:after="0" w:line="287" w:lineRule="auto"/>
        <w:rPr>
          <w:sz w:val="20"/>
          <w:szCs w:val="20"/>
          <w:color w:val="auto"/>
        </w:rPr>
      </w:pPr>
      <w:r>
        <w:rPr>
          <w:rFonts w:ascii="Arial" w:cs="Arial" w:eastAsia="Arial" w:hAnsi="Arial"/>
          <w:sz w:val="16"/>
          <w:szCs w:val="16"/>
          <w:color w:val="auto"/>
        </w:rPr>
        <w:t>We are a clinical stage biopharmaceutical company with a limited operating history. For the last several years, we have focused our efforts primarily on developing CNS product candidates AXS-02, AXS-05, AXS-06, AXS-07, AXS-09, and AXS-12, which we refer to herein as our product candidates, with the goal of achieving regulatory approval. Since inception, we have incurred significant operating losses. Our net losses were $68.3 million and $31.0 million for the years ended December 31, 2019 and 2018, respectively. As of December 31, 2019, we had an accumulated deficit of $175.9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68" w:lineRule="exact"/>
        <w:rPr>
          <w:sz w:val="20"/>
          <w:szCs w:val="20"/>
          <w:color w:val="auto"/>
        </w:rPr>
      </w:pPr>
    </w:p>
    <w:p>
      <w:pPr>
        <w:ind w:left="700" w:hanging="332"/>
        <w:spacing w:after="0" w:line="207" w:lineRule="exact"/>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our Phase 3 clinical trial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depression;</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our open-label safety extension trial for AXS-05;</w:t>
      </w:r>
    </w:p>
    <w:p>
      <w:pPr>
        <w:spacing w:after="0" w:line="225" w:lineRule="exact"/>
        <w:rPr>
          <w:rFonts w:ascii="Arial" w:cs="Arial" w:eastAsia="Arial" w:hAnsi="Arial"/>
          <w:sz w:val="18"/>
          <w:szCs w:val="18"/>
          <w:color w:val="auto"/>
        </w:rPr>
      </w:pPr>
    </w:p>
    <w:p>
      <w:pPr>
        <w:ind w:left="700" w:right="79" w:hanging="332"/>
        <w:spacing w:after="0" w:line="223" w:lineRule="exact"/>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Alzheimer’s disease, or AD agitation;</w:t>
      </w:r>
    </w:p>
    <w:p>
      <w:pPr>
        <w:spacing w:after="0" w:line="202"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our Phase 3 clinical trial with AXS-07 for the acute treatment of migraine;</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our open-label safety extension trial for AXS-07;</w:t>
      </w:r>
    </w:p>
    <w:p>
      <w:pPr>
        <w:spacing w:after="0" w:line="225" w:lineRule="exact"/>
        <w:rPr>
          <w:rFonts w:ascii="Arial" w:cs="Arial" w:eastAsia="Arial" w:hAnsi="Arial"/>
          <w:sz w:val="18"/>
          <w:szCs w:val="18"/>
          <w:color w:val="auto"/>
        </w:rPr>
      </w:pPr>
    </w:p>
    <w:p>
      <w:pPr>
        <w:ind w:left="700" w:hanging="332"/>
        <w:spacing w:after="0" w:line="207" w:lineRule="exact"/>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 our planned Phase 3 clinical trial with AXS</w:t>
      </w:r>
      <w:r>
        <w:rPr>
          <w:rFonts w:ascii="MS PGothic" w:cs="MS PGothic" w:eastAsia="MS PGothic" w:hAnsi="MS PGothic"/>
          <w:sz w:val="18"/>
          <w:szCs w:val="18"/>
          <w:color w:val="auto"/>
        </w:rPr>
        <w:t>‑</w:t>
      </w:r>
      <w:r>
        <w:rPr>
          <w:rFonts w:ascii="Arial" w:cs="Arial" w:eastAsia="Arial" w:hAnsi="Arial"/>
          <w:sz w:val="18"/>
          <w:szCs w:val="18"/>
          <w:color w:val="auto"/>
        </w:rPr>
        <w:t>12 in narcolepsy;</w:t>
      </w:r>
    </w:p>
    <w:p>
      <w:pPr>
        <w:spacing w:after="0" w:line="225" w:lineRule="exact"/>
        <w:rPr>
          <w:rFonts w:ascii="Arial" w:cs="Arial" w:eastAsia="Arial" w:hAnsi="Arial"/>
          <w:sz w:val="18"/>
          <w:szCs w:val="18"/>
          <w:color w:val="auto"/>
        </w:rPr>
      </w:pPr>
    </w:p>
    <w:p>
      <w:pPr>
        <w:ind w:left="700" w:right="219" w:hanging="332"/>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for smoking cessation treatment and AXS-09 for the treatment of CNS disorders;</w:t>
      </w:r>
    </w:p>
    <w:p>
      <w:pPr>
        <w:spacing w:after="0" w:line="170" w:lineRule="exact"/>
        <w:rPr>
          <w:rFonts w:ascii="Arial" w:cs="Arial" w:eastAsia="Arial" w:hAnsi="Arial"/>
          <w:sz w:val="18"/>
          <w:szCs w:val="18"/>
          <w:color w:val="auto"/>
        </w:rPr>
      </w:pPr>
    </w:p>
    <w:p>
      <w:pPr>
        <w:ind w:left="700" w:right="79" w:hanging="332"/>
        <w:spacing w:after="0" w:line="220" w:lineRule="exact"/>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our Axsome PPC product candidates, including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associated with knee osteoarthritis, or OA, associated with bone marrow lesions, or BMLs and AXS-06 for the treatment of osteoarthritis and rheumatoid arthritis;</w:t>
      </w:r>
    </w:p>
    <w:p>
      <w:pPr>
        <w:spacing w:after="0" w:line="204" w:lineRule="exact"/>
        <w:rPr>
          <w:rFonts w:ascii="Arial" w:cs="Arial" w:eastAsia="Arial" w:hAnsi="Arial"/>
          <w:sz w:val="18"/>
          <w:szCs w:val="18"/>
          <w:color w:val="auto"/>
        </w:rPr>
      </w:pPr>
    </w:p>
    <w:p>
      <w:pPr>
        <w:ind w:left="700" w:hanging="332"/>
        <w:spacing w:after="0" w:line="207" w:lineRule="exact"/>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225" w:lineRule="exact"/>
        <w:rPr>
          <w:rFonts w:ascii="Arial" w:cs="Arial" w:eastAsia="Arial" w:hAnsi="Arial"/>
          <w:sz w:val="18"/>
          <w:szCs w:val="18"/>
          <w:color w:val="auto"/>
        </w:rPr>
      </w:pPr>
    </w:p>
    <w:p>
      <w:pPr>
        <w:ind w:left="700" w:hanging="332"/>
        <w:spacing w:after="0" w:line="184" w:lineRule="exact"/>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hanging="332"/>
        <w:spacing w:after="0" w:line="207" w:lineRule="exact"/>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late</w:t>
      </w:r>
      <w:r>
        <w:rPr>
          <w:rFonts w:ascii="MS PGothic" w:cs="MS PGothic" w:eastAsia="MS PGothic" w:hAnsi="MS PGothic"/>
          <w:sz w:val="18"/>
          <w:szCs w:val="18"/>
          <w:color w:val="auto"/>
        </w:rPr>
        <w:t>‑</w:t>
      </w:r>
      <w:r>
        <w:rPr>
          <w:rFonts w:ascii="Arial" w:cs="Arial" w:eastAsia="Arial" w:hAnsi="Arial"/>
          <w:sz w:val="18"/>
          <w:szCs w:val="18"/>
          <w:color w:val="auto"/>
        </w:rPr>
        <w:t>stage clinical trials;</w:t>
      </w:r>
    </w:p>
    <w:p>
      <w:pPr>
        <w:spacing w:after="0" w:line="225" w:lineRule="exact"/>
        <w:rPr>
          <w:rFonts w:ascii="Arial" w:cs="Arial" w:eastAsia="Arial" w:hAnsi="Arial"/>
          <w:sz w:val="18"/>
          <w:szCs w:val="18"/>
          <w:color w:val="auto"/>
        </w:rPr>
      </w:pPr>
    </w:p>
    <w:p>
      <w:pPr>
        <w:ind w:left="700" w:hanging="332"/>
        <w:spacing w:after="0" w:line="207" w:lineRule="exact"/>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225" w:lineRule="exact"/>
        <w:rPr>
          <w:rFonts w:ascii="Arial" w:cs="Arial" w:eastAsia="Arial" w:hAnsi="Arial"/>
          <w:sz w:val="18"/>
          <w:szCs w:val="18"/>
          <w:color w:val="auto"/>
        </w:rPr>
      </w:pPr>
    </w:p>
    <w:p>
      <w:pPr>
        <w:ind w:left="700" w:right="699" w:hanging="332"/>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manufacturing batch sizes of our product candidates to satisfy FDA requirements for a marketing application submission;</w:t>
      </w:r>
    </w:p>
    <w:p>
      <w:pPr>
        <w:spacing w:after="0" w:line="170" w:lineRule="exact"/>
        <w:rPr>
          <w:rFonts w:ascii="Arial" w:cs="Arial" w:eastAsia="Arial" w:hAnsi="Arial"/>
          <w:sz w:val="18"/>
          <w:szCs w:val="18"/>
          <w:color w:val="auto"/>
        </w:rPr>
      </w:pPr>
    </w:p>
    <w:p>
      <w:pPr>
        <w:ind w:left="700" w:right="259" w:hanging="332"/>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83" w:lineRule="exact"/>
        <w:rPr>
          <w:rFonts w:ascii="Arial" w:cs="Arial" w:eastAsia="Arial" w:hAnsi="Arial"/>
          <w:sz w:val="18"/>
          <w:szCs w:val="18"/>
          <w:color w:val="auto"/>
        </w:rPr>
      </w:pP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larger quantities of product;</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225" w:lineRule="exact"/>
        <w:rPr>
          <w:rFonts w:ascii="Arial" w:cs="Arial" w:eastAsia="Arial" w:hAnsi="Arial"/>
          <w:sz w:val="18"/>
          <w:szCs w:val="18"/>
          <w:color w:val="auto"/>
        </w:rPr>
      </w:pPr>
    </w:p>
    <w:p>
      <w:pPr>
        <w:ind w:left="700" w:right="339" w:hanging="332"/>
        <w:spacing w:after="0" w:line="308"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planned future commercialization efforts.</w:t>
      </w:r>
    </w:p>
    <w:p>
      <w:pPr>
        <w:spacing w:after="0" w:line="146"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210"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8" w:lineRule="exact"/>
        <w:rPr>
          <w:sz w:val="20"/>
          <w:szCs w:val="20"/>
          <w:color w:val="auto"/>
        </w:rPr>
      </w:pPr>
    </w:p>
    <w:p>
      <w:pPr>
        <w:jc w:val="both"/>
        <w:ind w:left="40" w:right="119" w:firstLine="648"/>
        <w:spacing w:after="0" w:line="301"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499"/>
        <w:spacing w:after="0" w:line="286" w:lineRule="auto"/>
        <w:rPr>
          <w:sz w:val="20"/>
          <w:szCs w:val="20"/>
          <w:color w:val="auto"/>
        </w:rPr>
      </w:pPr>
      <w:r>
        <w:rPr>
          <w:rFonts w:ascii="Arial" w:cs="Arial" w:eastAsia="Arial" w:hAnsi="Arial"/>
          <w:sz w:val="17"/>
          <w:szCs w:val="17"/>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5" w:lineRule="exact"/>
        <w:rPr>
          <w:sz w:val="20"/>
          <w:szCs w:val="20"/>
          <w:color w:val="auto"/>
        </w:rPr>
      </w:pPr>
    </w:p>
    <w:p>
      <w:pPr>
        <w:jc w:val="both"/>
        <w:ind w:left="40" w:right="59" w:firstLine="648"/>
        <w:spacing w:after="0" w:line="221" w:lineRule="exact"/>
        <w:rPr>
          <w:sz w:val="20"/>
          <w:szCs w:val="20"/>
          <w:color w:val="auto"/>
        </w:rPr>
      </w:pPr>
      <w:r>
        <w:rPr>
          <w:rFonts w:ascii="Arial" w:cs="Arial" w:eastAsia="Arial" w:hAnsi="Arial"/>
          <w:sz w:val="17"/>
          <w:szCs w:val="17"/>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We may need to raise additional capital to:</w:t>
      </w:r>
    </w:p>
    <w:p>
      <w:pPr>
        <w:spacing w:after="0" w:line="202" w:lineRule="exact"/>
        <w:rPr>
          <w:sz w:val="20"/>
          <w:szCs w:val="20"/>
          <w:color w:val="auto"/>
        </w:rPr>
      </w:pPr>
    </w:p>
    <w:p>
      <w:pPr>
        <w:ind w:left="700" w:right="139" w:hanging="332"/>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170" w:lineRule="exact"/>
        <w:rPr>
          <w:rFonts w:ascii="Arial" w:cs="Arial" w:eastAsia="Arial" w:hAnsi="Arial"/>
          <w:sz w:val="18"/>
          <w:szCs w:val="18"/>
          <w:color w:val="auto"/>
        </w:rPr>
      </w:pPr>
    </w:p>
    <w:p>
      <w:pPr>
        <w:jc w:val="both"/>
        <w:ind w:left="700" w:right="199" w:hanging="332"/>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83" w:lineRule="exact"/>
        <w:rPr>
          <w:rFonts w:ascii="Arial" w:cs="Arial" w:eastAsia="Arial" w:hAnsi="Arial"/>
          <w:sz w:val="18"/>
          <w:szCs w:val="18"/>
          <w:color w:val="auto"/>
        </w:rPr>
      </w:pPr>
    </w:p>
    <w:p>
      <w:pPr>
        <w:ind w:left="700" w:right="439" w:hanging="332"/>
        <w:spacing w:after="0" w:line="223" w:lineRule="exact"/>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qualify and outsource the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products under current good manufacturing practices, or cGMP;</w:t>
      </w:r>
    </w:p>
    <w:p>
      <w:pPr>
        <w:spacing w:after="0" w:line="202" w:lineRule="exact"/>
        <w:rPr>
          <w:rFonts w:ascii="Arial" w:cs="Arial" w:eastAsia="Arial" w:hAnsi="Arial"/>
          <w:sz w:val="18"/>
          <w:szCs w:val="18"/>
          <w:color w:val="auto"/>
        </w:rPr>
      </w:pPr>
    </w:p>
    <w:p>
      <w:pPr>
        <w:ind w:left="700" w:hanging="332"/>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225" w:lineRule="exact"/>
        <w:rPr>
          <w:rFonts w:ascii="Arial" w:cs="Arial" w:eastAsia="Arial" w:hAnsi="Arial"/>
          <w:sz w:val="18"/>
          <w:szCs w:val="18"/>
          <w:color w:val="auto"/>
        </w:rPr>
      </w:pPr>
    </w:p>
    <w:p>
      <w:pPr>
        <w:ind w:left="700" w:hanging="332"/>
        <w:spacing w:after="0" w:line="207" w:lineRule="exact"/>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225" w:lineRule="exact"/>
        <w:rPr>
          <w:sz w:val="20"/>
          <w:szCs w:val="20"/>
          <w:color w:val="auto"/>
        </w:rPr>
      </w:pPr>
    </w:p>
    <w:p>
      <w:pPr>
        <w:ind w:left="40" w:right="179" w:firstLine="648"/>
        <w:spacing w:after="0" w:line="273" w:lineRule="auto"/>
        <w:rPr>
          <w:sz w:val="20"/>
          <w:szCs w:val="20"/>
          <w:color w:val="auto"/>
        </w:rPr>
      </w:pPr>
      <w:r>
        <w:rPr>
          <w:rFonts w:ascii="Arial" w:cs="Arial" w:eastAsia="Arial" w:hAnsi="Arial"/>
          <w:sz w:val="17"/>
          <w:szCs w:val="17"/>
          <w:color w:val="auto"/>
        </w:rPr>
        <w:t>We believe our current cash will be sufficient to fund our anticipated operating cash requirements for at least two years.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78" w:lineRule="exact"/>
        <w:rPr>
          <w:sz w:val="20"/>
          <w:szCs w:val="20"/>
          <w:color w:val="auto"/>
        </w:rPr>
      </w:pPr>
    </w:p>
    <w:p>
      <w:pPr>
        <w:ind w:left="700" w:hanging="33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conducting additional non-clinical studies with any of our product candidates;</w:t>
      </w:r>
    </w:p>
    <w:p>
      <w:pPr>
        <w:spacing w:after="0" w:line="225" w:lineRule="exact"/>
        <w:rPr>
          <w:rFonts w:ascii="Arial" w:cs="Arial" w:eastAsia="Arial" w:hAnsi="Arial"/>
          <w:sz w:val="18"/>
          <w:szCs w:val="18"/>
          <w:color w:val="auto"/>
        </w:rPr>
      </w:pPr>
    </w:p>
    <w:p>
      <w:pPr>
        <w:ind w:left="700" w:right="679" w:hanging="332"/>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delays in our efforts to seek regulatory approval for our product candidates, and any costs associated with such delays;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establishing a commercial organization to sell, market, and distribute our product candidates;</w:t>
      </w:r>
    </w:p>
    <w:p>
      <w:pPr>
        <w:spacing w:after="0" w:line="236" w:lineRule="exact"/>
        <w:rPr>
          <w:rFonts w:ascii="Arial" w:cs="Arial" w:eastAsia="Arial" w:hAnsi="Arial"/>
          <w:sz w:val="17"/>
          <w:szCs w:val="17"/>
          <w:color w:val="auto"/>
        </w:rPr>
      </w:pPr>
    </w:p>
    <w:p>
      <w:pPr>
        <w:ind w:left="700" w:right="239" w:hanging="332"/>
        <w:spacing w:after="0" w:line="221" w:lineRule="exact"/>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rate of progress and costs of our efforts to prepare for the submission of a new drug application, or NDA, for any product candidates that we may in</w:t>
      </w:r>
      <w:r>
        <w:rPr>
          <w:rFonts w:ascii="MS PGothic" w:cs="MS PGothic" w:eastAsia="MS PGothic" w:hAnsi="MS PGothic"/>
          <w:sz w:val="17"/>
          <w:szCs w:val="17"/>
          <w:color w:val="auto"/>
        </w:rPr>
        <w:t>‑</w:t>
      </w:r>
      <w:r>
        <w:rPr>
          <w:rFonts w:ascii="Arial" w:cs="Arial" w:eastAsia="Arial" w:hAnsi="Arial"/>
          <w:sz w:val="17"/>
          <w:szCs w:val="17"/>
          <w:color w:val="auto"/>
        </w:rPr>
        <w:t>license or acquire in the future, and the potential that we may need to conduct additional clinical or preclinical trials to support applications for regulatory approval;</w:t>
      </w:r>
    </w:p>
    <w:p>
      <w:pPr>
        <w:spacing w:after="0" w:line="201" w:lineRule="exact"/>
        <w:rPr>
          <w:rFonts w:ascii="Arial" w:cs="Arial" w:eastAsia="Arial" w:hAnsi="Arial"/>
          <w:sz w:val="17"/>
          <w:szCs w:val="17"/>
          <w:color w:val="auto"/>
        </w:rPr>
      </w:pPr>
    </w:p>
    <w:p>
      <w:pPr>
        <w:ind w:left="700" w:right="279" w:hanging="332"/>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70" w:lineRule="exact"/>
        <w:rPr>
          <w:rFonts w:ascii="Arial" w:cs="Arial" w:eastAsia="Arial" w:hAnsi="Arial"/>
          <w:sz w:val="18"/>
          <w:szCs w:val="18"/>
          <w:color w:val="auto"/>
        </w:rPr>
      </w:pPr>
    </w:p>
    <w:p>
      <w:pPr>
        <w:ind w:left="700" w:right="1119" w:hanging="332"/>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700" w:right="439" w:hanging="332"/>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right="239" w:hanging="332"/>
        <w:spacing w:after="0" w:line="223" w:lineRule="exact"/>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co</w:t>
      </w:r>
      <w:r>
        <w:rPr>
          <w:rFonts w:ascii="MS PGothic" w:cs="MS PGothic" w:eastAsia="MS PGothic" w:hAnsi="MS PGothic"/>
          <w:sz w:val="18"/>
          <w:szCs w:val="18"/>
          <w:color w:val="auto"/>
        </w:rPr>
        <w:t>‑</w:t>
      </w:r>
      <w:r>
        <w:rPr>
          <w:rFonts w:ascii="Arial" w:cs="Arial" w:eastAsia="Arial" w:hAnsi="Arial"/>
          <w:sz w:val="18"/>
          <w:szCs w:val="18"/>
          <w:color w:val="auto"/>
        </w:rPr>
        <w:t>promotion, or other arrangements that we may establish; and</w:t>
      </w:r>
    </w:p>
    <w:p>
      <w:pPr>
        <w:spacing w:after="0" w:line="202" w:lineRule="exact"/>
        <w:rPr>
          <w:rFonts w:ascii="Arial" w:cs="Arial" w:eastAsia="Arial" w:hAnsi="Arial"/>
          <w:sz w:val="18"/>
          <w:szCs w:val="18"/>
          <w:color w:val="auto"/>
        </w:rPr>
      </w:pPr>
    </w:p>
    <w:p>
      <w:pPr>
        <w:ind w:left="700" w:hanging="332"/>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or future product candidates.</w:t>
      </w:r>
    </w:p>
    <w:p>
      <w:pPr>
        <w:spacing w:after="0" w:line="225" w:lineRule="exact"/>
        <w:rPr>
          <w:sz w:val="20"/>
          <w:szCs w:val="20"/>
          <w:color w:val="auto"/>
        </w:rPr>
      </w:pPr>
    </w:p>
    <w:p>
      <w:pPr>
        <w:ind w:left="40" w:right="179" w:firstLine="648"/>
        <w:spacing w:after="0" w:line="254" w:lineRule="auto"/>
        <w:rPr>
          <w:sz w:val="20"/>
          <w:szCs w:val="20"/>
          <w:color w:val="auto"/>
        </w:rPr>
      </w:pPr>
      <w:r>
        <w:rPr>
          <w:rFonts w:ascii="Arial" w:cs="Arial" w:eastAsia="Arial" w:hAnsi="Arial"/>
          <w:sz w:val="18"/>
          <w:szCs w:val="18"/>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95" w:lineRule="exact"/>
        <w:rPr>
          <w:sz w:val="20"/>
          <w:szCs w:val="20"/>
          <w:color w:val="auto"/>
        </w:rPr>
      </w:pPr>
    </w:p>
    <w:p>
      <w:pPr>
        <w:ind w:left="40" w:right="159"/>
        <w:spacing w:after="0" w:line="263"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84"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In March 2019, we entered into a loan and security agreement with SVB and WestRiver Innovation Lending Fund VIII, L.P., or the 2019 Term Loan, consisting of an initial $20.0 million tranche, or the Term A Loan Advance, which was funded shortly upon closing, with the remaining $4.0 million, or the Term B Loan Advance, initially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which we refer to as the Milestone Event. A portion of the first tranche was used to satisfy our existing obligations under our original term loan facility with SVB, as amended, and such obligations are considered to be fully repaid and completed. The new term loan facility matures in February 2023 and initially had an interest-only monthly payment period for twelve months, extendable to eighteen months upon funding of the Term B Loan Advance. We refer to the Term A Loan Advance and the Term B Loan Advance together as the Loan Advances.</w:t>
      </w:r>
    </w:p>
    <w:p>
      <w:pPr>
        <w:spacing w:after="0" w:line="182"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In July 2019, we entered into a first amendment to the loan and security agreement, or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The Loan Advances mature on February 1, 2023, which we refer to as the Maturity Date.</w:t>
      </w:r>
    </w:p>
    <w:p>
      <w:pPr>
        <w:spacing w:after="0" w:line="178"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we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w:t>
      </w:r>
    </w:p>
    <w:p>
      <w:pPr>
        <w:spacing w:after="0" w:line="178"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We may prepay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39" w:firstLine="648"/>
        <w:spacing w:after="0" w:line="272" w:lineRule="auto"/>
        <w:rPr>
          <w:sz w:val="20"/>
          <w:szCs w:val="20"/>
          <w:color w:val="auto"/>
        </w:rPr>
      </w:pPr>
      <w:r>
        <w:rPr>
          <w:rFonts w:ascii="Arial" w:cs="Arial" w:eastAsia="Arial" w:hAnsi="Arial"/>
          <w:sz w:val="17"/>
          <w:szCs w:val="17"/>
          <w:color w:val="auto"/>
        </w:rPr>
        <w:t>The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177" w:lineRule="exact"/>
        <w:rPr>
          <w:sz w:val="20"/>
          <w:szCs w:val="20"/>
          <w:color w:val="auto"/>
        </w:rPr>
      </w:pPr>
    </w:p>
    <w:p>
      <w:pPr>
        <w:ind w:left="40" w:right="79" w:firstLine="648"/>
        <w:spacing w:after="0" w:line="285" w:lineRule="auto"/>
        <w:rPr>
          <w:sz w:val="20"/>
          <w:szCs w:val="20"/>
          <w:color w:val="auto"/>
        </w:rPr>
      </w:pPr>
      <w:r>
        <w:rPr>
          <w:rFonts w:ascii="Arial" w:cs="Arial" w:eastAsia="Arial" w:hAnsi="Arial"/>
          <w:sz w:val="16"/>
          <w:szCs w:val="16"/>
          <w:color w:val="auto"/>
        </w:rPr>
        <w:t>Additionally, we may be required to repay the outstanding indebtedness under the 2019 Term Loan if an event of default occurs under the 2019 Term Loan. Under the 2019 Term Loan, an event of default will occur if, among other things, we fail to make payments under the 2019 Term Loan; we breach any of our covenants under the 2019 Term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While our current cash reserves are sufficient to repay such indebtedness if an event of default were to occur in the near term, we may in the future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2019 Term Loan, subject to the covenants and limitations described in the 2019 Term Loan.</w:t>
      </w:r>
    </w:p>
    <w:p>
      <w:pPr>
        <w:spacing w:after="0" w:line="176"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70" w:lineRule="exact"/>
        <w:rPr>
          <w:sz w:val="20"/>
          <w:szCs w:val="20"/>
          <w:color w:val="auto"/>
        </w:rPr>
      </w:pPr>
    </w:p>
    <w:p>
      <w:pPr>
        <w:ind w:left="40" w:right="99" w:firstLine="648"/>
        <w:spacing w:after="0" w:line="253" w:lineRule="auto"/>
        <w:rPr>
          <w:sz w:val="20"/>
          <w:szCs w:val="20"/>
          <w:color w:val="auto"/>
        </w:rPr>
      </w:pPr>
      <w:r>
        <w:rPr>
          <w:rFonts w:ascii="Arial" w:cs="Arial" w:eastAsia="Arial" w:hAnsi="Arial"/>
          <w:sz w:val="18"/>
          <w:szCs w:val="18"/>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229" w:lineRule="exact"/>
        <w:rPr>
          <w:sz w:val="20"/>
          <w:szCs w:val="20"/>
          <w:color w:val="auto"/>
        </w:rPr>
      </w:pPr>
    </w:p>
    <w:p>
      <w:pPr>
        <w:jc w:val="both"/>
        <w:ind w:left="40" w:right="179"/>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84"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68"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7"/>
          <w:szCs w:val="17"/>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We initiated our Phase 3 clinical trial with AXS-05 for the treatment of TRD in March 2016, our Phase 2/3 trial with AXS-05 for the treatment of agitation associated with AD in July 2017, and our second Phase 3 trial with AXS-07 for treatment of acute migraine in October 2019. We began enrolling patients in two open-label safety studies for (i) AXS-05 in the treatment of depression and (ii) AXS-07 in the acute treatment of migraine in July 2019. As a result of one or more risks discussed in this section, we cannot assure you that we will meet projected timelines related to these trials.</w:t>
      </w:r>
    </w:p>
    <w:p>
      <w:pPr>
        <w:spacing w:after="0" w:line="178" w:lineRule="exact"/>
        <w:rPr>
          <w:sz w:val="20"/>
          <w:szCs w:val="20"/>
          <w:color w:val="auto"/>
        </w:rPr>
      </w:pPr>
    </w:p>
    <w:p>
      <w:pPr>
        <w:ind w:left="40" w:right="59" w:firstLine="690"/>
        <w:spacing w:after="0" w:line="287" w:lineRule="auto"/>
        <w:rPr>
          <w:sz w:val="20"/>
          <w:szCs w:val="20"/>
          <w:color w:val="auto"/>
        </w:rPr>
      </w:pPr>
      <w:r>
        <w:rPr>
          <w:rFonts w:ascii="Arial" w:cs="Arial" w:eastAsia="Arial" w:hAnsi="Arial"/>
          <w:sz w:val="16"/>
          <w:szCs w:val="16"/>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72"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 Moreover, we have only completed limited early stage studies with our product candidates to date. For AXS-05, we completed three Phase 1 pharmacokinetic studies and one Phase 2 trial in MDD. For AXS-07, we have only conducted one Phase 1 clinical trial. For AXS-09, we have only completed one Phase 1 clinical trial. Finally, for AXS-12, we completed a Phase 2 study. For AXS-02, we have only completed one Phase 1 clinical trial. Furthermore, we have only conducted one Phase 1 pharmacokinetic study for our product candidate AXS-06 and additional manufacturing work is required before we may submit an investigational new drug application, or IND, and begin late-stage clinical trials.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99" w:firstLine="648"/>
        <w:spacing w:after="0" w:line="286" w:lineRule="auto"/>
        <w:rPr>
          <w:sz w:val="20"/>
          <w:szCs w:val="20"/>
          <w:color w:val="auto"/>
        </w:rPr>
      </w:pPr>
      <w:r>
        <w:rPr>
          <w:rFonts w:ascii="Arial" w:cs="Arial" w:eastAsia="Arial" w:hAnsi="Arial"/>
          <w:sz w:val="16"/>
          <w:szCs w:val="16"/>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For example, in January 2018, we conducted an interim analysis for our then-ongoing Phase 3 trial of AXS-02 for the treatment of CRPS, which we referred to as the CREATE-1 trial, and for our currently ongoing Phase 3 trial of AXS-02 for the treatment of the pain of knee OA associated with BMLs, which we refer to as the COAST-1 trial. The independent data monitoring committee recommended continuation of our COAST-1 trial and discontinuation of our CREATE-1 trial for futility. We had paused screening in the COAST-1 trial prior to the conduct of the interim analysis for that trial and currently, we are in the process of closing out the trial. We conducted one interim analysis for the ongoing Phase 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74"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depend on our ability to:</w:t>
      </w:r>
    </w:p>
    <w:p>
      <w:pPr>
        <w:spacing w:after="0" w:line="170" w:lineRule="exact"/>
        <w:rPr>
          <w:sz w:val="20"/>
          <w:szCs w:val="20"/>
          <w:color w:val="auto"/>
        </w:rPr>
      </w:pPr>
    </w:p>
    <w:p>
      <w:pPr>
        <w:ind w:left="700" w:right="319" w:hanging="332"/>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hire, train, and deploy a sales force to commercialize our product candidates in the United States;</w:t>
      </w:r>
    </w:p>
    <w:p>
      <w:pPr>
        <w:spacing w:after="0" w:line="225" w:lineRule="exact"/>
        <w:rPr>
          <w:rFonts w:ascii="Arial" w:cs="Arial" w:eastAsia="Arial" w:hAnsi="Arial"/>
          <w:sz w:val="18"/>
          <w:szCs w:val="18"/>
          <w:color w:val="auto"/>
        </w:rPr>
      </w:pPr>
    </w:p>
    <w:p>
      <w:pPr>
        <w:ind w:left="700" w:right="339" w:hanging="332"/>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manufacture our product candidates in sufficient quantities and at acceptable quality and manufacturing cost to meet commercial demand at launch and thereafter;</w:t>
      </w:r>
    </w:p>
    <w:p>
      <w:pPr>
        <w:spacing w:after="0" w:line="170" w:lineRule="exact"/>
        <w:rPr>
          <w:rFonts w:ascii="Arial" w:cs="Arial" w:eastAsia="Arial" w:hAnsi="Arial"/>
          <w:sz w:val="18"/>
          <w:szCs w:val="18"/>
          <w:color w:val="auto"/>
        </w:rPr>
      </w:pPr>
    </w:p>
    <w:p>
      <w:pPr>
        <w:ind w:left="700" w:right="799" w:hanging="332"/>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170" w:lineRule="exact"/>
        <w:rPr>
          <w:rFonts w:ascii="Arial" w:cs="Arial" w:eastAsia="Arial" w:hAnsi="Arial"/>
          <w:sz w:val="18"/>
          <w:szCs w:val="18"/>
          <w:color w:val="auto"/>
        </w:rPr>
      </w:pPr>
    </w:p>
    <w:p>
      <w:pPr>
        <w:ind w:left="700" w:right="359" w:hanging="332"/>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our product candidates in foreign markets where we receive marketing approval;</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225" w:lineRule="exact"/>
        <w:rPr>
          <w:rFonts w:ascii="Arial" w:cs="Arial" w:eastAsia="Arial" w:hAnsi="Arial"/>
          <w:sz w:val="18"/>
          <w:szCs w:val="18"/>
          <w:color w:val="auto"/>
        </w:rPr>
      </w:pPr>
    </w:p>
    <w:p>
      <w:pPr>
        <w:ind w:left="700" w:right="359" w:hanging="332"/>
        <w:spacing w:after="0" w:line="223" w:lineRule="exact"/>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02"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compete with other therapies;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84" w:lineRule="exact"/>
        <w:rPr>
          <w:sz w:val="20"/>
          <w:szCs w:val="20"/>
          <w:color w:val="auto"/>
        </w:rPr>
      </w:pPr>
    </w:p>
    <w:p>
      <w:pPr>
        <w:ind w:left="40" w:right="99" w:firstLine="648"/>
        <w:spacing w:after="0" w:line="285"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74" w:lineRule="exact"/>
        <w:rPr>
          <w:sz w:val="20"/>
          <w:szCs w:val="20"/>
          <w:color w:val="auto"/>
        </w:rPr>
      </w:pPr>
    </w:p>
    <w:p>
      <w:pPr>
        <w:ind w:left="40" w:right="379"/>
        <w:spacing w:after="0" w:line="381"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0" w:lineRule="exact"/>
        <w:rPr>
          <w:sz w:val="20"/>
          <w:szCs w:val="20"/>
          <w:color w:val="auto"/>
        </w:rPr>
      </w:pPr>
    </w:p>
    <w:p>
      <w:pPr>
        <w:ind w:left="40" w:right="119" w:firstLine="648"/>
        <w:spacing w:after="0" w:line="217" w:lineRule="exact"/>
        <w:rPr>
          <w:sz w:val="20"/>
          <w:szCs w:val="20"/>
          <w:color w:val="auto"/>
        </w:rPr>
      </w:pPr>
      <w:r>
        <w:rPr>
          <w:rFonts w:ascii="Arial" w:cs="Arial" w:eastAsia="Arial" w:hAnsi="Arial"/>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depression, agitation associated with AD, and smoking cessation, AXS-07 for the acute treatment of migraine and AXS</w:t>
      </w:r>
      <w:r>
        <w:rPr>
          <w:rFonts w:ascii="MS PGothic" w:cs="MS PGothic" w:eastAsia="MS PGothic" w:hAnsi="MS PGothic"/>
          <w:sz w:val="16"/>
          <w:szCs w:val="16"/>
          <w:color w:val="auto"/>
        </w:rPr>
        <w:t>‑</w:t>
      </w:r>
      <w:r>
        <w:rPr>
          <w:rFonts w:ascii="Arial" w:cs="Arial" w:eastAsia="Arial" w:hAnsi="Arial"/>
          <w:sz w:val="16"/>
          <w:szCs w:val="16"/>
          <w:color w:val="auto"/>
        </w:rPr>
        <w:t>12 for the treatment of narcolepsy.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w:t>
      </w:r>
      <w:r>
        <w:rPr>
          <w:rFonts w:ascii="MS PGothic" w:cs="MS PGothic" w:eastAsia="MS PGothic" w:hAnsi="MS PGothic"/>
          <w:sz w:val="16"/>
          <w:szCs w:val="16"/>
          <w:color w:val="auto"/>
        </w:rPr>
        <w:t>‑</w:t>
      </w:r>
      <w:r>
        <w:rPr>
          <w:rFonts w:ascii="Arial" w:cs="Arial" w:eastAsia="Arial" w:hAnsi="Arial"/>
          <w:sz w:val="16"/>
          <w:szCs w:val="16"/>
          <w:color w:val="auto"/>
        </w:rPr>
        <w:t>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13" w:lineRule="exact"/>
        <w:rPr>
          <w:sz w:val="20"/>
          <w:szCs w:val="20"/>
          <w:color w:val="auto"/>
        </w:rPr>
      </w:pPr>
    </w:p>
    <w:p>
      <w:pPr>
        <w:ind w:left="40" w:right="299"/>
        <w:spacing w:after="0" w:line="263" w:lineRule="auto"/>
        <w:rPr>
          <w:sz w:val="20"/>
          <w:szCs w:val="20"/>
          <w:color w:val="auto"/>
        </w:rPr>
      </w:pPr>
      <w:r>
        <w:rPr>
          <w:rFonts w:ascii="Arial" w:cs="Arial" w:eastAsia="Arial" w:hAnsi="Arial"/>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84" w:lineRule="exact"/>
        <w:rPr>
          <w:sz w:val="20"/>
          <w:szCs w:val="20"/>
          <w:color w:val="auto"/>
        </w:rPr>
      </w:pPr>
    </w:p>
    <w:p>
      <w:pPr>
        <w:ind w:left="40" w:right="179" w:firstLine="648"/>
        <w:spacing w:after="0" w:line="286"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5" w:lineRule="exact"/>
        <w:rPr>
          <w:sz w:val="20"/>
          <w:szCs w:val="20"/>
          <w:color w:val="auto"/>
        </w:rPr>
      </w:pPr>
    </w:p>
    <w:p>
      <w:pPr>
        <w:ind w:left="700" w:hanging="332"/>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business activities for such development;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hanging="33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than expected development costs;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managing multiple product development programs;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successfully develop new products or clinical failure.</w:t>
      </w:r>
    </w:p>
    <w:p>
      <w:pPr>
        <w:spacing w:after="0" w:line="225"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88" w:lineRule="exact"/>
        <w:rPr>
          <w:sz w:val="20"/>
          <w:szCs w:val="20"/>
          <w:color w:val="auto"/>
        </w:rPr>
      </w:pPr>
    </w:p>
    <w:p>
      <w:pPr>
        <w:ind w:left="40" w:right="119"/>
        <w:spacing w:after="0" w:line="301" w:lineRule="auto"/>
        <w:rPr>
          <w:sz w:val="20"/>
          <w:szCs w:val="20"/>
          <w:color w:val="auto"/>
        </w:rPr>
      </w:pPr>
      <w:r>
        <w:rPr>
          <w:rFonts w:ascii="Arial" w:cs="Arial" w:eastAsia="Arial" w:hAnsi="Arial"/>
          <w:sz w:val="16"/>
          <w:szCs w:val="16"/>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7" w:lineRule="exact"/>
        <w:rPr>
          <w:sz w:val="20"/>
          <w:szCs w:val="20"/>
          <w:color w:val="auto"/>
        </w:rPr>
      </w:pPr>
    </w:p>
    <w:p>
      <w:pPr>
        <w:ind w:left="40" w:right="459" w:firstLine="648"/>
        <w:spacing w:after="0" w:line="263"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the United States, we currently plan to at least initially seek approval of our product candidates using the 505(b)</w:t>
      </w:r>
    </w:p>
    <w:p>
      <w:pPr>
        <w:spacing w:after="0" w:line="46" w:lineRule="exact"/>
        <w:rPr>
          <w:sz w:val="20"/>
          <w:szCs w:val="20"/>
          <w:color w:val="auto"/>
        </w:rPr>
      </w:pPr>
    </w:p>
    <w:p>
      <w:pPr>
        <w:ind w:left="40" w:right="59" w:firstLine="4"/>
        <w:spacing w:after="0" w:line="253" w:lineRule="auto"/>
        <w:tabs>
          <w:tab w:leader="none" w:pos="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91"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w:t>
      </w:r>
    </w:p>
    <w:p>
      <w:pPr>
        <w:ind w:left="40" w:right="259"/>
        <w:spacing w:after="0" w:line="216" w:lineRule="exact"/>
        <w:rPr>
          <w:sz w:val="20"/>
          <w:szCs w:val="20"/>
          <w:color w:val="auto"/>
        </w:rPr>
      </w:pPr>
      <w:r>
        <w:rPr>
          <w:rFonts w:ascii="Arial" w:cs="Arial" w:eastAsia="Arial" w:hAnsi="Arial"/>
          <w:sz w:val="18"/>
          <w:szCs w:val="18"/>
          <w:color w:val="auto"/>
        </w:rPr>
        <w:t>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Arial" w:cs="Arial" w:eastAsia="Arial" w:hAnsi="Arial"/>
          <w:sz w:val="18"/>
          <w:szCs w:val="18"/>
          <w:color w:val="auto"/>
        </w:rPr>
        <w:t>wide warnings. For instance, antidepressants, including bupropion, include a class</w:t>
      </w:r>
      <w:r>
        <w:rPr>
          <w:rFonts w:ascii="MS PGothic" w:cs="MS PGothic" w:eastAsia="MS PGothic" w:hAnsi="MS PGothic"/>
          <w:sz w:val="18"/>
          <w:szCs w:val="18"/>
          <w:color w:val="auto"/>
        </w:rPr>
        <w:t>‑</w:t>
      </w:r>
      <w:r>
        <w:rPr>
          <w:rFonts w:ascii="Arial" w:cs="Arial" w:eastAsia="Arial" w:hAnsi="Arial"/>
          <w:sz w:val="18"/>
          <w:szCs w:val="18"/>
          <w:color w:val="auto"/>
        </w:rPr>
        <w:t>wide black box warning regarding the increased risk of suicidal thoughts and behavior.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99" w:firstLine="648"/>
        <w:spacing w:after="0" w:line="219" w:lineRule="exact"/>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 as our product candidate, AXS</w:t>
      </w:r>
      <w:r>
        <w:rPr>
          <w:rFonts w:ascii="MS PGothic" w:cs="MS PGothic" w:eastAsia="MS PGothic" w:hAnsi="MS PGothic"/>
          <w:sz w:val="17"/>
          <w:szCs w:val="17"/>
          <w:color w:val="auto"/>
        </w:rPr>
        <w:t>‑</w:t>
      </w:r>
      <w:r>
        <w:rPr>
          <w:rFonts w:ascii="Arial" w:cs="Arial" w:eastAsia="Arial" w:hAnsi="Arial"/>
          <w:sz w:val="17"/>
          <w:szCs w:val="17"/>
          <w:color w:val="auto"/>
        </w:rPr>
        <w:t>02 may result in nausea, fatigue, anemia, bone pain, constipation, fever, vomiting, dyspnea, hypersensitivity reactions, osteonecrosis of the jaw, renal toxicity, musculoskeletal pain, atypical fractures, hypocalcemia, bronchoconstriction, or other adverse events or potential adverse events reported or discussed in the product labels for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products including Zometa, Reclast, and Aclasta.</w:t>
      </w:r>
    </w:p>
    <w:p>
      <w:pPr>
        <w:spacing w:after="0" w:line="205" w:lineRule="exact"/>
        <w:rPr>
          <w:sz w:val="20"/>
          <w:szCs w:val="20"/>
          <w:color w:val="auto"/>
        </w:rPr>
      </w:pPr>
    </w:p>
    <w:p>
      <w:pPr>
        <w:ind w:left="40" w:right="119" w:firstLine="648"/>
        <w:spacing w:after="0" w:line="217" w:lineRule="exact"/>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molecules as our product candidate, AXS</w:t>
      </w:r>
      <w:r>
        <w:rPr>
          <w:rFonts w:ascii="MS PGothic" w:cs="MS PGothic" w:eastAsia="MS PGothic" w:hAnsi="MS PGothic"/>
          <w:sz w:val="17"/>
          <w:szCs w:val="17"/>
          <w:color w:val="auto"/>
        </w:rPr>
        <w:t>‑</w:t>
      </w:r>
      <w:r>
        <w:rPr>
          <w:rFonts w:ascii="Arial" w:cs="Arial" w:eastAsia="Arial" w:hAnsi="Arial"/>
          <w:sz w:val="17"/>
          <w:szCs w:val="17"/>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7"/>
          <w:szCs w:val="17"/>
          <w:color w:val="auto"/>
        </w:rPr>
        <w:t>‑</w:t>
      </w:r>
      <w:r>
        <w:rPr>
          <w:rFonts w:ascii="Arial" w:cs="Arial" w:eastAsia="Arial" w:hAnsi="Arial"/>
          <w:sz w:val="17"/>
          <w:szCs w:val="17"/>
          <w:color w:val="auto"/>
        </w:rPr>
        <w:t>glutamyltransferase, flatulence, or other adverse events or potential adverse events reported or discussed in the product labels for bupropion</w:t>
      </w:r>
      <w:r>
        <w:rPr>
          <w:rFonts w:ascii="MS PGothic" w:cs="MS PGothic" w:eastAsia="MS PGothic" w:hAnsi="MS PGothic"/>
          <w:sz w:val="17"/>
          <w:szCs w:val="17"/>
          <w:color w:val="auto"/>
        </w:rPr>
        <w:t>‑</w:t>
      </w:r>
      <w:r>
        <w:rPr>
          <w:rFonts w:ascii="Arial" w:cs="Arial" w:eastAsia="Arial" w:hAnsi="Arial"/>
          <w:sz w:val="17"/>
          <w:szCs w:val="17"/>
          <w:color w:val="auto"/>
        </w:rPr>
        <w:t>containing products or dextromethorphan</w:t>
      </w:r>
      <w:r>
        <w:rPr>
          <w:rFonts w:ascii="MS PGothic" w:cs="MS PGothic" w:eastAsia="MS PGothic" w:hAnsi="MS PGothic"/>
          <w:sz w:val="17"/>
          <w:szCs w:val="17"/>
          <w:color w:val="auto"/>
        </w:rPr>
        <w:t>‑</w:t>
      </w:r>
      <w:r>
        <w:rPr>
          <w:rFonts w:ascii="Arial" w:cs="Arial" w:eastAsia="Arial" w:hAnsi="Arial"/>
          <w:sz w:val="17"/>
          <w:szCs w:val="17"/>
          <w:color w:val="auto"/>
        </w:rPr>
        <w:t>containing products including Wellbutrin, Wellbutrin SR, Wellbutrin XL, Zyban, Contrave, and Nuedexta.</w:t>
      </w:r>
    </w:p>
    <w:p>
      <w:pPr>
        <w:spacing w:after="0" w:line="209" w:lineRule="exact"/>
        <w:rPr>
          <w:sz w:val="20"/>
          <w:szCs w:val="20"/>
          <w:color w:val="auto"/>
        </w:rPr>
      </w:pPr>
    </w:p>
    <w:p>
      <w:pPr>
        <w:ind w:left="40" w:right="139" w:firstLine="648"/>
        <w:spacing w:after="0" w:line="271" w:lineRule="auto"/>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 containing or rizatriptan-containing products including Vivlodex, Mobic, and Maxalt.</w:t>
      </w:r>
    </w:p>
    <w:p>
      <w:pPr>
        <w:spacing w:after="0" w:line="178" w:lineRule="exact"/>
        <w:rPr>
          <w:sz w:val="20"/>
          <w:szCs w:val="20"/>
          <w:color w:val="auto"/>
        </w:rPr>
      </w:pPr>
    </w:p>
    <w:p>
      <w:pPr>
        <w:ind w:left="40" w:right="259" w:firstLine="648"/>
        <w:spacing w:after="0" w:line="272" w:lineRule="auto"/>
        <w:rPr>
          <w:sz w:val="20"/>
          <w:szCs w:val="20"/>
          <w:color w:val="auto"/>
        </w:rPr>
      </w:pPr>
      <w:r>
        <w:rPr>
          <w:rFonts w:ascii="Arial" w:cs="Arial" w:eastAsia="Arial" w:hAnsi="Arial"/>
          <w:sz w:val="17"/>
          <w:szCs w:val="17"/>
          <w:color w:val="auto"/>
        </w:rPr>
        <w:t>Based on the side effects disclosed in EMA product label for marketed drugs that contain the same active molecule as our product candidate, AXS-12 may result in decreased appetite, insomnia, agitation, anxiety, dizziness, headache, paraesthesia,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77"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6"/>
          <w:szCs w:val="16"/>
          <w:color w:val="auto"/>
        </w:rPr>
        <w:t>‑</w:t>
      </w:r>
      <w:r>
        <w:rPr>
          <w:rFonts w:ascii="Arial" w:cs="Arial" w:eastAsia="Arial" w:hAnsi="Arial"/>
          <w:sz w:val="16"/>
          <w:szCs w:val="16"/>
          <w:color w:val="auto"/>
        </w:rPr>
        <w:t>initiated Phase 2 clinical trials and other third</w:t>
      </w:r>
      <w:r>
        <w:rPr>
          <w:rFonts w:ascii="MS PGothic" w:cs="MS PGothic" w:eastAsia="MS PGothic" w:hAnsi="MS PGothic"/>
          <w:sz w:val="16"/>
          <w:szCs w:val="16"/>
          <w:color w:val="auto"/>
        </w:rPr>
        <w:t>‑</w:t>
      </w:r>
      <w:r>
        <w:rPr>
          <w:rFonts w:ascii="Arial" w:cs="Arial" w:eastAsia="Arial" w:hAnsi="Arial"/>
          <w:sz w:val="16"/>
          <w:szCs w:val="16"/>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pursuant to the 505(b)(2) process, we have not conducted Phase 2 clinical trials for these product candidates and, as such, we will have less experience with actual testing of the product candidate.</w:t>
      </w:r>
    </w:p>
    <w:p>
      <w:pPr>
        <w:spacing w:after="0" w:line="205" w:lineRule="exact"/>
        <w:rPr>
          <w:sz w:val="20"/>
          <w:szCs w:val="20"/>
          <w:color w:val="auto"/>
        </w:rPr>
      </w:pPr>
    </w:p>
    <w:p>
      <w:pPr>
        <w:ind w:left="40" w:right="139" w:firstLine="648"/>
        <w:spacing w:after="0" w:line="273" w:lineRule="auto"/>
        <w:rPr>
          <w:sz w:val="20"/>
          <w:szCs w:val="20"/>
          <w:color w:val="auto"/>
        </w:rPr>
      </w:pPr>
      <w:r>
        <w:rPr>
          <w:rFonts w:ascii="Arial" w:cs="Arial" w:eastAsia="Arial" w:hAnsi="Arial"/>
          <w:sz w:val="17"/>
          <w:szCs w:val="17"/>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219" w:firstLine="648"/>
        <w:spacing w:after="0" w:line="254" w:lineRule="auto"/>
        <w:rPr>
          <w:sz w:val="20"/>
          <w:szCs w:val="20"/>
          <w:color w:val="auto"/>
        </w:rPr>
      </w:pPr>
      <w:r>
        <w:rPr>
          <w:rFonts w:ascii="Arial" w:cs="Arial" w:eastAsia="Arial" w:hAnsi="Arial"/>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95"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7"/>
          <w:szCs w:val="17"/>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204" w:lineRule="exact"/>
        <w:rPr>
          <w:sz w:val="20"/>
          <w:szCs w:val="20"/>
          <w:color w:val="auto"/>
        </w:rPr>
      </w:pPr>
    </w:p>
    <w:p>
      <w:pPr>
        <w:ind w:left="40" w:right="559"/>
        <w:spacing w:after="0" w:line="381" w:lineRule="auto"/>
        <w:rPr>
          <w:sz w:val="20"/>
          <w:szCs w:val="20"/>
          <w:color w:val="auto"/>
        </w:rPr>
      </w:pPr>
      <w:r>
        <w:rPr>
          <w:rFonts w:ascii="Arial" w:cs="Arial" w:eastAsia="Arial" w:hAnsi="Arial"/>
          <w:sz w:val="15"/>
          <w:szCs w:val="15"/>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00"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7"/>
          <w:szCs w:val="17"/>
          <w:color w:val="auto"/>
        </w:rPr>
        <w:t>Under the Hatch</w:t>
      </w:r>
      <w:r>
        <w:rPr>
          <w:rFonts w:ascii="MS PGothic" w:cs="MS PGothic" w:eastAsia="MS PGothic" w:hAnsi="MS PGothic"/>
          <w:sz w:val="17"/>
          <w:szCs w:val="17"/>
          <w:color w:val="auto"/>
        </w:rPr>
        <w:t>‑</w:t>
      </w:r>
      <w:r>
        <w:rPr>
          <w:rFonts w:ascii="Arial" w:cs="Arial" w:eastAsia="Arial" w:hAnsi="Arial"/>
          <w:sz w:val="17"/>
          <w:szCs w:val="17"/>
          <w:color w:val="auto"/>
        </w:rPr>
        <w:t>Waxman Act, the holder of patents listed in the Orange Book for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w:t>
      </w:r>
      <w:r>
        <w:rPr>
          <w:rFonts w:ascii="MS PGothic" w:cs="MS PGothic" w:eastAsia="MS PGothic" w:hAnsi="MS PGothic"/>
          <w:sz w:val="17"/>
          <w:szCs w:val="17"/>
          <w:color w:val="auto"/>
        </w:rPr>
        <w:t>‑</w:t>
      </w:r>
      <w:r>
        <w:rPr>
          <w:rFonts w:ascii="Arial" w:cs="Arial" w:eastAsia="Arial" w:hAnsi="Arial"/>
          <w:sz w:val="17"/>
          <w:szCs w:val="17"/>
          <w:color w:val="auto"/>
        </w:rPr>
        <w:t>time, automatic, 30</w:t>
      </w:r>
      <w:r>
        <w:rPr>
          <w:rFonts w:ascii="MS PGothic" w:cs="MS PGothic" w:eastAsia="MS PGothic" w:hAnsi="MS PGothic"/>
          <w:sz w:val="17"/>
          <w:szCs w:val="17"/>
          <w:color w:val="auto"/>
        </w:rPr>
        <w:t>‑</w:t>
      </w:r>
      <w:r>
        <w:rPr>
          <w:rFonts w:ascii="Arial" w:cs="Arial" w:eastAsia="Arial" w:hAnsi="Arial"/>
          <w:sz w:val="17"/>
          <w:szCs w:val="17"/>
          <w:color w:val="auto"/>
        </w:rPr>
        <w:t>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w:t>
      </w:r>
      <w:r>
        <w:rPr>
          <w:rFonts w:ascii="MS PGothic" w:cs="MS PGothic" w:eastAsia="MS PGothic" w:hAnsi="MS PGothic"/>
          <w:sz w:val="17"/>
          <w:szCs w:val="17"/>
          <w:color w:val="auto"/>
        </w:rPr>
        <w:t>‑</w:t>
      </w:r>
      <w:r>
        <w:rPr>
          <w:rFonts w:ascii="Arial" w:cs="Arial" w:eastAsia="Arial" w:hAnsi="Arial"/>
          <w:sz w:val="17"/>
          <w:szCs w:val="17"/>
          <w:color w:val="auto"/>
        </w:rPr>
        <w:t>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208"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7"/>
          <w:szCs w:val="17"/>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w:t>
      </w:r>
      <w:r>
        <w:rPr>
          <w:rFonts w:ascii="MS PGothic" w:cs="MS PGothic" w:eastAsia="MS PGothic" w:hAnsi="MS PGothic"/>
          <w:sz w:val="17"/>
          <w:szCs w:val="17"/>
          <w:color w:val="auto"/>
        </w:rPr>
        <w:t>‑</w:t>
      </w:r>
      <w:r>
        <w:rPr>
          <w:rFonts w:ascii="Arial" w:cs="Arial" w:eastAsia="Arial" w:hAnsi="Arial"/>
          <w:sz w:val="17"/>
          <w:szCs w:val="17"/>
          <w:color w:val="auto"/>
        </w:rPr>
        <w:t>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87" w:lineRule="exact"/>
        <w:rPr>
          <w:sz w:val="20"/>
          <w:szCs w:val="20"/>
          <w:color w:val="auto"/>
        </w:rPr>
      </w:pPr>
    </w:p>
    <w:p>
      <w:pPr>
        <w:ind w:left="40" w:right="99" w:firstLine="648"/>
        <w:spacing w:after="0" w:line="287"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72"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7"/>
          <w:szCs w:val="17"/>
          <w:color w:val="auto"/>
        </w:rPr>
        <w:t>‑</w:t>
      </w:r>
      <w:r>
        <w:rPr>
          <w:rFonts w:ascii="Arial" w:cs="Arial" w:eastAsia="Arial" w:hAnsi="Arial"/>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w:t>
      </w:r>
    </w:p>
    <w:p>
      <w:pPr>
        <w:spacing w:after="0" w:line="209"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210" w:lineRule="exact"/>
        <w:rPr>
          <w:sz w:val="20"/>
          <w:szCs w:val="20"/>
          <w:color w:val="auto"/>
        </w:rPr>
      </w:pPr>
    </w:p>
    <w:p>
      <w:pPr>
        <w:ind w:left="40" w:right="359" w:firstLine="648"/>
        <w:spacing w:after="0" w:line="308" w:lineRule="auto"/>
        <w:rPr>
          <w:sz w:val="20"/>
          <w:szCs w:val="20"/>
          <w:color w:val="auto"/>
        </w:rPr>
      </w:pPr>
      <w:r>
        <w:rPr>
          <w:rFonts w:ascii="Arial" w:cs="Arial" w:eastAsia="Arial" w:hAnsi="Arial"/>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146" w:lineRule="exact"/>
        <w:rPr>
          <w:sz w:val="20"/>
          <w:szCs w:val="20"/>
          <w:color w:val="auto"/>
        </w:rPr>
      </w:pPr>
    </w:p>
    <w:p>
      <w:pPr>
        <w:ind w:left="700" w:right="119" w:hanging="332"/>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170" w:lineRule="exact"/>
        <w:rPr>
          <w:rFonts w:ascii="Arial" w:cs="Arial" w:eastAsia="Arial" w:hAnsi="Arial"/>
          <w:sz w:val="18"/>
          <w:szCs w:val="18"/>
          <w:color w:val="auto"/>
        </w:rPr>
      </w:pPr>
    </w:p>
    <w:p>
      <w:pPr>
        <w:ind w:left="700" w:right="199" w:hanging="332"/>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70" w:lineRule="exact"/>
        <w:rPr>
          <w:rFonts w:ascii="Arial" w:cs="Arial" w:eastAsia="Arial" w:hAnsi="Arial"/>
          <w:sz w:val="18"/>
          <w:szCs w:val="18"/>
          <w:color w:val="auto"/>
        </w:rPr>
      </w:pPr>
    </w:p>
    <w:p>
      <w:pPr>
        <w:ind w:left="700" w:right="99" w:hanging="332"/>
        <w:spacing w:after="0" w:line="286" w:lineRule="auto"/>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left="700" w:right="219" w:hanging="332"/>
        <w:spacing w:after="0" w:line="263"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83" w:lineRule="exact"/>
        <w:rPr>
          <w:rFonts w:ascii="Arial" w:cs="Arial" w:eastAsia="Arial" w:hAnsi="Arial"/>
          <w:sz w:val="18"/>
          <w:szCs w:val="18"/>
          <w:color w:val="auto"/>
        </w:rPr>
      </w:pPr>
    </w:p>
    <w:p>
      <w:pPr>
        <w:ind w:left="700" w:right="199" w:hanging="332"/>
        <w:spacing w:after="0" w:line="263"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83" w:lineRule="exact"/>
        <w:rPr>
          <w:rFonts w:ascii="Arial" w:cs="Arial" w:eastAsia="Arial" w:hAnsi="Arial"/>
          <w:sz w:val="18"/>
          <w:szCs w:val="18"/>
          <w:color w:val="auto"/>
        </w:rPr>
      </w:pPr>
    </w:p>
    <w:p>
      <w:pPr>
        <w:ind w:left="700" w:right="239" w:hanging="332"/>
        <w:spacing w:after="0" w:line="220" w:lineRule="exact"/>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04" w:lineRule="exact"/>
        <w:rPr>
          <w:rFonts w:ascii="Arial" w:cs="Arial" w:eastAsia="Arial" w:hAnsi="Arial"/>
          <w:sz w:val="18"/>
          <w:szCs w:val="18"/>
          <w:color w:val="auto"/>
        </w:rPr>
      </w:pPr>
    </w:p>
    <w:p>
      <w:pPr>
        <w:ind w:left="700" w:right="99" w:hanging="332"/>
        <w:spacing w:after="0" w:line="296"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61" w:lineRule="exact"/>
        <w:rPr>
          <w:rFonts w:ascii="Arial" w:cs="Arial" w:eastAsia="Arial" w:hAnsi="Arial"/>
          <w:sz w:val="16"/>
          <w:szCs w:val="16"/>
          <w:color w:val="auto"/>
        </w:rPr>
      </w:pPr>
    </w:p>
    <w:p>
      <w:pPr>
        <w:ind w:left="700" w:right="339" w:hanging="332"/>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or the enactment of additional statutes or regulations;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review for each submitted product application;</w:t>
      </w:r>
    </w:p>
    <w:p>
      <w:pPr>
        <w:spacing w:after="0" w:line="225" w:lineRule="exact"/>
        <w:rPr>
          <w:rFonts w:ascii="Arial" w:cs="Arial" w:eastAsia="Arial" w:hAnsi="Arial"/>
          <w:sz w:val="18"/>
          <w:szCs w:val="18"/>
          <w:color w:val="auto"/>
        </w:rPr>
      </w:pPr>
    </w:p>
    <w:p>
      <w:pPr>
        <w:ind w:left="700" w:right="199" w:hanging="332"/>
        <w:spacing w:after="0" w:line="34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23" w:lineRule="exact"/>
        <w:rPr>
          <w:rFonts w:ascii="Arial" w:cs="Arial" w:eastAsia="Arial" w:hAnsi="Arial"/>
          <w:sz w:val="16"/>
          <w:szCs w:val="16"/>
          <w:color w:val="auto"/>
        </w:rPr>
      </w:pPr>
    </w:p>
    <w:p>
      <w:pPr>
        <w:ind w:left="700" w:right="639" w:hanging="332"/>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rFonts w:ascii="Arial" w:cs="Arial" w:eastAsia="Arial" w:hAnsi="Arial"/>
          <w:sz w:val="18"/>
          <w:szCs w:val="18"/>
          <w:color w:val="auto"/>
        </w:rPr>
      </w:pPr>
    </w:p>
    <w:p>
      <w:pPr>
        <w:ind w:left="700" w:right="99" w:hanging="332"/>
        <w:spacing w:after="0" w:line="217" w:lineRule="exact"/>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decide, or regulators may require us, to conduct additional clinical trials, analyses, reports, data, or preclinical trials than we currently plan, or we may abandon product development programs. For instance, with respect to our ongoing Phase 3 clinical trial with AXS-02 for the treatment of the pain of knee OA associated with BMLs, although we have received a Special Protocol Assessment, or SPA, the FDA stated that if there is a recurrence of knee OA pain, we will need to explore repeat dosing, which would require additional preclinical studies. Further, for AXS</w:t>
      </w:r>
      <w:r>
        <w:rPr>
          <w:rFonts w:ascii="MS PGothic" w:cs="MS PGothic" w:eastAsia="MS PGothic" w:hAnsi="MS PGothic"/>
          <w:sz w:val="17"/>
          <w:szCs w:val="17"/>
          <w:color w:val="auto"/>
        </w:rPr>
        <w:t>‑</w:t>
      </w:r>
      <w:r>
        <w:rPr>
          <w:rFonts w:ascii="Arial" w:cs="Arial" w:eastAsia="Arial" w:hAnsi="Arial"/>
          <w:sz w:val="17"/>
          <w:szCs w:val="17"/>
          <w:color w:val="auto"/>
        </w:rPr>
        <w:t>05, we will need to conduct additional clinical and preclinical studies in addition to our Phase 3 and Phase 2/3 trials in order to file an NDA for this product candidate. Additionally, although we believe that we may be able to rely on a single pivotal study to support our NDA for AXS-07 for the acute treatment of migraine, the FDA may ultimately disagree and require us to conduct additional pivotal studies. Finally, for AXS-12, we will need to conduct additional clinical studies in addition to our newly initiated Phase 2 trial in order to file an NDA for this product candidate. The outcome of our studies may further necessitate additional clinical or preclinical work;</w:t>
      </w:r>
    </w:p>
    <w:p>
      <w:pPr>
        <w:spacing w:after="0" w:line="208" w:lineRule="exact"/>
        <w:rPr>
          <w:rFonts w:ascii="Arial" w:cs="Arial" w:eastAsia="Arial" w:hAnsi="Arial"/>
          <w:sz w:val="17"/>
          <w:szCs w:val="17"/>
          <w:color w:val="auto"/>
        </w:rPr>
      </w:pPr>
    </w:p>
    <w:p>
      <w:pPr>
        <w:ind w:left="700" w:hanging="33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regarding the scope or design of our clinical trials;</w:t>
      </w:r>
    </w:p>
    <w:p>
      <w:pPr>
        <w:spacing w:after="0" w:line="225" w:lineRule="exact"/>
        <w:rPr>
          <w:rFonts w:ascii="Arial" w:cs="Arial" w:eastAsia="Arial" w:hAnsi="Arial"/>
          <w:sz w:val="18"/>
          <w:szCs w:val="18"/>
          <w:color w:val="auto"/>
        </w:rPr>
      </w:pPr>
    </w:p>
    <w:p>
      <w:pPr>
        <w:ind w:left="700" w:right="519" w:hanging="332"/>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right="179" w:hanging="332"/>
        <w:spacing w:after="0" w:line="286"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65" w:lineRule="exact"/>
        <w:rPr>
          <w:rFonts w:ascii="Arial" w:cs="Arial" w:eastAsia="Arial" w:hAnsi="Arial"/>
          <w:sz w:val="17"/>
          <w:szCs w:val="17"/>
          <w:color w:val="auto"/>
        </w:rPr>
      </w:pPr>
    </w:p>
    <w:p>
      <w:pPr>
        <w:ind w:left="700" w:right="299" w:hanging="332"/>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170" w:lineRule="exact"/>
        <w:rPr>
          <w:rFonts w:ascii="Arial" w:cs="Arial" w:eastAsia="Arial" w:hAnsi="Arial"/>
          <w:sz w:val="18"/>
          <w:szCs w:val="18"/>
          <w:color w:val="auto"/>
        </w:rPr>
      </w:pPr>
    </w:p>
    <w:p>
      <w:pPr>
        <w:ind w:left="700" w:right="159" w:hanging="332"/>
        <w:spacing w:after="0" w:line="218" w:lineRule="exact"/>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7"/>
          <w:szCs w:val="17"/>
          <w:color w:val="auto"/>
        </w:rPr>
        <w:t>‑</w:t>
      </w:r>
      <w:r>
        <w:rPr>
          <w:rFonts w:ascii="Arial" w:cs="Arial" w:eastAsia="Arial" w:hAnsi="Arial"/>
          <w:sz w:val="17"/>
          <w:szCs w:val="17"/>
          <w:color w:val="auto"/>
        </w:rPr>
        <w:t>02, the species and doses used in our preclinical studies, and the results of our preclinical studies;</w:t>
      </w:r>
    </w:p>
    <w:p>
      <w:pPr>
        <w:spacing w:after="0" w:line="205" w:lineRule="exact"/>
        <w:rPr>
          <w:rFonts w:ascii="Arial" w:cs="Arial" w:eastAsia="Arial" w:hAnsi="Arial"/>
          <w:sz w:val="17"/>
          <w:szCs w:val="17"/>
          <w:color w:val="auto"/>
        </w:rPr>
      </w:pPr>
    </w:p>
    <w:p>
      <w:pPr>
        <w:ind w:left="700" w:right="119" w:hanging="332"/>
        <w:spacing w:after="0" w:line="218" w:lineRule="exact"/>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w:t>
      </w:r>
      <w:r>
        <w:rPr>
          <w:rFonts w:ascii="MS PGothic" w:cs="MS PGothic" w:eastAsia="MS PGothic" w:hAnsi="MS PGothic"/>
          <w:sz w:val="17"/>
          <w:szCs w:val="17"/>
          <w:color w:val="auto"/>
        </w:rPr>
        <w:t>‑</w:t>
      </w:r>
      <w:r>
        <w:rPr>
          <w:rFonts w:ascii="Arial" w:cs="Arial" w:eastAsia="Arial" w:hAnsi="Arial"/>
          <w:sz w:val="17"/>
          <w:szCs w:val="17"/>
          <w:color w:val="auto"/>
        </w:rPr>
        <w:t>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204" w:lineRule="exact"/>
        <w:rPr>
          <w:rFonts w:ascii="Arial" w:cs="Arial" w:eastAsia="Arial" w:hAnsi="Arial"/>
          <w:sz w:val="17"/>
          <w:szCs w:val="17"/>
          <w:color w:val="auto"/>
        </w:rPr>
      </w:pPr>
    </w:p>
    <w:p>
      <w:pPr>
        <w:ind w:left="700" w:right="219" w:hanging="332"/>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w:t>
      </w:r>
    </w:p>
    <w:p>
      <w:pPr>
        <w:spacing w:after="0" w:line="225" w:lineRule="exact"/>
        <w:rPr>
          <w:rFonts w:ascii="Arial" w:cs="Arial" w:eastAsia="Arial" w:hAnsi="Arial"/>
          <w:sz w:val="18"/>
          <w:szCs w:val="18"/>
          <w:color w:val="auto"/>
        </w:rPr>
      </w:pPr>
    </w:p>
    <w:p>
      <w:pPr>
        <w:ind w:left="700" w:right="499" w:hanging="332"/>
        <w:spacing w:after="0" w:line="308"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46" w:lineRule="exact"/>
        <w:rPr>
          <w:rFonts w:ascii="Arial" w:cs="Arial" w:eastAsia="Arial" w:hAnsi="Arial"/>
          <w:sz w:val="17"/>
          <w:szCs w:val="17"/>
          <w:color w:val="auto"/>
        </w:rPr>
      </w:pPr>
    </w:p>
    <w:p>
      <w:pPr>
        <w:ind w:left="700" w:right="299" w:hanging="332"/>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take longer than we anticipate to make a decision on our product candidates; and</w:t>
      </w:r>
    </w:p>
    <w:p>
      <w:pPr>
        <w:spacing w:after="0" w:line="170" w:lineRule="exact"/>
        <w:rPr>
          <w:rFonts w:ascii="Arial" w:cs="Arial" w:eastAsia="Arial" w:hAnsi="Arial"/>
          <w:sz w:val="18"/>
          <w:szCs w:val="18"/>
          <w:color w:val="auto"/>
        </w:rPr>
      </w:pPr>
    </w:p>
    <w:p>
      <w:pPr>
        <w:ind w:left="700" w:right="219" w:hanging="332"/>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70" w:lineRule="exact"/>
        <w:rPr>
          <w:sz w:val="20"/>
          <w:szCs w:val="20"/>
          <w:color w:val="auto"/>
        </w:rPr>
      </w:pPr>
    </w:p>
    <w:p>
      <w:pPr>
        <w:jc w:val="both"/>
        <w:ind w:left="40" w:right="99" w:firstLine="648"/>
        <w:spacing w:after="0" w:line="259"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87" w:lineRule="exact"/>
        <w:rPr>
          <w:sz w:val="20"/>
          <w:szCs w:val="20"/>
          <w:color w:val="auto"/>
        </w:rPr>
      </w:pPr>
    </w:p>
    <w:p>
      <w:pPr>
        <w:ind w:left="700" w:hanging="332"/>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5" w:lineRule="exact"/>
        <w:rPr>
          <w:rFonts w:ascii="Arial" w:cs="Arial" w:eastAsia="Arial" w:hAnsi="Arial"/>
          <w:sz w:val="18"/>
          <w:szCs w:val="18"/>
          <w:color w:val="auto"/>
        </w:rPr>
      </w:pPr>
    </w:p>
    <w:p>
      <w:pPr>
        <w:ind w:left="700" w:right="639" w:hanging="332"/>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are not covered by our intellectual property;</w:t>
      </w:r>
    </w:p>
    <w:p>
      <w:pPr>
        <w:spacing w:after="0" w:line="170" w:lineRule="exact"/>
        <w:rPr>
          <w:rFonts w:ascii="Arial" w:cs="Arial" w:eastAsia="Arial" w:hAnsi="Arial"/>
          <w:sz w:val="18"/>
          <w:szCs w:val="18"/>
          <w:color w:val="auto"/>
        </w:rPr>
      </w:pPr>
    </w:p>
    <w:p>
      <w:pPr>
        <w:jc w:val="both"/>
        <w:ind w:left="700" w:right="139" w:hanging="332"/>
        <w:spacing w:after="0" w:line="286"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hanging="332"/>
        <w:spacing w:after="0" w:line="207" w:lineRule="exact"/>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requirements, including REMS; or</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82" w:lineRule="exact"/>
        <w:rPr>
          <w:sz w:val="20"/>
          <w:szCs w:val="20"/>
          <w:color w:val="auto"/>
        </w:rPr>
      </w:pPr>
    </w:p>
    <w:p>
      <w:pPr>
        <w:ind w:left="40" w:right="79" w:firstLine="648"/>
        <w:spacing w:after="0" w:line="270"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chemistry, manufacturing, and control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bisphosphonates for the treatment of pain. As a result, we may experience delays in regulatory approval due to uncertainties in the approval process.</w:t>
      </w:r>
    </w:p>
    <w:p>
      <w:pPr>
        <w:spacing w:after="0" w:line="181" w:lineRule="exact"/>
        <w:rPr>
          <w:sz w:val="20"/>
          <w:szCs w:val="20"/>
          <w:color w:val="auto"/>
        </w:rPr>
      </w:pPr>
    </w:p>
    <w:p>
      <w:pPr>
        <w:ind w:left="40" w:right="139" w:firstLine="648"/>
        <w:spacing w:after="0" w:line="218" w:lineRule="exact"/>
        <w:rPr>
          <w:sz w:val="20"/>
          <w:szCs w:val="20"/>
          <w:color w:val="auto"/>
        </w:rPr>
      </w:pPr>
      <w:r>
        <w:rPr>
          <w:rFonts w:ascii="Arial" w:cs="Arial" w:eastAsia="Arial" w:hAnsi="Arial"/>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207"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87"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70" w:lineRule="exact"/>
        <w:rPr>
          <w:sz w:val="20"/>
          <w:szCs w:val="20"/>
          <w:color w:val="auto"/>
        </w:rPr>
      </w:pPr>
    </w:p>
    <w:p>
      <w:pPr>
        <w:ind w:left="40" w:right="159" w:firstLine="648"/>
        <w:spacing w:after="0" w:line="293" w:lineRule="auto"/>
        <w:rPr>
          <w:sz w:val="20"/>
          <w:szCs w:val="20"/>
          <w:color w:val="auto"/>
        </w:rPr>
      </w:pPr>
      <w:r>
        <w:rPr>
          <w:rFonts w:ascii="Arial" w:cs="Arial" w:eastAsia="Arial" w:hAnsi="Arial"/>
          <w:sz w:val="16"/>
          <w:szCs w:val="16"/>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19" w:firstLine="648"/>
        <w:spacing w:after="0" w:line="217"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207" w:lineRule="exact"/>
        <w:rPr>
          <w:sz w:val="20"/>
          <w:szCs w:val="20"/>
          <w:color w:val="auto"/>
        </w:rPr>
      </w:pPr>
    </w:p>
    <w:p>
      <w:pPr>
        <w:ind w:left="40" w:right="79" w:firstLine="648"/>
        <w:spacing w:after="0" w:line="221" w:lineRule="exact"/>
        <w:rPr>
          <w:sz w:val="20"/>
          <w:szCs w:val="20"/>
          <w:color w:val="auto"/>
        </w:rPr>
      </w:pPr>
      <w:r>
        <w:rPr>
          <w:rFonts w:ascii="Arial" w:cs="Arial" w:eastAsia="Arial" w:hAnsi="Arial"/>
          <w:sz w:val="17"/>
          <w:szCs w:val="17"/>
          <w:color w:val="auto"/>
        </w:rPr>
        <w:t>To date, the most commonly reported adverse events observed in the completed clinical trial of AXS</w:t>
      </w:r>
      <w:r>
        <w:rPr>
          <w:rFonts w:ascii="MS PGothic" w:cs="MS PGothic" w:eastAsia="MS PGothic" w:hAnsi="MS PGothic"/>
          <w:sz w:val="17"/>
          <w:szCs w:val="17"/>
          <w:color w:val="auto"/>
        </w:rPr>
        <w:t>‑</w:t>
      </w:r>
      <w:r>
        <w:rPr>
          <w:rFonts w:ascii="Arial" w:cs="Arial" w:eastAsia="Arial" w:hAnsi="Arial"/>
          <w:sz w:val="17"/>
          <w:szCs w:val="17"/>
          <w:color w:val="auto"/>
        </w:rPr>
        <w:t>02 include headache, fever, musculoskeletal pain, diarrhea, abdominal pain, nausea, myalgia, and chills. Some reported adverse events led to discontinuation from our trial of AXS</w:t>
      </w:r>
      <w:r>
        <w:rPr>
          <w:rFonts w:ascii="MS PGothic" w:cs="MS PGothic" w:eastAsia="MS PGothic" w:hAnsi="MS PGothic"/>
          <w:sz w:val="17"/>
          <w:szCs w:val="17"/>
          <w:color w:val="auto"/>
        </w:rPr>
        <w:t>‑</w:t>
      </w:r>
      <w:r>
        <w:rPr>
          <w:rFonts w:ascii="Arial" w:cs="Arial" w:eastAsia="Arial" w:hAnsi="Arial"/>
          <w:sz w:val="17"/>
          <w:szCs w:val="17"/>
          <w:color w:val="auto"/>
        </w:rPr>
        <w:t>02. These adverse events included abdominal pain.</w:t>
      </w:r>
    </w:p>
    <w:p>
      <w:pPr>
        <w:spacing w:after="0" w:line="202" w:lineRule="exact"/>
        <w:rPr>
          <w:sz w:val="20"/>
          <w:szCs w:val="20"/>
          <w:color w:val="auto"/>
        </w:rPr>
      </w:pPr>
    </w:p>
    <w:p>
      <w:pPr>
        <w:ind w:left="40" w:right="259" w:firstLine="648"/>
        <w:spacing w:after="0" w:line="220" w:lineRule="exact"/>
        <w:rPr>
          <w:sz w:val="20"/>
          <w:szCs w:val="20"/>
          <w:color w:val="auto"/>
        </w:rPr>
      </w:pPr>
      <w:r>
        <w:rPr>
          <w:rFonts w:ascii="Arial" w:cs="Arial" w:eastAsia="Arial" w:hAnsi="Arial"/>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include acute phase reactions, primarily cold or flu</w:t>
      </w:r>
      <w:r>
        <w:rPr>
          <w:rFonts w:ascii="MS PGothic" w:cs="MS PGothic" w:eastAsia="MS PGothic" w:hAnsi="MS PGothic"/>
          <w:sz w:val="18"/>
          <w:szCs w:val="18"/>
          <w:color w:val="auto"/>
        </w:rPr>
        <w:t>‑</w:t>
      </w:r>
      <w:r>
        <w:rPr>
          <w:rFonts w:ascii="Arial" w:cs="Arial" w:eastAsia="Arial" w:hAnsi="Arial"/>
          <w:sz w:val="18"/>
          <w:szCs w:val="18"/>
          <w:color w:val="auto"/>
        </w:rPr>
        <w:t>like symptoms and headaches.</w:t>
      </w:r>
    </w:p>
    <w:p>
      <w:pPr>
        <w:spacing w:after="0" w:line="204" w:lineRule="exact"/>
        <w:rPr>
          <w:sz w:val="20"/>
          <w:szCs w:val="20"/>
          <w:color w:val="auto"/>
        </w:rPr>
      </w:pPr>
    </w:p>
    <w:p>
      <w:pPr>
        <w:ind w:left="40" w:right="259" w:firstLine="648"/>
        <w:spacing w:after="0" w:line="220" w:lineRule="exact"/>
        <w:rPr>
          <w:sz w:val="20"/>
          <w:szCs w:val="20"/>
          <w:color w:val="auto"/>
        </w:rPr>
      </w:pPr>
      <w:r>
        <w:rPr>
          <w:rFonts w:ascii="Arial" w:cs="Arial" w:eastAsia="Arial" w:hAnsi="Arial"/>
          <w:sz w:val="17"/>
          <w:szCs w:val="17"/>
          <w:color w:val="auto"/>
        </w:rPr>
        <w:t>To date, the most commonly reported adverse events observed in a completed clinical trial with zoledronic acid, the active molecule in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CLBP associated with MCs include fever, headache, myalgia, arthralgia, pain, nausea, and flu</w:t>
      </w:r>
      <w:r>
        <w:rPr>
          <w:rFonts w:ascii="MS PGothic" w:cs="MS PGothic" w:eastAsia="MS PGothic" w:hAnsi="MS PGothic"/>
          <w:sz w:val="17"/>
          <w:szCs w:val="17"/>
          <w:color w:val="auto"/>
        </w:rPr>
        <w:t>‑</w:t>
      </w:r>
      <w:r>
        <w:rPr>
          <w:rFonts w:ascii="Arial" w:cs="Arial" w:eastAsia="Arial" w:hAnsi="Arial"/>
          <w:sz w:val="17"/>
          <w:szCs w:val="17"/>
          <w:color w:val="auto"/>
        </w:rPr>
        <w:t>like symptoms. Sinusitis requiring temporary hospitalization following zoledronic acid infusion was reported in one patient and was therefore classified as a serious adverse event.</w:t>
      </w:r>
    </w:p>
    <w:p>
      <w:pPr>
        <w:spacing w:after="0" w:line="204" w:lineRule="exact"/>
        <w:rPr>
          <w:sz w:val="20"/>
          <w:szCs w:val="20"/>
          <w:color w:val="auto"/>
        </w:rPr>
      </w:pPr>
    </w:p>
    <w:p>
      <w:pPr>
        <w:ind w:left="40" w:right="219" w:firstLine="648"/>
        <w:spacing w:after="0" w:line="221" w:lineRule="exact"/>
        <w:rPr>
          <w:sz w:val="20"/>
          <w:szCs w:val="20"/>
          <w:color w:val="auto"/>
        </w:rPr>
      </w:pPr>
      <w:r>
        <w:rPr>
          <w:rFonts w:ascii="Arial" w:cs="Arial" w:eastAsia="Arial" w:hAnsi="Arial"/>
          <w:sz w:val="16"/>
          <w:szCs w:val="16"/>
          <w:color w:val="auto"/>
        </w:rPr>
        <w:t>To date, the most commonly reported adverse events observed in the completed clinical trials of the combination of DM, one of the active molecules in AXS</w:t>
      </w:r>
      <w:r>
        <w:rPr>
          <w:rFonts w:ascii="MS PGothic" w:cs="MS PGothic" w:eastAsia="MS PGothic" w:hAnsi="MS PGothic"/>
          <w:sz w:val="16"/>
          <w:szCs w:val="16"/>
          <w:color w:val="auto"/>
        </w:rPr>
        <w:t>‑</w:t>
      </w:r>
      <w:r>
        <w:rPr>
          <w:rFonts w:ascii="Arial" w:cs="Arial" w:eastAsia="Arial" w:hAnsi="Arial"/>
          <w:sz w:val="16"/>
          <w:szCs w:val="16"/>
          <w:color w:val="auto"/>
        </w:rPr>
        <w:t>05, and quinidine for the treatment of pseudobulbar affect and agitation in patients with probable AD include falls, dizziness, headache, nausea, diarrhea, and urinary tract infection.</w:t>
      </w:r>
    </w:p>
    <w:p>
      <w:pPr>
        <w:spacing w:after="0" w:line="204" w:lineRule="exact"/>
        <w:rPr>
          <w:sz w:val="20"/>
          <w:szCs w:val="20"/>
          <w:color w:val="auto"/>
        </w:rPr>
      </w:pPr>
    </w:p>
    <w:p>
      <w:pPr>
        <w:ind w:left="40" w:right="159" w:firstLine="648"/>
        <w:spacing w:after="0" w:line="218" w:lineRule="exact"/>
        <w:rPr>
          <w:sz w:val="20"/>
          <w:szCs w:val="20"/>
          <w:color w:val="auto"/>
        </w:rPr>
      </w:pPr>
      <w:r>
        <w:rPr>
          <w:rFonts w:ascii="Arial" w:cs="Arial" w:eastAsia="Arial" w:hAnsi="Arial"/>
          <w:sz w:val="17"/>
          <w:szCs w:val="17"/>
          <w:color w:val="auto"/>
        </w:rPr>
        <w:t>To date, the most commonly reported adverse events observed in the completed clinical trials of AXS</w:t>
      </w:r>
      <w:r>
        <w:rPr>
          <w:rFonts w:ascii="MS PGothic" w:cs="MS PGothic" w:eastAsia="MS PGothic" w:hAnsi="MS PGothic"/>
          <w:sz w:val="17"/>
          <w:szCs w:val="17"/>
          <w:color w:val="auto"/>
        </w:rPr>
        <w:t>‑</w:t>
      </w:r>
      <w:r>
        <w:rPr>
          <w:rFonts w:ascii="Arial" w:cs="Arial" w:eastAsia="Arial" w:hAnsi="Arial"/>
          <w:sz w:val="17"/>
          <w:szCs w:val="17"/>
          <w:color w:val="auto"/>
        </w:rPr>
        <w:t>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w:t>
      </w:r>
      <w:r>
        <w:rPr>
          <w:rFonts w:ascii="MS PGothic" w:cs="MS PGothic" w:eastAsia="MS PGothic" w:hAnsi="MS PGothic"/>
          <w:sz w:val="17"/>
          <w:szCs w:val="17"/>
          <w:color w:val="auto"/>
        </w:rPr>
        <w:t>‑</w:t>
      </w:r>
      <w:r>
        <w:rPr>
          <w:rFonts w:ascii="Arial" w:cs="Arial" w:eastAsia="Arial" w:hAnsi="Arial"/>
          <w:sz w:val="17"/>
          <w:szCs w:val="17"/>
          <w:color w:val="auto"/>
        </w:rPr>
        <w:t>05. These adverse events included chest pain, headache, abdominal pain, diarrhea, signs of potential allergic reactions, atrial tachycardia, disturbance in attention, metamorphosia, tremor, feeling hot, dizziness, dyspnea, and increased respiratory rate. AXS-05 consists of DM and bupropion, and this combination may exacerbate any known adverse events for each individual component, or may result in new toxicities as compared to those of the individual components.</w:t>
      </w:r>
    </w:p>
    <w:p>
      <w:pPr>
        <w:spacing w:after="0" w:line="204"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6"/>
          <w:szCs w:val="16"/>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0" w:lineRule="exact"/>
        <w:rPr>
          <w:sz w:val="20"/>
          <w:szCs w:val="20"/>
          <w:color w:val="auto"/>
        </w:rPr>
      </w:pPr>
    </w:p>
    <w:p>
      <w:pPr>
        <w:ind w:left="40" w:right="59" w:firstLine="648"/>
        <w:spacing w:after="0" w:line="255" w:lineRule="auto"/>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92" w:lineRule="exact"/>
        <w:rPr>
          <w:sz w:val="20"/>
          <w:szCs w:val="20"/>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25" w:lineRule="exact"/>
        <w:rPr>
          <w:rFonts w:ascii="Arial" w:cs="Arial" w:eastAsia="Arial" w:hAnsi="Arial"/>
          <w:sz w:val="18"/>
          <w:szCs w:val="18"/>
          <w:color w:val="auto"/>
        </w:rPr>
      </w:pPr>
    </w:p>
    <w:p>
      <w:pPr>
        <w:ind w:left="700" w:right="619" w:hanging="332"/>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70" w:lineRule="exact"/>
        <w:rPr>
          <w:rFonts w:ascii="Arial" w:cs="Arial" w:eastAsia="Arial" w:hAnsi="Arial"/>
          <w:sz w:val="18"/>
          <w:szCs w:val="18"/>
          <w:color w:val="auto"/>
        </w:rPr>
      </w:pPr>
    </w:p>
    <w:p>
      <w:pPr>
        <w:ind w:left="700" w:right="639" w:hanging="332"/>
        <w:spacing w:after="0" w:line="342"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23" w:lineRule="exact"/>
        <w:rPr>
          <w:rFonts w:ascii="Arial" w:cs="Arial" w:eastAsia="Arial" w:hAnsi="Arial"/>
          <w:sz w:val="16"/>
          <w:szCs w:val="16"/>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225" w:lineRule="exact"/>
        <w:rPr>
          <w:rFonts w:ascii="Arial" w:cs="Arial" w:eastAsia="Arial" w:hAnsi="Arial"/>
          <w:sz w:val="18"/>
          <w:szCs w:val="18"/>
          <w:color w:val="auto"/>
        </w:rPr>
      </w:pPr>
    </w:p>
    <w:p>
      <w:pPr>
        <w:ind w:left="700" w:right="319" w:hanging="332"/>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patients’ ability to comply with the specific instructions related to the trial protocol, proper documentation, and use of the drug product;</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obtain or maintain patient informed consents;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firstLine="648"/>
        <w:spacing w:after="0" w:line="284"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For our initiated Phase 3 clinical trial with AXS-02 for the treatment of the pain of knee OA associated with BMLs and our planned Phase 3 clinical trial in CLBP associated with type 1 or mixed type 1 and type 2 MCs, enrollment will require the existence of radiographic biomarkers, we may require patients to discontinue use of their existing medication before participating in our clinical trials, and we may exclude patients with advanced disease. In addition, for our planned Phase 3 clinical trial with AXS-02 in CLBP associated with type 1 or mixed type 1 and type 2 MCs, we will exclude women of childbearing potential from our potential patient population. We may also exclude patients who have been treated with opioids or other classes of medications. For our Phase 3 clinical trial with AXS-05 for the treatment of TRD, we are requiring patients to have previously failed one or two antidepressant treatments, which further limits our potential patient population. For our Phase 2/3 clinical trial with AXS-05 for the treatment of agitation associated with AD, we exclude patients who have been treated with certain classes of medications. For our Phase 3 clinical trial with AXS-07 for the acute treatment of migraine, only patients with a history of inadequate response to prior migraine treatments will be enrolled. As a result, these and other entry criteria may make it difficult for us to enroll patients in any of our clinical trials. We may be required by the FDA to modify the entry criteria for our ongoing or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82" w:lineRule="exact"/>
        <w:rPr>
          <w:sz w:val="20"/>
          <w:szCs w:val="20"/>
          <w:color w:val="auto"/>
        </w:rPr>
      </w:pPr>
    </w:p>
    <w:p>
      <w:pPr>
        <w:jc w:val="both"/>
        <w:ind w:left="40" w:right="219" w:firstLine="648"/>
        <w:spacing w:after="0" w:line="311" w:lineRule="auto"/>
        <w:rPr>
          <w:sz w:val="20"/>
          <w:szCs w:val="20"/>
          <w:color w:val="auto"/>
        </w:rPr>
      </w:pPr>
      <w:r>
        <w:rPr>
          <w:rFonts w:ascii="Arial" w:cs="Arial" w:eastAsia="Arial" w:hAnsi="Arial"/>
          <w:sz w:val="16"/>
          <w:szCs w:val="16"/>
          <w:color w:val="auto"/>
        </w:rPr>
        <w:t>Enrollment delays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49" w:lineRule="exact"/>
        <w:rPr>
          <w:sz w:val="20"/>
          <w:szCs w:val="20"/>
          <w:color w:val="auto"/>
        </w:rPr>
      </w:pPr>
    </w:p>
    <w:p>
      <w:pPr>
        <w:ind w:left="40" w:right="419"/>
        <w:spacing w:after="0" w:line="381" w:lineRule="auto"/>
        <w:rPr>
          <w:sz w:val="20"/>
          <w:szCs w:val="20"/>
          <w:color w:val="auto"/>
        </w:rPr>
      </w:pPr>
      <w:r>
        <w:rPr>
          <w:rFonts w:ascii="Arial" w:cs="Arial" w:eastAsia="Arial" w:hAnsi="Arial"/>
          <w:sz w:val="15"/>
          <w:szCs w:val="15"/>
          <w:b w:val="1"/>
          <w:bCs w:val="1"/>
          <w:i w:val="1"/>
          <w:iCs w:val="1"/>
          <w:color w:val="auto"/>
        </w:rPr>
        <w:t>Currently approved products containing bupropion are subject to restrictive marketing and distribution regulations, which if applied to our product candidates would restrict their use and harm our ability to generate profits.</w:t>
      </w:r>
    </w:p>
    <w:p>
      <w:pPr>
        <w:spacing w:after="0" w:line="100"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b w:val="1"/>
          <w:bCs w:val="1"/>
          <w:i w:val="1"/>
          <w:iCs w:val="1"/>
          <w:color w:val="auto"/>
        </w:rPr>
        <w:t>Development of combination product candidates may present more or different challenges than development of a single-agent product candidate.</w:t>
      </w:r>
    </w:p>
    <w:p>
      <w:pPr>
        <w:spacing w:after="0" w:line="170" w:lineRule="exact"/>
        <w:rPr>
          <w:sz w:val="20"/>
          <w:szCs w:val="20"/>
          <w:color w:val="auto"/>
        </w:rPr>
      </w:pPr>
    </w:p>
    <w:p>
      <w:pPr>
        <w:ind w:left="40" w:right="99" w:firstLine="648"/>
        <w:spacing w:after="0" w:line="290" w:lineRule="auto"/>
        <w:rPr>
          <w:sz w:val="20"/>
          <w:szCs w:val="20"/>
          <w:color w:val="auto"/>
        </w:rPr>
      </w:pPr>
      <w:r>
        <w:rPr>
          <w:rFonts w:ascii="Arial" w:cs="Arial" w:eastAsia="Arial" w:hAnsi="Arial"/>
          <w:sz w:val="16"/>
          <w:szCs w:val="16"/>
          <w:color w:val="auto"/>
        </w:rPr>
        <w:t>Certain of our product candidates, including AXS-05, AXS-06,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Finally, the FDA’s requirements concerning combination products may change in the future. Moreover, the applicable requirements for approval may differ from country to country.</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225"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7"/>
          <w:szCs w:val="17"/>
          <w:color w:val="auto"/>
        </w:rPr>
        <w:t>As product candidates are developed through preclinical studies to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 towards approval and commercialization, it is common that various aspects of the development program, such as manufacturing methods and formulation, are altered along the way in an effort to optimize processes and results. For instance, two of our initial studies of AXS</w:t>
      </w:r>
      <w:r>
        <w:rPr>
          <w:rFonts w:ascii="MS PGothic" w:cs="MS PGothic" w:eastAsia="MS PGothic" w:hAnsi="MS PGothic"/>
          <w:sz w:val="17"/>
          <w:szCs w:val="17"/>
          <w:color w:val="auto"/>
        </w:rPr>
        <w:t>‑</w:t>
      </w:r>
      <w:r>
        <w:rPr>
          <w:rFonts w:ascii="Arial" w:cs="Arial" w:eastAsia="Arial" w:hAnsi="Arial"/>
          <w:sz w:val="17"/>
          <w:szCs w:val="17"/>
          <w:color w:val="auto"/>
        </w:rPr>
        <w:t>05 were completed with two separate tablets containing DM and bupropion. Our Phase 3 studies, however, are being conducted using a single tablet containing both active ingredients.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209" w:lineRule="exact"/>
        <w:rPr>
          <w:sz w:val="20"/>
          <w:szCs w:val="20"/>
          <w:color w:val="auto"/>
        </w:rPr>
      </w:pPr>
    </w:p>
    <w:p>
      <w:pPr>
        <w:ind w:left="40" w:right="339"/>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170" w:lineRule="exact"/>
        <w:rPr>
          <w:sz w:val="20"/>
          <w:szCs w:val="20"/>
          <w:color w:val="auto"/>
        </w:rPr>
      </w:pPr>
    </w:p>
    <w:p>
      <w:pPr>
        <w:ind w:left="40" w:right="119" w:firstLine="648"/>
        <w:spacing w:after="0" w:line="217" w:lineRule="exact"/>
        <w:rPr>
          <w:sz w:val="20"/>
          <w:szCs w:val="20"/>
          <w:color w:val="auto"/>
        </w:rPr>
      </w:pPr>
      <w:r>
        <w:rPr>
          <w:rFonts w:ascii="Arial" w:cs="Arial" w:eastAsia="Arial" w:hAnsi="Arial"/>
          <w:sz w:val="16"/>
          <w:szCs w:val="16"/>
          <w:color w:val="auto"/>
        </w:rPr>
        <w:t>In order to market and sell our products in the European Union, or EU, and many other jurisdictions, we or our third</w:t>
      </w:r>
      <w:r>
        <w:rPr>
          <w:rFonts w:ascii="MS PGothic" w:cs="MS PGothic" w:eastAsia="MS PGothic" w:hAnsi="MS PGothic"/>
          <w:sz w:val="16"/>
          <w:szCs w:val="16"/>
          <w:color w:val="auto"/>
        </w:rPr>
        <w:t>‑</w:t>
      </w:r>
      <w:r>
        <w:rPr>
          <w:rFonts w:ascii="Arial" w:cs="Arial" w:eastAsia="Arial" w:hAnsi="Arial"/>
          <w:sz w:val="16"/>
          <w:szCs w:val="16"/>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84" w:lineRule="exact"/>
        <w:rPr>
          <w:sz w:val="20"/>
          <w:szCs w:val="20"/>
          <w:color w:val="auto"/>
        </w:rPr>
      </w:pPr>
    </w:p>
    <w:p>
      <w:pPr>
        <w:ind w:left="40" w:right="199" w:firstLine="648"/>
        <w:spacing w:after="0" w:line="253" w:lineRule="auto"/>
        <w:rPr>
          <w:sz w:val="20"/>
          <w:szCs w:val="20"/>
          <w:color w:val="auto"/>
        </w:rPr>
      </w:pPr>
      <w:r>
        <w:rPr>
          <w:rFonts w:ascii="Arial" w:cs="Arial" w:eastAsia="Arial" w:hAnsi="Arial"/>
          <w:sz w:val="18"/>
          <w:szCs w:val="18"/>
          <w:color w:val="auto"/>
        </w:rPr>
        <w:t>We have received a Fast Track product designation for AXS-02 for the treatment of the pain of knee OA associated with BMLs, and for AXS-05 for both the treatment of TRD as well as for the treatment of agitation associated with AD, and we may seek Fast Track designation for other of our current or future product candidates. Receipt of a designation to facilitate expedited review for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96" w:lineRule="exact"/>
        <w:rPr>
          <w:sz w:val="20"/>
          <w:szCs w:val="20"/>
          <w:color w:val="auto"/>
        </w:rPr>
      </w:pPr>
    </w:p>
    <w:p>
      <w:pPr>
        <w:ind w:left="40" w:right="59"/>
        <w:spacing w:after="0" w:line="220" w:lineRule="exact"/>
        <w:rPr>
          <w:sz w:val="20"/>
          <w:szCs w:val="20"/>
          <w:color w:val="auto"/>
        </w:rPr>
      </w:pPr>
      <w:r>
        <w:rPr>
          <w:rFonts w:ascii="Arial" w:cs="Arial" w:eastAsia="Arial" w:hAnsi="Arial"/>
          <w:sz w:val="17"/>
          <w:szCs w:val="17"/>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label” uses, resulting in damage to our reputation and business.</w:t>
      </w:r>
    </w:p>
    <w:p>
      <w:pPr>
        <w:spacing w:after="0" w:line="204"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7"/>
          <w:szCs w:val="17"/>
          <w:color w:val="auto"/>
        </w:rPr>
        <w:t>‑</w:t>
      </w:r>
      <w:r>
        <w:rPr>
          <w:rFonts w:ascii="Arial" w:cs="Arial" w:eastAsia="Arial" w:hAnsi="Arial"/>
          <w:sz w:val="17"/>
          <w:szCs w:val="17"/>
          <w:color w:val="auto"/>
        </w:rPr>
        <w:t>label uses, and our business may be adversely affected. We further must be able to sufficiently substantiate any claims that we make for our products including claims comparing our products to other companies’ products.</w:t>
      </w:r>
    </w:p>
    <w:p>
      <w:pPr>
        <w:spacing w:after="0" w:line="210"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Arial" w:cs="Arial" w:eastAsia="Arial" w:hAnsi="Arial"/>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Arial" w:cs="Arial" w:eastAsia="Arial" w:hAnsi="Arial"/>
          <w:sz w:val="18"/>
          <w:szCs w:val="18"/>
          <w:color w:val="auto"/>
        </w:rPr>
        <w:t>label use.</w:t>
      </w:r>
    </w:p>
    <w:p>
      <w:pPr>
        <w:spacing w:after="0" w:line="205" w:lineRule="exact"/>
        <w:rPr>
          <w:sz w:val="20"/>
          <w:szCs w:val="20"/>
          <w:color w:val="auto"/>
        </w:rPr>
      </w:pPr>
    </w:p>
    <w:p>
      <w:pPr>
        <w:ind w:left="40" w:right="99" w:firstLine="648"/>
        <w:spacing w:after="0" w:line="218"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6"/>
          <w:szCs w:val="16"/>
          <w:color w:val="auto"/>
        </w:rPr>
        <w:t>In the United States, engaging in the impermissible promotion of our products, following approval, for off</w:t>
      </w:r>
      <w:r>
        <w:rPr>
          <w:rFonts w:ascii="MS PGothic" w:cs="MS PGothic" w:eastAsia="MS PGothic" w:hAnsi="MS PGothic"/>
          <w:sz w:val="16"/>
          <w:szCs w:val="16"/>
          <w:color w:val="auto"/>
        </w:rPr>
        <w:t>‑</w:t>
      </w:r>
      <w:r>
        <w:rPr>
          <w:rFonts w:ascii="Arial" w:cs="Arial" w:eastAsia="Arial" w:hAnsi="Arial"/>
          <w:sz w:val="16"/>
          <w:szCs w:val="16"/>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394" w:lineRule="exact"/>
        <w:rPr>
          <w:sz w:val="20"/>
          <w:szCs w:val="20"/>
          <w:color w:val="auto"/>
        </w:rPr>
      </w:pPr>
    </w:p>
    <w:p>
      <w:pPr>
        <w:ind w:left="40" w:right="179" w:firstLine="648"/>
        <w:spacing w:after="0" w:line="291" w:lineRule="auto"/>
        <w:rPr>
          <w:sz w:val="20"/>
          <w:szCs w:val="20"/>
          <w:color w:val="auto"/>
        </w:rPr>
      </w:pPr>
      <w:r>
        <w:rPr>
          <w:rFonts w:ascii="Arial" w:cs="Arial" w:eastAsia="Arial" w:hAnsi="Arial"/>
          <w:sz w:val="16"/>
          <w:szCs w:val="16"/>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66" w:lineRule="exact"/>
        <w:rPr>
          <w:sz w:val="20"/>
          <w:szCs w:val="20"/>
          <w:color w:val="auto"/>
        </w:rPr>
      </w:pPr>
    </w:p>
    <w:p>
      <w:pPr>
        <w:ind w:left="40" w:right="139"/>
        <w:spacing w:after="0" w:line="257" w:lineRule="auto"/>
        <w:rPr>
          <w:sz w:val="20"/>
          <w:szCs w:val="20"/>
          <w:color w:val="auto"/>
        </w:rPr>
      </w:pPr>
      <w:r>
        <w:rPr>
          <w:rFonts w:ascii="Arial" w:cs="Arial" w:eastAsia="Arial" w:hAnsi="Arial"/>
          <w:sz w:val="18"/>
          <w:szCs w:val="18"/>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8"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6"/>
          <w:szCs w:val="16"/>
          <w:color w:val="auto"/>
        </w:rPr>
        <w:t>‑</w:t>
      </w:r>
      <w:r>
        <w:rPr>
          <w:rFonts w:ascii="Arial" w:cs="Arial" w:eastAsia="Arial" w:hAnsi="Arial"/>
          <w:sz w:val="16"/>
          <w:szCs w:val="16"/>
          <w:color w:val="auto"/>
        </w:rPr>
        <w:t>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6"/>
          <w:szCs w:val="16"/>
          <w:color w:val="auto"/>
        </w:rPr>
        <w:t>‑</w:t>
      </w:r>
      <w:r>
        <w:rPr>
          <w:rFonts w:ascii="Arial" w:cs="Arial" w:eastAsia="Arial" w:hAnsi="Arial"/>
          <w:sz w:val="16"/>
          <w:szCs w:val="16"/>
          <w:color w:val="auto"/>
        </w:rPr>
        <w: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6"/>
          <w:szCs w:val="16"/>
          <w:color w:val="auto"/>
        </w:rPr>
        <w:t>‑</w:t>
      </w:r>
      <w:r>
        <w:rPr>
          <w:rFonts w:ascii="Arial" w:cs="Arial" w:eastAsia="Arial" w:hAnsi="Arial"/>
          <w:sz w:val="16"/>
          <w:szCs w:val="16"/>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6"/>
          <w:szCs w:val="16"/>
          <w:color w:val="auto"/>
        </w:rPr>
        <w:t>‑</w:t>
      </w:r>
      <w:r>
        <w:rPr>
          <w:rFonts w:ascii="Arial" w:cs="Arial" w:eastAsia="Arial" w:hAnsi="Arial"/>
          <w:sz w:val="16"/>
          <w:szCs w:val="16"/>
          <w:color w:val="auto"/>
        </w:rPr>
        <w:t>market requirements or restrictions. Any such restrictions could limit sales of the product.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jc w:val="both"/>
        <w:ind w:left="40" w:right="179" w:firstLine="648"/>
        <w:spacing w:after="0" w:line="220" w:lineRule="exact"/>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Arial" w:cs="Arial" w:eastAsia="Arial" w:hAnsi="Arial"/>
          <w:sz w:val="18"/>
          <w:szCs w:val="18"/>
          <w:color w:val="auto"/>
        </w:rPr>
        <w:t>approval for product and manufacturing changes. Application fees may apply to certain changes.</w:t>
      </w:r>
    </w:p>
    <w:p>
      <w:pPr>
        <w:spacing w:after="0" w:line="204" w:lineRule="exact"/>
        <w:rPr>
          <w:sz w:val="20"/>
          <w:szCs w:val="20"/>
          <w:color w:val="auto"/>
        </w:rPr>
      </w:pPr>
    </w:p>
    <w:p>
      <w:pPr>
        <w:ind w:left="40" w:right="119" w:firstLine="648"/>
        <w:spacing w:after="0" w:line="263"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84" w:lineRule="exact"/>
        <w:rPr>
          <w:sz w:val="20"/>
          <w:szCs w:val="20"/>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225"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labeling, including required additional warnings, such as black box warnings, contraindications, precautions, and restrictions on the approved indication or use;</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225" w:lineRule="exact"/>
        <w:rPr>
          <w:rFonts w:ascii="Arial" w:cs="Arial" w:eastAsia="Arial" w:hAnsi="Arial"/>
          <w:sz w:val="18"/>
          <w:szCs w:val="18"/>
          <w:color w:val="auto"/>
        </w:rPr>
      </w:pPr>
    </w:p>
    <w:p>
      <w:pPr>
        <w:ind w:left="700" w:hanging="332"/>
        <w:spacing w:after="0" w:line="207" w:lineRule="exact"/>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conduct post</w:t>
      </w:r>
      <w:r>
        <w:rPr>
          <w:rFonts w:ascii="MS PGothic" w:cs="MS PGothic" w:eastAsia="MS PGothic" w:hAnsi="MS PGothic"/>
          <w:sz w:val="18"/>
          <w:szCs w:val="18"/>
          <w:color w:val="auto"/>
        </w:rPr>
        <w:t>‑</w:t>
      </w:r>
      <w:r>
        <w:rPr>
          <w:rFonts w:ascii="Arial" w:cs="Arial" w:eastAsia="Arial" w:hAnsi="Arial"/>
          <w:sz w:val="18"/>
          <w:szCs w:val="18"/>
          <w:color w:val="auto"/>
        </w:rPr>
        <w:t>marketing studies or clinical trials;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25" w:lineRule="exact"/>
        <w:rPr>
          <w:rFonts w:ascii="Arial" w:cs="Arial" w:eastAsia="Arial" w:hAnsi="Arial"/>
          <w:sz w:val="18"/>
          <w:szCs w:val="18"/>
          <w:color w:val="auto"/>
        </w:rPr>
      </w:pPr>
    </w:p>
    <w:p>
      <w:pPr>
        <w:ind w:left="700" w:right="159" w:hanging="332"/>
        <w:spacing w:after="0" w:line="279"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71" w:lineRule="exact"/>
        <w:rPr>
          <w:rFonts w:ascii="Arial" w:cs="Arial" w:eastAsia="Arial" w:hAnsi="Arial"/>
          <w:sz w:val="17"/>
          <w:szCs w:val="17"/>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the way the drug is administered;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drug becoming less competitive;</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225" w:lineRule="exact"/>
        <w:rPr>
          <w:rFonts w:ascii="Arial" w:cs="Arial" w:eastAsia="Arial" w:hAnsi="Arial"/>
          <w:sz w:val="18"/>
          <w:szCs w:val="18"/>
          <w:color w:val="auto"/>
        </w:rPr>
      </w:pPr>
    </w:p>
    <w:p>
      <w:pPr>
        <w:ind w:left="700" w:right="999" w:hanging="332"/>
        <w:spacing w:after="0" w:line="308"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46" w:lineRule="exact"/>
        <w:rPr>
          <w:rFonts w:ascii="Arial" w:cs="Arial" w:eastAsia="Arial" w:hAnsi="Arial"/>
          <w:sz w:val="17"/>
          <w:szCs w:val="17"/>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damages, restitution, or disgorgement of profits or revenues;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right="459" w:hanging="332"/>
        <w:spacing w:after="0" w:line="342"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23" w:lineRule="exact"/>
        <w:rPr>
          <w:rFonts w:ascii="Arial" w:cs="Arial" w:eastAsia="Arial" w:hAnsi="Arial"/>
          <w:sz w:val="16"/>
          <w:szCs w:val="16"/>
          <w:color w:val="auto"/>
        </w:rPr>
      </w:pPr>
    </w:p>
    <w:p>
      <w:pPr>
        <w:ind w:left="700" w:hanging="332"/>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225" w:lineRule="exact"/>
        <w:rPr>
          <w:sz w:val="20"/>
          <w:szCs w:val="20"/>
          <w:color w:val="auto"/>
        </w:rPr>
      </w:pPr>
    </w:p>
    <w:p>
      <w:pPr>
        <w:ind w:left="40" w:right="259" w:firstLine="648"/>
        <w:spacing w:after="0" w:line="296"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1" w:lineRule="exact"/>
        <w:rPr>
          <w:sz w:val="20"/>
          <w:szCs w:val="20"/>
          <w:color w:val="auto"/>
        </w:rPr>
      </w:pPr>
    </w:p>
    <w:p>
      <w:pPr>
        <w:ind w:left="40" w:right="99" w:firstLine="648"/>
        <w:spacing w:after="0" w:line="275"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76" w:lineRule="exact"/>
        <w:rPr>
          <w:sz w:val="20"/>
          <w:szCs w:val="20"/>
          <w:color w:val="auto"/>
        </w:rPr>
      </w:pPr>
    </w:p>
    <w:p>
      <w:pPr>
        <w:ind w:left="40" w:right="359" w:firstLine="648"/>
        <w:spacing w:after="0" w:line="220" w:lineRule="exact"/>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Arial" w:cs="Arial" w:eastAsia="Arial" w:hAnsi="Arial"/>
          <w:sz w:val="18"/>
          <w:szCs w:val="18"/>
          <w:color w:val="auto"/>
        </w:rPr>
        <w:t>approval regulations may have a negative effect on our operating results and financial condition.</w:t>
      </w:r>
    </w:p>
    <w:p>
      <w:pPr>
        <w:spacing w:after="0" w:line="204"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70" w:lineRule="exact"/>
        <w:rPr>
          <w:sz w:val="20"/>
          <w:szCs w:val="20"/>
          <w:color w:val="auto"/>
        </w:rPr>
      </w:pPr>
    </w:p>
    <w:p>
      <w:pPr>
        <w:ind w:left="40" w:right="199" w:firstLine="648"/>
        <w:spacing w:after="0" w:line="263"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84" w:lineRule="exact"/>
        <w:rPr>
          <w:sz w:val="20"/>
          <w:szCs w:val="20"/>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225" w:lineRule="exact"/>
        <w:rPr>
          <w:rFonts w:ascii="Arial" w:cs="Arial" w:eastAsia="Arial" w:hAnsi="Arial"/>
          <w:sz w:val="18"/>
          <w:szCs w:val="18"/>
          <w:color w:val="auto"/>
        </w:rPr>
      </w:pPr>
    </w:p>
    <w:p>
      <w:pPr>
        <w:ind w:left="700" w:right="259" w:hanging="332"/>
        <w:spacing w:after="0" w:line="221" w:lineRule="exact"/>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potential for so</w:t>
      </w:r>
      <w:r>
        <w:rPr>
          <w:rFonts w:ascii="MS PGothic" w:cs="MS PGothic" w:eastAsia="MS PGothic" w:hAnsi="MS PGothic"/>
          <w:sz w:val="16"/>
          <w:szCs w:val="16"/>
          <w:color w:val="auto"/>
        </w:rPr>
        <w:t>‑</w:t>
      </w:r>
      <w:r>
        <w:rPr>
          <w:rFonts w:ascii="Arial" w:cs="Arial" w:eastAsia="Arial" w:hAnsi="Arial"/>
          <w:sz w:val="16"/>
          <w:szCs w:val="16"/>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03" w:lineRule="exact"/>
        <w:rPr>
          <w:rFonts w:ascii="Arial" w:cs="Arial" w:eastAsia="Arial" w:hAnsi="Arial"/>
          <w:sz w:val="16"/>
          <w:szCs w:val="16"/>
          <w:color w:val="auto"/>
        </w:rPr>
      </w:pPr>
    </w:p>
    <w:p>
      <w:pPr>
        <w:ind w:left="700" w:right="299" w:hanging="332"/>
        <w:spacing w:after="0" w:line="263"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stricter harmonized EU rules on data privacy particularly in relation to health data than is the case in the United States which are being further toughened with EU General Data Protection Regulation, or the GDPR, which became enforceable beginning May 25, 2018;</w:t>
      </w:r>
    </w:p>
    <w:p>
      <w:pPr>
        <w:spacing w:after="0" w:line="183" w:lineRule="exact"/>
        <w:rPr>
          <w:rFonts w:ascii="Arial" w:cs="Arial" w:eastAsia="Arial" w:hAnsi="Arial"/>
          <w:sz w:val="18"/>
          <w:szCs w:val="18"/>
          <w:color w:val="auto"/>
        </w:rPr>
      </w:pPr>
    </w:p>
    <w:p>
      <w:pPr>
        <w:ind w:left="700" w:right="219" w:hanging="332"/>
        <w:spacing w:after="0" w:line="308"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146" w:lineRule="exact"/>
        <w:rPr>
          <w:rFonts w:ascii="Arial" w:cs="Arial" w:eastAsia="Arial" w:hAnsi="Arial"/>
          <w:sz w:val="17"/>
          <w:szCs w:val="17"/>
          <w:color w:val="auto"/>
        </w:rPr>
      </w:pPr>
    </w:p>
    <w:p>
      <w:pPr>
        <w:ind w:left="700" w:right="119" w:hanging="33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236" w:lineRule="exact"/>
        <w:rPr>
          <w:rFonts w:ascii="Arial" w:cs="Arial" w:eastAsia="Arial" w:hAnsi="Arial"/>
          <w:sz w:val="17"/>
          <w:szCs w:val="17"/>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700" w:right="119" w:hanging="33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hanging="332"/>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5"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worker rights tend to be stronger;</w:t>
      </w:r>
    </w:p>
    <w:p>
      <w:pPr>
        <w:spacing w:after="0" w:line="170" w:lineRule="exact"/>
        <w:rPr>
          <w:rFonts w:ascii="Arial" w:cs="Arial" w:eastAsia="Arial" w:hAnsi="Arial"/>
          <w:sz w:val="18"/>
          <w:szCs w:val="18"/>
          <w:color w:val="auto"/>
        </w:rPr>
      </w:pPr>
    </w:p>
    <w:p>
      <w:pPr>
        <w:ind w:left="700" w:right="99" w:hanging="33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Foreign Corrupt Practices Act or comparable foreign regulations, and the risks and costs of noncompliance;</w:t>
      </w:r>
    </w:p>
    <w:p>
      <w:pPr>
        <w:spacing w:after="0" w:line="170" w:lineRule="exact"/>
        <w:rPr>
          <w:rFonts w:ascii="Arial" w:cs="Arial" w:eastAsia="Arial" w:hAnsi="Arial"/>
          <w:sz w:val="18"/>
          <w:szCs w:val="18"/>
          <w:color w:val="auto"/>
        </w:rPr>
      </w:pPr>
    </w:p>
    <w:p>
      <w:pPr>
        <w:ind w:left="700" w:right="639" w:hanging="33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70" w:lineRule="exact"/>
        <w:rPr>
          <w:rFonts w:ascii="Arial" w:cs="Arial" w:eastAsia="Arial" w:hAnsi="Arial"/>
          <w:sz w:val="18"/>
          <w:szCs w:val="18"/>
          <w:color w:val="auto"/>
        </w:rPr>
      </w:pPr>
    </w:p>
    <w:p>
      <w:pPr>
        <w:ind w:left="700" w:right="699" w:hanging="33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40" w:right="319" w:firstLine="648"/>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70" w:lineRule="exact"/>
        <w:rPr>
          <w:sz w:val="20"/>
          <w:szCs w:val="20"/>
          <w:color w:val="auto"/>
        </w:rPr>
      </w:pPr>
    </w:p>
    <w:p>
      <w:pPr>
        <w:ind w:left="40" w:right="259"/>
        <w:spacing w:after="0" w:line="342"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24" w:lineRule="exact"/>
        <w:rPr>
          <w:sz w:val="20"/>
          <w:szCs w:val="20"/>
          <w:color w:val="auto"/>
        </w:rPr>
      </w:pPr>
    </w:p>
    <w:p>
      <w:pPr>
        <w:ind w:left="40" w:right="119" w:firstLine="648"/>
        <w:spacing w:after="0" w:line="288"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229" w:lineRule="exact"/>
        <w:rPr>
          <w:sz w:val="20"/>
          <w:szCs w:val="20"/>
          <w:color w:val="auto"/>
        </w:rPr>
      </w:pPr>
    </w:p>
    <w:p>
      <w:pPr>
        <w:ind w:left="40" w:right="639"/>
        <w:spacing w:after="0" w:line="263" w:lineRule="auto"/>
        <w:rPr>
          <w:sz w:val="20"/>
          <w:szCs w:val="20"/>
          <w:color w:val="auto"/>
        </w:rPr>
      </w:pPr>
      <w:r>
        <w:rPr>
          <w:rFonts w:ascii="Arial" w:cs="Arial" w:eastAsia="Arial" w:hAnsi="Arial"/>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84"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left="40" w:right="159" w:firstLine="648"/>
        <w:spacing w:after="0" w:line="272" w:lineRule="auto"/>
        <w:rPr>
          <w:sz w:val="20"/>
          <w:szCs w:val="20"/>
          <w:color w:val="auto"/>
        </w:rPr>
      </w:pPr>
      <w:r>
        <w:rPr>
          <w:rFonts w:ascii="Arial" w:cs="Arial" w:eastAsia="Arial" w:hAnsi="Arial"/>
          <w:sz w:val="17"/>
          <w:szCs w:val="17"/>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Acadia Pharmaceuticals, Inc.; Alder Biopharmaceuticals, Inc.; Alkermes plc; Allergan plc; Amgen Inc.; Biohaven Pharmaceutical Holding Company Ltd.; Carbylan Therapeutics, Inc.; Eli Lilly and Company; Flexion Therapeutics, Inc.; Grunenthal GmbH; Intra-Cellular Therapies, Inc.; Janssen Research &amp; Development, LLC; Jazz Pharmaceuticals plc; Levolta Pharmaceuticals, Inc.; Otsuka Pharmaceutical Co. Ltd.; and OPKO Health, Inc.</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20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Generic forms of the active ingredients of our product candidates, including zoledronic acid, DM, bupropion,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meloxicam, rizatriptan, reboxetine, and esomeprazole, are available in the United States or abroad and could be used</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off</w:t>
      </w:r>
      <w:r>
        <w:rPr>
          <w:rFonts w:ascii="MS PGothic" w:cs="MS PGothic" w:eastAsia="MS PGothic" w:hAnsi="MS PGothic"/>
          <w:sz w:val="16"/>
          <w:szCs w:val="16"/>
          <w:color w:val="auto"/>
        </w:rPr>
        <w:t>‑</w:t>
      </w:r>
      <w:r>
        <w:rPr>
          <w:rFonts w:ascii="Arial" w:cs="Arial" w:eastAsia="Arial" w:hAnsi="Arial"/>
          <w:sz w:val="16"/>
          <w:szCs w:val="16"/>
          <w:color w:val="auto"/>
        </w:rPr>
        <w:t>label. Any such off</w:t>
      </w:r>
      <w:r>
        <w:rPr>
          <w:rFonts w:ascii="MS PGothic" w:cs="MS PGothic" w:eastAsia="MS PGothic" w:hAnsi="MS PGothic"/>
          <w:sz w:val="16"/>
          <w:szCs w:val="16"/>
          <w:color w:val="auto"/>
        </w:rPr>
        <w:t>‑</w:t>
      </w:r>
      <w:r>
        <w:rPr>
          <w:rFonts w:ascii="Arial" w:cs="Arial" w:eastAsia="Arial" w:hAnsi="Arial"/>
          <w:sz w:val="16"/>
          <w:szCs w:val="16"/>
          <w:color w:val="auto"/>
        </w:rPr>
        <w:t>label use could adversely affect our profitability and have a negative effect on our operating results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 financial condition. For example, even though zoledronic acid is not currently approved for the treatment of pain, we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would not be able to prevent a physician from prescribing zoledronic acid in intravenous form for such treatment. Nor</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could we prevent a payor from offering favorable coverage for such product and disadvantaging our product candidates,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even if the generics would be used off-label.</w:t>
      </w:r>
    </w:p>
    <w:p>
      <w:pPr>
        <w:spacing w:after="0" w:line="211"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6" w:lineRule="exact"/>
        <w:rPr>
          <w:sz w:val="20"/>
          <w:szCs w:val="20"/>
          <w:color w:val="auto"/>
        </w:rPr>
      </w:pPr>
    </w:p>
    <w:p>
      <w:pPr>
        <w:jc w:val="both"/>
        <w:ind w:left="40" w:right="99"/>
        <w:spacing w:after="0" w:line="340" w:lineRule="auto"/>
        <w:rPr>
          <w:sz w:val="20"/>
          <w:szCs w:val="20"/>
          <w:color w:val="auto"/>
        </w:rPr>
      </w:pPr>
      <w:r>
        <w:rPr>
          <w:rFonts w:ascii="Arial" w:cs="Arial" w:eastAsia="Arial" w:hAnsi="Arial"/>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31"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7"/>
          <w:szCs w:val="17"/>
          <w:color w:val="auto"/>
        </w:rPr>
        <w:t>‑</w:t>
      </w:r>
      <w:r>
        <w:rPr>
          <w:rFonts w:ascii="Arial" w:cs="Arial" w:eastAsia="Arial" w:hAnsi="Arial"/>
          <w:sz w:val="17"/>
          <w:szCs w:val="17"/>
          <w:color w:val="auto"/>
        </w:rPr>
        <w:t>party payors. Thus, following the introduction of a generic drug, a significant percentage of the sales of any branded product or reference listed drug is typically lost to the generic product.</w:t>
      </w:r>
    </w:p>
    <w:p>
      <w:pPr>
        <w:spacing w:after="0" w:line="209" w:lineRule="exact"/>
        <w:rPr>
          <w:sz w:val="20"/>
          <w:szCs w:val="20"/>
          <w:color w:val="auto"/>
        </w:rPr>
      </w:pPr>
    </w:p>
    <w:p>
      <w:pPr>
        <w:ind w:left="40" w:right="119" w:firstLine="648"/>
        <w:spacing w:after="0" w:line="301"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6"/>
          <w:szCs w:val="16"/>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6"/>
          <w:szCs w:val="16"/>
          <w:color w:val="auto"/>
        </w:rPr>
        <w:t>‑</w:t>
      </w:r>
      <w:r>
        <w:rPr>
          <w:rFonts w:ascii="Arial" w:cs="Arial" w:eastAsia="Arial" w:hAnsi="Arial"/>
          <w:sz w:val="16"/>
          <w:szCs w:val="16"/>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204"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7"/>
          <w:szCs w:val="17"/>
          <w:color w:val="auto"/>
        </w:rPr>
        <w:t>We currently anticipate that we may be eligible for three years of non</w:t>
      </w:r>
      <w:r>
        <w:rPr>
          <w:rFonts w:ascii="MS PGothic" w:cs="MS PGothic" w:eastAsia="MS PGothic" w:hAnsi="MS PGothic"/>
          <w:sz w:val="17"/>
          <w:szCs w:val="17"/>
          <w:color w:val="auto"/>
        </w:rPr>
        <w:t>‑</w:t>
      </w:r>
      <w:r>
        <w:rPr>
          <w:rFonts w:ascii="Arial" w:cs="Arial" w:eastAsia="Arial" w:hAnsi="Arial"/>
          <w:sz w:val="17"/>
          <w:szCs w:val="17"/>
          <w:color w:val="auto"/>
        </w:rPr>
        <w:t>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since providers are not prohibited from prescribing medications for indications other than the approved indications listed on the label. Moreover, a 505(b)(2) applicant could rely on a reference listed drug that is not one of our product candidates, or published literature, in which case any periods of patent or non</w:t>
      </w:r>
      <w:r>
        <w:rPr>
          <w:rFonts w:ascii="MS PGothic" w:cs="MS PGothic" w:eastAsia="MS PGothic" w:hAnsi="MS PGothic"/>
          <w:sz w:val="17"/>
          <w:szCs w:val="17"/>
          <w:color w:val="auto"/>
        </w:rPr>
        <w:t>‑</w:t>
      </w:r>
      <w:r>
        <w:rPr>
          <w:rFonts w:ascii="Arial" w:cs="Arial" w:eastAsia="Arial" w:hAnsi="Arial"/>
          <w:sz w:val="17"/>
          <w:szCs w:val="17"/>
          <w:color w:val="auto"/>
        </w:rPr>
        <w:t>patent protection may not prevent FDA making an approval effective.</w:t>
      </w:r>
    </w:p>
    <w:p>
      <w:pPr>
        <w:spacing w:after="0" w:line="204" w:lineRule="exact"/>
        <w:rPr>
          <w:sz w:val="20"/>
          <w:szCs w:val="20"/>
          <w:color w:val="auto"/>
        </w:rPr>
      </w:pPr>
    </w:p>
    <w:p>
      <w:pPr>
        <w:ind w:left="40" w:right="79" w:firstLine="648"/>
        <w:spacing w:after="0" w:line="263" w:lineRule="auto"/>
        <w:rPr>
          <w:sz w:val="20"/>
          <w:szCs w:val="20"/>
          <w:color w:val="auto"/>
        </w:rPr>
      </w:pPr>
      <w:r>
        <w:rPr>
          <w:rFonts w:ascii="Arial" w:cs="Arial" w:eastAsia="Arial" w:hAnsi="Arial"/>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84" w:lineRule="exact"/>
        <w:rPr>
          <w:sz w:val="20"/>
          <w:szCs w:val="20"/>
          <w:color w:val="auto"/>
        </w:rPr>
      </w:pPr>
    </w:p>
    <w:p>
      <w:pPr>
        <w:ind w:left="40" w:right="219"/>
        <w:spacing w:after="0" w:line="220" w:lineRule="exact"/>
        <w:rPr>
          <w:sz w:val="20"/>
          <w:szCs w:val="20"/>
          <w:color w:val="auto"/>
        </w:rPr>
      </w:pPr>
      <w:r>
        <w:rPr>
          <w:rFonts w:ascii="Arial" w:cs="Arial" w:eastAsia="Arial" w:hAnsi="Arial"/>
          <w:sz w:val="18"/>
          <w:szCs w:val="18"/>
          <w:b w:val="1"/>
          <w:bCs w:val="1"/>
          <w:i w:val="1"/>
          <w:iCs w:val="1"/>
          <w:color w:val="auto"/>
        </w:rPr>
        <w:t>AXS-12 and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204" w:lineRule="exact"/>
        <w:rPr>
          <w:sz w:val="20"/>
          <w:szCs w:val="20"/>
          <w:color w:val="auto"/>
        </w:rPr>
      </w:pPr>
    </w:p>
    <w:p>
      <w:pPr>
        <w:ind w:left="40" w:right="279" w:firstLine="648"/>
        <w:spacing w:after="0" w:line="220" w:lineRule="exact"/>
        <w:rPr>
          <w:sz w:val="20"/>
          <w:szCs w:val="20"/>
          <w:color w:val="auto"/>
        </w:rPr>
      </w:pPr>
      <w:r>
        <w:rPr>
          <w:rFonts w:ascii="Arial" w:cs="Arial" w:eastAsia="Arial" w:hAnsi="Arial"/>
          <w:sz w:val="18"/>
          <w:szCs w:val="18"/>
          <w:color w:val="auto"/>
        </w:rPr>
        <w:t>AXS-12 received Orphan Drug Designation from the FDA for the treatment of narcolepsy. AXS</w:t>
      </w:r>
      <w:r>
        <w:rPr>
          <w:rFonts w:ascii="MS PGothic" w:cs="MS PGothic" w:eastAsia="MS PGothic" w:hAnsi="MS PGothic"/>
          <w:sz w:val="18"/>
          <w:szCs w:val="18"/>
          <w:color w:val="auto"/>
        </w:rPr>
        <w:t>‑</w:t>
      </w:r>
      <w:r>
        <w:rPr>
          <w:rFonts w:ascii="Arial" w:cs="Arial" w:eastAsia="Arial" w:hAnsi="Arial"/>
          <w:sz w:val="18"/>
          <w:szCs w:val="18"/>
          <w:color w:val="auto"/>
        </w:rPr>
        <w:t>02 received Orphan Drug Designation from the FDA for the treatment of CRPS. We may also seek Orphan Drug Designation for our other product candidates, as appropriate.</w:t>
      </w:r>
    </w:p>
    <w:p>
      <w:pPr>
        <w:spacing w:after="0" w:line="204" w:lineRule="exact"/>
        <w:rPr>
          <w:sz w:val="20"/>
          <w:szCs w:val="20"/>
          <w:color w:val="auto"/>
        </w:rPr>
      </w:pPr>
    </w:p>
    <w:p>
      <w:pPr>
        <w:ind w:left="40" w:right="59" w:firstLine="648"/>
        <w:spacing w:after="0" w:line="270" w:lineRule="auto"/>
        <w:rPr>
          <w:sz w:val="20"/>
          <w:szCs w:val="20"/>
          <w:color w:val="auto"/>
        </w:rPr>
      </w:pPr>
      <w:r>
        <w:rPr>
          <w:rFonts w:ascii="Arial" w:cs="Arial" w:eastAsia="Arial" w:hAnsi="Arial"/>
          <w:sz w:val="17"/>
          <w:szCs w:val="17"/>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1" w:lineRule="exact"/>
        <w:rPr>
          <w:sz w:val="20"/>
          <w:szCs w:val="20"/>
          <w:color w:val="auto"/>
        </w:rPr>
      </w:pPr>
    </w:p>
    <w:p>
      <w:pPr>
        <w:ind w:left="40" w:right="159" w:firstLine="648"/>
        <w:spacing w:after="0" w:line="218" w:lineRule="exact"/>
        <w:rPr>
          <w:sz w:val="20"/>
          <w:szCs w:val="20"/>
          <w:color w:val="auto"/>
        </w:rPr>
      </w:pPr>
      <w:r>
        <w:rPr>
          <w:rFonts w:ascii="Arial" w:cs="Arial" w:eastAsia="Arial" w:hAnsi="Arial"/>
          <w:sz w:val="16"/>
          <w:szCs w:val="16"/>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Thar Pharmaceuticals was subsequently acquired by Grunenthal GmbH. Although we are no longer pursuing CRPS, if Grunenthal GmbH or another sponsor had received FDA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FDA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United States for this indication for a period of at least</w:t>
      </w:r>
    </w:p>
    <w:p>
      <w:pPr>
        <w:spacing w:after="0" w:line="2" w:lineRule="exact"/>
        <w:rPr>
          <w:sz w:val="20"/>
          <w:szCs w:val="20"/>
          <w:color w:val="auto"/>
        </w:rPr>
      </w:pPr>
    </w:p>
    <w:p>
      <w:pPr>
        <w:ind w:left="40" w:right="119"/>
        <w:spacing w:after="0" w:line="216" w:lineRule="exact"/>
        <w:rPr>
          <w:sz w:val="20"/>
          <w:szCs w:val="20"/>
          <w:color w:val="auto"/>
        </w:rPr>
      </w:pPr>
      <w:r>
        <w:rPr>
          <w:rFonts w:ascii="Arial" w:cs="Arial" w:eastAsia="Arial" w:hAnsi="Arial"/>
          <w:sz w:val="17"/>
          <w:szCs w:val="17"/>
          <w:color w:val="auto"/>
        </w:rPr>
        <w:t>7 years. If another sponsor had received EMA approval for a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 for the treatment of CRPS before we had obtained EMA approval for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associated with CRPS, we would have been prevented from launching our product in the EU for this indication for a period of at least 10 to 12 years.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firstLine="648"/>
        <w:spacing w:after="0" w:line="296" w:lineRule="auto"/>
        <w:rPr>
          <w:sz w:val="20"/>
          <w:szCs w:val="20"/>
          <w:color w:val="auto"/>
        </w:rPr>
      </w:pPr>
      <w:r>
        <w:rPr>
          <w:rFonts w:ascii="Arial" w:cs="Arial" w:eastAsia="Arial" w:hAnsi="Arial"/>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61" w:lineRule="exact"/>
        <w:rPr>
          <w:sz w:val="20"/>
          <w:szCs w:val="20"/>
          <w:color w:val="auto"/>
        </w:rPr>
      </w:pPr>
    </w:p>
    <w:p>
      <w:pPr>
        <w:ind w:left="40" w:right="439"/>
        <w:spacing w:after="0" w:line="381"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00"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7"/>
          <w:szCs w:val="17"/>
          <w:color w:val="auto"/>
        </w:rPr>
        <w:t>‑</w:t>
      </w:r>
      <w:r>
        <w:rPr>
          <w:rFonts w:ascii="Arial" w:cs="Arial" w:eastAsia="Arial" w:hAnsi="Arial"/>
          <w:sz w:val="17"/>
          <w:szCs w:val="17"/>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203"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81" w:lineRule="exact"/>
        <w:rPr>
          <w:sz w:val="20"/>
          <w:szCs w:val="20"/>
          <w:color w:val="auto"/>
        </w:rPr>
      </w:pPr>
    </w:p>
    <w:p>
      <w:pPr>
        <w:ind w:left="700" w:hanging="332"/>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inability to recruit, train, manage, and retain adequate numbers of effective sales and marketing personnel;</w:t>
      </w:r>
    </w:p>
    <w:p>
      <w:pPr>
        <w:spacing w:after="0" w:line="248" w:lineRule="exact"/>
        <w:rPr>
          <w:rFonts w:ascii="Arial" w:cs="Arial" w:eastAsia="Arial" w:hAnsi="Arial"/>
          <w:sz w:val="16"/>
          <w:szCs w:val="16"/>
          <w:color w:val="auto"/>
        </w:rPr>
      </w:pPr>
    </w:p>
    <w:p>
      <w:pPr>
        <w:ind w:left="700" w:right="539" w:hanging="332"/>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of our current or future product candidates;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225" w:lineRule="exact"/>
        <w:rPr>
          <w:rFonts w:ascii="Arial" w:cs="Arial" w:eastAsia="Arial" w:hAnsi="Arial"/>
          <w:sz w:val="18"/>
          <w:szCs w:val="18"/>
          <w:color w:val="auto"/>
        </w:rPr>
      </w:pPr>
    </w:p>
    <w:p>
      <w:pPr>
        <w:ind w:left="700" w:right="259" w:hanging="332"/>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clinical indications and labeled claims for which the product is approved;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236" w:lineRule="exact"/>
        <w:rPr>
          <w:rFonts w:ascii="Arial" w:cs="Arial" w:eastAsia="Arial" w:hAnsi="Arial"/>
          <w:sz w:val="17"/>
          <w:szCs w:val="17"/>
          <w:color w:val="auto"/>
        </w:rPr>
      </w:pPr>
    </w:p>
    <w:p>
      <w:pPr>
        <w:ind w:left="700" w:right="279" w:hanging="332"/>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70" w:lineRule="exact"/>
        <w:rPr>
          <w:rFonts w:ascii="Arial" w:cs="Arial" w:eastAsia="Arial" w:hAnsi="Arial"/>
          <w:sz w:val="18"/>
          <w:szCs w:val="18"/>
          <w:color w:val="auto"/>
        </w:rPr>
      </w:pPr>
    </w:p>
    <w:p>
      <w:pPr>
        <w:ind w:left="700" w:right="1099" w:hanging="332"/>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right="859" w:hanging="33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70" w:lineRule="exact"/>
        <w:rPr>
          <w:rFonts w:ascii="Arial" w:cs="Arial" w:eastAsia="Arial" w:hAnsi="Arial"/>
          <w:sz w:val="18"/>
          <w:szCs w:val="18"/>
          <w:color w:val="auto"/>
        </w:rPr>
      </w:pPr>
    </w:p>
    <w:p>
      <w:pPr>
        <w:ind w:left="700" w:right="619" w:hanging="332"/>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70" w:lineRule="exact"/>
        <w:rPr>
          <w:sz w:val="20"/>
          <w:szCs w:val="20"/>
          <w:color w:val="auto"/>
        </w:rPr>
      </w:pPr>
    </w:p>
    <w:p>
      <w:pPr>
        <w:ind w:left="40" w:right="279" w:firstLine="648"/>
        <w:spacing w:after="0" w:line="293" w:lineRule="auto"/>
        <w:rPr>
          <w:sz w:val="20"/>
          <w:szCs w:val="20"/>
          <w:color w:val="auto"/>
        </w:rPr>
      </w:pPr>
      <w:r>
        <w:rPr>
          <w:rFonts w:ascii="Arial" w:cs="Arial" w:eastAsia="Arial" w:hAnsi="Arial"/>
          <w:sz w:val="16"/>
          <w:szCs w:val="16"/>
          <w:color w:val="auto"/>
        </w:rPr>
        <w:t>Although our current plan is to hire most of our sales and marketing personnel only if a product candidate is approved by the FDA, we will incur expenses prior to product launch in recruiting this sales force and developing a compliant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64" w:lineRule="exact"/>
        <w:rPr>
          <w:sz w:val="20"/>
          <w:szCs w:val="20"/>
          <w:color w:val="auto"/>
        </w:rPr>
      </w:pPr>
    </w:p>
    <w:p>
      <w:pPr>
        <w:ind w:left="40" w:right="79" w:firstLine="648"/>
        <w:spacing w:after="0" w:line="218" w:lineRule="exact"/>
        <w:rPr>
          <w:sz w:val="20"/>
          <w:szCs w:val="20"/>
          <w:color w:val="auto"/>
        </w:rPr>
      </w:pPr>
      <w:r>
        <w:rPr>
          <w:rFonts w:ascii="Arial" w:cs="Arial" w:eastAsia="Arial" w:hAnsi="Arial"/>
          <w:sz w:val="17"/>
          <w:szCs w:val="17"/>
          <w:color w:val="auto"/>
        </w:rPr>
        <w:t>In the event we are unable to collaborate with a third</w:t>
      </w:r>
      <w:r>
        <w:rPr>
          <w:rFonts w:ascii="MS PGothic" w:cs="MS PGothic" w:eastAsia="MS PGothic" w:hAnsi="MS PGothic"/>
          <w:sz w:val="17"/>
          <w:szCs w:val="17"/>
          <w:color w:val="auto"/>
        </w:rPr>
        <w:t>‑</w:t>
      </w:r>
      <w:r>
        <w:rPr>
          <w:rFonts w:ascii="Arial" w:cs="Arial" w:eastAsia="Arial" w:hAnsi="Arial"/>
          <w:sz w:val="17"/>
          <w:szCs w:val="17"/>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and may be subject to additional regulatory restrictions associated with the operation of a contracted sales force. In addition, we would have less control over the sales efforts of any other third parties involved in our commercialization efforts, and could be held liable if they failed to comply with applicable legal or regulatory requirements.</w:t>
      </w:r>
    </w:p>
    <w:p>
      <w:pPr>
        <w:spacing w:after="0" w:line="206"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70"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 Third party payors may also implement onerous access controls, which could further impede our efforts to effectively transition eligible patients to our therapies.</w:t>
      </w:r>
    </w:p>
    <w:p>
      <w:pPr>
        <w:spacing w:after="0" w:line="174" w:lineRule="exact"/>
        <w:rPr>
          <w:sz w:val="20"/>
          <w:szCs w:val="20"/>
          <w:color w:val="auto"/>
        </w:rPr>
      </w:pPr>
    </w:p>
    <w:p>
      <w:pPr>
        <w:ind w:left="40" w:right="179" w:firstLine="648"/>
        <w:spacing w:after="0" w:line="301"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57" w:lineRule="exact"/>
        <w:rPr>
          <w:sz w:val="20"/>
          <w:szCs w:val="20"/>
          <w:color w:val="auto"/>
        </w:rPr>
      </w:pP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w:t>
      </w:r>
    </w:p>
    <w:p>
      <w:pPr>
        <w:spacing w:after="0" w:line="225" w:lineRule="exact"/>
        <w:rPr>
          <w:rFonts w:ascii="Arial" w:cs="Arial" w:eastAsia="Arial" w:hAnsi="Arial"/>
          <w:sz w:val="18"/>
          <w:szCs w:val="18"/>
          <w:color w:val="auto"/>
        </w:rPr>
      </w:pPr>
    </w:p>
    <w:p>
      <w:pPr>
        <w:ind w:left="1020" w:right="219" w:hanging="328"/>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170" w:lineRule="exact"/>
        <w:rPr>
          <w:rFonts w:ascii="Arial" w:cs="Arial" w:eastAsia="Arial" w:hAnsi="Arial"/>
          <w:sz w:val="18"/>
          <w:szCs w:val="18"/>
          <w:color w:val="auto"/>
        </w:rPr>
      </w:pPr>
    </w:p>
    <w:p>
      <w:pPr>
        <w:ind w:left="1020" w:right="219" w:hanging="328"/>
        <w:spacing w:after="0" w:line="224" w:lineRule="exact"/>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w:t>
      </w:r>
      <w:r>
        <w:rPr>
          <w:rFonts w:ascii="MS PGothic" w:cs="MS PGothic" w:eastAsia="MS PGothic" w:hAnsi="MS PGothic"/>
          <w:sz w:val="17"/>
          <w:szCs w:val="17"/>
          <w:color w:val="auto"/>
        </w:rPr>
        <w:t>‑</w:t>
      </w:r>
      <w:r>
        <w:rPr>
          <w:rFonts w:ascii="Arial" w:cs="Arial" w:eastAsia="Arial" w:hAnsi="Arial"/>
          <w:sz w:val="17"/>
          <w:szCs w:val="17"/>
          <w:color w:val="auto"/>
        </w:rPr>
        <w:t>approved labeling, including potential limitations or warnings for such product candidate, that may be more restrictive than other competitive products;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1020" w:right="79" w:hanging="328"/>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such product candidate;</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cost of treatment versus economic and clinical benefit in relation to alternative treatments or therapies;</w:t>
      </w:r>
    </w:p>
    <w:p>
      <w:pPr>
        <w:spacing w:after="0" w:line="236" w:lineRule="exact"/>
        <w:rPr>
          <w:rFonts w:ascii="Arial" w:cs="Arial" w:eastAsia="Arial" w:hAnsi="Arial"/>
          <w:sz w:val="17"/>
          <w:szCs w:val="17"/>
          <w:color w:val="auto"/>
        </w:rPr>
      </w:pPr>
    </w:p>
    <w:p>
      <w:pPr>
        <w:ind w:left="1020" w:right="439" w:hanging="328"/>
        <w:spacing w:after="0" w:line="342"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availability of adequate coverage or reimbursement by third parties, such as insurance companies and other healthcare payors, and by government healthcare programs, including Medicare and Medicaid;</w:t>
      </w:r>
    </w:p>
    <w:p>
      <w:pPr>
        <w:spacing w:after="0" w:line="123" w:lineRule="exact"/>
        <w:rPr>
          <w:rFonts w:ascii="Arial" w:cs="Arial" w:eastAsia="Arial" w:hAnsi="Arial"/>
          <w:sz w:val="16"/>
          <w:szCs w:val="16"/>
          <w:color w:val="auto"/>
        </w:rPr>
      </w:pPr>
    </w:p>
    <w:p>
      <w:pPr>
        <w:ind w:left="1020" w:right="99" w:hanging="328"/>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third party payors to prefer similar but less expensive products even if not approved for our product’s indication;</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w:t>
      </w:r>
    </w:p>
    <w:p>
      <w:pPr>
        <w:spacing w:after="0" w:line="225" w:lineRule="exact"/>
        <w:rPr>
          <w:rFonts w:ascii="Arial" w:cs="Arial" w:eastAsia="Arial" w:hAnsi="Arial"/>
          <w:sz w:val="18"/>
          <w:szCs w:val="18"/>
          <w:color w:val="auto"/>
        </w:rPr>
      </w:pPr>
    </w:p>
    <w:p>
      <w:pPr>
        <w:ind w:left="1020" w:right="399" w:hanging="328"/>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70" w:lineRule="exact"/>
        <w:rPr>
          <w:rFonts w:ascii="Arial" w:cs="Arial" w:eastAsia="Arial" w:hAnsi="Arial"/>
          <w:sz w:val="18"/>
          <w:szCs w:val="18"/>
          <w:color w:val="auto"/>
        </w:rPr>
      </w:pPr>
    </w:p>
    <w:p>
      <w:pPr>
        <w:ind w:left="1020" w:right="259" w:hanging="328"/>
        <w:spacing w:after="0" w:line="342"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distribution and use restrictions imposed by the FDA with respect to such product candidate or to which we agree as part of a mandatory risk evaluation and mitigation strategy or voluntary risk management plan;</w:t>
      </w:r>
    </w:p>
    <w:p>
      <w:pPr>
        <w:spacing w:after="0" w:line="123" w:lineRule="exact"/>
        <w:rPr>
          <w:rFonts w:ascii="Arial" w:cs="Arial" w:eastAsia="Arial" w:hAnsi="Arial"/>
          <w:sz w:val="16"/>
          <w:szCs w:val="16"/>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225" w:lineRule="exact"/>
        <w:rPr>
          <w:rFonts w:ascii="Arial" w:cs="Arial" w:eastAsia="Arial" w:hAnsi="Arial"/>
          <w:sz w:val="18"/>
          <w:szCs w:val="18"/>
          <w:color w:val="auto"/>
        </w:rPr>
      </w:pPr>
    </w:p>
    <w:p>
      <w:pPr>
        <w:ind w:left="1020" w:right="139" w:hanging="328"/>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170" w:lineRule="exact"/>
        <w:rPr>
          <w:rFonts w:ascii="Arial" w:cs="Arial" w:eastAsia="Arial" w:hAnsi="Arial"/>
          <w:sz w:val="18"/>
          <w:szCs w:val="18"/>
          <w:color w:val="auto"/>
        </w:rPr>
      </w:pPr>
    </w:p>
    <w:p>
      <w:pPr>
        <w:ind w:left="1020" w:right="579" w:hanging="328"/>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225" w:lineRule="exact"/>
        <w:rPr>
          <w:rFonts w:ascii="Arial" w:cs="Arial" w:eastAsia="Arial" w:hAnsi="Arial"/>
          <w:sz w:val="18"/>
          <w:szCs w:val="18"/>
          <w:color w:val="auto"/>
        </w:rPr>
      </w:pPr>
    </w:p>
    <w:p>
      <w:pPr>
        <w:ind w:left="1020" w:hanging="328"/>
        <w:spacing w:after="0" w:line="207" w:lineRule="exact"/>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and strength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supplier support;</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7"/>
          <w:szCs w:val="17"/>
          <w:color w:val="auto"/>
        </w:rPr>
        <w:t>Our efforts to educate the medical community and third</w:t>
      </w:r>
      <w:r>
        <w:rPr>
          <w:rFonts w:ascii="MS PGothic" w:cs="MS PGothic" w:eastAsia="MS PGothic" w:hAnsi="MS PGothic"/>
          <w:sz w:val="17"/>
          <w:szCs w:val="17"/>
          <w:color w:val="auto"/>
        </w:rPr>
        <w:t>‑</w:t>
      </w:r>
      <w:r>
        <w:rPr>
          <w:rFonts w:ascii="Arial" w:cs="Arial" w:eastAsia="Arial" w:hAnsi="Arial"/>
          <w:sz w:val="17"/>
          <w:szCs w:val="17"/>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7"/>
          <w:szCs w:val="17"/>
          <w:color w:val="auto"/>
        </w:rPr>
        <w:t>‑</w:t>
      </w:r>
      <w:r>
        <w:rPr>
          <w:rFonts w:ascii="Arial" w:cs="Arial" w:eastAsia="Arial" w:hAnsi="Arial"/>
          <w:sz w:val="17"/>
          <w:szCs w:val="17"/>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7"/>
          <w:szCs w:val="17"/>
          <w:color w:val="auto"/>
        </w:rPr>
        <w:t>‑</w:t>
      </w:r>
      <w:r>
        <w:rPr>
          <w:rFonts w:ascii="Arial" w:cs="Arial" w:eastAsia="Arial" w:hAnsi="Arial"/>
          <w:sz w:val="17"/>
          <w:szCs w:val="17"/>
          <w:color w:val="auto"/>
        </w:rPr>
        <w:t>party payors, we may not generate meaningful revenues from our product candidates, and we may not become profitable.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firstLine="648"/>
        <w:spacing w:after="0" w:line="219" w:lineRule="exact"/>
        <w:rPr>
          <w:sz w:val="20"/>
          <w:szCs w:val="20"/>
          <w:color w:val="auto"/>
        </w:rPr>
      </w:pPr>
      <w:r>
        <w:rPr>
          <w:rFonts w:ascii="Arial" w:cs="Arial" w:eastAsia="Arial" w:hAnsi="Arial"/>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Arial" w:cs="Arial" w:eastAsia="Arial" w:hAnsi="Arial"/>
          <w:sz w:val="18"/>
          <w:szCs w:val="18"/>
          <w:color w:val="auto"/>
        </w:rPr>
        <w:t>label. Any use of these generic forms of the active molecules of our product candidates could adversely affect our business and our results of operations.</w:t>
      </w:r>
    </w:p>
    <w:p>
      <w:pPr>
        <w:spacing w:after="0" w:line="205" w:lineRule="exact"/>
        <w:rPr>
          <w:sz w:val="20"/>
          <w:szCs w:val="20"/>
          <w:color w:val="auto"/>
        </w:rPr>
      </w:pPr>
    </w:p>
    <w:p>
      <w:pPr>
        <w:ind w:left="40" w:right="179" w:firstLine="648"/>
        <w:spacing w:after="0" w:line="218" w:lineRule="exact"/>
        <w:rPr>
          <w:sz w:val="20"/>
          <w:szCs w:val="20"/>
          <w:color w:val="auto"/>
        </w:rPr>
      </w:pPr>
      <w:r>
        <w:rPr>
          <w:rFonts w:ascii="Arial" w:cs="Arial" w:eastAsia="Arial" w:hAnsi="Arial"/>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Arial" w:cs="Arial" w:eastAsia="Arial" w:hAnsi="Arial"/>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207" w:lineRule="exact"/>
        <w:rPr>
          <w:sz w:val="20"/>
          <w:szCs w:val="20"/>
          <w:color w:val="auto"/>
        </w:rPr>
      </w:pPr>
    </w:p>
    <w:p>
      <w:pPr>
        <w:ind w:left="40" w:right="239"/>
        <w:spacing w:after="0" w:line="381"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00"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79" w:lineRule="exact"/>
        <w:rPr>
          <w:sz w:val="20"/>
          <w:szCs w:val="20"/>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 from decreased demand for our products and/or product candidates;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of our business reputation or financial stability;</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25" w:lineRule="exact"/>
        <w:rPr>
          <w:rFonts w:ascii="Arial" w:cs="Arial" w:eastAsia="Arial" w:hAnsi="Arial"/>
          <w:sz w:val="18"/>
          <w:szCs w:val="18"/>
          <w:color w:val="auto"/>
        </w:rPr>
      </w:pPr>
    </w:p>
    <w:p>
      <w:pPr>
        <w:ind w:left="1020" w:right="659" w:hanging="328"/>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 and potential termination of clinical trial sites or entire clinical programs;</w:t>
      </w:r>
    </w:p>
    <w:p>
      <w:pPr>
        <w:spacing w:after="0" w:line="170"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 in our stock price;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1020" w:hanging="328"/>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225" w:lineRule="exact"/>
        <w:rPr>
          <w:rFonts w:ascii="Arial" w:cs="Arial" w:eastAsia="Arial" w:hAnsi="Arial"/>
          <w:sz w:val="18"/>
          <w:szCs w:val="18"/>
          <w:color w:val="auto"/>
        </w:rPr>
      </w:pPr>
    </w:p>
    <w:p>
      <w:pPr>
        <w:ind w:left="1020" w:hanging="328"/>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have obtained limited product liability insurance coverage for our products and our clinical trials with a</w:t>
      </w:r>
    </w:p>
    <w:p>
      <w:pPr>
        <w:spacing w:after="0" w:line="35" w:lineRule="exact"/>
        <w:rPr>
          <w:sz w:val="20"/>
          <w:szCs w:val="20"/>
          <w:color w:val="auto"/>
        </w:rPr>
      </w:pPr>
    </w:p>
    <w:p>
      <w:pPr>
        <w:ind w:left="40" w:right="79"/>
        <w:spacing w:after="0" w:line="268" w:lineRule="auto"/>
        <w:rPr>
          <w:sz w:val="20"/>
          <w:szCs w:val="20"/>
          <w:color w:val="auto"/>
        </w:rPr>
      </w:pPr>
      <w:r>
        <w:rPr>
          <w:rFonts w:ascii="Arial" w:cs="Arial" w:eastAsia="Arial" w:hAnsi="Arial"/>
          <w:sz w:val="17"/>
          <w:szCs w:val="17"/>
          <w:color w:val="auto"/>
        </w:rPr>
        <w:t>$8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40" w:right="319"/>
        <w:spacing w:after="0" w:line="286"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5"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We rely on third</w:t>
      </w:r>
      <w:r>
        <w:rPr>
          <w:rFonts w:ascii="MS PGothic" w:cs="MS PGothic" w:eastAsia="MS PGothic" w:hAnsi="MS PGothic"/>
          <w:sz w:val="16"/>
          <w:szCs w:val="16"/>
          <w:color w:val="auto"/>
        </w:rPr>
        <w:t>‑</w:t>
      </w:r>
      <w:r>
        <w:rPr>
          <w:rFonts w:ascii="Arial" w:cs="Arial" w:eastAsia="Arial" w:hAnsi="Arial"/>
          <w:sz w:val="16"/>
          <w:szCs w:val="16"/>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207"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439" w:firstLine="648"/>
        <w:spacing w:after="0" w:line="218" w:lineRule="exact"/>
        <w:rPr>
          <w:sz w:val="20"/>
          <w:szCs w:val="20"/>
          <w:color w:val="auto"/>
        </w:rPr>
      </w:pPr>
      <w:r>
        <w:rPr>
          <w:rFonts w:ascii="Arial" w:cs="Arial" w:eastAsia="Arial" w:hAnsi="Arial"/>
          <w:sz w:val="17"/>
          <w:szCs w:val="17"/>
          <w:color w:val="auto"/>
        </w:rPr>
        <w:t>In addition, once we have an approved product, we will be required to report certain financial interests of our third</w:t>
      </w:r>
      <w:r>
        <w:rPr>
          <w:rFonts w:ascii="MS PGothic" w:cs="MS PGothic" w:eastAsia="MS PGothic" w:hAnsi="MS PGothic"/>
          <w:sz w:val="17"/>
          <w:szCs w:val="17"/>
          <w:color w:val="auto"/>
        </w:rPr>
        <w:t>‑</w:t>
      </w:r>
      <w:r>
        <w:rPr>
          <w:rFonts w:ascii="Arial" w:cs="Arial" w:eastAsia="Arial" w:hAnsi="Arial"/>
          <w:sz w:val="17"/>
          <w:szCs w:val="17"/>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206" w:lineRule="exact"/>
        <w:rPr>
          <w:sz w:val="20"/>
          <w:szCs w:val="20"/>
          <w:color w:val="auto"/>
        </w:rPr>
      </w:pPr>
    </w:p>
    <w:p>
      <w:pPr>
        <w:ind w:left="40" w:right="299" w:firstLine="648"/>
        <w:spacing w:after="0" w:line="218" w:lineRule="exact"/>
        <w:rPr>
          <w:sz w:val="20"/>
          <w:szCs w:val="20"/>
          <w:color w:val="auto"/>
        </w:rPr>
      </w:pPr>
      <w:r>
        <w:rPr>
          <w:rFonts w:ascii="Arial" w:cs="Arial" w:eastAsia="Arial" w:hAnsi="Arial"/>
          <w:sz w:val="16"/>
          <w:szCs w:val="16"/>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6"/>
          <w:szCs w:val="16"/>
          <w:color w:val="auto"/>
        </w:rPr>
        <w:t>‑</w:t>
      </w:r>
      <w:r>
        <w:rPr>
          <w:rFonts w:ascii="Arial" w:cs="Arial" w:eastAsia="Arial" w:hAnsi="Arial"/>
          <w:sz w:val="16"/>
          <w:szCs w:val="16"/>
          <w:color w:val="auto"/>
        </w:rPr>
        <w:t>sponsored database, ClinicalTrials.gov, within specified timeframes. Failure to do so can result in enforcement actions and adverse publicity.</w:t>
      </w:r>
    </w:p>
    <w:p>
      <w:pPr>
        <w:spacing w:after="0" w:line="206"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Arial" w:cs="Arial" w:eastAsia="Arial" w:hAnsi="Arial"/>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in the future, our business may be materially and adversely affected.</w:t>
      </w:r>
    </w:p>
    <w:p>
      <w:pPr>
        <w:spacing w:after="0" w:line="203" w:lineRule="exact"/>
        <w:rPr>
          <w:sz w:val="20"/>
          <w:szCs w:val="20"/>
          <w:color w:val="auto"/>
        </w:rPr>
      </w:pPr>
    </w:p>
    <w:p>
      <w:pPr>
        <w:ind w:left="40" w:right="219" w:firstLine="648"/>
        <w:spacing w:after="0" w:line="218" w:lineRule="exact"/>
        <w:rPr>
          <w:sz w:val="20"/>
          <w:szCs w:val="20"/>
          <w:color w:val="auto"/>
        </w:rPr>
      </w:pPr>
      <w:r>
        <w:rPr>
          <w:rFonts w:ascii="Arial" w:cs="Arial" w:eastAsia="Arial" w:hAnsi="Arial"/>
          <w:sz w:val="16"/>
          <w:szCs w:val="16"/>
          <w:color w:val="auto"/>
        </w:rPr>
        <w:t>If any of our relationships with these third</w:t>
      </w:r>
      <w:r>
        <w:rPr>
          <w:rFonts w:ascii="MS PGothic" w:cs="MS PGothic" w:eastAsia="MS PGothic" w:hAnsi="MS PGothic"/>
          <w:sz w:val="16"/>
          <w:szCs w:val="16"/>
          <w:color w:val="auto"/>
        </w:rPr>
        <w:t>‑</w:t>
      </w:r>
      <w:r>
        <w:rPr>
          <w:rFonts w:ascii="Arial" w:cs="Arial" w:eastAsia="Arial" w:hAnsi="Arial"/>
          <w:sz w:val="16"/>
          <w:szCs w:val="16"/>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204" w:lineRule="exact"/>
        <w:rPr>
          <w:sz w:val="20"/>
          <w:szCs w:val="20"/>
          <w:color w:val="auto"/>
        </w:rPr>
      </w:pPr>
    </w:p>
    <w:p>
      <w:pPr>
        <w:ind w:left="40" w:right="399"/>
        <w:spacing w:after="0" w:line="259"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7"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breach, terminate, or not renew these agreements.</w:t>
      </w:r>
    </w:p>
    <w:p>
      <w:pPr>
        <w:spacing w:after="0" w:line="206"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6"/>
          <w:szCs w:val="16"/>
          <w:color w:val="auto"/>
        </w:rPr>
        <w:t>Any problems or delays we experience in preparing for commercial</w:t>
      </w:r>
      <w:r>
        <w:rPr>
          <w:rFonts w:ascii="MS PGothic" w:cs="MS PGothic" w:eastAsia="MS PGothic" w:hAnsi="MS PGothic"/>
          <w:sz w:val="16"/>
          <w:szCs w:val="16"/>
          <w:color w:val="auto"/>
        </w:rPr>
        <w:t>‑</w:t>
      </w:r>
      <w:r>
        <w:rPr>
          <w:rFonts w:ascii="Arial" w:cs="Arial" w:eastAsia="Arial" w:hAnsi="Arial"/>
          <w:sz w:val="16"/>
          <w:szCs w:val="16"/>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206" w:lineRule="exact"/>
        <w:rPr>
          <w:sz w:val="20"/>
          <w:szCs w:val="20"/>
          <w:color w:val="auto"/>
        </w:rPr>
      </w:pPr>
    </w:p>
    <w:p>
      <w:pPr>
        <w:ind w:left="40" w:right="179" w:firstLine="648"/>
        <w:spacing w:after="0" w:line="217" w:lineRule="exact"/>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Arial" w:cs="Arial" w:eastAsia="Arial" w:hAnsi="Arial"/>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67" w:lineRule="auto"/>
        <w:rPr>
          <w:sz w:val="20"/>
          <w:szCs w:val="20"/>
          <w:color w:val="auto"/>
        </w:rPr>
      </w:pPr>
      <w:r>
        <w:rPr>
          <w:rFonts w:ascii="Arial" w:cs="Arial" w:eastAsia="Arial" w:hAnsi="Arial"/>
          <w:sz w:val="17"/>
          <w:szCs w:val="17"/>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81" w:lineRule="exact"/>
        <w:rPr>
          <w:sz w:val="20"/>
          <w:szCs w:val="20"/>
          <w:color w:val="auto"/>
        </w:rPr>
      </w:pPr>
    </w:p>
    <w:p>
      <w:pPr>
        <w:ind w:left="40" w:right="99" w:firstLine="648"/>
        <w:spacing w:after="0" w:line="301"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COVID- 19 outbreak and actions taken in response could impact our business.</w:t>
      </w:r>
    </w:p>
    <w:p>
      <w:pPr>
        <w:spacing w:after="0" w:line="225" w:lineRule="exact"/>
        <w:rPr>
          <w:sz w:val="20"/>
          <w:szCs w:val="20"/>
          <w:color w:val="auto"/>
        </w:rPr>
      </w:pPr>
    </w:p>
    <w:p>
      <w:pPr>
        <w:ind w:left="40" w:right="59" w:firstLine="648"/>
        <w:spacing w:after="0" w:line="259" w:lineRule="auto"/>
        <w:rPr>
          <w:sz w:val="20"/>
          <w:szCs w:val="20"/>
          <w:color w:val="auto"/>
        </w:rPr>
      </w:pPr>
      <w:r>
        <w:rPr>
          <w:rFonts w:ascii="Arial" w:cs="Arial" w:eastAsia="Arial" w:hAnsi="Arial"/>
          <w:sz w:val="18"/>
          <w:szCs w:val="18"/>
          <w:color w:val="auto"/>
        </w:rPr>
        <w:t>In December 2019, a novel strain of coronavirus that causes a respiratory disease named coronavirus disease 2019, or COVID-19, was reported to have surfaced in Wuhan, China. This virus has now spread to numerous other countries, including, as of March 10, 2020, 115 countries and territories around the world and one international conveyance on the Diamond Princess cruise ship.</w:t>
      </w:r>
    </w:p>
    <w:p>
      <w:pPr>
        <w:spacing w:after="0" w:line="187"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The extent to which COVID-19 may impact our results will depend on future developments, which are highly uncertain and cannot be predicted, including new information which may emerge concerning the continued spread, transmission, and severity of COVID-19, and actions to treat, contain, or mitigate the impact of COVID-19, including with respect to travel, personnel and workforce, supply chain logistics and import/export, and financial markets or otherwise. We may be impacted indirectly or directly by COVID-19 as among the potentially impacted persons and entities are governmental regulators with oversight responsibilities related to our business, our collaboration partners, clinical study sites, contractors, vendors, and our own personnel and workforce.</w:t>
      </w:r>
    </w:p>
    <w:p>
      <w:pPr>
        <w:spacing w:after="0" w:line="177" w:lineRule="exact"/>
        <w:rPr>
          <w:sz w:val="20"/>
          <w:szCs w:val="20"/>
          <w:color w:val="auto"/>
        </w:rPr>
      </w:pPr>
    </w:p>
    <w:p>
      <w:pPr>
        <w:ind w:left="40" w:right="179" w:firstLine="648"/>
        <w:spacing w:after="0" w:line="253" w:lineRule="auto"/>
        <w:rPr>
          <w:sz w:val="20"/>
          <w:szCs w:val="20"/>
          <w:color w:val="auto"/>
        </w:rPr>
      </w:pPr>
      <w:r>
        <w:rPr>
          <w:rFonts w:ascii="Arial" w:cs="Arial" w:eastAsia="Arial" w:hAnsi="Arial"/>
          <w:sz w:val="18"/>
          <w:szCs w:val="18"/>
          <w:color w:val="auto"/>
        </w:rPr>
        <w:t>For example, we may utilize contract manufacturers to manufacture our investigational products and plan to utilize contract manufacturers if and when we obtain FDA approval. On March 10, 2020, the FDA announced that it is postponing most foreign inspections through April 2020, effective immediately. Inspections outside the U.S. deemed mission-critical will still be considered on a case-by-case basis. This action may impact other FDA responsibilities, including product candidate application reviews. The FDA has indicated that it will utilize interim measures such as reviewing a firm’s previous compliance history, using information shared from foreign governments as part of mutual recognition and confidentiality agreements and requesting records “in advance of or in lieu of” on-site drug inspections. Nevertheless, we cannot predict at this time whether this or other developments will cause delays or cause other situations that may impact our business.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59"/>
        <w:spacing w:after="0" w:line="296"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61" w:lineRule="exact"/>
        <w:rPr>
          <w:sz w:val="20"/>
          <w:szCs w:val="20"/>
          <w:color w:val="auto"/>
        </w:rPr>
      </w:pPr>
    </w:p>
    <w:p>
      <w:pPr>
        <w:ind w:left="40" w:right="119" w:firstLine="648"/>
        <w:spacing w:after="0" w:line="217" w:lineRule="exact"/>
        <w:rPr>
          <w:sz w:val="20"/>
          <w:szCs w:val="20"/>
          <w:color w:val="auto"/>
        </w:rPr>
      </w:pPr>
      <w:r>
        <w:rPr>
          <w:rFonts w:ascii="Arial" w:cs="Arial" w:eastAsia="Arial" w:hAnsi="Arial"/>
          <w:sz w:val="17"/>
          <w:szCs w:val="17"/>
          <w:color w:val="auto"/>
        </w:rPr>
        <w:t>We may retain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7"/>
          <w:szCs w:val="17"/>
          <w:color w:val="auto"/>
        </w:rPr>
        <w:t>‑</w:t>
      </w:r>
      <w:r>
        <w:rPr>
          <w:rFonts w:ascii="Arial" w:cs="Arial" w:eastAsia="Arial" w:hAnsi="Arial"/>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10" w:lineRule="exact"/>
        <w:rPr>
          <w:sz w:val="20"/>
          <w:szCs w:val="20"/>
          <w:color w:val="auto"/>
        </w:rPr>
      </w:pPr>
    </w:p>
    <w:p>
      <w:pPr>
        <w:ind w:left="40" w:right="219" w:firstLine="648"/>
        <w:spacing w:after="0" w:line="257"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8" w:lineRule="exact"/>
        <w:rPr>
          <w:sz w:val="20"/>
          <w:szCs w:val="20"/>
          <w:color w:val="auto"/>
        </w:rPr>
      </w:pPr>
    </w:p>
    <w:p>
      <w:pPr>
        <w:ind w:left="40" w:right="259" w:firstLine="648"/>
        <w:spacing w:after="0" w:line="259"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87" w:lineRule="exact"/>
        <w:rPr>
          <w:sz w:val="20"/>
          <w:szCs w:val="20"/>
          <w:color w:val="auto"/>
        </w:rPr>
      </w:pPr>
    </w:p>
    <w:p>
      <w:pPr>
        <w:ind w:left="40" w:right="459"/>
        <w:spacing w:after="0" w:line="342" w:lineRule="auto"/>
        <w:rPr>
          <w:sz w:val="20"/>
          <w:szCs w:val="20"/>
          <w:color w:val="auto"/>
        </w:rPr>
      </w:pPr>
      <w:r>
        <w:rPr>
          <w:rFonts w:ascii="Arial" w:cs="Arial" w:eastAsia="Arial" w:hAnsi="Arial"/>
          <w:sz w:val="16"/>
          <w:szCs w:val="16"/>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24"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w:t>
      </w:r>
      <w:r>
        <w:rPr>
          <w:rFonts w:ascii="MS PGothic" w:cs="MS PGothic" w:eastAsia="MS PGothic" w:hAnsi="MS PGothic"/>
          <w:sz w:val="16"/>
          <w:szCs w:val="16"/>
          <w:color w:val="auto"/>
        </w:rPr>
        <w:t>‑</w:t>
      </w:r>
      <w:r>
        <w:rPr>
          <w:rFonts w:ascii="Arial" w:cs="Arial" w:eastAsia="Arial" w:hAnsi="Arial"/>
          <w:sz w:val="16"/>
          <w:szCs w:val="16"/>
          <w:color w:val="auto"/>
        </w:rPr>
        <w:t>05 for smoking cessation treatment. We currently have not entered into any sub</w:t>
      </w:r>
      <w:r>
        <w:rPr>
          <w:rFonts w:ascii="MS PGothic" w:cs="MS PGothic" w:eastAsia="MS PGothic" w:hAnsi="MS PGothic"/>
          <w:sz w:val="16"/>
          <w:szCs w:val="16"/>
          <w:color w:val="auto"/>
        </w:rPr>
        <w:t>‑</w:t>
      </w:r>
      <w:r>
        <w:rPr>
          <w:rFonts w:ascii="Arial" w:cs="Arial" w:eastAsia="Arial" w:hAnsi="Arial"/>
          <w:sz w:val="16"/>
          <w:szCs w:val="16"/>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203" w:lineRule="exact"/>
        <w:rPr>
          <w:sz w:val="20"/>
          <w:szCs w:val="20"/>
          <w:color w:val="auto"/>
        </w:rPr>
      </w:pPr>
    </w:p>
    <w:p>
      <w:pPr>
        <w:ind w:left="40" w:right="339" w:firstLine="648"/>
        <w:spacing w:after="0" w:line="259"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99" w:firstLine="648"/>
        <w:spacing w:after="0" w:line="286"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5" w:lineRule="exact"/>
        <w:rPr>
          <w:sz w:val="20"/>
          <w:szCs w:val="20"/>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700" w:right="179" w:hanging="332"/>
        <w:spacing w:after="0" w:line="279" w:lineRule="auto"/>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1" w:lineRule="exact"/>
        <w:rPr>
          <w:rFonts w:ascii="Arial" w:cs="Arial" w:eastAsia="Arial" w:hAnsi="Arial"/>
          <w:sz w:val="17"/>
          <w:szCs w:val="17"/>
          <w:color w:val="auto"/>
        </w:rPr>
      </w:pPr>
    </w:p>
    <w:p>
      <w:pPr>
        <w:ind w:left="700" w:right="139" w:hanging="332"/>
        <w:spacing w:after="0" w:line="263"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3" w:lineRule="exact"/>
        <w:rPr>
          <w:rFonts w:ascii="Arial" w:cs="Arial" w:eastAsia="Arial" w:hAnsi="Arial"/>
          <w:sz w:val="18"/>
          <w:szCs w:val="18"/>
          <w:color w:val="auto"/>
        </w:rPr>
      </w:pPr>
    </w:p>
    <w:p>
      <w:pPr>
        <w:ind w:left="700" w:hanging="332"/>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225" w:lineRule="exact"/>
        <w:rPr>
          <w:rFonts w:ascii="Arial" w:cs="Arial" w:eastAsia="Arial" w:hAnsi="Arial"/>
          <w:sz w:val="18"/>
          <w:szCs w:val="18"/>
          <w:color w:val="auto"/>
        </w:rPr>
      </w:pPr>
    </w:p>
    <w:p>
      <w:pPr>
        <w:ind w:left="700" w:right="539" w:hanging="332"/>
        <w:spacing w:after="0" w:line="277"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70" w:lineRule="exact"/>
        <w:rPr>
          <w:rFonts w:ascii="Arial" w:cs="Arial" w:eastAsia="Arial" w:hAnsi="Arial"/>
          <w:sz w:val="18"/>
          <w:szCs w:val="18"/>
          <w:color w:val="auto"/>
        </w:rPr>
      </w:pPr>
    </w:p>
    <w:p>
      <w:pPr>
        <w:ind w:left="700" w:right="199" w:hanging="332"/>
        <w:spacing w:after="0" w:line="259"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6" w:lineRule="exact"/>
        <w:rPr>
          <w:rFonts w:ascii="Arial" w:cs="Arial" w:eastAsia="Arial" w:hAnsi="Arial"/>
          <w:sz w:val="18"/>
          <w:szCs w:val="18"/>
          <w:color w:val="auto"/>
        </w:rPr>
      </w:pPr>
    </w:p>
    <w:p>
      <w:pPr>
        <w:ind w:left="700" w:right="319" w:hanging="332"/>
        <w:spacing w:after="0" w:line="263"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83" w:lineRule="exact"/>
        <w:rPr>
          <w:rFonts w:ascii="Arial" w:cs="Arial" w:eastAsia="Arial" w:hAnsi="Arial"/>
          <w:sz w:val="18"/>
          <w:szCs w:val="18"/>
          <w:color w:val="auto"/>
        </w:rPr>
      </w:pPr>
    </w:p>
    <w:p>
      <w:pPr>
        <w:jc w:val="both"/>
        <w:ind w:left="700" w:right="679" w:hanging="332"/>
        <w:spacing w:after="0" w:line="263"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83" w:lineRule="exact"/>
        <w:rPr>
          <w:rFonts w:ascii="Arial" w:cs="Arial" w:eastAsia="Arial" w:hAnsi="Arial"/>
          <w:sz w:val="18"/>
          <w:szCs w:val="18"/>
          <w:color w:val="auto"/>
        </w:rPr>
      </w:pPr>
    </w:p>
    <w:p>
      <w:pPr>
        <w:ind w:left="700" w:right="259" w:hanging="332"/>
        <w:spacing w:after="0" w:line="301"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7" w:lineRule="exact"/>
        <w:rPr>
          <w:rFonts w:ascii="Arial" w:cs="Arial" w:eastAsia="Arial" w:hAnsi="Arial"/>
          <w:sz w:val="16"/>
          <w:szCs w:val="16"/>
          <w:color w:val="auto"/>
        </w:rPr>
      </w:pPr>
    </w:p>
    <w:p>
      <w:pPr>
        <w:jc w:val="both"/>
        <w:ind w:left="700" w:right="439" w:hanging="332"/>
        <w:spacing w:after="0" w:line="263"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83" w:lineRule="exact"/>
        <w:rPr>
          <w:rFonts w:ascii="Arial" w:cs="Arial" w:eastAsia="Arial" w:hAnsi="Arial"/>
          <w:sz w:val="18"/>
          <w:szCs w:val="18"/>
          <w:color w:val="auto"/>
        </w:rPr>
      </w:pPr>
    </w:p>
    <w:p>
      <w:pPr>
        <w:ind w:left="700" w:right="279" w:hanging="332"/>
        <w:spacing w:after="0" w:line="277"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70" w:lineRule="exact"/>
        <w:rPr>
          <w:sz w:val="20"/>
          <w:szCs w:val="20"/>
          <w:color w:val="auto"/>
        </w:rPr>
      </w:pPr>
    </w:p>
    <w:p>
      <w:pPr>
        <w:ind w:left="40" w:right="319" w:firstLine="648"/>
        <w:spacing w:after="0" w:line="275"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87"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71"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70"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70" w:lineRule="exact"/>
        <w:rPr>
          <w:sz w:val="20"/>
          <w:szCs w:val="20"/>
          <w:color w:val="auto"/>
        </w:rPr>
      </w:pPr>
    </w:p>
    <w:p>
      <w:pPr>
        <w:ind w:left="40" w:right="139" w:firstLine="648"/>
        <w:spacing w:after="0" w:line="296" w:lineRule="auto"/>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third-party challenges, our patent and trade secret protection for any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61" w:lineRule="exact"/>
        <w:rPr>
          <w:sz w:val="20"/>
          <w:szCs w:val="20"/>
          <w:color w:val="auto"/>
        </w:rPr>
      </w:pPr>
    </w:p>
    <w:p>
      <w:pPr>
        <w:ind w:left="40" w:right="99" w:firstLine="648"/>
        <w:spacing w:after="0" w:line="285" w:lineRule="auto"/>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74" w:lineRule="exact"/>
        <w:rPr>
          <w:sz w:val="20"/>
          <w:szCs w:val="20"/>
          <w:color w:val="auto"/>
        </w:rPr>
      </w:pPr>
    </w:p>
    <w:p>
      <w:pPr>
        <w:ind w:left="700" w:right="419" w:hanging="332"/>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covered by each of our pending patent applications and issued patents;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have been the first to file patent applications for these inventions;</w:t>
      </w:r>
    </w:p>
    <w:p>
      <w:pPr>
        <w:spacing w:after="0" w:line="225"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none of the pending patent applications will result in issued patents;</w:t>
      </w:r>
    </w:p>
    <w:p>
      <w:pPr>
        <w:spacing w:after="0" w:line="225" w:lineRule="exact"/>
        <w:rPr>
          <w:rFonts w:ascii="Arial" w:cs="Arial" w:eastAsia="Arial" w:hAnsi="Arial"/>
          <w:sz w:val="18"/>
          <w:szCs w:val="18"/>
          <w:color w:val="auto"/>
        </w:rPr>
      </w:pPr>
    </w:p>
    <w:p>
      <w:pPr>
        <w:ind w:left="700" w:right="279" w:hanging="332"/>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patents of others may have an adverse effect on our business;</w:t>
      </w:r>
    </w:p>
    <w:p>
      <w:pPr>
        <w:spacing w:after="0" w:line="225" w:lineRule="exact"/>
        <w:rPr>
          <w:rFonts w:ascii="Arial" w:cs="Arial" w:eastAsia="Arial" w:hAnsi="Arial"/>
          <w:sz w:val="18"/>
          <w:szCs w:val="18"/>
          <w:color w:val="auto"/>
        </w:rPr>
      </w:pPr>
    </w:p>
    <w:p>
      <w:pPr>
        <w:ind w:left="700" w:right="139" w:hanging="332"/>
        <w:spacing w:after="0" w:line="286" w:lineRule="auto"/>
        <w:tabs>
          <w:tab w:leader="none" w:pos="7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0" w:name="page91"/>
    <w:bookmarkEnd w:id="9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right="159" w:hanging="332"/>
        <w:spacing w:after="0" w:line="286"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65" w:lineRule="exact"/>
        <w:rPr>
          <w:rFonts w:ascii="Arial" w:cs="Arial" w:eastAsia="Arial" w:hAnsi="Arial"/>
          <w:sz w:val="17"/>
          <w:szCs w:val="17"/>
          <w:color w:val="auto"/>
        </w:rPr>
      </w:pPr>
    </w:p>
    <w:p>
      <w:pPr>
        <w:ind w:left="700" w:right="99" w:hanging="332"/>
        <w:spacing w:after="0" w:line="263"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84"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7"/>
          <w:szCs w:val="17"/>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7"/>
          <w:szCs w:val="17"/>
          <w:color w:val="auto"/>
        </w:rPr>
        <w:t>‑</w:t>
      </w:r>
      <w:r>
        <w:rPr>
          <w:rFonts w:ascii="Arial" w:cs="Arial" w:eastAsia="Arial" w:hAnsi="Arial"/>
          <w:sz w:val="17"/>
          <w:szCs w:val="17"/>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207"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0"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1" w:name="page92"/>
    <w:bookmarkEnd w:id="9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firstLine="648"/>
        <w:spacing w:after="0" w:line="267" w:lineRule="auto"/>
        <w:rPr>
          <w:sz w:val="20"/>
          <w:szCs w:val="20"/>
          <w:color w:val="auto"/>
        </w:rPr>
      </w:pPr>
      <w:r>
        <w:rPr>
          <w:rFonts w:ascii="Arial" w:cs="Arial" w:eastAsia="Arial" w:hAnsi="Arial"/>
          <w:sz w:val="17"/>
          <w:szCs w:val="17"/>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on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87"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In addition, the patentability of claims in pending patent applications covering AXS-02, AXS-05, or any other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in December 2016, a petition for post-grant review of U.S. Patent No. 9,283,239, which we refer to as the ‘239 patent, was filed at the USPTO by Grunenthal GmbH, or Grunenthal, and the post-grant review was instituted on July 7, 2017. In addition, in May 2017, a petition for post-grant review of U.S. Patent No. 9,408,862, which we refer to as the ‘862 patent, was filed at the USPTO by Grunenthal; in October 2017, a petition for post-grant review of U.S. Patent No. 9,539,268, which we refer to as the ‘268 patent, was filed at the USPTO by Grunenthal; in April 2018, a petition for post-grant review of U.S. Patent No. 9,707,245, which we refer to as the ‘245 patent, was filed at the USPTO by Grunenthal; in August 2018, a petition for post-grant review of U.S. Patent No. 9,820,999, which we refer to as the ‘999 patent, was filed at the USPTO by Grunenthal; in October 2018, a petition for post-grant review of U.S. Patent No. 9,867,839, which we refer to as the ‘839 patent, was filed at the USPTO by Grunental; and on January 3, 2018, petitions for post-grant reviews of U.S. Patents No. 9,931,352, which we refer to as the ‘352 patent, 10,039,774, which refer to as the ‘774 patent, and 10,052,338, which we refer to as the ‘338 patent, were filed at the USPTO by Grunenthal.</w:t>
      </w:r>
    </w:p>
    <w:p>
      <w:pPr>
        <w:spacing w:after="0" w:line="167" w:lineRule="exact"/>
        <w:rPr>
          <w:sz w:val="20"/>
          <w:szCs w:val="20"/>
          <w:color w:val="auto"/>
        </w:rPr>
      </w:pPr>
    </w:p>
    <w:p>
      <w:pPr>
        <w:ind w:left="40" w:right="79" w:firstLine="648"/>
        <w:spacing w:after="0" w:line="268" w:lineRule="auto"/>
        <w:rPr>
          <w:sz w:val="20"/>
          <w:szCs w:val="20"/>
          <w:color w:val="auto"/>
        </w:rPr>
      </w:pPr>
      <w:r>
        <w:rPr>
          <w:rFonts w:ascii="Arial" w:cs="Arial" w:eastAsia="Arial" w:hAnsi="Arial"/>
          <w:sz w:val="17"/>
          <w:szCs w:val="17"/>
          <w:color w:val="auto"/>
        </w:rPr>
        <w:t>The ‘239 patent contains claims directed to the use of orally administered zoledronic acid, the active moiety in AXS-02, for the treatment of CRPS, and is one of several issued patents containing claims covering the use of AXS-02 for the treatment of CRPS. The ‘862 and ‘268 patents contain claims directed to certain dosage forms containing zoledronic acid, the active moiety in AXS-02. The ‘862 patent also contains claims directed to certain oral dosage forms containing zoledronic acid, including AXS-02, and use of certain oral dosage forms containing zoledronic acid, including AXS-02, for the treatment of knee pain and arthritis, respectively. The ‘862 and ‘268 patents are two of several issued patents containing claims covering dosage forms of zoledronic acid such as AXS-02, and the use of certain oral dosage forms containing zoledronic acid, including AXS-02, in the treatment of knee pain and arthritis. The ‘245, ‘999, ‘352, ‘774, and ‘338 patents contain claims directed to the use of neridronic acid for the treatment of CRPS, and are some of several issued patents containing claims covering the use of neridronic acid for the treatment of CRPS. The ‘839 patent contains claims directed to the use of neridronic acid and oral zoledronic acid for the treatment of joint pain. The petitions request that the Patent Trial and Appeal Board, or PTAB, initiate proceedings to review the validity of the ‘239, the ‘862, the ‘268, the ‘245, the ‘999, the ‘839, the ‘352, the ‘774, and the ‘338 patents.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In April 2017, we responded to and opposed Grunenthal's petition for post-grant review of the ‘239 patent. In July 2017, the PTAB issued a decision in which it refused to institute a post-grant-review of the ‘239 patent on the grounds of novelty, obviousness, or enablement. The PTAB ruled that Grunenthal had not established that it is more likely than not that the stated prior art would have rendered the claims of the ‘239 patent obvious or not novel, and that Grunenthal had failed to demonstrate that it is more likely than not that the claims are unpatentable for lack of enablement. However, a post-grant review was instituted on the ground of written description. The PTAB further ordered that the post-grant review for the ‘239 patent be limited to written description and that no other grounds of unpatentability are authorized for post-grant review. In October 2017, we responded to the PTAB decision to institute a post-grant review. On June 22, 2018, the Patent Trial and Appeal Board, or PTAB, entered a final written decision holding that the claims were invalid for lack of written description.</w:t>
      </w:r>
    </w:p>
    <w:p>
      <w:pPr>
        <w:spacing w:after="0" w:line="185" w:lineRule="exact"/>
        <w:rPr>
          <w:sz w:val="20"/>
          <w:szCs w:val="20"/>
          <w:color w:val="auto"/>
        </w:rPr>
      </w:pPr>
    </w:p>
    <w:p>
      <w:pPr>
        <w:ind w:left="40" w:right="159" w:firstLine="648"/>
        <w:spacing w:after="0" w:line="255" w:lineRule="auto"/>
        <w:rPr>
          <w:sz w:val="20"/>
          <w:szCs w:val="20"/>
          <w:color w:val="auto"/>
        </w:rPr>
      </w:pPr>
      <w:r>
        <w:rPr>
          <w:rFonts w:ascii="Arial" w:cs="Arial" w:eastAsia="Arial" w:hAnsi="Arial"/>
          <w:sz w:val="18"/>
          <w:szCs w:val="18"/>
          <w:color w:val="auto"/>
        </w:rPr>
        <w:t>In August 2017, we responded to and opposed the petition for the ‘862 patent. In November 2017, the PTAB rendered a decision to initiate a post-grant review for that patent. In February 2018, we responded to the PTAB decision to institute a post-grant review. On November 14, 2018, the Patent Trial and Appeal Board, or PTAB, entered a final written decision holding that the claims were invalid for lack of enablement, and for some claims, lack of novelty and/or obviousness. On January 16, 2019, we appealed the decision of the PTAB to the United States Court of Appeals for the Federal Circuit, but we later dropped the appeal.</w:t>
      </w:r>
    </w:p>
    <w:p>
      <w:pPr>
        <w:spacing w:after="0" w:line="192" w:lineRule="exact"/>
        <w:rPr>
          <w:sz w:val="20"/>
          <w:szCs w:val="20"/>
          <w:color w:val="auto"/>
        </w:rPr>
      </w:pPr>
    </w:p>
    <w:p>
      <w:pPr>
        <w:jc w:val="both"/>
        <w:ind w:left="40" w:right="119" w:firstLine="648"/>
        <w:spacing w:after="0" w:line="257" w:lineRule="auto"/>
        <w:rPr>
          <w:sz w:val="20"/>
          <w:szCs w:val="20"/>
          <w:color w:val="auto"/>
        </w:rPr>
      </w:pPr>
      <w:r>
        <w:rPr>
          <w:rFonts w:ascii="Arial" w:cs="Arial" w:eastAsia="Arial" w:hAnsi="Arial"/>
          <w:sz w:val="18"/>
          <w:szCs w:val="18"/>
          <w:color w:val="auto"/>
        </w:rPr>
        <w:t>In February 2018, we responded to and opposed the petition for the ‘268 patent. In May 2018, the PTAB rendered a decision to institute a post-grant review for the patent. In August 2018, we responded to the PTAB decision to institute a post-grant review. In April 2019, the PTAB entered a final written decision holding that the claims were invalid for lack of enablement, but left several of the grounds raised in the Petition unaddressed. In June, we filed a request for rehearing with the PTAB.</w:t>
      </w:r>
    </w:p>
    <w:p>
      <w:pPr>
        <w:spacing w:after="0" w:line="188"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In October 2018, the PTAB rendered a decision to institute a post grant review for the ‘245 patent. In January 2019, we responded to the petition to institute a post-grant review. In October 2019, the PTAB entered a final written decision holding that the claims were invalid for lacking novelty and for obviousness. In November 2019 we filed a request for rehearing with the Precedential Opinion Panel (POP). In February 2020, the POP denied the request, and the request is now under consideration by the original PTAB panel.</w:t>
      </w:r>
    </w:p>
    <w:p>
      <w:pPr>
        <w:spacing w:after="0" w:line="188" w:lineRule="exact"/>
        <w:rPr>
          <w:sz w:val="20"/>
          <w:szCs w:val="20"/>
          <w:color w:val="auto"/>
        </w:rPr>
      </w:pPr>
    </w:p>
    <w:p>
      <w:pPr>
        <w:ind w:left="40" w:right="99" w:firstLine="648"/>
        <w:spacing w:after="0" w:line="286" w:lineRule="auto"/>
        <w:rPr>
          <w:sz w:val="20"/>
          <w:szCs w:val="20"/>
          <w:color w:val="auto"/>
        </w:rPr>
      </w:pPr>
      <w:r>
        <w:rPr>
          <w:rFonts w:ascii="Arial" w:cs="Arial" w:eastAsia="Arial" w:hAnsi="Arial"/>
          <w:sz w:val="17"/>
          <w:szCs w:val="17"/>
          <w:color w:val="auto"/>
        </w:rPr>
        <w:t>In February 2019, the PTAB rendered a decision to institute a post-grant review for the ‘999 patent. In May 2019, we responded to the petition to institute a post-grant review. In February 2020, the PTAB entered a final written decision holding that thirteen of the claims were valid, and seventeen of the claims were invalid for lacking novelty.</w:t>
      </w:r>
    </w:p>
    <w:p>
      <w:pPr>
        <w:spacing w:after="0" w:line="165" w:lineRule="exact"/>
        <w:rPr>
          <w:sz w:val="20"/>
          <w:szCs w:val="20"/>
          <w:color w:val="auto"/>
        </w:rPr>
      </w:pPr>
    </w:p>
    <w:p>
      <w:pPr>
        <w:ind w:left="40" w:right="179" w:firstLine="648"/>
        <w:spacing w:after="0" w:line="277" w:lineRule="auto"/>
        <w:rPr>
          <w:sz w:val="20"/>
          <w:szCs w:val="20"/>
          <w:color w:val="auto"/>
        </w:rPr>
      </w:pPr>
      <w:r>
        <w:rPr>
          <w:rFonts w:ascii="Arial" w:cs="Arial" w:eastAsia="Arial" w:hAnsi="Arial"/>
          <w:sz w:val="18"/>
          <w:szCs w:val="18"/>
          <w:color w:val="auto"/>
        </w:rPr>
        <w:t>In May 2019, the PTAB rendered a decision to institute a post-grant review for the ‘839 patent. In October 2019, we responded to the petition to institute a post-grant review.</w:t>
      </w:r>
    </w:p>
    <w:p>
      <w:pPr>
        <w:spacing w:after="0" w:line="170" w:lineRule="exact"/>
        <w:rPr>
          <w:sz w:val="20"/>
          <w:szCs w:val="20"/>
          <w:color w:val="auto"/>
        </w:rPr>
      </w:pPr>
    </w:p>
    <w:p>
      <w:pPr>
        <w:ind w:left="40" w:right="239" w:firstLine="648"/>
        <w:spacing w:after="0" w:line="277" w:lineRule="auto"/>
        <w:rPr>
          <w:sz w:val="20"/>
          <w:szCs w:val="20"/>
          <w:color w:val="auto"/>
        </w:rPr>
      </w:pPr>
      <w:r>
        <w:rPr>
          <w:rFonts w:ascii="Arial" w:cs="Arial" w:eastAsia="Arial" w:hAnsi="Arial"/>
          <w:sz w:val="18"/>
          <w:szCs w:val="18"/>
          <w:color w:val="auto"/>
        </w:rPr>
        <w:t>In July 2019, the PTAB rendered a decision to institute a post-grant review for the ‘352 patent. In October 2019, we responded to the petition to institute a post-grant review.</w:t>
      </w:r>
    </w:p>
    <w:p>
      <w:pPr>
        <w:spacing w:after="0" w:line="170" w:lineRule="exact"/>
        <w:rPr>
          <w:sz w:val="20"/>
          <w:szCs w:val="20"/>
          <w:color w:val="auto"/>
        </w:rPr>
      </w:pPr>
    </w:p>
    <w:p>
      <w:pPr>
        <w:ind w:left="40" w:right="199" w:firstLine="648"/>
        <w:spacing w:after="0" w:line="277" w:lineRule="auto"/>
        <w:rPr>
          <w:sz w:val="20"/>
          <w:szCs w:val="20"/>
          <w:color w:val="auto"/>
        </w:rPr>
      </w:pPr>
      <w:r>
        <w:rPr>
          <w:rFonts w:ascii="Arial" w:cs="Arial" w:eastAsia="Arial" w:hAnsi="Arial"/>
          <w:sz w:val="18"/>
          <w:szCs w:val="18"/>
          <w:color w:val="auto"/>
        </w:rPr>
        <w:t>In July 2019, the PTAB rendered a decision to institute a post-grant review for the ‘774 patent. In October 2019, we responded to the petition to institute a post-grant review.</w:t>
      </w:r>
    </w:p>
    <w:p>
      <w:pPr>
        <w:spacing w:after="0" w:line="170" w:lineRule="exact"/>
        <w:rPr>
          <w:sz w:val="20"/>
          <w:szCs w:val="20"/>
          <w:color w:val="auto"/>
        </w:rPr>
      </w:pPr>
    </w:p>
    <w:p>
      <w:pPr>
        <w:ind w:left="40" w:right="439" w:firstLine="648"/>
        <w:spacing w:after="0" w:line="277" w:lineRule="auto"/>
        <w:rPr>
          <w:sz w:val="20"/>
          <w:szCs w:val="20"/>
          <w:color w:val="auto"/>
        </w:rPr>
      </w:pPr>
      <w:r>
        <w:rPr>
          <w:rFonts w:ascii="Arial" w:cs="Arial" w:eastAsia="Arial" w:hAnsi="Arial"/>
          <w:sz w:val="18"/>
          <w:szCs w:val="18"/>
          <w:color w:val="auto"/>
        </w:rPr>
        <w:t>In August 2019, the PTAB rendered a decision to institute a post-grant review for the ‘338 patent. In October 2019, we responded to the petition to institute a post-grant review.</w:t>
      </w:r>
    </w:p>
    <w:p>
      <w:pPr>
        <w:spacing w:after="0" w:line="170" w:lineRule="exact"/>
        <w:rPr>
          <w:sz w:val="20"/>
          <w:szCs w:val="20"/>
          <w:color w:val="auto"/>
        </w:rPr>
      </w:pPr>
    </w:p>
    <w:p>
      <w:pPr>
        <w:ind w:left="40" w:right="119" w:firstLine="648"/>
        <w:spacing w:after="0" w:line="275" w:lineRule="auto"/>
        <w:rPr>
          <w:sz w:val="20"/>
          <w:szCs w:val="20"/>
          <w:color w:val="auto"/>
        </w:rPr>
      </w:pPr>
      <w:r>
        <w:rPr>
          <w:rFonts w:ascii="Arial" w:cs="Arial" w:eastAsia="Arial" w:hAnsi="Arial"/>
          <w:sz w:val="17"/>
          <w:szCs w:val="17"/>
          <w:color w:val="auto"/>
        </w:rPr>
        <w:t>Any patent claim the PTAB determines to be unpatentable as a result of these proceedings would be stricken from the challenged patents or modified.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64"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 how.</w:t>
      </w:r>
    </w:p>
    <w:p>
      <w:pPr>
        <w:spacing w:after="0" w:line="177"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6"/>
          <w:szCs w:val="16"/>
          <w:color w:val="auto"/>
        </w:rPr>
        <w:t>‑</w:t>
      </w:r>
      <w:r>
        <w:rPr>
          <w:rFonts w:ascii="Arial" w:cs="Arial" w:eastAsia="Arial" w:hAnsi="Arial"/>
          <w:sz w:val="16"/>
          <w:szCs w:val="16"/>
          <w:color w:val="auto"/>
        </w:rPr>
        <w:t>U.S. patent agencies for the patents and patent applications we own and those that we in</w:t>
      </w:r>
      <w:r>
        <w:rPr>
          <w:rFonts w:ascii="MS PGothic" w:cs="MS PGothic" w:eastAsia="MS PGothic" w:hAnsi="MS PGothic"/>
          <w:sz w:val="16"/>
          <w:szCs w:val="16"/>
          <w:color w:val="auto"/>
        </w:rPr>
        <w:t>‑</w:t>
      </w:r>
      <w:r>
        <w:rPr>
          <w:rFonts w:ascii="Arial" w:cs="Arial" w:eastAsia="Arial" w:hAnsi="Arial"/>
          <w:sz w:val="16"/>
          <w:szCs w:val="16"/>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6"/>
          <w:szCs w:val="16"/>
          <w:color w:val="auto"/>
        </w:rPr>
        <w:t>‑</w:t>
      </w:r>
      <w:r>
        <w:rPr>
          <w:rFonts w:ascii="Arial" w:cs="Arial" w:eastAsia="Arial" w:hAnsi="Arial"/>
          <w:sz w:val="16"/>
          <w:szCs w:val="16"/>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04" w:lineRule="exact"/>
        <w:rPr>
          <w:sz w:val="20"/>
          <w:szCs w:val="20"/>
          <w:color w:val="auto"/>
        </w:rPr>
      </w:pPr>
    </w:p>
    <w:p>
      <w:pPr>
        <w:ind w:left="40" w:right="319"/>
        <w:spacing w:after="0" w:line="342"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4"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59" w:firstLine="648"/>
        <w:spacing w:after="0" w:line="277" w:lineRule="auto"/>
        <w:rPr>
          <w:sz w:val="20"/>
          <w:szCs w:val="20"/>
          <w:color w:val="auto"/>
        </w:rPr>
      </w:pPr>
      <w:r>
        <w:rPr>
          <w:rFonts w:ascii="Arial" w:cs="Arial" w:eastAsia="Arial" w:hAnsi="Arial"/>
          <w:sz w:val="18"/>
          <w:szCs w:val="18"/>
          <w:color w:val="auto"/>
        </w:rPr>
        <w:t>If a third party claims that we infringe on their products or technology, we could face a number of issues, including:</w:t>
      </w:r>
    </w:p>
    <w:p>
      <w:pPr>
        <w:spacing w:after="0" w:line="170" w:lineRule="exact"/>
        <w:rPr>
          <w:sz w:val="20"/>
          <w:szCs w:val="20"/>
          <w:color w:val="auto"/>
        </w:rPr>
      </w:pPr>
    </w:p>
    <w:p>
      <w:pPr>
        <w:ind w:left="700" w:right="179" w:hanging="332"/>
        <w:spacing w:after="0" w:line="308" w:lineRule="auto"/>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46" w:lineRule="exact"/>
        <w:rPr>
          <w:rFonts w:ascii="Arial" w:cs="Arial" w:eastAsia="Arial" w:hAnsi="Arial"/>
          <w:sz w:val="17"/>
          <w:szCs w:val="17"/>
          <w:color w:val="auto"/>
        </w:rPr>
      </w:pPr>
    </w:p>
    <w:p>
      <w:pPr>
        <w:ind w:left="700" w:right="199" w:hanging="332"/>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170" w:lineRule="exact"/>
        <w:rPr>
          <w:rFonts w:ascii="Arial" w:cs="Arial" w:eastAsia="Arial" w:hAnsi="Arial"/>
          <w:sz w:val="18"/>
          <w:szCs w:val="18"/>
          <w:color w:val="auto"/>
        </w:rPr>
      </w:pPr>
    </w:p>
    <w:p>
      <w:pPr>
        <w:ind w:left="700" w:right="539" w:hanging="332"/>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70"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170" w:lineRule="exact"/>
        <w:rPr>
          <w:rFonts w:ascii="Arial" w:cs="Arial" w:eastAsia="Arial" w:hAnsi="Arial"/>
          <w:sz w:val="18"/>
          <w:szCs w:val="18"/>
          <w:color w:val="auto"/>
        </w:rPr>
      </w:pPr>
    </w:p>
    <w:p>
      <w:pPr>
        <w:ind w:left="700" w:right="439" w:hanging="332"/>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redesigning our product candidates and processes so they do not infringe, which may not be possible or could require substantial funds and time.</w:t>
      </w:r>
    </w:p>
    <w:p>
      <w:pPr>
        <w:spacing w:after="0" w:line="170"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7"/>
          <w:szCs w:val="17"/>
          <w:color w:val="auto"/>
        </w:rPr>
        <w:t>‑</w:t>
      </w:r>
      <w:r>
        <w:rPr>
          <w:rFonts w:ascii="Arial" w:cs="Arial" w:eastAsia="Arial" w:hAnsi="Arial"/>
          <w:sz w:val="17"/>
          <w:szCs w:val="17"/>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10"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7"/>
          <w:szCs w:val="17"/>
          <w:color w:val="auto"/>
        </w:rPr>
        <w:t>Competitors may infringe our issued patents, our in</w:t>
      </w:r>
      <w:r>
        <w:rPr>
          <w:rFonts w:ascii="MS PGothic" w:cs="MS PGothic" w:eastAsia="MS PGothic" w:hAnsi="MS PGothic"/>
          <w:sz w:val="17"/>
          <w:szCs w:val="17"/>
          <w:color w:val="auto"/>
        </w:rPr>
        <w:t>‑</w:t>
      </w:r>
      <w:r>
        <w:rPr>
          <w:rFonts w:ascii="Arial" w:cs="Arial" w:eastAsia="Arial" w:hAnsi="Arial"/>
          <w:sz w:val="17"/>
          <w:szCs w:val="17"/>
          <w:color w:val="auto"/>
        </w:rPr>
        <w:t>licensed patents, or other intellectual property that we own or in</w:t>
      </w:r>
      <w:r>
        <w:rPr>
          <w:rFonts w:ascii="MS PGothic" w:cs="MS PGothic" w:eastAsia="MS PGothic" w:hAnsi="MS PGothic"/>
          <w:sz w:val="17"/>
          <w:szCs w:val="17"/>
          <w:color w:val="auto"/>
        </w:rPr>
        <w:t>‑</w:t>
      </w:r>
      <w:r>
        <w:rPr>
          <w:rFonts w:ascii="Arial" w:cs="Arial" w:eastAsia="Arial" w:hAnsi="Arial"/>
          <w:sz w:val="17"/>
          <w:szCs w:val="17"/>
          <w:color w:val="auto"/>
        </w:rPr>
        <w:t>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08" w:lineRule="exact"/>
        <w:rPr>
          <w:sz w:val="20"/>
          <w:szCs w:val="20"/>
          <w:color w:val="auto"/>
        </w:rPr>
      </w:pPr>
    </w:p>
    <w:p>
      <w:pPr>
        <w:ind w:left="40" w:right="359" w:firstLine="648"/>
        <w:spacing w:after="0" w:line="219" w:lineRule="exact"/>
        <w:rPr>
          <w:sz w:val="20"/>
          <w:szCs w:val="20"/>
          <w:color w:val="auto"/>
        </w:rPr>
      </w:pPr>
      <w:r>
        <w:rPr>
          <w:rFonts w:ascii="Arial" w:cs="Arial" w:eastAsia="Arial" w:hAnsi="Arial"/>
          <w:sz w:val="17"/>
          <w:szCs w:val="17"/>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w:t>
      </w:r>
      <w:r>
        <w:rPr>
          <w:rFonts w:ascii="MS PGothic" w:cs="MS PGothic" w:eastAsia="MS PGothic" w:hAnsi="MS PGothic"/>
          <w:sz w:val="17"/>
          <w:szCs w:val="17"/>
          <w:color w:val="auto"/>
        </w:rPr>
        <w:t>‑</w:t>
      </w:r>
      <w:r>
        <w:rPr>
          <w:rFonts w:ascii="Arial" w:cs="Arial" w:eastAsia="Arial" w:hAnsi="Arial"/>
          <w:sz w:val="17"/>
          <w:szCs w:val="17"/>
          <w:color w:val="auto"/>
        </w:rPr>
        <w:t>license needed technology, or enter into development partnerships that would help us bring our product candidates to market.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279"/>
        <w:spacing w:after="0" w:line="263" w:lineRule="auto"/>
        <w:rPr>
          <w:sz w:val="20"/>
          <w:szCs w:val="20"/>
          <w:color w:val="auto"/>
        </w:rPr>
      </w:pPr>
      <w:r>
        <w:rPr>
          <w:rFonts w:ascii="Arial" w:cs="Arial" w:eastAsia="Arial" w:hAnsi="Arial"/>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and if the licenses are terminated for any reason our business may be materially harmed.</w:t>
      </w:r>
    </w:p>
    <w:p>
      <w:pPr>
        <w:spacing w:after="0" w:line="184" w:lineRule="exact"/>
        <w:rPr>
          <w:sz w:val="20"/>
          <w:szCs w:val="20"/>
          <w:color w:val="auto"/>
        </w:rPr>
      </w:pPr>
    </w:p>
    <w:p>
      <w:pPr>
        <w:ind w:left="40" w:right="119" w:firstLine="648"/>
        <w:spacing w:after="0" w:line="289" w:lineRule="auto"/>
        <w:rPr>
          <w:sz w:val="20"/>
          <w:szCs w:val="20"/>
          <w:color w:val="auto"/>
        </w:rPr>
      </w:pPr>
      <w:r>
        <w:rPr>
          <w:rFonts w:ascii="Arial" w:cs="Arial" w:eastAsia="Arial" w:hAnsi="Arial"/>
          <w:sz w:val="16"/>
          <w:szCs w:val="16"/>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66" w:lineRule="exact"/>
        <w:rPr>
          <w:sz w:val="20"/>
          <w:szCs w:val="20"/>
          <w:color w:val="auto"/>
        </w:rPr>
      </w:pPr>
    </w:p>
    <w:p>
      <w:pPr>
        <w:ind w:left="40" w:right="59" w:firstLine="648"/>
        <w:spacing w:after="0" w:line="285"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AXS-02 and AXS-05, as well as AXS-04, a product candidate that is currently in early stage development, anywhere in the world for veterinary and human therapeutic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AXS-02, AXS-05, and AXS-04. Under the terms of the agreements, we are required to pay to Antecip a royalty equal to 4.5% for AXS-02, 3.0% for AXS-05, and 1.5% for AXS-04,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 by product and country by 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 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We are dependent upon the license agreements with Antecip and if any of the license agreements with Antecip are terminated for any reason, our business, financial condition, results of operations, and prospects will be materially harmed.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6" w:name="page97"/>
    <w:bookmarkEnd w:id="9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 million, based on the average closing price of our common stock for the 10 prior trading days of $97.538, in consideration for the license and rights. Pfizer also received an upfront cash payment of $3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seeking and maintaining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77" w:lineRule="exact"/>
        <w:rPr>
          <w:sz w:val="20"/>
          <w:szCs w:val="20"/>
          <w:color w:val="auto"/>
        </w:rPr>
      </w:pPr>
    </w:p>
    <w:p>
      <w:pPr>
        <w:ind w:left="40" w:right="599"/>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6" w:lineRule="exact"/>
        <w:rPr>
          <w:sz w:val="20"/>
          <w:szCs w:val="20"/>
          <w:color w:val="auto"/>
        </w:rPr>
      </w:pPr>
    </w:p>
    <w:p>
      <w:pPr>
        <w:ind w:left="40" w:right="359" w:firstLine="648"/>
        <w:spacing w:after="0" w:line="273" w:lineRule="auto"/>
        <w:rPr>
          <w:sz w:val="20"/>
          <w:szCs w:val="20"/>
          <w:color w:val="auto"/>
        </w:rPr>
      </w:pPr>
      <w:r>
        <w:rPr>
          <w:rFonts w:ascii="Arial" w:cs="Arial" w:eastAsia="Arial" w:hAnsi="Arial"/>
          <w:sz w:val="17"/>
          <w:szCs w:val="17"/>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Arial" w:cs="Arial" w:eastAsia="Arial" w:hAnsi="Arial"/>
          <w:sz w:val="16"/>
          <w:szCs w:val="16"/>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7" w:name="page98"/>
    <w:bookmarkEnd w:id="9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225" w:lineRule="exact"/>
        <w:rPr>
          <w:sz w:val="20"/>
          <w:szCs w:val="20"/>
          <w:color w:val="auto"/>
        </w:rPr>
      </w:pPr>
    </w:p>
    <w:p>
      <w:pPr>
        <w:ind w:left="40" w:right="59" w:firstLine="648"/>
        <w:spacing w:after="0" w:line="269"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85" w:lineRule="exact"/>
        <w:rPr>
          <w:sz w:val="20"/>
          <w:szCs w:val="20"/>
          <w:color w:val="auto"/>
        </w:rPr>
      </w:pPr>
    </w:p>
    <w:p>
      <w:pPr>
        <w:ind w:left="40" w:right="99" w:firstLine="648"/>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229" w:lineRule="exact"/>
        <w:rPr>
          <w:sz w:val="20"/>
          <w:szCs w:val="20"/>
          <w:color w:val="auto"/>
        </w:rPr>
      </w:pPr>
    </w:p>
    <w:p>
      <w:pPr>
        <w:ind w:left="40" w:right="179"/>
        <w:spacing w:after="0" w:line="311" w:lineRule="auto"/>
        <w:rPr>
          <w:sz w:val="20"/>
          <w:szCs w:val="20"/>
          <w:color w:val="auto"/>
        </w:rPr>
      </w:pPr>
      <w:r>
        <w:rPr>
          <w:rFonts w:ascii="Arial" w:cs="Arial" w:eastAsia="Arial" w:hAnsi="Arial"/>
          <w:sz w:val="16"/>
          <w:szCs w:val="16"/>
          <w:b w:val="1"/>
          <w:bCs w:val="1"/>
          <w:i w:val="1"/>
          <w:iCs w:val="1"/>
          <w:color w:val="auto"/>
        </w:rPr>
        <w:t>If we fail to comply with federal state, and foreign healthcare laws, including fraud and abuse and transparency and health and other information privacy and security laws, we could face substantial penalties and our business, financial condition, results of operations, and prospects could be adversely affected.</w:t>
      </w:r>
    </w:p>
    <w:p>
      <w:pPr>
        <w:spacing w:after="0" w:line="149"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 the “Business—Government Regulation and Product Approval” section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such as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w:t>
      </w:r>
      <w:r>
        <w:rPr>
          <w:rFonts w:ascii="MS PGothic" w:cs="MS PGothic" w:eastAsia="MS PGothic" w:hAnsi="MS PGothic"/>
          <w:sz w:val="16"/>
          <w:szCs w:val="16"/>
          <w:color w:val="auto"/>
        </w:rPr>
        <w:t>‑</w:t>
      </w:r>
      <w:r>
        <w:rPr>
          <w:rFonts w:ascii="Arial" w:cs="Arial" w:eastAsia="Arial" w:hAnsi="Arial"/>
          <w:sz w:val="16"/>
          <w:szCs w:val="16"/>
          <w:color w:val="auto"/>
        </w:rPr>
        <w:t>party payors, certain federal and state healthcare laws and regulations pertaining to fraud and abuse and patients’ rights are and will be applicable to our business. We would be subject to healthcare fraud and abuse laws by both the federal government and the states in which we conduct our business.</w:t>
      </w:r>
    </w:p>
    <w:p>
      <w:pPr>
        <w:spacing w:after="0" w:line="207" w:lineRule="exact"/>
        <w:rPr>
          <w:sz w:val="20"/>
          <w:szCs w:val="20"/>
          <w:color w:val="auto"/>
        </w:rPr>
      </w:pPr>
    </w:p>
    <w:p>
      <w:pPr>
        <w:ind w:left="40" w:right="119" w:firstLine="648"/>
        <w:spacing w:after="0" w:line="270"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88" w:lineRule="exact"/>
        <w:rPr>
          <w:sz w:val="20"/>
          <w:szCs w:val="20"/>
          <w:color w:val="auto"/>
        </w:rPr>
      </w:pPr>
    </w:p>
    <w:p>
      <w:pPr>
        <w:jc w:val="both"/>
        <w:ind w:left="40" w:right="279"/>
        <w:spacing w:after="0" w:line="220" w:lineRule="exact"/>
        <w:rPr>
          <w:sz w:val="20"/>
          <w:szCs w:val="20"/>
          <w:color w:val="auto"/>
        </w:rPr>
      </w:pPr>
      <w:r>
        <w:rPr>
          <w:rFonts w:ascii="Arial" w:cs="Arial" w:eastAsia="Arial" w:hAnsi="Arial"/>
          <w:sz w:val="18"/>
          <w:szCs w:val="18"/>
          <w:b w:val="1"/>
          <w:bCs w:val="1"/>
          <w:i w:val="1"/>
          <w:iCs w:val="1"/>
          <w:color w:val="auto"/>
        </w:rPr>
        <w:t>If the government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care facilities choose to use therapies that are less expensive, our revenue and prospects for profitability will be limited.</w:t>
      </w:r>
    </w:p>
    <w:p>
      <w:pPr>
        <w:spacing w:after="0" w:line="204"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Such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204"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6"/>
          <w:szCs w:val="16"/>
          <w:color w:val="auto"/>
        </w:rPr>
        <w:t>There is significant uncertainty related to third</w:t>
      </w:r>
      <w:r>
        <w:rPr>
          <w:rFonts w:ascii="MS PGothic" w:cs="MS PGothic" w:eastAsia="MS PGothic" w:hAnsi="MS PGothic"/>
          <w:sz w:val="16"/>
          <w:szCs w:val="16"/>
          <w:color w:val="auto"/>
        </w:rPr>
        <w:t>‑</w:t>
      </w:r>
      <w:r>
        <w:rPr>
          <w:rFonts w:ascii="Arial" w:cs="Arial" w:eastAsia="Arial" w:hAnsi="Arial"/>
          <w:sz w:val="16"/>
          <w:szCs w:val="16"/>
          <w:color w:val="auto"/>
        </w:rPr>
        <w:t>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regardless of the results of the 2020 presidential election.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private health insurers and health maintenance organizations, decide which medications they will cover and establish reimbursement levels. The healthcare industry is acutely focused on cost containment, both in the United States and elsewhere. Several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79" w:firstLine="648"/>
        <w:spacing w:after="0" w:line="218"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whether foreign or domestic, or governmental or commercial, are developing increasingly sophisticated methods of controlling healthcare costs. In addition, in the United States, no uniform policy of coverage and reimbursement for drug products exists among third</w:t>
      </w:r>
      <w:r>
        <w:rPr>
          <w:rFonts w:ascii="MS PGothic" w:cs="MS PGothic" w:eastAsia="MS PGothic" w:hAnsi="MS PGothic"/>
          <w:sz w:val="17"/>
          <w:szCs w:val="17"/>
          <w:color w:val="auto"/>
        </w:rPr>
        <w:t>‑</w:t>
      </w:r>
      <w:r>
        <w:rPr>
          <w:rFonts w:ascii="Arial" w:cs="Arial" w:eastAsia="Arial" w:hAnsi="Arial"/>
          <w:sz w:val="17"/>
          <w:szCs w:val="17"/>
          <w:color w:val="auto"/>
        </w:rPr>
        <w:t>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204" w:lineRule="exact"/>
        <w:rPr>
          <w:sz w:val="20"/>
          <w:szCs w:val="20"/>
          <w:color w:val="auto"/>
        </w:rPr>
      </w:pPr>
    </w:p>
    <w:p>
      <w:pPr>
        <w:ind w:left="40" w:right="359" w:firstLine="648"/>
        <w:spacing w:after="0" w:line="217" w:lineRule="exact"/>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w:t>
      </w:r>
      <w:r>
        <w:rPr>
          <w:rFonts w:ascii="MS PGothic" w:cs="MS PGothic" w:eastAsia="MS PGothic" w:hAnsi="MS PGothic"/>
          <w:sz w:val="17"/>
          <w:szCs w:val="17"/>
          <w:color w:val="auto"/>
        </w:rPr>
        <w:t>‑</w:t>
      </w:r>
      <w:r>
        <w:rPr>
          <w:rFonts w:ascii="Arial" w:cs="Arial" w:eastAsia="Arial" w:hAnsi="Arial"/>
          <w:sz w:val="17"/>
          <w:szCs w:val="17"/>
          <w:color w:val="auto"/>
        </w:rPr>
        <w:t>marketing studies in order to demonstrate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any future products to the satisfaction of hospitals and other target customers and their third</w:t>
      </w:r>
      <w:r>
        <w:rPr>
          <w:rFonts w:ascii="MS PGothic" w:cs="MS PGothic" w:eastAsia="MS PGothic" w:hAnsi="MS PGothic"/>
          <w:sz w:val="17"/>
          <w:szCs w:val="17"/>
          <w:color w:val="auto"/>
        </w:rPr>
        <w:t>‑</w:t>
      </w:r>
      <w:r>
        <w:rPr>
          <w:rFonts w:ascii="Arial" w:cs="Arial" w:eastAsia="Arial" w:hAnsi="Arial"/>
          <w:sz w:val="17"/>
          <w:szCs w:val="17"/>
          <w:color w:val="auto"/>
        </w:rPr>
        <w:t>party payors. Such studies might require us to commit a significant amount of management time and financial and other resources. Our future products might not ultimately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Adequate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might not be available to enable us to maintain price levels sufficient to realize an appropriate return on investment in product development.</w:t>
      </w:r>
    </w:p>
    <w:p>
      <w:pPr>
        <w:spacing w:after="0" w:line="210"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7"/>
          <w:szCs w:val="17"/>
          <w:color w:val="auto"/>
        </w:rPr>
        <w:t>In addition, federal programs impose penalties on manufacturers of drugs marketed under an NDA, including 505(b)(2) drugs, in the form of mandatory additional rebates and/or discounts if commercial prices increase at a rate greater than the Consumer Price Index</w:t>
      </w:r>
      <w:r>
        <w:rPr>
          <w:rFonts w:ascii="MS PGothic" w:cs="MS PGothic" w:eastAsia="MS PGothic" w:hAnsi="MS PGothic"/>
          <w:sz w:val="17"/>
          <w:szCs w:val="17"/>
          <w:color w:val="auto"/>
        </w:rPr>
        <w:t>‑</w:t>
      </w:r>
      <w:r>
        <w:rPr>
          <w:rFonts w:ascii="Arial" w:cs="Arial" w:eastAsia="Arial" w:hAnsi="Arial"/>
          <w:sz w:val="17"/>
          <w:szCs w:val="17"/>
          <w:color w:val="auto"/>
        </w:rPr>
        <w:t>Urban, and these rebates and/or discounts, which can be substantial, may impact our ability to raise commercial prices. Regulatory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w:t>
      </w:r>
      <w:r>
        <w:rPr>
          <w:rFonts w:ascii="MS PGothic" w:cs="MS PGothic" w:eastAsia="MS PGothic" w:hAnsi="MS PGothic"/>
          <w:sz w:val="17"/>
          <w:szCs w:val="17"/>
          <w:color w:val="auto"/>
        </w:rPr>
        <w:t>‑</w:t>
      </w:r>
      <w:r>
        <w:rPr>
          <w:rFonts w:ascii="Arial" w:cs="Arial" w:eastAsia="Arial" w:hAnsi="Arial"/>
          <w:sz w:val="17"/>
          <w:szCs w:val="17"/>
          <w:color w:val="auto"/>
        </w:rPr>
        <w:t>effective, and coverage and reimbursement may not be available to our customers, or those of our collaborators, or may not be sufficient to allow our products, if any, to be marketed on a competitive basis. Cost</w:t>
      </w:r>
      <w:r>
        <w:rPr>
          <w:rFonts w:ascii="MS PGothic" w:cs="MS PGothic" w:eastAsia="MS PGothic" w:hAnsi="MS PGothic"/>
          <w:sz w:val="17"/>
          <w:szCs w:val="17"/>
          <w:color w:val="auto"/>
        </w:rPr>
        <w:t>‑</w:t>
      </w:r>
      <w:r>
        <w:rPr>
          <w:rFonts w:ascii="Arial" w:cs="Arial" w:eastAsia="Arial" w:hAnsi="Arial"/>
          <w:sz w:val="17"/>
          <w:szCs w:val="17"/>
          <w:color w:val="auto"/>
        </w:rPr>
        <w: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 do not provide adequate coverage or reimbursement, our prospects for revenue and profitability will suffer.</w:t>
      </w:r>
    </w:p>
    <w:p>
      <w:pPr>
        <w:spacing w:after="0" w:line="208" w:lineRule="exact"/>
        <w:rPr>
          <w:sz w:val="20"/>
          <w:szCs w:val="20"/>
          <w:color w:val="auto"/>
        </w:rPr>
      </w:pPr>
    </w:p>
    <w:p>
      <w:pPr>
        <w:ind w:left="40" w:right="99" w:firstLine="648"/>
        <w:spacing w:after="0" w:line="254"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92" w:lineRule="exact"/>
        <w:rPr>
          <w:sz w:val="20"/>
          <w:szCs w:val="20"/>
          <w:color w:val="auto"/>
        </w:rPr>
      </w:pPr>
    </w:p>
    <w:p>
      <w:pPr>
        <w:ind w:left="40" w:right="119" w:firstLine="648"/>
        <w:spacing w:after="0" w:line="290"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0" w:name="page101"/>
    <w:bookmarkEnd w:id="10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79" w:firstLine="648"/>
        <w:spacing w:after="0" w:line="218" w:lineRule="exact"/>
        <w:rPr>
          <w:sz w:val="20"/>
          <w:szCs w:val="20"/>
          <w:color w:val="auto"/>
        </w:rPr>
      </w:pPr>
      <w:r>
        <w:rPr>
          <w:rFonts w:ascii="Arial" w:cs="Arial" w:eastAsia="Arial" w:hAnsi="Arial"/>
          <w:sz w:val="18"/>
          <w:szCs w:val="18"/>
          <w:color w:val="auto"/>
        </w:rPr>
        <w:t>In addition, increasingly, third</w:t>
      </w:r>
      <w:r>
        <w:rPr>
          <w:rFonts w:ascii="MS PGothic" w:cs="MS PGothic" w:eastAsia="MS PGothic" w:hAnsi="MS PGothic"/>
          <w:sz w:val="18"/>
          <w:szCs w:val="18"/>
          <w:color w:val="auto"/>
        </w:rPr>
        <w:t>‑</w:t>
      </w:r>
      <w:r>
        <w:rPr>
          <w:rFonts w:ascii="Arial" w:cs="Arial" w:eastAsia="Arial" w:hAnsi="Arial"/>
          <w:sz w:val="18"/>
          <w:szCs w:val="18"/>
          <w:color w:val="auto"/>
        </w:rPr>
        <w:t>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w:t>
      </w:r>
      <w:r>
        <w:rPr>
          <w:rFonts w:ascii="MS PGothic" w:cs="MS PGothic" w:eastAsia="MS PGothic" w:hAnsi="MS PGothic"/>
          <w:sz w:val="18"/>
          <w:szCs w:val="18"/>
          <w:color w:val="auto"/>
        </w:rPr>
        <w:t>‑</w:t>
      </w:r>
      <w:r>
        <w:rPr>
          <w:rFonts w:ascii="Arial" w:cs="Arial" w:eastAsia="Arial" w:hAnsi="Arial"/>
          <w:sz w:val="18"/>
          <w:szCs w:val="18"/>
          <w:color w:val="auto"/>
        </w:rPr>
        <w: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204" w:lineRule="exact"/>
        <w:rPr>
          <w:sz w:val="20"/>
          <w:szCs w:val="20"/>
          <w:color w:val="auto"/>
        </w:rPr>
      </w:pPr>
    </w:p>
    <w:p>
      <w:pPr>
        <w:ind w:left="40" w:right="239"/>
        <w:spacing w:after="0" w:line="381"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00" w:lineRule="exact"/>
        <w:rPr>
          <w:sz w:val="20"/>
          <w:szCs w:val="20"/>
          <w:color w:val="auto"/>
        </w:rPr>
      </w:pPr>
    </w:p>
    <w:p>
      <w:pPr>
        <w:ind w:left="40" w:right="199" w:firstLine="648"/>
        <w:spacing w:after="0" w:line="218" w:lineRule="exact"/>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6"/>
          <w:szCs w:val="16"/>
          <w:color w:val="auto"/>
        </w:rPr>
        <w:t>‑</w:t>
      </w:r>
      <w:r>
        <w:rPr>
          <w:rFonts w:ascii="Arial" w:cs="Arial" w:eastAsia="Arial" w:hAnsi="Arial"/>
          <w:sz w:val="16"/>
          <w:szCs w:val="16"/>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6" w:lineRule="exact"/>
        <w:rPr>
          <w:sz w:val="20"/>
          <w:szCs w:val="20"/>
          <w:color w:val="auto"/>
        </w:rPr>
      </w:pPr>
    </w:p>
    <w:p>
      <w:pPr>
        <w:ind w:left="40" w:right="59" w:firstLine="648"/>
        <w:spacing w:after="0" w:line="283" w:lineRule="auto"/>
        <w:rPr>
          <w:sz w:val="20"/>
          <w:szCs w:val="20"/>
          <w:color w:val="auto"/>
        </w:rPr>
      </w:pPr>
      <w:r>
        <w:rPr>
          <w:rFonts w:ascii="Arial" w:cs="Arial" w:eastAsia="Arial" w:hAnsi="Arial"/>
          <w:sz w:val="16"/>
          <w:szCs w:val="16"/>
          <w:color w:val="auto"/>
        </w:rPr>
        <w:t xml:space="preserve">For example, there have been numerous attempts by Congress and the Trump Administration, through legislation and executive orders, to repeal or materially modify various aspects of ACA. In addition, there have been multiple law suits challenging the constitutionality of the ACA as well as various components of the ACA, and it is unclear what impact these various efforts have and will have on our business operations and resulting financial condition. Next term, the Supreme Court will hear arguments on the constitutionality of the ACA, in particular with respect to </w:t>
      </w:r>
      <w:r>
        <w:rPr>
          <w:rFonts w:ascii="Arial" w:cs="Arial" w:eastAsia="Arial" w:hAnsi="Arial"/>
          <w:sz w:val="16"/>
          <w:szCs w:val="16"/>
          <w:i w:val="1"/>
          <w:iCs w:val="1"/>
          <w:color w:val="auto"/>
        </w:rPr>
        <w:t>Texas v. Azar</w:t>
      </w:r>
      <w:r>
        <w:rPr>
          <w:rFonts w:ascii="Arial" w:cs="Arial" w:eastAsia="Arial" w:hAnsi="Arial"/>
          <w:sz w:val="16"/>
          <w:szCs w:val="16"/>
          <w:color w:val="auto"/>
        </w:rPr>
        <w:t>’s holding that the TCJA rendered the individual mandate unconstitutional and by extension, the entirety of the ACA. It is unclear how the eventual decisions from the Supreme Court and the various other courts across the country to repeal and replace the ACA will impact the ACA and our business. It is also unclear how regulations and sub-regulatory policy, which fluctuate continually, may affect interpretation and implementation of the ACA and its practical effects on our business, particularly</w:t>
      </w:r>
    </w:p>
    <w:p>
      <w:pPr>
        <w:spacing w:after="0" w:line="6" w:lineRule="exact"/>
        <w:rPr>
          <w:sz w:val="20"/>
          <w:szCs w:val="20"/>
          <w:color w:val="auto"/>
        </w:rPr>
      </w:pPr>
    </w:p>
    <w:p>
      <w:pPr>
        <w:ind w:left="40" w:right="99"/>
        <w:spacing w:after="0" w:line="253" w:lineRule="auto"/>
        <w:rPr>
          <w:sz w:val="20"/>
          <w:szCs w:val="20"/>
          <w:color w:val="auto"/>
        </w:rPr>
      </w:pPr>
      <w:r>
        <w:rPr>
          <w:rFonts w:ascii="Arial" w:cs="Arial" w:eastAsia="Arial" w:hAnsi="Arial"/>
          <w:sz w:val="18"/>
          <w:szCs w:val="18"/>
          <w:color w:val="auto"/>
        </w:rPr>
        <w:t>entering an election year. We are unable to predict the future course of federal or state healthcare legislation in the United States directed at broadening the availability of healthcare and containing or lowering the cost of healthcare, including drugs and biologics. The fate of the ACA and any further changes in the law or regulatory framework that reduce our revenue or increase our costs could also have a material and adverse effect on our business, financial condition and results of operations.</w:t>
      </w:r>
    </w:p>
    <w:p>
      <w:pPr>
        <w:spacing w:after="0" w:line="191"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both the U.S. Congress and the Trump Administration have indicated that they will continue to seek new legislative and administrative measures to control drug costs.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79" w:lineRule="exact"/>
        <w:rPr>
          <w:sz w:val="20"/>
          <w:szCs w:val="20"/>
          <w:color w:val="auto"/>
        </w:rPr>
      </w:pPr>
    </w:p>
    <w:p>
      <w:pPr>
        <w:ind w:left="40" w:right="199" w:firstLine="648"/>
        <w:spacing w:after="0" w:line="219" w:lineRule="exact"/>
        <w:rPr>
          <w:sz w:val="20"/>
          <w:szCs w:val="20"/>
          <w:color w:val="auto"/>
        </w:rPr>
      </w:pPr>
      <w:r>
        <w:rPr>
          <w:rFonts w:ascii="Arial" w:cs="Arial" w:eastAsia="Arial" w:hAnsi="Arial"/>
          <w:sz w:val="17"/>
          <w:szCs w:val="17"/>
          <w:color w:val="auto"/>
        </w:rPr>
        <w:t>Legislative and regulatory proposals may also be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1" w:name="page102"/>
    <w:bookmarkEnd w:id="10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59" w:firstLine="648"/>
        <w:spacing w:after="0" w:line="286"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Product identifier information (an aspect of the product tracing scheme) is also now required. The DSCSA requirements, development of standards, and the system for product tracing have been and will continue to be phased in over a period of years through 2023, and subject companies will need to continue their implementation efforts. Many states still have in place licensure and other requirements for manufacturers and distributors of drug products. The distribution of product samples continues to be regulated under the PDMA, and some states also impose regulations on drug sample distribution.</w:t>
      </w:r>
    </w:p>
    <w:p>
      <w:pPr>
        <w:spacing w:after="0" w:line="167"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87"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70"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products will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by third</w:t>
      </w:r>
      <w:r>
        <w:rPr>
          <w:rFonts w:ascii="MS PGothic" w:cs="MS PGothic" w:eastAsia="MS PGothic" w:hAnsi="MS PGothic"/>
          <w:sz w:val="17"/>
          <w:szCs w:val="17"/>
          <w:color w:val="auto"/>
        </w:rPr>
        <w:t>‑</w:t>
      </w:r>
      <w:r>
        <w:rPr>
          <w:rFonts w:ascii="Arial" w:cs="Arial" w:eastAsia="Arial" w:hAnsi="Arial"/>
          <w:sz w:val="17"/>
          <w:szCs w:val="17"/>
          <w:color w:val="auto"/>
        </w:rPr>
        <w:t>party payors, that an adequate level of reimbursement will be available, or that the third</w:t>
      </w:r>
      <w:r>
        <w:rPr>
          <w:rFonts w:ascii="MS PGothic" w:cs="MS PGothic" w:eastAsia="MS PGothic" w:hAnsi="MS PGothic"/>
          <w:sz w:val="17"/>
          <w:szCs w:val="17"/>
          <w:color w:val="auto"/>
        </w:rPr>
        <w:t>‑</w:t>
      </w:r>
      <w:r>
        <w:rPr>
          <w:rFonts w:ascii="Arial" w:cs="Arial" w:eastAsia="Arial" w:hAnsi="Arial"/>
          <w:sz w:val="17"/>
          <w:szCs w:val="17"/>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2" w:name="page103"/>
    <w:bookmarkEnd w:id="10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79"/>
        <w:spacing w:after="0" w:line="286"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5"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71" w:lineRule="exact"/>
        <w:rPr>
          <w:sz w:val="20"/>
          <w:szCs w:val="20"/>
          <w:color w:val="auto"/>
        </w:rPr>
      </w:pPr>
    </w:p>
    <w:p>
      <w:pPr>
        <w:jc w:val="both"/>
        <w:ind w:left="40" w:right="119"/>
        <w:spacing w:after="0" w:line="223" w:lineRule="exact"/>
        <w:rPr>
          <w:sz w:val="20"/>
          <w:szCs w:val="20"/>
          <w:color w:val="auto"/>
        </w:rPr>
      </w:pPr>
      <w:r>
        <w:rPr>
          <w:rFonts w:ascii="Arial" w:cs="Arial" w:eastAsia="Arial" w:hAnsi="Arial"/>
          <w:sz w:val="15"/>
          <w:szCs w:val="15"/>
          <w:b w:val="1"/>
          <w:bCs w:val="1"/>
          <w:i w:val="1"/>
          <w:iCs w:val="1"/>
          <w:color w:val="auto"/>
        </w:rPr>
        <w:t>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202"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07" w:lineRule="exact"/>
        <w:rPr>
          <w:sz w:val="20"/>
          <w:szCs w:val="20"/>
          <w:color w:val="auto"/>
        </w:rPr>
      </w:pPr>
    </w:p>
    <w:p>
      <w:pPr>
        <w:ind w:left="40" w:right="179" w:firstLine="648"/>
        <w:spacing w:after="0" w:line="30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7" w:lineRule="exact"/>
        <w:rPr>
          <w:sz w:val="20"/>
          <w:szCs w:val="20"/>
          <w:color w:val="auto"/>
        </w:rPr>
      </w:pPr>
    </w:p>
    <w:p>
      <w:pPr>
        <w:ind w:left="40" w:right="219" w:firstLine="648"/>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3" w:name="page104"/>
    <w:bookmarkEnd w:id="10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170" w:lineRule="exact"/>
        <w:rPr>
          <w:sz w:val="20"/>
          <w:szCs w:val="20"/>
          <w:color w:val="auto"/>
        </w:rPr>
      </w:pPr>
    </w:p>
    <w:p>
      <w:pPr>
        <w:ind w:left="40" w:right="119" w:firstLine="648"/>
        <w:spacing w:after="0" w:line="217" w:lineRule="exact"/>
        <w:rPr>
          <w:sz w:val="20"/>
          <w:szCs w:val="20"/>
          <w:color w:val="auto"/>
        </w:rPr>
      </w:pPr>
      <w:r>
        <w:rPr>
          <w:rFonts w:ascii="Arial" w:cs="Arial" w:eastAsia="Arial" w:hAnsi="Arial"/>
          <w:sz w:val="16"/>
          <w:szCs w:val="16"/>
          <w:color w:val="auto"/>
        </w:rPr>
        <w:t>As of March 6, 2020, we had only 45 full</w:t>
      </w:r>
      <w:r>
        <w:rPr>
          <w:rFonts w:ascii="MS PGothic" w:cs="MS PGothic" w:eastAsia="MS PGothic" w:hAnsi="MS PGothic"/>
          <w:sz w:val="16"/>
          <w:szCs w:val="16"/>
          <w:color w:val="auto"/>
        </w:rPr>
        <w:t>‑</w:t>
      </w:r>
      <w:r>
        <w:rPr>
          <w:rFonts w:ascii="Arial" w:cs="Arial" w:eastAsia="Arial" w:hAnsi="Arial"/>
          <w:sz w:val="16"/>
          <w:szCs w:val="16"/>
          <w:color w:val="auto"/>
        </w:rPr>
        <w:t>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7" w:lineRule="exact"/>
        <w:rPr>
          <w:sz w:val="20"/>
          <w:szCs w:val="20"/>
          <w:color w:val="auto"/>
        </w:rPr>
      </w:pPr>
    </w:p>
    <w:p>
      <w:pPr>
        <w:ind w:left="700" w:right="479" w:hanging="332"/>
        <w:spacing w:after="0" w:line="263"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83" w:lineRule="exact"/>
        <w:rPr>
          <w:rFonts w:ascii="Arial" w:cs="Arial" w:eastAsia="Arial" w:hAnsi="Arial"/>
          <w:sz w:val="18"/>
          <w:szCs w:val="18"/>
          <w:color w:val="auto"/>
        </w:rPr>
      </w:pPr>
    </w:p>
    <w:p>
      <w:pPr>
        <w:ind w:left="700" w:right="79" w:hanging="332"/>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 to carry out our own contractual obligations to our licensors and other third parties;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continue to improve our operational, financial, and management controls, reporting systems, and procedures.</w:t>
      </w:r>
    </w:p>
    <w:p>
      <w:pPr>
        <w:spacing w:after="0" w:line="237" w:lineRule="exact"/>
        <w:rPr>
          <w:sz w:val="20"/>
          <w:szCs w:val="20"/>
          <w:color w:val="auto"/>
        </w:rPr>
      </w:pPr>
    </w:p>
    <w:p>
      <w:pPr>
        <w:ind w:left="40" w:right="259" w:firstLine="648"/>
        <w:spacing w:after="0" w:line="277"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70" w:lineRule="exact"/>
        <w:rPr>
          <w:sz w:val="20"/>
          <w:szCs w:val="20"/>
          <w:color w:val="auto"/>
        </w:rPr>
      </w:pPr>
    </w:p>
    <w:p>
      <w:pPr>
        <w:ind w:left="40" w:right="539"/>
        <w:spacing w:after="0" w:line="263" w:lineRule="auto"/>
        <w:rPr>
          <w:sz w:val="20"/>
          <w:szCs w:val="20"/>
          <w:color w:val="auto"/>
        </w:rPr>
      </w:pPr>
      <w:r>
        <w:rPr>
          <w:rFonts w:ascii="Arial" w:cs="Arial" w:eastAsia="Arial" w:hAnsi="Arial"/>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84"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color w:val="auto"/>
        </w:rPr>
        <w:t>We have experienced a period of recent, rapid growth in our stock price. To the extent that we are able to sustain such growth, it will place a significant strain on our management, administrative, operational and financial infrastructure.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92"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70"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4" w:name="page105"/>
    <w:bookmarkEnd w:id="10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237" w:lineRule="exact"/>
        <w:rPr>
          <w:sz w:val="20"/>
          <w:szCs w:val="20"/>
          <w:color w:val="auto"/>
        </w:rPr>
      </w:pPr>
    </w:p>
    <w:p>
      <w:pPr>
        <w:ind w:left="40" w:right="139" w:firstLine="648"/>
        <w:spacing w:after="0" w:line="257" w:lineRule="auto"/>
        <w:rPr>
          <w:sz w:val="20"/>
          <w:szCs w:val="20"/>
          <w:color w:val="auto"/>
        </w:rPr>
      </w:pPr>
      <w:r>
        <w:rPr>
          <w:rFonts w:ascii="Arial" w:cs="Arial" w:eastAsia="Arial" w:hAnsi="Arial"/>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8" w:lineRule="exact"/>
        <w:rPr>
          <w:sz w:val="20"/>
          <w:szCs w:val="20"/>
          <w:color w:val="auto"/>
        </w:rPr>
      </w:pPr>
    </w:p>
    <w:p>
      <w:pPr>
        <w:ind w:left="40" w:right="119" w:firstLine="648"/>
        <w:spacing w:after="0" w:line="288" w:lineRule="auto"/>
        <w:rPr>
          <w:sz w:val="20"/>
          <w:szCs w:val="20"/>
          <w:color w:val="auto"/>
        </w:rPr>
      </w:pPr>
      <w:r>
        <w:rPr>
          <w:rFonts w:ascii="Arial" w:cs="Arial" w:eastAsia="Arial" w:hAnsi="Arial"/>
          <w:sz w:val="16"/>
          <w:szCs w:val="16"/>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8" w:lineRule="exact"/>
        <w:rPr>
          <w:sz w:val="20"/>
          <w:szCs w:val="20"/>
          <w:color w:val="auto"/>
        </w:rPr>
      </w:pPr>
    </w:p>
    <w:p>
      <w:pPr>
        <w:ind w:left="40" w:right="279"/>
        <w:spacing w:after="0" w:line="277" w:lineRule="auto"/>
        <w:rPr>
          <w:sz w:val="20"/>
          <w:szCs w:val="20"/>
          <w:color w:val="auto"/>
        </w:rPr>
      </w:pPr>
      <w:r>
        <w:rPr>
          <w:rFonts w:ascii="Arial" w:cs="Arial" w:eastAsia="Arial" w:hAnsi="Arial"/>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ind w:left="40" w:right="139" w:firstLine="648"/>
        <w:spacing w:after="0" w:line="272" w:lineRule="auto"/>
        <w:rPr>
          <w:sz w:val="20"/>
          <w:szCs w:val="20"/>
          <w:color w:val="auto"/>
        </w:rPr>
      </w:pPr>
      <w:r>
        <w:rPr>
          <w:rFonts w:ascii="Arial" w:cs="Arial" w:eastAsia="Arial" w:hAnsi="Arial"/>
          <w:sz w:val="17"/>
          <w:szCs w:val="17"/>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77" w:lineRule="exact"/>
        <w:rPr>
          <w:sz w:val="20"/>
          <w:szCs w:val="20"/>
          <w:color w:val="auto"/>
        </w:rPr>
      </w:pPr>
    </w:p>
    <w:p>
      <w:pPr>
        <w:ind w:left="40" w:right="59" w:firstLine="648"/>
        <w:spacing w:after="0" w:line="285" w:lineRule="auto"/>
        <w:rPr>
          <w:sz w:val="20"/>
          <w:szCs w:val="20"/>
          <w:color w:val="auto"/>
        </w:rPr>
      </w:pPr>
      <w:r>
        <w:rPr>
          <w:rFonts w:ascii="Arial" w:cs="Arial" w:eastAsia="Arial" w:hAnsi="Arial"/>
          <w:sz w:val="16"/>
          <w:szCs w:val="16"/>
          <w:color w:val="auto"/>
        </w:rPr>
        <w:t>Section 404(a) of the Sarbanes-Oxley Act requires annual management assessments of the effectiveness of our internal control over financial reporting.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As of December 31, 2020, we will no longer be an “emerging growth company”. As such, we will incur significant additional expenses that we did not previously incur in complying with the Sarbanes-Oxley Act and rules implemented by the SEC. The cost of compliance with Section 404 requires us to incur substantial accounting expense and expend significant management time on compliance-related issues as we implement additional corporate governance practices and comply with reporting requirements. Moreover, if we or our independent registered public accounting firm identifies deficiencies in our internal control over financial reporting as material weaknesses, we may be required to make prospective or retroactive changes to our financial statements, consider other areas for further attention or improvement, or be unable to obtain the required attestation in a timely manner, if at all. In addition, the market price of our stock could decline and we could be subject to sanctions or investigations by the SEC or other regulatory authorities, which would require additional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239" w:firstLine="648"/>
        <w:spacing w:after="0" w:line="289"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166"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84" w:lineRule="exact"/>
        <w:rPr>
          <w:sz w:val="20"/>
          <w:szCs w:val="20"/>
          <w:color w:val="auto"/>
        </w:rPr>
      </w:pPr>
    </w:p>
    <w:p>
      <w:pPr>
        <w:ind w:left="40" w:right="159" w:firstLine="648"/>
        <w:spacing w:after="0" w:line="286"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left="40" w:right="179" w:firstLine="648"/>
        <w:spacing w:after="0" w:line="293"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64" w:lineRule="exact"/>
        <w:rPr>
          <w:sz w:val="20"/>
          <w:szCs w:val="20"/>
          <w:color w:val="auto"/>
        </w:rPr>
      </w:pPr>
    </w:p>
    <w:p>
      <w:pPr>
        <w:ind w:left="40" w:right="79" w:firstLine="648"/>
        <w:spacing w:after="0" w:line="287" w:lineRule="auto"/>
        <w:rPr>
          <w:sz w:val="20"/>
          <w:szCs w:val="20"/>
          <w:color w:val="auto"/>
        </w:rPr>
      </w:pPr>
      <w:r>
        <w:rPr>
          <w:rFonts w:ascii="Arial" w:cs="Arial" w:eastAsia="Arial" w:hAnsi="Arial"/>
          <w:sz w:val="16"/>
          <w:szCs w:val="16"/>
          <w:color w:val="auto"/>
        </w:rPr>
        <w:t>In addition, the Sarbanes-Oxley Act requires, among other things, that we maintain effective disclosure controls and procedures and internal control over financial reporting. In particular, Section 404 of the Sarbanes-Oxley Act will require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as of December 31, 2020, once we are no longer an “emerging growth company,” we will be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At such time,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68" w:lineRule="exact"/>
        <w:rPr>
          <w:sz w:val="20"/>
          <w:szCs w:val="20"/>
          <w:color w:val="auto"/>
        </w:rPr>
      </w:pPr>
    </w:p>
    <w:p>
      <w:pPr>
        <w:ind w:left="40" w:right="379" w:firstLine="648"/>
        <w:spacing w:after="0" w:line="342"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6" w:name="page107"/>
    <w:bookmarkEnd w:id="10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86" w:lineRule="exact"/>
        <w:rPr>
          <w:sz w:val="20"/>
          <w:szCs w:val="20"/>
          <w:color w:val="auto"/>
        </w:rPr>
      </w:pPr>
    </w:p>
    <w:p>
      <w:pPr>
        <w:ind w:left="40" w:right="359"/>
        <w:spacing w:after="0" w:line="308" w:lineRule="auto"/>
        <w:rPr>
          <w:sz w:val="20"/>
          <w:szCs w:val="20"/>
          <w:color w:val="auto"/>
        </w:rPr>
      </w:pPr>
      <w:r>
        <w:rPr>
          <w:rFonts w:ascii="Arial" w:cs="Arial" w:eastAsia="Arial" w:hAnsi="Arial"/>
          <w:sz w:val="17"/>
          <w:szCs w:val="17"/>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46" w:lineRule="exact"/>
        <w:rPr>
          <w:sz w:val="20"/>
          <w:szCs w:val="20"/>
          <w:color w:val="auto"/>
        </w:rPr>
      </w:pPr>
    </w:p>
    <w:p>
      <w:pPr>
        <w:ind w:left="40" w:right="59" w:firstLine="500"/>
        <w:spacing w:after="0" w:line="285" w:lineRule="auto"/>
        <w:rPr>
          <w:sz w:val="20"/>
          <w:szCs w:val="20"/>
          <w:color w:val="auto"/>
        </w:rPr>
      </w:pPr>
      <w:r>
        <w:rPr>
          <w:rFonts w:ascii="Arial" w:cs="Arial" w:eastAsia="Arial" w:hAnsi="Arial"/>
          <w:sz w:val="16"/>
          <w:szCs w:val="16"/>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59"/>
        <w:spacing w:after="0" w:line="381" w:lineRule="auto"/>
        <w:rPr>
          <w:sz w:val="20"/>
          <w:szCs w:val="20"/>
          <w:color w:val="auto"/>
        </w:rPr>
      </w:pPr>
      <w:r>
        <w:rPr>
          <w:rFonts w:ascii="Arial" w:cs="Arial" w:eastAsia="Arial" w:hAnsi="Arial"/>
          <w:sz w:val="15"/>
          <w:szCs w:val="15"/>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00" w:lineRule="exact"/>
        <w:rPr>
          <w:sz w:val="20"/>
          <w:szCs w:val="20"/>
          <w:color w:val="auto"/>
        </w:rPr>
      </w:pPr>
    </w:p>
    <w:p>
      <w:pPr>
        <w:ind w:left="40" w:right="159" w:firstLine="401"/>
        <w:spacing w:after="0" w:line="269" w:lineRule="auto"/>
        <w:rPr>
          <w:sz w:val="20"/>
          <w:szCs w:val="20"/>
          <w:color w:val="auto"/>
        </w:rPr>
      </w:pPr>
      <w:r>
        <w:rPr>
          <w:rFonts w:ascii="Arial" w:cs="Arial" w:eastAsia="Arial" w:hAnsi="Arial"/>
          <w:sz w:val="17"/>
          <w:szCs w:val="17"/>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recently enacted legislation – the California Consumer Privacy Act, or CCPA – effective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225" w:lineRule="exact"/>
        <w:rPr>
          <w:sz w:val="20"/>
          <w:szCs w:val="20"/>
          <w:color w:val="auto"/>
        </w:rPr>
      </w:pPr>
    </w:p>
    <w:p>
      <w:pPr>
        <w:jc w:val="both"/>
        <w:ind w:left="40" w:right="279" w:firstLine="648"/>
        <w:spacing w:after="0" w:line="263" w:lineRule="auto"/>
        <w:rPr>
          <w:sz w:val="20"/>
          <w:szCs w:val="20"/>
          <w:color w:val="auto"/>
        </w:rPr>
      </w:pPr>
      <w:r>
        <w:rPr>
          <w:rFonts w:ascii="Arial" w:cs="Arial" w:eastAsia="Arial" w:hAnsi="Arial"/>
          <w:sz w:val="18"/>
          <w:szCs w:val="18"/>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84" w:lineRule="exact"/>
        <w:rPr>
          <w:sz w:val="20"/>
          <w:szCs w:val="20"/>
          <w:color w:val="auto"/>
        </w:rPr>
      </w:pPr>
    </w:p>
    <w:p>
      <w:pPr>
        <w:ind w:left="700" w:right="279" w:hanging="332"/>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the commencement, enrollment, and ultimate completion, of our planned and ongoing Phase 3 clinical trials for our product candidates;</w:t>
      </w:r>
    </w:p>
    <w:p>
      <w:pPr>
        <w:spacing w:after="0" w:line="170" w:lineRule="exact"/>
        <w:rPr>
          <w:rFonts w:ascii="Arial" w:cs="Arial" w:eastAsia="Arial" w:hAnsi="Arial"/>
          <w:sz w:val="18"/>
          <w:szCs w:val="18"/>
          <w:color w:val="auto"/>
        </w:rPr>
      </w:pPr>
    </w:p>
    <w:p>
      <w:pPr>
        <w:ind w:left="700" w:right="639" w:hanging="332"/>
        <w:spacing w:after="0" w:line="277"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delay or refusal on the part of the FDA in approving an NDA for any of our current and future product candidates;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commercial success of any of our current and future product candidates, if approved by the FDA;</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news relating to our industry as a whole and news relating to trends in our markets;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clinical trials of any of our current and future product candidates or those of our competitors;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provide to the public, if 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8" w:name="page109"/>
    <w:bookmarkEnd w:id="10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hanging="332"/>
        <w:spacing w:after="0"/>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248" w:lineRule="exact"/>
        <w:rPr>
          <w:rFonts w:ascii="Arial" w:cs="Arial" w:eastAsia="Arial" w:hAnsi="Arial"/>
          <w:sz w:val="16"/>
          <w:szCs w:val="16"/>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 of competitive products or technologies;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225" w:lineRule="exact"/>
        <w:rPr>
          <w:rFonts w:ascii="Arial" w:cs="Arial" w:eastAsia="Arial" w:hAnsi="Arial"/>
          <w:sz w:val="18"/>
          <w:szCs w:val="18"/>
          <w:color w:val="auto"/>
        </w:rPr>
      </w:pPr>
    </w:p>
    <w:p>
      <w:pPr>
        <w:ind w:left="700" w:right="919" w:hanging="332"/>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U.S. equity markets;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data or security breaches;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concerning our sources of manufacturing supply, warehousing, and inventory control;</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or other proprietary rights;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225" w:lineRule="exact"/>
        <w:rPr>
          <w:rFonts w:ascii="Arial" w:cs="Arial" w:eastAsia="Arial" w:hAnsi="Arial"/>
          <w:sz w:val="18"/>
          <w:szCs w:val="18"/>
          <w:color w:val="auto"/>
        </w:rPr>
      </w:pPr>
    </w:p>
    <w:p>
      <w:pPr>
        <w:ind w:left="700" w:right="799" w:hanging="332"/>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stockholders;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market valuations of companies similar to us;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236" w:lineRule="exact"/>
        <w:rPr>
          <w:rFonts w:ascii="Arial" w:cs="Arial" w:eastAsia="Arial" w:hAnsi="Arial"/>
          <w:sz w:val="17"/>
          <w:szCs w:val="17"/>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conditions or trends in our industry; and</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left="40" w:right="99" w:firstLine="648"/>
        <w:spacing w:after="0" w:line="279"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1" w:lineRule="exact"/>
        <w:rPr>
          <w:sz w:val="20"/>
          <w:szCs w:val="20"/>
          <w:color w:val="auto"/>
        </w:rPr>
      </w:pPr>
    </w:p>
    <w:p>
      <w:pPr>
        <w:ind w:left="40" w:right="359" w:firstLine="648"/>
        <w:spacing w:after="0" w:line="311"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9" w:name="page110"/>
    <w:bookmarkEnd w:id="10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0" w:lineRule="exact"/>
        <w:rPr>
          <w:sz w:val="20"/>
          <w:szCs w:val="20"/>
          <w:color w:val="auto"/>
        </w:rPr>
      </w:pPr>
    </w:p>
    <w:p>
      <w:pPr>
        <w:ind w:left="40" w:right="139" w:firstLine="648"/>
        <w:spacing w:after="0" w:line="293"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225" w:lineRule="exact"/>
        <w:rPr>
          <w:sz w:val="20"/>
          <w:szCs w:val="20"/>
          <w:color w:val="auto"/>
        </w:rPr>
      </w:pPr>
    </w:p>
    <w:p>
      <w:pPr>
        <w:ind w:left="40" w:right="79" w:firstLine="648"/>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70" w:lineRule="exact"/>
        <w:rPr>
          <w:sz w:val="20"/>
          <w:szCs w:val="20"/>
          <w:color w:val="auto"/>
        </w:rPr>
      </w:pPr>
    </w:p>
    <w:p>
      <w:pPr>
        <w:ind w:left="700" w:right="219" w:hanging="332"/>
        <w:spacing w:after="0" w:line="342" w:lineRule="auto"/>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23" w:lineRule="exact"/>
        <w:rPr>
          <w:rFonts w:ascii="Arial" w:cs="Arial" w:eastAsia="Arial" w:hAnsi="Arial"/>
          <w:sz w:val="16"/>
          <w:szCs w:val="16"/>
          <w:color w:val="auto"/>
        </w:rPr>
      </w:pPr>
    </w:p>
    <w:p>
      <w:pPr>
        <w:ind w:left="700" w:right="119" w:hanging="332"/>
        <w:spacing w:after="0" w:line="25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86" w:lineRule="exact"/>
        <w:rPr>
          <w:rFonts w:ascii="Arial" w:cs="Arial" w:eastAsia="Arial" w:hAnsi="Arial"/>
          <w:sz w:val="18"/>
          <w:szCs w:val="18"/>
          <w:color w:val="auto"/>
        </w:rPr>
      </w:pPr>
    </w:p>
    <w:p>
      <w:pPr>
        <w:ind w:left="700" w:right="159" w:hanging="332"/>
        <w:spacing w:after="0" w:line="223" w:lineRule="exact"/>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identify and enter into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arrangements capable of manufacturing any of our current or future product candidates in commercial quantities;</w:t>
      </w:r>
    </w:p>
    <w:p>
      <w:pPr>
        <w:spacing w:after="0" w:line="202" w:lineRule="exact"/>
        <w:rPr>
          <w:rFonts w:ascii="Arial" w:cs="Arial" w:eastAsia="Arial" w:hAnsi="Arial"/>
          <w:sz w:val="18"/>
          <w:szCs w:val="18"/>
          <w:color w:val="auto"/>
        </w:rPr>
      </w:pPr>
    </w:p>
    <w:p>
      <w:pPr>
        <w:ind w:left="700" w:right="159" w:hanging="332"/>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70" w:lineRule="exact"/>
        <w:rPr>
          <w:rFonts w:ascii="Arial" w:cs="Arial" w:eastAsia="Arial" w:hAnsi="Arial"/>
          <w:sz w:val="18"/>
          <w:szCs w:val="18"/>
          <w:color w:val="auto"/>
        </w:rPr>
      </w:pPr>
    </w:p>
    <w:p>
      <w:pPr>
        <w:ind w:left="700" w:hanging="332"/>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future development programs;</w:t>
      </w:r>
    </w:p>
    <w:p>
      <w:pPr>
        <w:spacing w:after="0" w:line="225" w:lineRule="exact"/>
        <w:rPr>
          <w:rFonts w:ascii="Arial" w:cs="Arial" w:eastAsia="Arial" w:hAnsi="Arial"/>
          <w:sz w:val="18"/>
          <w:szCs w:val="18"/>
          <w:color w:val="auto"/>
        </w:rPr>
      </w:pPr>
    </w:p>
    <w:p>
      <w:pPr>
        <w:ind w:left="700" w:hanging="332"/>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product liability or intellectual property infringement lawsuit in which we may become involved;</w:t>
      </w:r>
    </w:p>
    <w:p>
      <w:pPr>
        <w:spacing w:after="0" w:line="225" w:lineRule="exact"/>
        <w:rPr>
          <w:rFonts w:ascii="Arial" w:cs="Arial" w:eastAsia="Arial" w:hAnsi="Arial"/>
          <w:sz w:val="18"/>
          <w:szCs w:val="18"/>
          <w:color w:val="auto"/>
        </w:rPr>
      </w:pPr>
    </w:p>
    <w:p>
      <w:pPr>
        <w:ind w:left="700" w:right="459" w:hanging="332"/>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developments affecting our current and future product candidates, or the product candidates of our competitors; and</w:t>
      </w:r>
    </w:p>
    <w:p>
      <w:pPr>
        <w:spacing w:after="0" w:line="170" w:lineRule="exact"/>
        <w:rPr>
          <w:rFonts w:ascii="Arial" w:cs="Arial" w:eastAsia="Arial" w:hAnsi="Arial"/>
          <w:sz w:val="18"/>
          <w:szCs w:val="18"/>
          <w:color w:val="auto"/>
        </w:rPr>
      </w:pPr>
    </w:p>
    <w:p>
      <w:pPr>
        <w:ind w:left="700" w:right="199" w:hanging="332"/>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70" w:lineRule="exact"/>
        <w:rPr>
          <w:sz w:val="20"/>
          <w:szCs w:val="20"/>
          <w:color w:val="auto"/>
        </w:rPr>
      </w:pPr>
    </w:p>
    <w:p>
      <w:pPr>
        <w:ind w:left="40" w:right="139" w:firstLine="648"/>
        <w:spacing w:after="0" w:line="301"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0" w:name="page111"/>
    <w:bookmarkEnd w:id="1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379"/>
        <w:spacing w:after="0" w:line="381"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00"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grants, and license and development agreements in connection with any collaborations.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7" w:lineRule="exact"/>
        <w:rPr>
          <w:sz w:val="20"/>
          <w:szCs w:val="20"/>
          <w:color w:val="auto"/>
        </w:rPr>
      </w:pPr>
    </w:p>
    <w:p>
      <w:pPr>
        <w:ind w:left="40" w:right="119" w:firstLine="648"/>
        <w:spacing w:after="0" w:line="270"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1"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left="40" w:right="99" w:firstLine="648"/>
        <w:spacing w:after="0" w:line="293" w:lineRule="auto"/>
        <w:rPr>
          <w:sz w:val="20"/>
          <w:szCs w:val="20"/>
          <w:color w:val="auto"/>
        </w:rPr>
      </w:pPr>
      <w:r>
        <w:rPr>
          <w:rFonts w:ascii="Arial" w:cs="Arial" w:eastAsia="Arial" w:hAnsi="Arial"/>
          <w:sz w:val="16"/>
          <w:szCs w:val="16"/>
          <w:color w:val="auto"/>
        </w:rPr>
        <w:t>As of March 6, 2020, our executive officers, directors, and 5% stockholders and their affiliates beneficially owned an aggregate of approximately 35%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4" w:lineRule="exact"/>
        <w:rPr>
          <w:sz w:val="20"/>
          <w:szCs w:val="20"/>
          <w:color w:val="auto"/>
        </w:rPr>
      </w:pPr>
    </w:p>
    <w:p>
      <w:pPr>
        <w:ind w:left="40" w:right="199" w:firstLine="648"/>
        <w:spacing w:after="0" w:line="253" w:lineRule="auto"/>
        <w:rPr>
          <w:sz w:val="20"/>
          <w:szCs w:val="20"/>
          <w:color w:val="auto"/>
        </w:rPr>
      </w:pPr>
      <w:r>
        <w:rPr>
          <w:rFonts w:ascii="Arial" w:cs="Arial" w:eastAsia="Arial" w:hAnsi="Arial"/>
          <w:sz w:val="18"/>
          <w:szCs w:val="18"/>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96" w:lineRule="exact"/>
        <w:rPr>
          <w:sz w:val="20"/>
          <w:szCs w:val="20"/>
          <w:color w:val="auto"/>
        </w:rPr>
      </w:pPr>
    </w:p>
    <w:p>
      <w:pPr>
        <w:ind w:left="40" w:right="339"/>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0"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1" w:name="page112"/>
    <w:bookmarkEnd w:id="1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39" w:firstLine="648"/>
        <w:spacing w:after="0" w:line="255" w:lineRule="auto"/>
        <w:rPr>
          <w:sz w:val="20"/>
          <w:szCs w:val="20"/>
          <w:color w:val="auto"/>
        </w:rPr>
      </w:pPr>
      <w:r>
        <w:rPr>
          <w:rFonts w:ascii="Arial" w:cs="Arial" w:eastAsia="Arial" w:hAnsi="Arial"/>
          <w:sz w:val="18"/>
          <w:szCs w:val="18"/>
          <w:color w:val="auto"/>
        </w:rPr>
        <w:t>As of March 6, 2020, we have outstanding 37,075,422 shares of common stock and 3,587,523 shares of common stock equivalents that would increase the number of common stock outstanding if these instruments were exercised or converted, including stock options to purchase common stock based on vesting requirements and warrants to purchase common stock. Of our currently outstanding shares of common stock, 25,248,097 are freely tradable. The remainder of the outstanding shares of common stock are held by our affiliates and may be considered “control securities” for purposes of Rule 144 under the Securities Act.</w:t>
      </w:r>
    </w:p>
    <w:p>
      <w:pPr>
        <w:spacing w:after="0" w:line="192" w:lineRule="exact"/>
        <w:rPr>
          <w:sz w:val="20"/>
          <w:szCs w:val="20"/>
          <w:color w:val="auto"/>
        </w:rPr>
      </w:pPr>
    </w:p>
    <w:p>
      <w:pPr>
        <w:ind w:left="40" w:right="59" w:firstLine="648"/>
        <w:spacing w:after="0" w:line="296" w:lineRule="auto"/>
        <w:rPr>
          <w:sz w:val="20"/>
          <w:szCs w:val="20"/>
          <w:color w:val="auto"/>
        </w:rPr>
      </w:pPr>
      <w:r>
        <w:rPr>
          <w:rFonts w:ascii="Arial" w:cs="Arial" w:eastAsia="Arial" w:hAnsi="Arial"/>
          <w:sz w:val="16"/>
          <w:szCs w:val="16"/>
          <w:color w:val="auto"/>
        </w:rPr>
        <w:t>In addition, we have filed one or more registration statements on Form S-8 registering the issuance of an aggregate of 7,481,050 shares of common stock subject to options or other equity awards issued or reserved for future issuance under our 2015 Omnibus Incentive Compensation Plan, or the Plan. Shares registered under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61" w:lineRule="exact"/>
        <w:rPr>
          <w:sz w:val="20"/>
          <w:szCs w:val="20"/>
          <w:color w:val="auto"/>
        </w:rPr>
      </w:pPr>
    </w:p>
    <w:p>
      <w:pPr>
        <w:ind w:left="40" w:right="359"/>
        <w:spacing w:after="0" w:line="263"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our capital raises, including our December 2019 public offering and the proceeds from sales pursuant to our Sales Agreement, and may not use them effectively.</w:t>
      </w:r>
    </w:p>
    <w:p>
      <w:pPr>
        <w:spacing w:after="0" w:line="184" w:lineRule="exact"/>
        <w:rPr>
          <w:sz w:val="20"/>
          <w:szCs w:val="20"/>
          <w:color w:val="auto"/>
        </w:rPr>
      </w:pPr>
    </w:p>
    <w:p>
      <w:pPr>
        <w:ind w:left="40" w:right="79" w:firstLine="648"/>
        <w:spacing w:after="0" w:line="286"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which we refer to as our Capital Raises, including our December 2019 public offering and the proceeds from sales pursuant to our December 2019 “at-the-market” sales agreement with SVB Leerink, which provides for the sale of up to $80.0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74" w:lineRule="exact"/>
        <w:rPr>
          <w:sz w:val="20"/>
          <w:szCs w:val="20"/>
          <w:color w:val="auto"/>
        </w:rPr>
      </w:pPr>
    </w:p>
    <w:p>
      <w:pPr>
        <w:ind w:left="40" w:right="739"/>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00" w:lineRule="exact"/>
        <w:rPr>
          <w:sz w:val="20"/>
          <w:szCs w:val="20"/>
          <w:color w:val="auto"/>
        </w:rPr>
      </w:pPr>
    </w:p>
    <w:p>
      <w:pPr>
        <w:ind w:left="40" w:right="219" w:firstLine="648"/>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ind w:left="40" w:right="219" w:firstLine="648"/>
        <w:spacing w:after="0" w:line="271" w:lineRule="auto"/>
        <w:rPr>
          <w:sz w:val="20"/>
          <w:szCs w:val="20"/>
          <w:color w:val="auto"/>
        </w:rPr>
      </w:pPr>
      <w:r>
        <w:rPr>
          <w:rFonts w:ascii="Arial" w:cs="Arial" w:eastAsia="Arial" w:hAnsi="Arial"/>
          <w:sz w:val="17"/>
          <w:szCs w:val="17"/>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non-affiliates exceeds $700 million as of the prior June 30</w:t>
      </w:r>
      <w:r>
        <w:rPr>
          <w:rFonts w:ascii="Arial" w:cs="Arial" w:eastAsia="Arial" w:hAnsi="Arial"/>
          <w:sz w:val="8"/>
          <w:szCs w:val="8"/>
          <w:color w:val="auto"/>
        </w:rPr>
        <w:t>th</w:t>
      </w:r>
      <w:r>
        <w:rPr>
          <w:rFonts w:ascii="Arial" w:cs="Arial" w:eastAsia="Arial" w:hAnsi="Arial"/>
          <w:sz w:val="17"/>
          <w:szCs w:val="17"/>
          <w:color w:val="auto"/>
        </w:rPr>
        <w:t>, and (3) the date on which we have issued more than $1.0 billion in non-convertible debt during the prior three-year period. As such, we anticipate that we will no longer be an emerging growth company as of December 31, 2020.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2" w:name="page113"/>
    <w:bookmarkEnd w:id="1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225"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December 31, 2019, we had U.S. federal net operating loss, NOL, carryforwards of approximately $154 million. Net operating loss carry forwards amounting to $60 million generated before the 2018 tax year will start expiring beginning 2033, if we have not used them prior to that time, and the net operating losses of approximately $94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March 2017 public offering, our December 2017 registered direct offering, our October 2018 registered direct offering, December 2019 public offering, private placements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398"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returns for our stockholders will be limited to any increase in the value of our stock.</w:t>
      </w:r>
    </w:p>
    <w:p>
      <w:pPr>
        <w:spacing w:after="0" w:line="170" w:lineRule="exact"/>
        <w:rPr>
          <w:sz w:val="20"/>
          <w:szCs w:val="20"/>
          <w:color w:val="auto"/>
        </w:rPr>
      </w:pPr>
    </w:p>
    <w:p>
      <w:pPr>
        <w:ind w:left="40" w:right="79" w:firstLine="648"/>
        <w:spacing w:after="0" w:line="273" w:lineRule="auto"/>
        <w:rPr>
          <w:sz w:val="20"/>
          <w:szCs w:val="20"/>
          <w:color w:val="auto"/>
        </w:rPr>
      </w:pPr>
      <w:r>
        <w:rPr>
          <w:rFonts w:ascii="Arial" w:cs="Arial" w:eastAsia="Arial" w:hAnsi="Arial"/>
          <w:sz w:val="17"/>
          <w:szCs w:val="17"/>
          <w:color w:val="auto"/>
        </w:rPr>
        <w:t>We have never declared or paid any cash dividends on our capital stock. In addition, the terms of our existing credit facility with SVB and WestRiver preclude us from paying cash dividends without SVB’s and WestRiver’s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78" w:lineRule="exact"/>
        <w:rPr>
          <w:sz w:val="20"/>
          <w:szCs w:val="20"/>
          <w:color w:val="auto"/>
        </w:rPr>
      </w:pPr>
    </w:p>
    <w:p>
      <w:pPr>
        <w:ind w:left="40" w:right="159"/>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84"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5" w:lineRule="exact"/>
        <w:rPr>
          <w:sz w:val="20"/>
          <w:szCs w:val="20"/>
          <w:color w:val="auto"/>
        </w:rPr>
      </w:pPr>
    </w:p>
    <w:p>
      <w:pPr>
        <w:ind w:left="40" w:right="159" w:firstLine="648"/>
        <w:spacing w:after="0" w:line="218" w:lineRule="exact"/>
        <w:rPr>
          <w:sz w:val="20"/>
          <w:szCs w:val="20"/>
          <w:color w:val="auto"/>
        </w:rPr>
      </w:pPr>
      <w:r>
        <w:rPr>
          <w:rFonts w:ascii="Arial" w:cs="Arial" w:eastAsia="Arial" w:hAnsi="Arial"/>
          <w:sz w:val="18"/>
          <w:szCs w:val="18"/>
          <w:color w:val="auto"/>
        </w:rPr>
        <w:t>In addition, we are subject to the anti</w:t>
      </w:r>
      <w:r>
        <w:rPr>
          <w:rFonts w:ascii="MS PGothic" w:cs="MS PGothic" w:eastAsia="MS PGothic" w:hAnsi="MS PGothic"/>
          <w:sz w:val="18"/>
          <w:szCs w:val="18"/>
          <w:color w:val="auto"/>
        </w:rPr>
        <w:t>‑</w:t>
      </w:r>
      <w:r>
        <w:rPr>
          <w:rFonts w:ascii="Arial" w:cs="Arial" w:eastAsia="Arial" w:hAnsi="Arial"/>
          <w:sz w:val="18"/>
          <w:szCs w:val="18"/>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3" w:name="page114"/>
    <w:bookmarkEnd w:id="1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40" w:right="99" w:firstLine="648"/>
        <w:spacing w:after="0" w:line="268"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40" w:right="279" w:firstLine="648"/>
        <w:spacing w:after="0" w:line="221" w:lineRule="exact"/>
        <w:rPr>
          <w:sz w:val="20"/>
          <w:szCs w:val="20"/>
          <w:color w:val="auto"/>
        </w:rPr>
      </w:pPr>
      <w:r>
        <w:rPr>
          <w:rFonts w:ascii="Arial" w:cs="Arial" w:eastAsia="Arial" w:hAnsi="Arial"/>
          <w:sz w:val="16"/>
          <w:szCs w:val="16"/>
          <w:color w:val="auto"/>
        </w:rPr>
        <w:t>Our corporate and executive office is located at 200 Broadway in New York, New York. We currently have a month</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month agreement for office space that automatically renews for successive monthly periods, unless we provide notice of non</w:t>
      </w:r>
      <w:r>
        <w:rPr>
          <w:rFonts w:ascii="MS PGothic" w:cs="MS PGothic" w:eastAsia="MS PGothic" w:hAnsi="MS PGothic"/>
          <w:sz w:val="16"/>
          <w:szCs w:val="16"/>
          <w:color w:val="auto"/>
        </w:rPr>
        <w:t>‑</w:t>
      </w:r>
      <w:r>
        <w:rPr>
          <w:rFonts w:ascii="Arial" w:cs="Arial" w:eastAsia="Arial" w:hAnsi="Arial"/>
          <w:sz w:val="16"/>
          <w:szCs w:val="16"/>
          <w:color w:val="auto"/>
        </w:rPr>
        <w:t>renewal. We believe that our current facilities are suitable and adequate to meet our current needs.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left="40" w:right="499" w:firstLine="648"/>
        <w:spacing w:after="0" w:line="263"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 w:right="21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left="40" w:right="259" w:firstLine="648"/>
        <w:spacing w:after="0" w:line="286" w:lineRule="auto"/>
        <w:rPr>
          <w:sz w:val="20"/>
          <w:szCs w:val="20"/>
          <w:color w:val="auto"/>
        </w:rPr>
      </w:pPr>
      <w:r>
        <w:rPr>
          <w:rFonts w:ascii="Arial" w:cs="Arial" w:eastAsia="Arial" w:hAnsi="Arial"/>
          <w:sz w:val="17"/>
          <w:szCs w:val="17"/>
          <w:color w:val="auto"/>
        </w:rPr>
        <w:t>Our common stock has been listed on the Nasdaq Global Market since March 3, 2017 under the symbol “AXSM”. Prior to that, our common stock was listed on the Nasdaq Capital Market since November 19, 2015, under the symbol “AXSM.”. Prior to our initial public offering, there was no public market for our common stock.</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4" w:name="page115"/>
    <w:bookmarkEnd w:id="1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Common Stock Performance Graph</w:t>
      </w:r>
    </w:p>
    <w:p>
      <w:pPr>
        <w:spacing w:after="0" w:line="225" w:lineRule="exact"/>
        <w:rPr>
          <w:sz w:val="20"/>
          <w:szCs w:val="20"/>
          <w:color w:val="auto"/>
        </w:rPr>
      </w:pPr>
    </w:p>
    <w:p>
      <w:pPr>
        <w:ind w:left="40" w:right="219" w:firstLine="648"/>
        <w:spacing w:after="0" w:line="254" w:lineRule="auto"/>
        <w:rPr>
          <w:sz w:val="20"/>
          <w:szCs w:val="20"/>
          <w:color w:val="auto"/>
        </w:rPr>
      </w:pPr>
      <w:r>
        <w:rPr>
          <w:rFonts w:ascii="Arial" w:cs="Arial" w:eastAsia="Arial" w:hAnsi="Arial"/>
          <w:sz w:val="18"/>
          <w:szCs w:val="18"/>
          <w:color w:val="auto"/>
        </w:rPr>
        <w:t>The following graph illustrates a comparison of the total cumulative stockholder return for our common stock from November 19, 2015, which is the date our common stock first began trading on the Nasdaq Capital Market, through December 31, 2019 to two indices: the NASDAQ Composite Index and the NASDAQ Biotechnology Index. The graph assumes an initial investment of $100 on November 19, 2015, in our common stock, the NASDAQ Composite Index, and the NASDAQ Biotechnology Index and assumes reinvestment of dividends. The stockholder return shown in the graph below is not necessarily indicative of future performance, and we do not make or endorse any predictions as to future stockholder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left="40" w:right="99" w:firstLine="648"/>
        <w:spacing w:after="0" w:line="342" w:lineRule="auto"/>
        <w:rPr>
          <w:sz w:val="20"/>
          <w:szCs w:val="20"/>
          <w:color w:val="auto"/>
        </w:rPr>
      </w:pPr>
      <w:r>
        <w:rPr>
          <w:rFonts w:ascii="Arial" w:cs="Arial" w:eastAsia="Arial" w:hAnsi="Arial"/>
          <w:sz w:val="16"/>
          <w:szCs w:val="16"/>
          <w:color w:val="auto"/>
        </w:rPr>
        <w:t>The number of record holders of our common stock as of March 6, 2020 was 16. This number does not reflect the beneficial holders of our common stock who hold shares in street name through brokerage accounts or other nominees.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5" w:name="page116"/>
    <w:bookmarkEnd w:id="1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in the foreseeable future. Any future determination to pay dividends will be at the discretion of our board of directors, subject to applicable laws, and will depend on a number of factors, including our financial condition, results of operations, capital requirements, contractual restrictions, general business conditions, and any other factors that our board may deem relevant. In addition, the terms of our existing credit facility with Silicon Valley Bank, or SVB, and WestRiver Innovation Lending Fund VIII, L.P., or WestRiver, preclude us from paying cash dividends without SVB’s and WestRiver’s consent.</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The following Statement of Operations Data for the years ended December 31, 2019, 2018, and 2017 and Balance Sheet Data as of December 31, 2019, 2018, and 2017, as set forth below are derived from our audited consolidated financial statements included elsewhere in this Annual Report on Form 10-K. This financial data should be read in conjunction with “Item 7. Management’s Discussion and Analysis of Financial Condition and Results of Operations” and “Item 8. Financial Statements and Supplementary Data.” Our historical results are not necessarily indicative of the results that may be expected in the future.</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$ 53,647,067</w:t>
            </w:r>
          </w:p>
        </w:tc>
        <w:tc>
          <w:tcPr>
            <w:tcW w:w="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$ 23,495,055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19,957,616</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13,598,030</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9,351,522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7,206,691</w:t>
            </w:r>
          </w:p>
        </w:tc>
        <w:tc>
          <w:tcPr>
            <w:tcW w:w="60" w:type="dxa"/>
            <w:vAlign w:val="bottom"/>
            <w:tcBorders>
              <w:bottom w:val="single" w:sz="8" w:color="CCEEFF"/>
            </w:tcBorders>
          </w:tcPr>
          <w:p>
            <w:pPr>
              <w:spacing w:after="0"/>
              <w:rPr>
                <w:sz w:val="18"/>
                <w:szCs w:val="18"/>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67,245,097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32,846,577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27,164,307</w:t>
            </w:r>
          </w:p>
        </w:tc>
        <w:tc>
          <w:tcPr>
            <w:tcW w:w="60" w:type="dxa"/>
            <w:vAlign w:val="bottom"/>
            <w:shd w:val="clear" w:color="auto" w:fill="CCEEFF"/>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0"/>
              </w:rPr>
              <w:t>(67,245,097)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(32,846,577)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(27,164,307)</w:t>
            </w: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amortization of debt discount expense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(1,239,537)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(1,127,305)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(1,340,199)</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Tax credit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139,448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217,418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207,114</w:t>
            </w: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(646,000)</w:t>
            </w:r>
          </w:p>
        </w:tc>
      </w:t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(68,345,186)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(30,965,464)</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(28,943,392)</w:t>
            </w:r>
          </w:p>
        </w:tc>
      </w:tr>
      <w:tr>
        <w:trPr>
          <w:trHeight w:val="236"/>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Weighted average common shares outstanding—basic and diluted</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34,020,257</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26,883,656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22,764,606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000" w:type="dxa"/>
            <w:vAlign w:val="bottom"/>
          </w:tcPr>
          <w:p>
            <w:pPr>
              <w:spacing w:after="0" w:line="203" w:lineRule="exact"/>
              <w:rPr>
                <w:sz w:val="20"/>
                <w:szCs w:val="20"/>
                <w:color w:val="auto"/>
              </w:rPr>
            </w:pPr>
            <w:r>
              <w:rPr>
                <w:rFonts w:ascii="Arial" w:cs="Arial" w:eastAsia="Arial" w:hAnsi="Arial"/>
                <w:sz w:val="18"/>
                <w:szCs w:val="18"/>
                <w:color w:val="auto"/>
              </w:rPr>
              <w:t>Net loss per common share—basic and diluted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r>
      <w:tr>
        <w:trPr>
          <w:trHeight w:val="594"/>
        </w:trPr>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6"/>
              </w:rPr>
              <w:t>As of December 31,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Cash</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$ 219,966,167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13,968,742</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34,021,123</w:t>
            </w: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220,549,760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15,379,279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35,555,564</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24,494,745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10,821,938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12,175,336</w:t>
            </w: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Loan payable, long-term, net of discounts</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17,332,626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3,619,420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6,663,005</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Accumulated deficit</w:t>
            </w:r>
          </w:p>
        </w:tc>
        <w:tc>
          <w:tcPr>
            <w:tcW w:w="1460" w:type="dxa"/>
            <w:vAlign w:val="bottom"/>
            <w:gridSpan w:val="5"/>
          </w:tcPr>
          <w:p>
            <w:pPr>
              <w:jc w:val="right"/>
              <w:ind w:right="28"/>
              <w:spacing w:after="0"/>
              <w:rPr>
                <w:sz w:val="20"/>
                <w:szCs w:val="20"/>
                <w:color w:val="auto"/>
              </w:rPr>
            </w:pPr>
            <w:r>
              <w:rPr>
                <w:rFonts w:ascii="Arial" w:cs="Arial" w:eastAsia="Arial" w:hAnsi="Arial"/>
                <w:sz w:val="18"/>
                <w:szCs w:val="18"/>
                <w:color w:val="auto"/>
              </w:rPr>
              <w:t>(175,895,493)</w:t>
            </w:r>
          </w:p>
        </w:tc>
        <w:tc>
          <w:tcPr>
            <w:tcW w:w="40" w:type="dxa"/>
            <w:vAlign w:val="bottom"/>
          </w:tcPr>
          <w:p>
            <w:pPr>
              <w:spacing w:after="0"/>
              <w:rPr>
                <w:sz w:val="18"/>
                <w:szCs w:val="18"/>
                <w:color w:val="auto"/>
              </w:rPr>
            </w:pPr>
          </w:p>
        </w:tc>
        <w:tc>
          <w:tcPr>
            <w:tcW w:w="1240" w:type="dxa"/>
            <w:vAlign w:val="bottom"/>
            <w:gridSpan w:val="5"/>
          </w:tcPr>
          <w:p>
            <w:pPr>
              <w:jc w:val="right"/>
              <w:ind w:right="80"/>
              <w:spacing w:after="0"/>
              <w:rPr>
                <w:sz w:val="20"/>
                <w:szCs w:val="20"/>
                <w:color w:val="auto"/>
              </w:rPr>
            </w:pPr>
            <w:r>
              <w:rPr>
                <w:rFonts w:ascii="Arial" w:cs="Arial" w:eastAsia="Arial" w:hAnsi="Arial"/>
                <w:sz w:val="18"/>
                <w:szCs w:val="18"/>
                <w:color w:val="auto"/>
              </w:rPr>
              <w:t>(107,550,307)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(76,584,843)</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$ 178,722,389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937,921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16,717,223</w:t>
            </w:r>
          </w:p>
        </w:tc>
        <w:tc>
          <w:tcPr>
            <w:tcW w:w="60" w:type="dxa"/>
            <w:vAlign w:val="bottom"/>
            <w:shd w:val="clear" w:color="auto" w:fill="CCEEFF"/>
          </w:tcPr>
          <w:p>
            <w:pPr>
              <w:spacing w:after="0"/>
              <w:rPr>
                <w:sz w:val="18"/>
                <w:szCs w:val="18"/>
                <w:color w:val="auto"/>
              </w:rPr>
            </w:pPr>
          </w:p>
        </w:tc>
      </w:tr>
      <w:tr>
        <w:trPr>
          <w:trHeight w:val="864"/>
        </w:trPr>
        <w:tc>
          <w:tcPr>
            <w:tcW w:w="5000" w:type="dxa"/>
            <w:vAlign w:val="bottom"/>
          </w:tcPr>
          <w:p>
            <w:pPr>
              <w:ind w:left="434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0"/>
        </w:trPr>
        <w:tc>
          <w:tcPr>
            <w:tcW w:w="5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16" w:name="page117"/>
    <w:bookmarkEnd w:id="1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right="19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left="40" w:right="119" w:firstLine="441"/>
        <w:spacing w:after="0" w:line="271" w:lineRule="auto"/>
        <w:rPr>
          <w:sz w:val="20"/>
          <w:szCs w:val="20"/>
          <w:color w:val="auto"/>
        </w:rPr>
      </w:pPr>
      <w:r>
        <w:rPr>
          <w:rFonts w:ascii="Arial" w:cs="Arial" w:eastAsia="Arial" w:hAnsi="Arial"/>
          <w:sz w:val="17"/>
          <w:szCs w:val="17"/>
          <w:color w:val="auto"/>
        </w:rPr>
        <w:t>The following discussion and analysis contains forward-looking statements about our plans and expectations of what may happen in the future. You should read the following discussion and analysis in conjunction with “Item 6. Selected Financial Data,” “Item 8. Financial Statements and Supplementary Data,” and our consolidated financial statements beginning on page F-1 of this report.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99" w:firstLine="648"/>
        <w:spacing w:after="0" w:line="284" w:lineRule="auto"/>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five CNS product candidates, AXS-05, AXS-07, AXS-09, AXS-12, and AXS-14 which are being developed for multiple indications. AXS-05 is currently in a Phase 3 trial in treatment resistant depression, or TRD, which we refer to as the STRIDE-1 study, a Phase 3 open-label safety trial in patients with TRD and major depressive disorder, or MDD, and a Phase 2/3 trial in agitation associated with Alzheimer's disease, or AD, which we refer to as the ADVANCE-1 study. For AXS-05, we have completed a Phase 2 trial and Phase 3 trial in MDD, which we refer to as the ASCEND study and the GEMINI study, respectively. We plan to file a New Drug Application, or NDA, for AXS-05 for the treatment of MDD based on the ASCEND and GEMINI trials. AXS-05 is also being developed for smoking cessation and a Phase 2 trial in the indication has been completed. AXS-07 is currently in a Phase 3 trial for the acute treatment of migraine, which we refer to as the INTERCEPT study and a Phase 3 open-label safety trial in patients with migraine. For AXS-07, we have completed a Phase 3 trial for the acute treatment of migraine, which we refer to as the MOMENTUM study. We plan to file an NDA for AXS-07 for the acute treatment of migraine based on the MOMENTUM trial. AXS-09 is being developed for the treatment of CNS disorders. AXS-12 is being developed for the treatment of narcolepsy. We have completed a Phase 2 trial, which we refer to as the CONCERT study. AXS-14 is being developed for the treatment of fibromyalgia. Additionally, we are currently evaluating other product candidates, which we intend to develop for CNS disorders. The Axsome Pain and Primary Care business unit, or Axsome PPC, houses our pain and primary care assets. We aim to become a fully integrated biopharmaceutical company that develops and commercializes differentiated therapies that expand the treatment options available to caregivers and improve the lives of patients living with CNS disorders.</w:t>
      </w:r>
    </w:p>
    <w:p>
      <w:pPr>
        <w:spacing w:after="0" w:line="182"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7"/>
          <w:szCs w:val="17"/>
          <w:color w:val="auto"/>
        </w:rPr>
        <w:t>AXS-05 is a novel, oral, investigational NMDA receptor antagonist with multimodal activity under development for the treatment of CNS disorders. AXS-05 consists of a proprietary formulation and dose of bupropion and dextromethorphan, or DM, and utilizes our metabolic inhibition technology. We are developing AXS</w:t>
      </w:r>
      <w:r>
        <w:rPr>
          <w:rFonts w:ascii="MS PGothic" w:cs="MS PGothic" w:eastAsia="MS PGothic" w:hAnsi="MS PGothic"/>
          <w:sz w:val="17"/>
          <w:szCs w:val="17"/>
          <w:color w:val="auto"/>
        </w:rPr>
        <w:t>‑</w:t>
      </w:r>
      <w:r>
        <w:rPr>
          <w:rFonts w:ascii="Arial" w:cs="Arial" w:eastAsia="Arial" w:hAnsi="Arial"/>
          <w:sz w:val="17"/>
          <w:szCs w:val="17"/>
          <w:color w:val="auto"/>
        </w:rPr>
        <w:t>05 initially for the following four indications: MDD, TRD, agitation associated with AD,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FDA approval for AXS</w:t>
      </w:r>
      <w:r>
        <w:rPr>
          <w:rFonts w:ascii="MS PGothic" w:cs="MS PGothic" w:eastAsia="MS PGothic" w:hAnsi="MS PGothic"/>
          <w:sz w:val="17"/>
          <w:szCs w:val="17"/>
          <w:color w:val="auto"/>
        </w:rPr>
        <w:t>‑</w:t>
      </w:r>
      <w:r>
        <w:rPr>
          <w:rFonts w:ascii="Arial" w:cs="Arial" w:eastAsia="Arial" w:hAnsi="Arial"/>
          <w:sz w:val="17"/>
          <w:szCs w:val="17"/>
          <w:color w:val="auto"/>
        </w:rPr>
        <w:t>05 utilizing the 505(b)(2) regulatory development pathway.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7" w:name="page118"/>
    <w:bookmarkEnd w:id="1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99" w:firstLine="648"/>
        <w:spacing w:after="0" w:line="243" w:lineRule="auto"/>
        <w:rPr>
          <w:sz w:val="20"/>
          <w:szCs w:val="20"/>
          <w:color w:val="auto"/>
        </w:rPr>
      </w:pPr>
      <w:r>
        <w:rPr>
          <w:rFonts w:ascii="Arial" w:cs="Arial" w:eastAsia="Arial" w:hAnsi="Arial"/>
          <w:sz w:val="17"/>
          <w:szCs w:val="17"/>
          <w:color w:val="auto"/>
        </w:rPr>
        <w:t>AXS-07 is a novel, oral, rapidly absorbed, multi-mechanistic, investigational medicine. AXS-07 consists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8"/>
          <w:szCs w:val="28"/>
          <w:color w:val="auto"/>
          <w:vertAlign w:val="subscript"/>
        </w:rPr>
        <w:t>max</w:t>
      </w:r>
      <w:r>
        <w:rPr>
          <w:rFonts w:ascii="Arial" w:cs="Arial" w:eastAsia="Arial" w:hAnsi="Arial"/>
          <w:sz w:val="17"/>
          <w:szCs w:val="17"/>
          <w:color w:val="auto"/>
        </w:rPr>
        <w:t>,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5-HT1</w:t>
      </w:r>
      <w:r>
        <w:rPr>
          <w:rFonts w:ascii="Arial" w:cs="Arial" w:eastAsia="Arial" w:hAnsi="Arial"/>
          <w:sz w:val="28"/>
          <w:szCs w:val="28"/>
          <w:color w:val="auto"/>
          <w:vertAlign w:val="subscript"/>
        </w:rPr>
        <w:t>B/D</w:t>
      </w:r>
      <w:r>
        <w:rPr>
          <w:rFonts w:ascii="Arial" w:cs="Arial" w:eastAsia="Arial" w:hAnsi="Arial"/>
          <w:sz w:val="17"/>
          <w:szCs w:val="17"/>
          <w:color w:val="auto"/>
        </w:rPr>
        <w:t xml:space="preserve">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204" w:lineRule="exact"/>
        <w:rPr>
          <w:sz w:val="20"/>
          <w:szCs w:val="20"/>
          <w:color w:val="auto"/>
        </w:rPr>
      </w:pPr>
    </w:p>
    <w:p>
      <w:pPr>
        <w:ind w:left="40" w:right="59" w:firstLine="648"/>
        <w:spacing w:after="0" w:line="272" w:lineRule="auto"/>
        <w:rPr>
          <w:sz w:val="20"/>
          <w:szCs w:val="20"/>
          <w:color w:val="auto"/>
        </w:rPr>
      </w:pPr>
      <w:r>
        <w:rPr>
          <w:rFonts w:ascii="Arial" w:cs="Arial" w:eastAsia="Arial" w:hAnsi="Arial"/>
          <w:sz w:val="17"/>
          <w:szCs w:val="17"/>
          <w:color w:val="auto"/>
        </w:rPr>
        <w:t>AXS-09 is an oral, investigational NMDA receptor antagonist with multimodal activity consisting of esbupropion and DM, which is being developed for the treatment of CNS disorders. AXS-09 contains esbupropion, the chirally pure S-enantiomer of bupropion, as compared to the company’s first generation product candidate AXS-05 which contains racemic bupropion, equal amounts of the S- and R-enantiomers.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S-enantiomer as compared to the R-enantiomer.</w:t>
      </w:r>
    </w:p>
    <w:p>
      <w:pPr>
        <w:spacing w:after="0" w:line="177" w:lineRule="exact"/>
        <w:rPr>
          <w:sz w:val="20"/>
          <w:szCs w:val="20"/>
          <w:color w:val="auto"/>
        </w:rPr>
      </w:pPr>
    </w:p>
    <w:p>
      <w:pPr>
        <w:ind w:left="40" w:right="419" w:firstLine="648"/>
        <w:spacing w:after="0" w:line="263" w:lineRule="auto"/>
        <w:rPr>
          <w:sz w:val="20"/>
          <w:szCs w:val="20"/>
          <w:color w:val="auto"/>
        </w:rPr>
      </w:pPr>
      <w:r>
        <w:rPr>
          <w:rFonts w:ascii="Arial" w:cs="Arial" w:eastAsia="Arial" w:hAnsi="Arial"/>
          <w:sz w:val="18"/>
          <w:szCs w:val="18"/>
          <w:color w:val="auto"/>
        </w:rPr>
        <w:t>AXS-12, reboxetine, is a novel, oral, investigational medicine in development for the treatment of narcolepsy. AXS-12 is a highly selective and potent norepinephrine reuptake inhibitor. AXS-12 has been granted Orphan Drug Designation by the FDA for the treatment of narcolepsy.</w:t>
      </w:r>
    </w:p>
    <w:p>
      <w:pPr>
        <w:spacing w:after="0" w:line="184"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AXS-14, esreboxetine, is a novel, oral, investigational medicine in development for the treatment of fibromyalgia. AXS-14 is a highly selective and potent norepinephrine reuptake inhibitor. We are initially developing esreboxetine for the treatment of fibromyalgia. Esreboxetine, the SS-enantiomer of reboxetine, is more potent and selective than racemic reboxetine.</w:t>
      </w:r>
    </w:p>
    <w:p>
      <w:pPr>
        <w:spacing w:after="0" w:line="187" w:lineRule="exact"/>
        <w:rPr>
          <w:sz w:val="20"/>
          <w:szCs w:val="20"/>
          <w:color w:val="auto"/>
        </w:rPr>
      </w:pPr>
    </w:p>
    <w:p>
      <w:pPr>
        <w:jc w:val="both"/>
        <w:ind w:left="40" w:right="179" w:firstLine="648"/>
        <w:spacing w:after="0" w:line="263" w:lineRule="auto"/>
        <w:rPr>
          <w:sz w:val="20"/>
          <w:szCs w:val="20"/>
          <w:color w:val="auto"/>
        </w:rPr>
      </w:pPr>
      <w:r>
        <w:rPr>
          <w:rFonts w:ascii="Arial" w:cs="Arial" w:eastAsia="Arial" w:hAnsi="Arial"/>
          <w:sz w:val="18"/>
          <w:szCs w:val="18"/>
          <w:color w:val="auto"/>
        </w:rPr>
        <w:t>The Axsome Pain and Primary Care business unit, or Axsome PPC, houses our pain and primary care assets, and includes intellectual property which covers these and related product candidates and molecules being developed by us and others.</w:t>
      </w:r>
    </w:p>
    <w:p>
      <w:pPr>
        <w:spacing w:after="0" w:line="184" w:lineRule="exact"/>
        <w:rPr>
          <w:sz w:val="20"/>
          <w:szCs w:val="20"/>
          <w:color w:val="auto"/>
        </w:rPr>
      </w:pPr>
    </w:p>
    <w:p>
      <w:pPr>
        <w:ind w:left="40" w:right="99" w:firstLine="648"/>
        <w:spacing w:after="0" w:line="273" w:lineRule="auto"/>
        <w:rPr>
          <w:sz w:val="20"/>
          <w:szCs w:val="20"/>
          <w:color w:val="auto"/>
        </w:rPr>
      </w:pPr>
      <w:r>
        <w:rPr>
          <w:rFonts w:ascii="Arial" w:cs="Arial" w:eastAsia="Arial" w:hAnsi="Arial"/>
          <w:sz w:val="17"/>
          <w:szCs w:val="17"/>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 and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78" w:lineRule="exact"/>
        <w:rPr>
          <w:sz w:val="20"/>
          <w:szCs w:val="20"/>
          <w:color w:val="auto"/>
        </w:rPr>
      </w:pPr>
    </w:p>
    <w:p>
      <w:pPr>
        <w:ind w:left="40" w:right="259" w:firstLine="648"/>
        <w:spacing w:after="0" w:line="263" w:lineRule="auto"/>
        <w:rPr>
          <w:sz w:val="20"/>
          <w:szCs w:val="20"/>
          <w:color w:val="auto"/>
        </w:rPr>
      </w:pPr>
      <w:r>
        <w:rPr>
          <w:rFonts w:ascii="Arial" w:cs="Arial" w:eastAsia="Arial" w:hAnsi="Arial"/>
          <w:sz w:val="18"/>
          <w:szCs w:val="18"/>
          <w:color w:val="auto"/>
        </w:rPr>
        <w:t>Our ability to become profitable depends on our ability to generate revenue. We do not expect to generate significant revenue unless and until we obtain marketing approval for and successfully commercialize one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8" w:name="page119"/>
    <w:bookmarkEnd w:id="1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We have incurred significant operating and net losses since inception. We incurred net losses of $68.3 million, $31.0 million, and $28.9 million for the years ended December 31, 2019, 2018, and 2017, respectively. Our accumulated deficit as of December 31, 2019 was $175.9 million, and we expect to incur significant expenses and increasing operating losses for the foreseeable future. We expect our expenses to increase in connection with our ongoing activities, as we continue the development and clinical trials of, and seek regulatory approval for our current product candidates and any other product candidates that we develop or in-license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additional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40" w:right="299" w:firstLine="648"/>
        <w:spacing w:after="0" w:line="220" w:lineRule="exact"/>
        <w:rPr>
          <w:sz w:val="20"/>
          <w:szCs w:val="20"/>
          <w:color w:val="auto"/>
        </w:rPr>
      </w:pPr>
      <w:r>
        <w:rPr>
          <w:rFonts w:ascii="Arial" w:cs="Arial" w:eastAsia="Arial" w:hAnsi="Arial"/>
          <w:sz w:val="17"/>
          <w:szCs w:val="17"/>
          <w:color w:val="auto"/>
        </w:rPr>
        <w:t>Research and development expenses primarily include preclinical studies, clinical trials, manufacturing costs, employee salaries and benefits,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204" w:lineRule="exact"/>
        <w:rPr>
          <w:sz w:val="20"/>
          <w:szCs w:val="20"/>
          <w:color w:val="auto"/>
        </w:rPr>
      </w:pPr>
    </w:p>
    <w:p>
      <w:pPr>
        <w:ind w:left="40" w:right="139" w:firstLine="648"/>
        <w:spacing w:after="0" w:line="287" w:lineRule="auto"/>
        <w:rPr>
          <w:sz w:val="20"/>
          <w:szCs w:val="20"/>
          <w:color w:val="auto"/>
        </w:rPr>
      </w:pPr>
      <w:r>
        <w:rPr>
          <w:rFonts w:ascii="Arial" w:cs="Arial" w:eastAsia="Arial" w:hAnsi="Arial"/>
          <w:sz w:val="16"/>
          <w:szCs w:val="16"/>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Management considers many factors in developing the estimates and assumptions that are used in the preparation of these financial statements.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9" w:name="page120"/>
    <w:bookmarkEnd w:id="1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79" w:firstLine="648"/>
        <w:spacing w:after="0" w:line="271" w:lineRule="auto"/>
        <w:rPr>
          <w:sz w:val="20"/>
          <w:szCs w:val="20"/>
          <w:color w:val="auto"/>
        </w:rPr>
      </w:pPr>
      <w:r>
        <w:rPr>
          <w:rFonts w:ascii="Arial" w:cs="Arial" w:eastAsia="Arial" w:hAnsi="Arial"/>
          <w:sz w:val="17"/>
          <w:szCs w:val="17"/>
          <w:color w:val="auto"/>
        </w:rPr>
        <w:t>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our research and development expenses by program for the years ended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2019, 2018, and 2017:</w:t>
      </w:r>
    </w:p>
    <w:p>
      <w:pPr>
        <w:spacing w:after="0" w:line="216"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Year ended</w:t>
      </w:r>
    </w:p>
    <w:p>
      <w:pPr>
        <w:jc w:val="center"/>
        <w:ind w:left="55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5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5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AXS-05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$24,786,783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13,460,809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9,780,593</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AXS-07</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20,925,324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3,222,208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180,255</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AXS-12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1,823,060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AXS-02</w:t>
            </w:r>
          </w:p>
        </w:tc>
        <w:tc>
          <w:tcPr>
            <w:tcW w:w="960" w:type="dxa"/>
            <w:vAlign w:val="bottom"/>
          </w:tcPr>
          <w:p>
            <w:pPr>
              <w:jc w:val="right"/>
              <w:spacing w:after="0"/>
              <w:rPr>
                <w:sz w:val="20"/>
                <w:szCs w:val="20"/>
                <w:color w:val="auto"/>
              </w:rPr>
            </w:pPr>
            <w:r>
              <w:rPr>
                <w:rFonts w:ascii="Arial" w:cs="Arial" w:eastAsia="Arial" w:hAnsi="Arial"/>
                <w:sz w:val="18"/>
                <w:szCs w:val="18"/>
                <w:color w:val="auto"/>
              </w:rPr>
              <w:t>503,244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740,341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6,775,736</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AXS-06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480,425</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Other research and development</w:t>
            </w:r>
          </w:p>
        </w:tc>
        <w:tc>
          <w:tcPr>
            <w:tcW w:w="960" w:type="dxa"/>
            <w:vAlign w:val="bottom"/>
          </w:tcPr>
          <w:p>
            <w:pPr>
              <w:jc w:val="right"/>
              <w:spacing w:after="0"/>
              <w:rPr>
                <w:sz w:val="20"/>
                <w:szCs w:val="20"/>
                <w:color w:val="auto"/>
              </w:rPr>
            </w:pPr>
            <w:r>
              <w:rPr>
                <w:rFonts w:ascii="Arial" w:cs="Arial" w:eastAsia="Arial" w:hAnsi="Arial"/>
                <w:sz w:val="18"/>
                <w:szCs w:val="18"/>
                <w:color w:val="auto"/>
              </w:rPr>
              <w:t>4,016,365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5,415,127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2,126,978</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1,584,165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391,946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613,629</w:t>
            </w:r>
          </w:p>
        </w:tc>
        <w:tc>
          <w:tcPr>
            <w:tcW w:w="60" w:type="dxa"/>
            <w:vAlign w:val="bottom"/>
            <w:shd w:val="clear" w:color="auto" w:fill="CCEEFF"/>
          </w:tcPr>
          <w:p>
            <w:pPr>
              <w:spacing w:after="0"/>
              <w:rPr>
                <w:sz w:val="18"/>
                <w:szCs w:val="18"/>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53,647,067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23,495,055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19,957,616</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40" w:right="279" w:firstLine="648"/>
        <w:spacing w:after="0" w:line="327" w:lineRule="auto"/>
        <w:rPr>
          <w:sz w:val="20"/>
          <w:szCs w:val="20"/>
          <w:color w:val="auto"/>
        </w:rPr>
      </w:pPr>
      <w:r>
        <w:rPr>
          <w:rFonts w:ascii="Arial" w:cs="Arial" w:eastAsia="Arial" w:hAnsi="Arial"/>
          <w:sz w:val="15"/>
          <w:szCs w:val="15"/>
          <w:color w:val="auto"/>
        </w:rPr>
        <w:t>Other research and development expenses primarily consist of employee salaries and benefits, facilities and overhead costs, and expenses for terminated programs. For the year ended December 31, 2018, all employee salaries and benefits were allocated to Other research and development expenses whereas for the year ended December 31, 2017 and 2019, a majority of employee salaries and benefits were allocated between the respective programs in the table above.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40" w:right="359" w:firstLine="648"/>
        <w:spacing w:after="0" w:line="220" w:lineRule="exact"/>
        <w:rPr>
          <w:sz w:val="20"/>
          <w:szCs w:val="20"/>
          <w:color w:val="auto"/>
        </w:rPr>
      </w:pPr>
      <w:r>
        <w:rPr>
          <w:rFonts w:ascii="Arial" w:cs="Arial" w:eastAsia="Arial" w:hAnsi="Arial"/>
          <w:sz w:val="16"/>
          <w:szCs w:val="16"/>
          <w:color w:val="auto"/>
        </w:rPr>
        <w:t>General and administrative expenses primarily consist of salaries and related costs for personnel in executive, finance, and operational functions,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travel expenses. Other general and administrative expenses include facility</w:t>
      </w:r>
      <w:r>
        <w:rPr>
          <w:rFonts w:ascii="MS PGothic" w:cs="MS PGothic" w:eastAsia="MS PGothic" w:hAnsi="MS PGothic"/>
          <w:sz w:val="16"/>
          <w:szCs w:val="16"/>
          <w:color w:val="auto"/>
        </w:rPr>
        <w:t>‑</w:t>
      </w:r>
      <w:r>
        <w:rPr>
          <w:rFonts w:ascii="Arial" w:cs="Arial" w:eastAsia="Arial" w:hAnsi="Arial"/>
          <w:sz w:val="16"/>
          <w:szCs w:val="16"/>
          <w:color w:val="auto"/>
        </w:rPr>
        <w:t>related costs, insurance expense, and professional fees for legal and accounting services and patent filing and prosecution costs. General and administrative expenses are expensed when incurred.</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and Amortization of Debt Discount Expense</w:t>
      </w:r>
    </w:p>
    <w:p>
      <w:pPr>
        <w:spacing w:after="0" w:line="225"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Interest and amortization of debt discount expense primarily consists of cash interest and non-cash costs related to our term loan with SVB (see “Liquidity and Capital Resources” below for a further discussion). We amortize these costs over the term of our debt agreements as interest expense in our consolidated statement of operations. Interest and amortization of debt discount expense also includes interest income earned on cash.</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Tax Credit</w:t>
      </w:r>
    </w:p>
    <w:p>
      <w:pPr>
        <w:spacing w:after="0" w:line="225" w:lineRule="exact"/>
        <w:rPr>
          <w:sz w:val="20"/>
          <w:szCs w:val="20"/>
          <w:color w:val="auto"/>
        </w:rPr>
      </w:pPr>
    </w:p>
    <w:p>
      <w:pPr>
        <w:ind w:left="40" w:right="279" w:firstLine="648"/>
        <w:spacing w:after="0" w:line="263" w:lineRule="auto"/>
        <w:rPr>
          <w:sz w:val="20"/>
          <w:szCs w:val="20"/>
          <w:color w:val="auto"/>
        </w:rPr>
      </w:pPr>
      <w:r>
        <w:rPr>
          <w:rFonts w:ascii="Arial" w:cs="Arial" w:eastAsia="Arial" w:hAnsi="Arial"/>
          <w:sz w:val="18"/>
          <w:szCs w:val="18"/>
          <w:color w:val="auto"/>
        </w:rPr>
        <w:t>The tax credits represent the receipt by Axsome Therapeutics Australia PTY, LTD, our Australian subsidiary, of the Australia Tax Incentive Credit, related to allowable research and development expenses incurred for our product candidates.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0" w:name="page121"/>
    <w:bookmarkEnd w:id="1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225" w:lineRule="exact"/>
        <w:rPr>
          <w:sz w:val="20"/>
          <w:szCs w:val="20"/>
          <w:color w:val="auto"/>
        </w:rPr>
      </w:pPr>
    </w:p>
    <w:p>
      <w:pPr>
        <w:ind w:left="40" w:right="79" w:firstLine="648"/>
        <w:spacing w:after="0" w:line="220" w:lineRule="exact"/>
        <w:rPr>
          <w:sz w:val="20"/>
          <w:szCs w:val="20"/>
          <w:color w:val="auto"/>
        </w:rPr>
      </w:pPr>
      <w:r>
        <w:rPr>
          <w:rFonts w:ascii="Arial" w:cs="Arial" w:eastAsia="Arial" w:hAnsi="Arial"/>
          <w:sz w:val="18"/>
          <w:szCs w:val="18"/>
          <w:color w:val="auto"/>
        </w:rPr>
        <w:t>The warrants to purchase our common stock issued as part of the registered direct stock offering in December 2017 were classified as a warrant liability and recorded at fair value. The warrant liability was subject to re</w:t>
      </w:r>
      <w:r>
        <w:rPr>
          <w:rFonts w:ascii="MS PGothic" w:cs="MS PGothic" w:eastAsia="MS PGothic" w:hAnsi="MS PGothic"/>
          <w:sz w:val="18"/>
          <w:szCs w:val="18"/>
          <w:color w:val="auto"/>
        </w:rPr>
        <w:t>‑</w:t>
      </w:r>
      <w:r>
        <w:rPr>
          <w:rFonts w:ascii="Arial" w:cs="Arial" w:eastAsia="Arial" w:hAnsi="Arial"/>
          <w:sz w:val="18"/>
          <w:szCs w:val="18"/>
          <w:color w:val="auto"/>
        </w:rPr>
        <w:t>measurement at each balance sheet date and any change in fair value was recognized in our statements of operations as a change in fair value of the warrant liability. The warrants expired on December 11, 2018.</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left="40" w:right="179" w:firstLine="648"/>
        <w:spacing w:after="0" w:line="271"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consolidated financial statements, which have been prepared in accordance with generally accepted accounting principles in the United States of America, or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78" w:lineRule="exact"/>
        <w:rPr>
          <w:sz w:val="20"/>
          <w:szCs w:val="20"/>
          <w:color w:val="auto"/>
        </w:rPr>
      </w:pPr>
    </w:p>
    <w:p>
      <w:pPr>
        <w:ind w:left="40" w:right="179" w:firstLine="648"/>
        <w:spacing w:after="0" w:line="286" w:lineRule="auto"/>
        <w:rPr>
          <w:sz w:val="20"/>
          <w:szCs w:val="20"/>
          <w:color w:val="auto"/>
        </w:rPr>
      </w:pPr>
      <w:r>
        <w:rPr>
          <w:rFonts w:ascii="Arial" w:cs="Arial" w:eastAsia="Arial" w:hAnsi="Arial"/>
          <w:sz w:val="17"/>
          <w:szCs w:val="17"/>
          <w:color w:val="auto"/>
        </w:rPr>
        <w:t>While our significant accounting policies are more fully described in Note 2 to our audited consolidated financial statements appearing elsewhere in this report, we believe the following accounting policies are the most critical to the judgments and estimates we use in the preparation of our consolidated financial statements.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40" w:right="59" w:firstLine="648"/>
        <w:spacing w:after="0" w:line="285"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40" w:right="179" w:firstLine="648"/>
        <w:spacing w:after="0" w:line="271"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1" w:name="page122"/>
    <w:bookmarkEnd w:id="1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59" w:firstLine="648"/>
        <w:spacing w:after="0" w:line="301" w:lineRule="auto"/>
        <w:rPr>
          <w:sz w:val="20"/>
          <w:szCs w:val="20"/>
          <w:color w:val="auto"/>
        </w:rPr>
      </w:pPr>
      <w:r>
        <w:rPr>
          <w:rFonts w:ascii="Arial" w:cs="Arial" w:eastAsia="Arial" w:hAnsi="Arial"/>
          <w:sz w:val="16"/>
          <w:szCs w:val="16"/>
          <w:color w:val="auto"/>
        </w:rPr>
        <w:t>We recognize the tax benefit from an uncertain tax position only if it is more likely than not to be sustained upon examination based on the technical merits of the position as well as consideration of the available facts and circumstances. When uncertain tax positions exist, we recognize the tax benefit of tax positions to the extent that the benefit will more likely than not be realized. As of December 31, 2019, we do not believe any material uncertain tax positions are present.</w:t>
      </w:r>
    </w:p>
    <w:p>
      <w:pPr>
        <w:spacing w:after="0" w:line="157" w:lineRule="exact"/>
        <w:rPr>
          <w:sz w:val="20"/>
          <w:szCs w:val="20"/>
          <w:color w:val="auto"/>
        </w:rPr>
      </w:pPr>
    </w:p>
    <w:p>
      <w:pPr>
        <w:ind w:left="40" w:right="259" w:firstLine="648"/>
        <w:spacing w:after="0" w:line="286" w:lineRule="auto"/>
        <w:rPr>
          <w:sz w:val="20"/>
          <w:szCs w:val="20"/>
          <w:color w:val="auto"/>
        </w:rPr>
      </w:pPr>
      <w:r>
        <w:rPr>
          <w:rFonts w:ascii="Arial" w:cs="Arial" w:eastAsia="Arial" w:hAnsi="Arial"/>
          <w:sz w:val="17"/>
          <w:szCs w:val="17"/>
          <w:color w:val="auto"/>
        </w:rPr>
        <w:t>As of December 31, 2019, we had U.S. federal net operating loss, or NOL carryforwards of approximately $154 million. NOLs amounting to $60 million generated before the 2018 tax year will start expiring beginning 2033, and the NOLs of approximately $94 million generated in 2018 and later have an indefinite carryforward period.</w:t>
      </w:r>
    </w:p>
    <w:p>
      <w:pPr>
        <w:spacing w:after="0" w:line="165"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Utilization of the NOLs may be subject to a substantial annual limitation due to ownership change limitations provided by the Internal Revenue Code of 1986, as amended. The annual limitation for net operating losses incurred before the 2018 tax year may result in expiration before we can use them. We have recorded a valuation allowance on all of our deferred tax assets.</w:t>
      </w:r>
    </w:p>
    <w:p>
      <w:pPr>
        <w:spacing w:after="0" w:line="187"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225"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7"/>
          <w:szCs w:val="17"/>
          <w:color w:val="auto"/>
        </w:rPr>
        <w:t>For issued stock options, we estimate the grant date fair value of each option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Black-Scholes model takes into account the expected volatility of our common stock, the risk-free interest rate, the estimated life of the option, the closing market price of our common stock and the exercise price. The estimates utilized in the Black-Scholes calculation involve inherent uncertainties and the application of management judgment. In addition, we recognize expense for equity award forfeitures as they occur. For awards subject to service-based vesting conditions, we recognize stock-based compensation expense on a straight-line basis over the requisite service period, which is generally the vesting term. For awards subject to performance-based vesting conditions, we recognize stock-based compensation expense using the accelerated attribution method when it is probable that the performance condition will be achieved. The expense related to the stock-based compensation is recorded within the financial statement line item the grantee’s cash compensation is recorded in.</w:t>
      </w:r>
    </w:p>
    <w:p>
      <w:pPr>
        <w:spacing w:after="0" w:line="210" w:lineRule="exact"/>
        <w:rPr>
          <w:sz w:val="20"/>
          <w:szCs w:val="20"/>
          <w:color w:val="auto"/>
        </w:rPr>
      </w:pPr>
    </w:p>
    <w:p>
      <w:pPr>
        <w:ind w:left="40" w:right="719" w:firstLine="648"/>
        <w:spacing w:after="0" w:line="342" w:lineRule="auto"/>
        <w:rPr>
          <w:sz w:val="20"/>
          <w:szCs w:val="20"/>
          <w:color w:val="auto"/>
        </w:rPr>
      </w:pPr>
      <w:r>
        <w:rPr>
          <w:rFonts w:ascii="Arial" w:cs="Arial" w:eastAsia="Arial" w:hAnsi="Arial"/>
          <w:sz w:val="16"/>
          <w:szCs w:val="16"/>
          <w:color w:val="auto"/>
        </w:rPr>
        <w:t>Our policy upon exercise of stock options is that shares will be issued as new shares drawing on our 2015 Omnibus Incentive Compensation Plan share pool that was adopted by the stockholders in November 2015.</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2" w:name="page123"/>
    <w:bookmarkEnd w:id="1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our results of operations for the years ended December 31, 2019 and 2018:</w:t>
      </w:r>
    </w:p>
    <w:p>
      <w:pPr>
        <w:spacing w:after="0" w:line="242"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Year ended</w:t>
      </w:r>
    </w:p>
    <w:p>
      <w:pPr>
        <w:ind w:left="73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5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53,647,067</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23,495,055</w:t>
            </w: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13,598,030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9,351,522</w:t>
            </w:r>
          </w:p>
        </w:tc>
      </w:tr>
      <w:tr>
        <w:trPr>
          <w:trHeight w:val="209"/>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67,245,097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32,846,577</w:t>
            </w: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(67,245,097)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(32,846,577)</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(1,239,537)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(1,127,305)</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Tax credit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217,418</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2,791,000</w:t>
            </w:r>
          </w:p>
        </w:tc>
      </w:tr>
      <w:tr>
        <w:trPr>
          <w:trHeight w:val="217"/>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(68,345,186)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(30,965,464)</w:t>
            </w:r>
          </w:p>
        </w:tc>
      </w:tr>
    </w:tbl>
    <w:p>
      <w:pPr>
        <w:spacing w:after="0" w:line="310" w:lineRule="exact"/>
        <w:rPr>
          <w:sz w:val="20"/>
          <w:szCs w:val="20"/>
          <w:color w:val="auto"/>
        </w:rPr>
      </w:pPr>
    </w:p>
    <w:p>
      <w:pPr>
        <w:ind w:left="40" w:right="259" w:firstLine="648"/>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were $53.6 million, compared to $23.5 million for the year ended December 31, 2018, an increase of $30.1 million. This increase was primarily due to trials that were initiated and completed in 2019, which include the GEMINI, MOMENTUM, and CONCERT trials, along with the initiation of the INTERCEPT and AXS-05 and AXS-07 open-label safety studies in 2019. Additionally, this amount includes ongoing spend for our previously initiated clinical trials, which include STRIDE-1 and ADVANCE-1.</w:t>
      </w:r>
    </w:p>
    <w:p>
      <w:pPr>
        <w:spacing w:after="0" w:line="192" w:lineRule="exact"/>
        <w:rPr>
          <w:sz w:val="20"/>
          <w:szCs w:val="20"/>
          <w:color w:val="auto"/>
        </w:rPr>
      </w:pPr>
    </w:p>
    <w:p>
      <w:pPr>
        <w:jc w:val="both"/>
        <w:ind w:left="40" w:right="59"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were $13.6 million, compared to $9.4 million for the year ended December 31, 2018, an increase of $4.2 million. The change was primarily due to personnel costs, mainly associated with an increase in stock compensation expense, along with the build-out of the commercial function.</w:t>
      </w:r>
    </w:p>
    <w:p>
      <w:pPr>
        <w:spacing w:after="0" w:line="187"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2019 was $1.2 million, compared to $1.1 million for the year ended December 31, 2018, an increase of $0.1 million. The increase was primarily related to higher interest expense and amortization of the debt discount associated with our March 2019 loan and security agreement with SVB for $20 million, offset by interest income from our cash sweep account.</w:t>
      </w:r>
    </w:p>
    <w:p>
      <w:pPr>
        <w:spacing w:after="0" w:line="188" w:lineRule="exact"/>
        <w:rPr>
          <w:sz w:val="20"/>
          <w:szCs w:val="20"/>
          <w:color w:val="auto"/>
        </w:rPr>
      </w:pPr>
    </w:p>
    <w:p>
      <w:pPr>
        <w:ind w:left="40" w:right="259" w:firstLine="648"/>
        <w:spacing w:after="0" w:line="259" w:lineRule="auto"/>
        <w:rPr>
          <w:sz w:val="20"/>
          <w:szCs w:val="20"/>
          <w:color w:val="auto"/>
        </w:rPr>
      </w:pPr>
      <w:r>
        <w:rPr>
          <w:rFonts w:ascii="Arial" w:cs="Arial" w:eastAsia="Arial" w:hAnsi="Arial"/>
          <w:sz w:val="18"/>
          <w:szCs w:val="18"/>
          <w:i w:val="1"/>
          <w:iCs w:val="1"/>
          <w:color w:val="auto"/>
        </w:rPr>
        <w:t xml:space="preserve">Tax Credit. </w:t>
      </w:r>
      <w:r>
        <w:rPr>
          <w:rFonts w:ascii="Arial" w:cs="Arial" w:eastAsia="Arial" w:hAnsi="Arial"/>
          <w:sz w:val="18"/>
          <w:szCs w:val="18"/>
          <w:color w:val="auto"/>
        </w:rPr>
        <w:t>Tax credit income for the year ended December 31, 2019 was $0.1 million, as compared to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2018, a decrease of $0.1 million. This represents the receipt by Axsome Therapeutics Australia PTY LTD, our Australian subsidiary, of the Australia Tax Incentive Credit related to the 2018 and 2017 research and development expenses incurred for our product candidates.</w:t>
      </w:r>
    </w:p>
    <w:p>
      <w:pPr>
        <w:spacing w:after="0" w:line="187"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For the year ended December 31, 2018, we recorded income of $2.8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the change in fair value of our warrant liability in connection with the warrants issued as part of our December 2017 registered direct offering. The change in fair value in 2018 is due to the decrease of our closing stock price over the course of the year, from when the warrants were initially issued in December 2017. These warrants expired in December 2018.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3" w:name="page124"/>
    <w:bookmarkEnd w:id="1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our results of operations for the years ended December 31, 2018 and 2017:</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312"/>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12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23,495,055</w:t>
            </w:r>
          </w:p>
        </w:tc>
        <w:tc>
          <w:tcPr>
            <w:tcW w:w="10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19,957,616</w:t>
            </w: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9,351,522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7,206,691</w:t>
            </w:r>
          </w:p>
        </w:tc>
      </w:tr>
      <w:tr>
        <w:trPr>
          <w:trHeight w:val="209"/>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32,846,577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27,164,307</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(32,846,577)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(27,164,307)</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(1,127,305)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(1,340,199)</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Tax credit</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207,114</w:t>
            </w: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warrant liability</w:t>
            </w: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2,791,000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(646,000)</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(30,965,464)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(28,943,392)</w:t>
            </w:r>
          </w:p>
        </w:tc>
      </w:tr>
      <w:tr>
        <w:trPr>
          <w:trHeight w:val="27"/>
        </w:trPr>
        <w:tc>
          <w:tcPr>
            <w:tcW w:w="5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left="40" w:right="119" w:firstLine="648"/>
        <w:spacing w:after="0" w:line="296"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2018 were $23.5 million, compared to $20.0 million for the year ended December 31, 2017, an increase of $3.5 million. The increase was primarily due to increased costs for our STRIDE-1 and ADVANCE-1 studies, initiation and completion of our ASCEND study, and AXS-07 and AXS-12 study startup and manufacturing costs, which was partially offset by a reduction in the costs of our clinical trials for AXS-02 and AXS-05 and nonclinical work on AXS-05.</w:t>
      </w:r>
    </w:p>
    <w:p>
      <w:pPr>
        <w:spacing w:after="0" w:line="161" w:lineRule="exact"/>
        <w:rPr>
          <w:sz w:val="20"/>
          <w:szCs w:val="20"/>
          <w:color w:val="auto"/>
        </w:rPr>
      </w:pPr>
    </w:p>
    <w:p>
      <w:pPr>
        <w:ind w:left="40" w:right="59" w:firstLine="693"/>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Our general and administrative expenses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were $9.4 million, as compared to $7.2 million for the year ended December 31, 2017, an increase of $2.2 million. The increase was primarily due to higher intellectual property costs and legal expenses, external fees associated with operating as a public company, as well as an increase in personnel costs.</w:t>
      </w:r>
    </w:p>
    <w:p>
      <w:pPr>
        <w:spacing w:after="0" w:line="187" w:lineRule="exact"/>
        <w:rPr>
          <w:sz w:val="20"/>
          <w:szCs w:val="20"/>
          <w:color w:val="auto"/>
        </w:rPr>
      </w:pPr>
    </w:p>
    <w:p>
      <w:pPr>
        <w:ind w:left="40" w:right="59" w:firstLine="648"/>
        <w:spacing w:after="0" w:line="279" w:lineRule="auto"/>
        <w:rPr>
          <w:sz w:val="20"/>
          <w:szCs w:val="20"/>
          <w:color w:val="auto"/>
        </w:rPr>
      </w:pPr>
      <w:r>
        <w:rPr>
          <w:rFonts w:ascii="Arial" w:cs="Arial" w:eastAsia="Arial" w:hAnsi="Arial"/>
          <w:sz w:val="17"/>
          <w:szCs w:val="17"/>
          <w:i w:val="1"/>
          <w:iCs w:val="1"/>
          <w:color w:val="auto"/>
        </w:rPr>
        <w:t xml:space="preserve">Interest and Amortization of Debt Discount Expense. </w:t>
      </w:r>
      <w:r>
        <w:rPr>
          <w:rFonts w:ascii="Arial" w:cs="Arial" w:eastAsia="Arial" w:hAnsi="Arial"/>
          <w:sz w:val="17"/>
          <w:szCs w:val="17"/>
          <w:color w:val="auto"/>
        </w:rPr>
        <w:t>Interest and amortization of debt discount expense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2018 was $1.1 million, as compared to $1.3 million for the year ended December 31, 2017, a decrease of $0.2 million. The decrease was primarily related to lower interest expense and amortization of the debt discount associated with our loan and security agreement with SVB due to a lower principal balance.</w:t>
      </w:r>
    </w:p>
    <w:p>
      <w:pPr>
        <w:spacing w:after="0" w:line="171" w:lineRule="exact"/>
        <w:rPr>
          <w:sz w:val="20"/>
          <w:szCs w:val="20"/>
          <w:color w:val="auto"/>
        </w:rPr>
      </w:pPr>
    </w:p>
    <w:p>
      <w:pPr>
        <w:jc w:val="both"/>
        <w:ind w:left="40" w:right="219" w:firstLine="648"/>
        <w:spacing w:after="0" w:line="311" w:lineRule="auto"/>
        <w:rPr>
          <w:sz w:val="20"/>
          <w:szCs w:val="20"/>
          <w:color w:val="auto"/>
        </w:rPr>
      </w:pPr>
      <w:r>
        <w:rPr>
          <w:rFonts w:ascii="Arial" w:cs="Arial" w:eastAsia="Arial" w:hAnsi="Arial"/>
          <w:sz w:val="16"/>
          <w:szCs w:val="16"/>
          <w:i w:val="1"/>
          <w:iCs w:val="1"/>
          <w:color w:val="auto"/>
        </w:rPr>
        <w:t xml:space="preserve">Tax Credit. </w:t>
      </w:r>
      <w:r>
        <w:rPr>
          <w:rFonts w:ascii="Arial" w:cs="Arial" w:eastAsia="Arial" w:hAnsi="Arial"/>
          <w:sz w:val="16"/>
          <w:szCs w:val="16"/>
          <w:color w:val="auto"/>
        </w:rPr>
        <w:t>Tax credit income for the year ended December 31, 2018 and 2017 was $0.2 million and represents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receipt by Axsome Therapeutics Australia PTY LTD, our Australian subsidiary, of the Australia Tax Incentive Credit related to the 2017 and 2016 research and development expenses incurred for our product candidates.</w:t>
      </w:r>
    </w:p>
    <w:p>
      <w:pPr>
        <w:spacing w:after="0" w:line="149"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For the year ended December 31, 2018, we recorded income of $2.8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the change in fair value of our warrant liability in connection with the warrants issued as part of our December 2017 registered direct offering. The change in fair value is due to the decrease of our closing stock price over the course of the year, from when the warrants were initially issued. For the year ended December 31, 2017, we recorded expense of $0.6 million.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4" w:name="page125"/>
    <w:bookmarkEnd w:id="1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439" w:firstLine="648"/>
        <w:spacing w:after="0" w:line="277" w:lineRule="auto"/>
        <w:rPr>
          <w:sz w:val="20"/>
          <w:szCs w:val="20"/>
          <w:color w:val="auto"/>
        </w:rPr>
      </w:pPr>
      <w:r>
        <w:rPr>
          <w:rFonts w:ascii="Arial" w:cs="Arial" w:eastAsia="Arial" w:hAnsi="Arial"/>
          <w:sz w:val="18"/>
          <w:szCs w:val="18"/>
          <w:color w:val="auto"/>
        </w:rPr>
        <w:t>Since our inception through December 31, 2019, we have financed our operations primarily through proceeds from equity offerings and debt borrowings. See discussion below.</w:t>
      </w:r>
    </w:p>
    <w:p>
      <w:pPr>
        <w:spacing w:after="0" w:line="170" w:lineRule="exact"/>
        <w:rPr>
          <w:sz w:val="20"/>
          <w:szCs w:val="20"/>
          <w:color w:val="auto"/>
        </w:rPr>
      </w:pPr>
    </w:p>
    <w:p>
      <w:pPr>
        <w:ind w:left="40" w:right="379" w:firstLine="648"/>
        <w:spacing w:after="0" w:line="259" w:lineRule="auto"/>
        <w:rPr>
          <w:sz w:val="20"/>
          <w:szCs w:val="20"/>
          <w:color w:val="auto"/>
        </w:rPr>
      </w:pPr>
      <w:r>
        <w:rPr>
          <w:rFonts w:ascii="Arial" w:cs="Arial" w:eastAsia="Arial" w:hAnsi="Arial"/>
          <w:sz w:val="18"/>
          <w:szCs w:val="18"/>
          <w:color w:val="auto"/>
        </w:rPr>
        <w:t>In November 2015, we completed our IPO, in which we sold 5,666,667 shares of common stock at an offering price to the public of $9.00 per share. We received gross proceeds of approximately $51.0 million and net proceeds of approximately $45.5 million, after deducting underwriting discounts and commissions and offering-related transaction costs.</w:t>
      </w:r>
    </w:p>
    <w:p>
      <w:pPr>
        <w:spacing w:after="0" w:line="187" w:lineRule="exact"/>
        <w:rPr>
          <w:sz w:val="20"/>
          <w:szCs w:val="20"/>
          <w:color w:val="auto"/>
        </w:rPr>
      </w:pPr>
    </w:p>
    <w:p>
      <w:pPr>
        <w:ind w:left="40" w:right="99" w:firstLine="648"/>
        <w:spacing w:after="0" w:line="269" w:lineRule="auto"/>
        <w:rPr>
          <w:sz w:val="20"/>
          <w:szCs w:val="20"/>
          <w:color w:val="auto"/>
        </w:rPr>
      </w:pPr>
      <w:r>
        <w:rPr>
          <w:rFonts w:ascii="Arial" w:cs="Arial" w:eastAsia="Arial" w:hAnsi="Arial"/>
          <w:sz w:val="17"/>
          <w:szCs w:val="17"/>
          <w:color w:val="auto"/>
        </w:rPr>
        <w:t>In November 2016, we entered into a loan and security agreement with SVB for a term loan of up to $20.0 million, which we refer to as the Original Term Loan. The initial tranche of $10.0 million was funded shortly after executing the loan agreement. Because we did not achieve the conditional criteria to access the second and third tranches before the specified dates, the $10.0 million in additional term loan advances expired. In November 2018, we amended the loan and security agreement with SVB to provide an additional $4 million growth capital loan, related to our narcolepsy clinical program with AXS-12. We refer to this amendment as the First Amendment to the Original Term Loan. The additional capital was available to be drawn, at our option, subject to the achievement of a specified clinical milestone. Our obligations under the loan and security agreement, as amended, along with our ability to draw down on the additional $4.0 million tranche, were subsequently extinguished in connection with the establishment of a new term loan facility with SVB during March 2019 (see below).</w:t>
      </w:r>
    </w:p>
    <w:p>
      <w:pPr>
        <w:spacing w:after="0" w:line="185" w:lineRule="exact"/>
        <w:rPr>
          <w:sz w:val="20"/>
          <w:szCs w:val="20"/>
          <w:color w:val="auto"/>
        </w:rPr>
      </w:pPr>
    </w:p>
    <w:p>
      <w:pPr>
        <w:ind w:left="40" w:right="59" w:firstLine="648"/>
        <w:spacing w:after="0" w:line="287"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in October 2017 pursuant to which we sold shares of our common stock from time to time in an at-the-market offering until completion of the offering in January 2019, completed a registered direct offering priced at the market in December 2017 and September 2018, entered into a sales agreement in May 2019 pursuant to which we sold shares of our common stock from time to time in an at-the-market offering each utilizing the 2016 Shelf Registration Statement. In the future, we may conduct additional offerings of one or more of these securities utilizing the 2016 Shelf Registration Statement in such amounts, prices and terms to be announced when and if the securities are offered. At the time any of our securities covered by the 2016 Shelf Registration Statement are offered for sale, a prospectus supplement will be prepared and filed with the SEC containing specific information about the terms of any such offering.</w:t>
      </w:r>
    </w:p>
    <w:p>
      <w:pPr>
        <w:spacing w:after="0" w:line="168" w:lineRule="exact"/>
        <w:rPr>
          <w:sz w:val="20"/>
          <w:szCs w:val="20"/>
          <w:color w:val="auto"/>
        </w:rPr>
      </w:pPr>
    </w:p>
    <w:p>
      <w:pPr>
        <w:ind w:left="40" w:right="139" w:firstLine="648"/>
        <w:spacing w:after="0" w:line="286" w:lineRule="auto"/>
        <w:rPr>
          <w:sz w:val="20"/>
          <w:szCs w:val="20"/>
          <w:color w:val="auto"/>
        </w:rPr>
      </w:pPr>
      <w:r>
        <w:rPr>
          <w:rFonts w:ascii="Arial" w:cs="Arial" w:eastAsia="Arial" w:hAnsi="Arial"/>
          <w:sz w:val="17"/>
          <w:szCs w:val="17"/>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65"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In October 2017, we entered into an “at-the-market” sales agreement, or the Sales Agreement, with Leerink Partners LLC, or now known as SVB Leerink, pursuant to which we could sell up to $30 million in shares of our common stock from time to time through SVB Leerink, acting as our sales agent, in one or more at-the-market offerings. In January 2019, we raised approximately $25.8 million in gross proceeds through the sale of 3,164,015 shares under the Sales Agreement. Upon completion of this final sale, the Sales Agreement was automatically terminated. SVB Leerink received a commission of 3.0% of the gross proceeds for all shares sold under the Sales Agreement.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5" w:name="page126"/>
    <w:bookmarkEnd w:id="1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79" w:firstLine="648"/>
        <w:spacing w:after="0" w:line="269" w:lineRule="auto"/>
        <w:rPr>
          <w:sz w:val="20"/>
          <w:szCs w:val="20"/>
          <w:color w:val="auto"/>
        </w:rPr>
      </w:pPr>
      <w:r>
        <w:rPr>
          <w:rFonts w:ascii="Arial" w:cs="Arial" w:eastAsia="Arial" w:hAnsi="Arial"/>
          <w:sz w:val="17"/>
          <w:szCs w:val="17"/>
          <w:color w:val="auto"/>
        </w:rPr>
        <w:t>In December 2017, we completed a registered direct offering priced at the market, whereby we sold an aggregate of $9.5 million worth of units, or Units, at a purchase price of $5.325 per Unit, with each Unit consisting of (i)one share of our common stock, and (ii) a warrant to purchase one share of our common stock, or Common Warrant, at an exercise price equal to $5.25 per share. We sold an aggregate of 1,783,587 Units in the offering for gross proceeds of approximately $9.5 million and net proceeds of approximately $8.8 million, net of underwriting discounts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have the same terms as the Common Warrants, except for the difference in exercise price noted above. Both the Common Warrants and the Placement Agent Warrants expired on December 11, 2018.</w:t>
      </w:r>
    </w:p>
    <w:p>
      <w:pPr>
        <w:spacing w:after="0" w:line="185" w:lineRule="exact"/>
        <w:rPr>
          <w:sz w:val="20"/>
          <w:szCs w:val="20"/>
          <w:color w:val="auto"/>
        </w:rPr>
      </w:pPr>
    </w:p>
    <w:p>
      <w:pPr>
        <w:ind w:left="40" w:right="219" w:firstLine="648"/>
        <w:spacing w:after="0" w:line="272" w:lineRule="auto"/>
        <w:rPr>
          <w:sz w:val="20"/>
          <w:szCs w:val="20"/>
          <w:color w:val="auto"/>
        </w:rPr>
      </w:pPr>
      <w:r>
        <w:rPr>
          <w:rFonts w:ascii="Arial" w:cs="Arial" w:eastAsia="Arial" w:hAnsi="Arial"/>
          <w:sz w:val="17"/>
          <w:szCs w:val="17"/>
          <w:color w:val="auto"/>
        </w:rPr>
        <w:t>In September 2018, we entered into a purchase agreement with certain institutional and accredited investors, which we refer to as the RDO Investors, for the sale by us directly to the RDO Investors of an aggregate of 2,966,667 shares of our common stock, at a purchase price of $3.00 per share, which we refer to as the 2018 Registered Direct Offering, for gross proceeds of approximately $8.9 million. The 2018 Registered Direct Offering closed on October 1, 2018, and we received estimated net proceeds of approximately $8.8 million, after deducting transaction expenses. The 2,966,667 shares of common stock sold in the 2018 Registered Direct Offering were offered and sold by us directly to the RDO Investors, without a placement agent, underwriter, broker or dealer.</w:t>
      </w:r>
    </w:p>
    <w:p>
      <w:pPr>
        <w:spacing w:after="0" w:line="177" w:lineRule="exact"/>
        <w:rPr>
          <w:sz w:val="20"/>
          <w:szCs w:val="20"/>
          <w:color w:val="auto"/>
        </w:rPr>
      </w:pPr>
    </w:p>
    <w:p>
      <w:pPr>
        <w:ind w:left="40" w:right="119" w:firstLine="648"/>
        <w:spacing w:after="0" w:line="218" w:lineRule="exact"/>
        <w:rPr>
          <w:sz w:val="20"/>
          <w:szCs w:val="20"/>
          <w:color w:val="auto"/>
        </w:rPr>
      </w:pPr>
      <w:r>
        <w:rPr>
          <w:rFonts w:ascii="Arial" w:cs="Arial" w:eastAsia="Arial" w:hAnsi="Arial"/>
          <w:sz w:val="17"/>
          <w:szCs w:val="17"/>
          <w:color w:val="auto"/>
        </w:rPr>
        <w:t>In March 2019, we entered into a loan and security agreement with SVB and WestRiver Innovation Lending Fund VIII, L.P., or WestRiver, for a term loan up to $24.0 million, which completely replaces the Original Term Loan and the First Amendment to the Original Term Loan. The initial tranche of $20.0 million was funded shortly after executing the loan agreement. The second tranche of $4.0 million is available to be drawn, at our option, subject to the achievement of positive data, on or prior to August 15, 2019, with respect to our ongoing Phase 2 clinical trial for AXS</w:t>
      </w:r>
      <w:r>
        <w:rPr>
          <w:rFonts w:ascii="MS PGothic" w:cs="MS PGothic" w:eastAsia="MS PGothic" w:hAnsi="MS PGothic"/>
          <w:sz w:val="17"/>
          <w:szCs w:val="17"/>
          <w:color w:val="auto"/>
        </w:rPr>
        <w:t>‑</w:t>
      </w:r>
      <w:r>
        <w:rPr>
          <w:rFonts w:ascii="Arial" w:cs="Arial" w:eastAsia="Arial" w:hAnsi="Arial"/>
          <w:sz w:val="17"/>
          <w:szCs w:val="17"/>
          <w:color w:val="auto"/>
        </w:rPr>
        <w:t>12 in narcolepsy, sufficient to submit a Phase 3 protocol to FDA, provided that we have not received any objections from the FDA within thirty days after submission of such Phase 3 protocol A portion of the initial tranche was used to satisfy our existing obligations under our November 2016 term loan facility with SVB, as amended in November 2018, and such obligations are considered fully repaid and extinguished.</w:t>
      </w:r>
    </w:p>
    <w:p>
      <w:pPr>
        <w:spacing w:after="0" w:line="203" w:lineRule="exact"/>
        <w:rPr>
          <w:sz w:val="20"/>
          <w:szCs w:val="20"/>
          <w:color w:val="auto"/>
        </w:rPr>
      </w:pPr>
    </w:p>
    <w:p>
      <w:pPr>
        <w:ind w:left="40" w:right="179" w:firstLine="648"/>
        <w:spacing w:after="0" w:line="271" w:lineRule="auto"/>
        <w:rPr>
          <w:sz w:val="20"/>
          <w:szCs w:val="20"/>
          <w:color w:val="auto"/>
        </w:rPr>
      </w:pPr>
      <w:r>
        <w:rPr>
          <w:rFonts w:ascii="Arial" w:cs="Arial" w:eastAsia="Arial" w:hAnsi="Arial"/>
          <w:sz w:val="17"/>
          <w:szCs w:val="17"/>
          <w:color w:val="auto"/>
        </w:rPr>
        <w:t>In May 2019, we entered into the May 2019 Sales Agreement with SVB Leerink, pursuant to which we may sell up to $50 million in shares of our common stock from time to time through SVB Leerink, acting as our sales agent, in one or more at-the-market offerings utilizing the 2016 Shelf Registration Statement. SVB Leerink is entitled to receive a commission of 3.0% of the gross proceeds for any shares sold under the May 2019 Sales Agreement. We received approximately $20.1 million in gross proceeds through the sale of 942,285 shares, of which net proceeds were approximately $19.5 million during the year ended December 31, 2019. Due to expiration of the 2016 Shelf Registration Statement, at our option, the shares that were unsold under the May 2019 Sales Agreement, may be rolled over to the December 2019 Sales Agreement (see below).</w:t>
      </w:r>
    </w:p>
    <w:p>
      <w:pPr>
        <w:spacing w:after="0" w:line="178" w:lineRule="exact"/>
        <w:rPr>
          <w:sz w:val="20"/>
          <w:szCs w:val="20"/>
          <w:color w:val="auto"/>
        </w:rPr>
      </w:pPr>
    </w:p>
    <w:p>
      <w:pPr>
        <w:ind w:left="40" w:right="179" w:firstLine="648"/>
        <w:spacing w:after="0" w:line="271" w:lineRule="auto"/>
        <w:rPr>
          <w:sz w:val="20"/>
          <w:szCs w:val="20"/>
          <w:color w:val="auto"/>
        </w:rPr>
      </w:pPr>
      <w:r>
        <w:rPr>
          <w:rFonts w:ascii="Arial" w:cs="Arial" w:eastAsia="Arial" w:hAnsi="Arial"/>
          <w:sz w:val="17"/>
          <w:szCs w:val="17"/>
          <w:color w:val="auto"/>
        </w:rPr>
        <w:t>In July 2019, we entered into the first amendment to the 2019 Term Loan, or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The Loan Advances mature on February 1, 2023. See the subsection titled “July 2019 First Amendment to Loan and Security Agreement – Silicon Valley Bank” under the “Contractual Obligations and Commitments” section below for a further description of the First Amendment to the 2019 Term Loan.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6" w:name="page127"/>
    <w:bookmarkEnd w:id="1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39" w:firstLine="648"/>
        <w:spacing w:after="0" w:line="253" w:lineRule="auto"/>
        <w:rPr>
          <w:sz w:val="20"/>
          <w:szCs w:val="20"/>
          <w:color w:val="auto"/>
        </w:rPr>
      </w:pPr>
      <w:r>
        <w:rPr>
          <w:rFonts w:ascii="Arial" w:cs="Arial" w:eastAsia="Arial" w:hAnsi="Arial"/>
          <w:sz w:val="18"/>
          <w:szCs w:val="18"/>
          <w:color w:val="auto"/>
        </w:rPr>
        <w:t>On December 5, 2019, we filed an automatic shelf registration statement with the SEC for the issuance of common stock, preferred stock, warrants, rights, debt securities and units up to an unlimited amount, which we refer to as the 2019 Shelf Registration Statement. It was declared effective by the SEC upon filing. As discussed in greater detail below, we entered into a sales agreement in December 2019 pursuant to which we sold shares of our common stock from time to time in an at-the-market offering and completed an offering of common stock in December 2019, each utilizing the 2019 Shelf Registration Statement. In the future, we may conduct additional offerings of one or more of these securities utilizing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94" w:lineRule="exact"/>
        <w:rPr>
          <w:sz w:val="20"/>
          <w:szCs w:val="20"/>
          <w:color w:val="auto"/>
        </w:rPr>
      </w:pPr>
    </w:p>
    <w:p>
      <w:pPr>
        <w:ind w:left="40" w:right="59" w:firstLine="648"/>
        <w:spacing w:after="0" w:line="273" w:lineRule="auto"/>
        <w:rPr>
          <w:sz w:val="20"/>
          <w:szCs w:val="20"/>
          <w:color w:val="auto"/>
        </w:rPr>
      </w:pPr>
      <w:r>
        <w:rPr>
          <w:rFonts w:ascii="Arial" w:cs="Arial" w:eastAsia="Arial" w:hAnsi="Arial"/>
          <w:sz w:val="17"/>
          <w:szCs w:val="17"/>
          <w:color w:val="auto"/>
        </w:rPr>
        <w:t>In December 2019, we entered into the December 2019 Sales Agreement with SVB Leerink, pursuant to which we may sell up to $80 million in shares of our common stock from time to time through SVB Leerink, acting as our sales agent, in one or more at-the-market offerings utilizing the 2019 Shelf Registration Statement. SVB Leerink is entitled to receive a commission of 3.0% of the gross proceeds for any shares sold under the December 2019 Sales Agreement. We received approximately $7.3 million in gross proceeds through the sale of 89,390 shares, of which net proceeds were approximately $7.1 million during the quarter ended December 31, 2019.</w:t>
      </w:r>
    </w:p>
    <w:p>
      <w:pPr>
        <w:spacing w:after="0" w:line="178" w:lineRule="exact"/>
        <w:rPr>
          <w:sz w:val="20"/>
          <w:szCs w:val="20"/>
          <w:color w:val="auto"/>
        </w:rPr>
      </w:pPr>
    </w:p>
    <w:p>
      <w:pPr>
        <w:ind w:left="40" w:right="199" w:firstLine="648"/>
        <w:spacing w:after="0" w:line="286" w:lineRule="auto"/>
        <w:rPr>
          <w:sz w:val="20"/>
          <w:szCs w:val="20"/>
          <w:color w:val="auto"/>
        </w:rPr>
      </w:pPr>
      <w:r>
        <w:rPr>
          <w:rFonts w:ascii="Arial" w:cs="Arial" w:eastAsia="Arial" w:hAnsi="Arial"/>
          <w:sz w:val="17"/>
          <w:szCs w:val="17"/>
          <w:color w:val="auto"/>
        </w:rPr>
        <w:t>In December 2019, we completed an underwritten public offering, whereby we sold 2,300,000 shares of our common stock at a public offering price of $87.00 per share. We received gross proceeds of approximately $200.1 million and net proceeds of approximately $187.1 million, net of underwriting discounts and offering expenses.</w:t>
      </w:r>
    </w:p>
    <w:p>
      <w:pPr>
        <w:spacing w:after="0" w:line="165" w:lineRule="exact"/>
        <w:rPr>
          <w:sz w:val="20"/>
          <w:szCs w:val="20"/>
          <w:color w:val="auto"/>
        </w:rPr>
      </w:pPr>
    </w:p>
    <w:p>
      <w:pPr>
        <w:ind w:left="40" w:right="199" w:firstLine="648"/>
        <w:spacing w:after="0" w:line="259" w:lineRule="auto"/>
        <w:rPr>
          <w:sz w:val="20"/>
          <w:szCs w:val="20"/>
          <w:color w:val="auto"/>
        </w:rPr>
      </w:pPr>
      <w:r>
        <w:rPr>
          <w:rFonts w:ascii="Arial" w:cs="Arial" w:eastAsia="Arial" w:hAnsi="Arial"/>
          <w:sz w:val="18"/>
          <w:szCs w:val="18"/>
          <w:color w:val="auto"/>
        </w:rPr>
        <w:t>We believe our current cash will be sufficient to fund our anticipated operating cash requirements for at least two years.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(46,375,059)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(30,053,701)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(26,471,652)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Financing activities</w:t>
            </w:r>
          </w:p>
        </w:tc>
        <w:tc>
          <w:tcPr>
            <w:tcW w:w="1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252,388,605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10,034,016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23,884,176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205,997,425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(20,052,381)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(2,597,374)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9" w:firstLine="648"/>
        <w:spacing w:after="0" w:line="311"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used in operating activities for the year ended December 31, 2019 was $46.4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$30.1 million for the year ended December 31, 2018. The increase of $16.3 million in net cash used was primarily related to higher research and development spend related to multiple product candidates in clinical trials.</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Net cash used in operating activities for the year ended December 31, 2018 was $30.1 million as compared to</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$26.5 million for the year ended December 31, 2017. The increase of $3.6 million in net cash used was primarily related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 increase in operating expenses in 2018 compared to 2017 for ADVANCE-1, STRIDE-1, and ASCEND clinical trials,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offset by increase in change in operating liabilities.</w:t>
      </w:r>
    </w:p>
    <w:p>
      <w:pPr>
        <w:spacing w:after="0" w:line="211" w:lineRule="exact"/>
        <w:rPr>
          <w:sz w:val="20"/>
          <w:szCs w:val="20"/>
          <w:color w:val="auto"/>
        </w:rPr>
      </w:pPr>
    </w:p>
    <w:p>
      <w:pPr>
        <w:ind w:left="40" w:right="119" w:firstLine="648"/>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equipment was less than $0.1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2019, 2018, and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7" w:name="page128"/>
    <w:bookmarkEnd w:id="1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spacing w:after="0"/>
        <w:tabs>
          <w:tab w:leader="none" w:pos="2360" w:val="left"/>
        </w:tabs>
        <w:rPr>
          <w:sz w:val="20"/>
          <w:szCs w:val="20"/>
          <w:color w:val="auto"/>
        </w:rPr>
      </w:pPr>
      <w:r>
        <w:rPr>
          <w:rFonts w:ascii="Arial" w:cs="Arial" w:eastAsia="Arial" w:hAnsi="Arial"/>
          <w:sz w:val="18"/>
          <w:szCs w:val="18"/>
          <w:i w:val="1"/>
          <w:iCs w:val="1"/>
          <w:color w:val="auto"/>
        </w:rPr>
        <w:t>Financing Activities.</w:t>
      </w:r>
      <w:r>
        <w:rPr>
          <w:sz w:val="20"/>
          <w:szCs w:val="20"/>
          <w:color w:val="auto"/>
        </w:rPr>
        <w:tab/>
      </w:r>
      <w:r>
        <w:rPr>
          <w:rFonts w:ascii="Arial" w:cs="Arial" w:eastAsia="Arial" w:hAnsi="Arial"/>
          <w:sz w:val="16"/>
          <w:szCs w:val="16"/>
          <w:color w:val="auto"/>
        </w:rPr>
        <w:t>Net cash provided by financing activities for the year ended December 31, 2019 was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$252.4 million, which includes net proceeds from the sale of common stock in the December 2019 public offering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$187.1 million, $51.6 million in proceeds from sales made through at-the market offerings, $1.4 million from the exercise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of options and warrants, and $20.0 million in proceeds from our March 2019 term loan which was partially offset by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repayment on our term loan of $7.2 million.</w:t>
      </w:r>
    </w:p>
    <w:p>
      <w:pPr>
        <w:spacing w:after="0" w:line="211" w:lineRule="exact"/>
        <w:rPr>
          <w:sz w:val="20"/>
          <w:szCs w:val="20"/>
          <w:color w:val="auto"/>
        </w:rPr>
      </w:pPr>
    </w:p>
    <w:p>
      <w:pPr>
        <w:ind w:left="40" w:right="279" w:firstLine="648"/>
        <w:spacing w:after="0" w:line="279" w:lineRule="auto"/>
        <w:rPr>
          <w:sz w:val="20"/>
          <w:szCs w:val="20"/>
          <w:color w:val="auto"/>
        </w:rPr>
      </w:pPr>
      <w:r>
        <w:rPr>
          <w:rFonts w:ascii="Arial" w:cs="Arial" w:eastAsia="Arial" w:hAnsi="Arial"/>
          <w:sz w:val="17"/>
          <w:szCs w:val="17"/>
          <w:color w:val="auto"/>
        </w:rPr>
        <w:t>Net cash provided by financing activities for the year ended December 31, 2018 was $10.0 million, which includes net proceeds from the sale of common stock in the October 2018 registered direct offering of $8.8 million, $4.1 million in proceeds from sales made through at-the-market offerings, as well as $0.5 million from the exercise of options and warrants, partially offset by principal repayment on our term loan of $3.3 million.</w:t>
      </w:r>
    </w:p>
    <w:p>
      <w:pPr>
        <w:spacing w:after="0" w:line="171"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Net cash provided by financing activities for the year ended December 31, 2017 was $23.9 million, which included the net proceeds from the sale of common stock in the March 2017 public offering of $14.8 million, the December 2017 registered direct offering of $8.8 million, $0.1 million in proceeds from sales made through at-the-market offerings, as well as $0.5 million from the exercise of options and warrants, partially offset by principal repayment on our November 2016 term loan with SVB of $0.3 million.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Funding requirements</w:t>
      </w:r>
    </w:p>
    <w:p>
      <w:pPr>
        <w:spacing w:after="0" w:line="229" w:lineRule="exact"/>
        <w:rPr>
          <w:sz w:val="20"/>
          <w:szCs w:val="20"/>
          <w:color w:val="auto"/>
        </w:rPr>
      </w:pPr>
    </w:p>
    <w:p>
      <w:pPr>
        <w:ind w:left="40" w:right="79" w:firstLine="648"/>
        <w:spacing w:after="0" w:line="275" w:lineRule="auto"/>
        <w:rPr>
          <w:sz w:val="20"/>
          <w:szCs w:val="20"/>
          <w:color w:val="auto"/>
        </w:rPr>
      </w:pPr>
      <w:r>
        <w:rPr>
          <w:rFonts w:ascii="Arial" w:cs="Arial" w:eastAsia="Arial" w:hAnsi="Arial"/>
          <w:sz w:val="17"/>
          <w:szCs w:val="17"/>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76" w:lineRule="exact"/>
        <w:rPr>
          <w:sz w:val="20"/>
          <w:szCs w:val="20"/>
          <w:color w:val="auto"/>
        </w:rPr>
      </w:pPr>
    </w:p>
    <w:p>
      <w:pPr>
        <w:ind w:left="40" w:right="99" w:firstLine="648"/>
        <w:spacing w:after="0" w:line="272" w:lineRule="auto"/>
        <w:rPr>
          <w:sz w:val="20"/>
          <w:szCs w:val="20"/>
          <w:color w:val="auto"/>
        </w:rPr>
      </w:pPr>
      <w:r>
        <w:rPr>
          <w:rFonts w:ascii="Arial" w:cs="Arial" w:eastAsia="Arial" w:hAnsi="Arial"/>
          <w:sz w:val="17"/>
          <w:szCs w:val="17"/>
          <w:color w:val="auto"/>
        </w:rPr>
        <w:t>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77" w:lineRule="exact"/>
        <w:rPr>
          <w:sz w:val="20"/>
          <w:szCs w:val="20"/>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and other related activities;</w:t>
      </w:r>
    </w:p>
    <w:p>
      <w:pPr>
        <w:spacing w:after="0" w:line="157" w:lineRule="exact"/>
        <w:rPr>
          <w:rFonts w:ascii="Arial" w:cs="Arial" w:eastAsia="Arial" w:hAnsi="Arial"/>
          <w:sz w:val="18"/>
          <w:szCs w:val="18"/>
          <w:color w:val="auto"/>
        </w:rPr>
      </w:pPr>
    </w:p>
    <w:p>
      <w:pPr>
        <w:ind w:left="700" w:right="559" w:hanging="332"/>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102" w:lineRule="exact"/>
        <w:rPr>
          <w:rFonts w:ascii="Arial" w:cs="Arial" w:eastAsia="Arial" w:hAnsi="Arial"/>
          <w:sz w:val="18"/>
          <w:szCs w:val="18"/>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and development requirements of any other product candidates that we pursue;</w:t>
      </w:r>
    </w:p>
    <w:p>
      <w:pPr>
        <w:spacing w:after="0" w:line="157" w:lineRule="exact"/>
        <w:rPr>
          <w:rFonts w:ascii="Arial" w:cs="Arial" w:eastAsia="Arial" w:hAnsi="Arial"/>
          <w:sz w:val="18"/>
          <w:szCs w:val="18"/>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157" w:lineRule="exact"/>
        <w:rPr>
          <w:rFonts w:ascii="Arial" w:cs="Arial" w:eastAsia="Arial" w:hAnsi="Arial"/>
          <w:sz w:val="18"/>
          <w:szCs w:val="18"/>
          <w:color w:val="auto"/>
        </w:rPr>
      </w:pPr>
    </w:p>
    <w:p>
      <w:pPr>
        <w:ind w:left="700" w:right="59" w:hanging="332"/>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02" w:lineRule="exact"/>
        <w:rPr>
          <w:rFonts w:ascii="Arial" w:cs="Arial" w:eastAsia="Arial" w:hAnsi="Arial"/>
          <w:sz w:val="18"/>
          <w:szCs w:val="18"/>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 candidates;</w:t>
      </w:r>
    </w:p>
    <w:p>
      <w:pPr>
        <w:spacing w:after="0" w:line="157" w:lineRule="exact"/>
        <w:rPr>
          <w:rFonts w:ascii="Arial" w:cs="Arial" w:eastAsia="Arial" w:hAnsi="Arial"/>
          <w:sz w:val="18"/>
          <w:szCs w:val="18"/>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57" w:lineRule="exact"/>
        <w:rPr>
          <w:rFonts w:ascii="Arial" w:cs="Arial" w:eastAsia="Arial" w:hAnsi="Arial"/>
          <w:sz w:val="18"/>
          <w:szCs w:val="18"/>
          <w:color w:val="auto"/>
        </w:rPr>
      </w:pPr>
    </w:p>
    <w:p>
      <w:pPr>
        <w:ind w:left="700" w:hanging="33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general and administrative expenses related to being a public company;</w:t>
      </w:r>
    </w:p>
    <w:p>
      <w:pPr>
        <w:spacing w:after="0" w:line="157" w:lineRule="exact"/>
        <w:rPr>
          <w:rFonts w:ascii="Arial" w:cs="Arial" w:eastAsia="Arial" w:hAnsi="Arial"/>
          <w:sz w:val="18"/>
          <w:szCs w:val="18"/>
          <w:color w:val="auto"/>
        </w:rPr>
      </w:pPr>
    </w:p>
    <w:p>
      <w:pPr>
        <w:ind w:left="700" w:right="399" w:hanging="332"/>
        <w:spacing w:after="0" w:line="277"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102" w:lineRule="exact"/>
        <w:rPr>
          <w:rFonts w:ascii="Arial" w:cs="Arial" w:eastAsia="Arial" w:hAnsi="Arial"/>
          <w:sz w:val="18"/>
          <w:szCs w:val="18"/>
          <w:color w:val="auto"/>
        </w:rPr>
      </w:pPr>
    </w:p>
    <w:p>
      <w:pPr>
        <w:ind w:left="700" w:right="719" w:hanging="332"/>
        <w:spacing w:after="0" w:line="223" w:lineRule="exact"/>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8" w:name="page129"/>
    <w:bookmarkEnd w:id="1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Please see “Risk Factors” for additional risks associated with our substantial capital requirements.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our contractual obligations as of December 31, 2019:</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rPr>
              <w:t>Less than</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More than</w:t>
            </w:r>
          </w:p>
        </w:tc>
      </w:tr>
      <w:tr>
        <w:trPr>
          <w:trHeight w:val="201"/>
        </w:trPr>
        <w:tc>
          <w:tcPr>
            <w:tcW w:w="35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96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Arial" w:cs="Arial" w:eastAsia="Arial" w:hAnsi="Arial"/>
                <w:sz w:val="14"/>
                <w:szCs w:val="14"/>
                <w:b w:val="1"/>
                <w:bCs w:val="1"/>
                <w:color w:val="auto"/>
              </w:rPr>
              <w:t>one year</w:t>
            </w:r>
          </w:p>
        </w:tc>
        <w:tc>
          <w:tcPr>
            <w:tcW w:w="180" w:type="dxa"/>
            <w:vAlign w:val="bottom"/>
          </w:tcPr>
          <w:p>
            <w:pPr>
              <w:spacing w:after="0"/>
              <w:rPr>
                <w:sz w:val="17"/>
                <w:szCs w:val="17"/>
                <w:color w:val="auto"/>
              </w:rPr>
            </w:pPr>
          </w:p>
        </w:tc>
        <w:tc>
          <w:tcPr>
            <w:tcW w:w="960" w:type="dxa"/>
            <w:vAlign w:val="bottom"/>
          </w:tcPr>
          <w:p>
            <w:pPr>
              <w:jc w:val="right"/>
              <w:ind w:right="76"/>
              <w:spacing w:after="0"/>
              <w:rPr>
                <w:sz w:val="20"/>
                <w:szCs w:val="20"/>
                <w:color w:val="auto"/>
              </w:rPr>
            </w:pPr>
            <w:r>
              <w:rPr>
                <w:rFonts w:ascii="Arial" w:cs="Arial" w:eastAsia="Arial" w:hAnsi="Arial"/>
                <w:sz w:val="14"/>
                <w:szCs w:val="14"/>
                <w:b w:val="1"/>
                <w:bCs w:val="1"/>
                <w:color w:val="auto"/>
              </w:rPr>
              <w:t>1 - 3 years</w:t>
            </w:r>
          </w:p>
        </w:tc>
        <w:tc>
          <w:tcPr>
            <w:tcW w:w="180" w:type="dxa"/>
            <w:vAlign w:val="bottom"/>
          </w:tcPr>
          <w:p>
            <w:pPr>
              <w:spacing w:after="0"/>
              <w:rPr>
                <w:sz w:val="17"/>
                <w:szCs w:val="17"/>
                <w:color w:val="auto"/>
              </w:rPr>
            </w:pPr>
          </w:p>
        </w:tc>
        <w:tc>
          <w:tcPr>
            <w:tcW w:w="880" w:type="dxa"/>
            <w:vAlign w:val="bottom"/>
          </w:tcPr>
          <w:p>
            <w:pPr>
              <w:jc w:val="right"/>
              <w:ind w:right="36"/>
              <w:spacing w:after="0"/>
              <w:rPr>
                <w:sz w:val="20"/>
                <w:szCs w:val="20"/>
                <w:color w:val="auto"/>
              </w:rPr>
            </w:pPr>
            <w:r>
              <w:rPr>
                <w:rFonts w:ascii="Arial" w:cs="Arial" w:eastAsia="Arial" w:hAnsi="Arial"/>
                <w:sz w:val="14"/>
                <w:szCs w:val="14"/>
                <w:b w:val="1"/>
                <w:bCs w:val="1"/>
                <w:color w:val="auto"/>
              </w:rPr>
              <w:t>3 - 5 years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5 years</w:t>
            </w:r>
          </w:p>
        </w:tc>
      </w:tr>
      <w:tr>
        <w:trPr>
          <w:trHeight w:val="209"/>
        </w:trPr>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Term loan</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22,982,083</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4,166,389</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17,469,444</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1,346,250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7"/>
        </w:trPr>
        <w:tc>
          <w:tcPr>
            <w:tcW w:w="35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22,982,083</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4,166,389</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17,469,444</w:t>
            </w:r>
          </w:p>
        </w:tc>
        <w:tc>
          <w:tcPr>
            <w:tcW w:w="1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1,346,250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i w:val="1"/>
                <w:iCs w:val="1"/>
                <w:color w:val="auto"/>
                <w:w w:val="96"/>
              </w:rPr>
              <w:t>License agreements with Antecip Bioventures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40" w:right="99" w:firstLine="648"/>
        <w:spacing w:after="0" w:line="275"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 For a more detailed description of these agreements, please see “Business—Material License Agreements.”</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License agreement with Pfizer</w:t>
      </w:r>
    </w:p>
    <w:p>
      <w:pPr>
        <w:spacing w:after="0" w:line="225" w:lineRule="exact"/>
        <w:rPr>
          <w:sz w:val="20"/>
          <w:szCs w:val="20"/>
          <w:color w:val="auto"/>
        </w:rPr>
      </w:pPr>
    </w:p>
    <w:p>
      <w:pPr>
        <w:ind w:left="40" w:right="119" w:firstLine="648"/>
        <w:spacing w:after="0" w:line="254" w:lineRule="auto"/>
        <w:rPr>
          <w:sz w:val="20"/>
          <w:szCs w:val="20"/>
          <w:color w:val="auto"/>
        </w:rPr>
      </w:pPr>
      <w:r>
        <w:rPr>
          <w:rFonts w:ascii="Arial" w:cs="Arial" w:eastAsia="Arial" w:hAnsi="Arial"/>
          <w:sz w:val="18"/>
          <w:szCs w:val="18"/>
          <w:color w:val="auto"/>
        </w:rPr>
        <w:t>Subsequent to December 31, 2019, we entered into a license agreement with Pfizer. Under the terms of our exclusive license agreement with Pfizer, Pfizer received 82,019 shares of our common stock having a value of $8 million, based on the average closing price of the Company’s common stock for the 10 prior trading days of $97.538, in consideration for the license and rights. Pfizer also received an upfront cash payment of $3 million and will also receive up to $323 million upon the achievement of certain regulatory and sales milestones, and tiered mid-single to low double-digit royalties on future sales. Pfizer will also have a right of first negotiation on any potential future strategic transactions involving AXS-12 and AXS-14. For a more detailed description of these agreements, please see “Business—Material License Agreements.”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November 2016 Loan and Security Agreement—Silicon Valley Bank</w:t>
      </w:r>
    </w:p>
    <w:p>
      <w:pPr>
        <w:spacing w:after="0" w:line="225"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color w:val="auto"/>
        </w:rPr>
        <w:t>In November 2016, we entered into the 2016 Original Term Loan with SVB and Life Sciences Loans, LLC, for a term loan of up to $20.0 million. The initial tranche of $10.0 million was funded shortly after executing the loan agreement. We were scheduled to make interest only payments on the loan until December 1, 2017, which could have been extended under certain circumstances.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66" w:lineRule="exact"/>
        <w:rPr>
          <w:sz w:val="20"/>
          <w:szCs w:val="20"/>
          <w:color w:val="auto"/>
        </w:rPr>
      </w:pPr>
    </w:p>
    <w:p>
      <w:pPr>
        <w:ind w:left="40" w:right="119" w:firstLine="648"/>
        <w:spacing w:after="0" w:line="279" w:lineRule="auto"/>
        <w:rPr>
          <w:sz w:val="20"/>
          <w:szCs w:val="20"/>
          <w:color w:val="auto"/>
        </w:rPr>
      </w:pPr>
      <w:r>
        <w:rPr>
          <w:rFonts w:ascii="Arial" w:cs="Arial" w:eastAsia="Arial" w:hAnsi="Arial"/>
          <w:sz w:val="17"/>
          <w:szCs w:val="17"/>
          <w:color w:val="auto"/>
        </w:rPr>
        <w:t>The 2016 Original Term Loan accrued interest at an annual rate equal to 4.50% plus the prime rate, which was the greater of 3.50% or the Wall Street Journal prime rate, and was payable monthly. Following the interest only payment period, we began making monthly payments of principal and interest. In addition, we were required to pay a final payment fee of 8.5% of the principal amount extended to us on the date of repayment of the outstanding loan.</w:t>
      </w:r>
    </w:p>
    <w:p>
      <w:pPr>
        <w:spacing w:after="0" w:line="171" w:lineRule="exact"/>
        <w:rPr>
          <w:sz w:val="20"/>
          <w:szCs w:val="20"/>
          <w:color w:val="auto"/>
        </w:rPr>
      </w:pPr>
    </w:p>
    <w:p>
      <w:pPr>
        <w:ind w:left="40" w:right="199" w:firstLine="648"/>
        <w:spacing w:after="0" w:line="257" w:lineRule="auto"/>
        <w:rPr>
          <w:sz w:val="20"/>
          <w:szCs w:val="20"/>
          <w:color w:val="auto"/>
        </w:rPr>
      </w:pPr>
      <w:r>
        <w:rPr>
          <w:rFonts w:ascii="Arial" w:cs="Arial" w:eastAsia="Arial" w:hAnsi="Arial"/>
          <w:sz w:val="18"/>
          <w:szCs w:val="18"/>
          <w:color w:val="auto"/>
        </w:rPr>
        <w:t>We were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was collateralized by a security interest in all of our assets except intellectual property. Our intellectual property was subject to a negative pledge.</w:t>
      </w:r>
    </w:p>
    <w:p>
      <w:pPr>
        <w:spacing w:after="0" w:line="188" w:lineRule="exact"/>
        <w:rPr>
          <w:sz w:val="20"/>
          <w:szCs w:val="20"/>
          <w:color w:val="auto"/>
        </w:rPr>
      </w:pPr>
    </w:p>
    <w:p>
      <w:pPr>
        <w:jc w:val="both"/>
        <w:ind w:left="40" w:right="59" w:firstLine="648"/>
        <w:spacing w:after="0" w:line="263" w:lineRule="auto"/>
        <w:rPr>
          <w:sz w:val="20"/>
          <w:szCs w:val="20"/>
          <w:color w:val="auto"/>
        </w:rPr>
      </w:pPr>
      <w:r>
        <w:rPr>
          <w:rFonts w:ascii="Arial" w:cs="Arial" w:eastAsia="Arial" w:hAnsi="Arial"/>
          <w:sz w:val="18"/>
          <w:szCs w:val="18"/>
          <w:color w:val="auto"/>
        </w:rPr>
        <w:t>In connection with the loan, SVB and Life Science Loans, LLC, received warrants to purchase an aggregate 65,228 shares of our common stock at an exercise price of $7.41 per share, which are exercisable for seven years from the date of issuance.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9" w:name="page130"/>
    <w:bookmarkEnd w:id="1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40" w:right="119" w:firstLine="648"/>
        <w:spacing w:after="0" w:line="301" w:lineRule="auto"/>
        <w:rPr>
          <w:sz w:val="20"/>
          <w:szCs w:val="20"/>
          <w:color w:val="auto"/>
        </w:rPr>
      </w:pPr>
      <w:r>
        <w:rPr>
          <w:rFonts w:ascii="Arial" w:cs="Arial" w:eastAsia="Arial" w:hAnsi="Arial"/>
          <w:sz w:val="16"/>
          <w:szCs w:val="16"/>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was being amortized to interest expense over the term of the debt.</w:t>
      </w:r>
    </w:p>
    <w:p>
      <w:pPr>
        <w:spacing w:after="0" w:line="157" w:lineRule="exact"/>
        <w:rPr>
          <w:sz w:val="20"/>
          <w:szCs w:val="20"/>
          <w:color w:val="auto"/>
        </w:rPr>
      </w:pPr>
    </w:p>
    <w:p>
      <w:pPr>
        <w:ind w:left="40" w:right="79" w:firstLine="648"/>
        <w:spacing w:after="0" w:line="291" w:lineRule="auto"/>
        <w:rPr>
          <w:sz w:val="20"/>
          <w:szCs w:val="20"/>
          <w:color w:val="auto"/>
        </w:rPr>
      </w:pPr>
      <w:r>
        <w:rPr>
          <w:rFonts w:ascii="Arial" w:cs="Arial" w:eastAsia="Arial" w:hAnsi="Arial"/>
          <w:sz w:val="16"/>
          <w:szCs w:val="16"/>
          <w:color w:val="auto"/>
        </w:rPr>
        <w:t>In November 2018, we amended the 2016 Original Term Loan with SVB and WestRiver Innovation Lending Fund VIII, L.P, to provide an additional $4 million growth capital loan, related to our narcolepsy clinical program with AXS-</w:t>
      </w:r>
    </w:p>
    <w:p>
      <w:pPr>
        <w:jc w:val="both"/>
        <w:ind w:left="40" w:right="99" w:firstLine="4"/>
        <w:spacing w:after="0" w:line="253" w:lineRule="auto"/>
        <w:tabs>
          <w:tab w:leader="none" w:pos="3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additional capital was available to be drawn, at our option, subject to the achievement of a specified clinical milestone. In connection with the 2016 Amended Term Loan, SVB and WestRiver received warrants to purchase an aggregate 15,750 shares of our common stock at an exercise price of $3.06 per share, which are exercisable for seven years from the date of issuance.</w:t>
      </w:r>
    </w:p>
    <w:p>
      <w:pPr>
        <w:spacing w:after="0" w:line="193" w:lineRule="exact"/>
        <w:rPr>
          <w:sz w:val="20"/>
          <w:szCs w:val="20"/>
          <w:color w:val="auto"/>
        </w:rPr>
      </w:pPr>
    </w:p>
    <w:p>
      <w:pPr>
        <w:ind w:left="40" w:right="219" w:firstLine="648"/>
        <w:spacing w:after="0" w:line="263" w:lineRule="auto"/>
        <w:rPr>
          <w:sz w:val="20"/>
          <w:szCs w:val="20"/>
          <w:color w:val="auto"/>
        </w:rPr>
      </w:pPr>
      <w:r>
        <w:rPr>
          <w:rFonts w:ascii="Arial" w:cs="Arial" w:eastAsia="Arial" w:hAnsi="Arial"/>
          <w:sz w:val="18"/>
          <w:szCs w:val="18"/>
          <w:color w:val="auto"/>
        </w:rPr>
        <w:t>Our obligations under the 2016 Amended Term Loan, along with the ability to draw down on the additional $4.0 million tranche, were considered to be performed and completed in connection with the establishment of the 2019 Term Loan during March 2019.</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March 2019 Loan and Security Agreement—Silicon Valley Bank</w:t>
      </w:r>
    </w:p>
    <w:p>
      <w:pPr>
        <w:spacing w:after="0" w:line="225" w:lineRule="exact"/>
        <w:rPr>
          <w:sz w:val="20"/>
          <w:szCs w:val="20"/>
          <w:color w:val="auto"/>
        </w:rPr>
      </w:pPr>
    </w:p>
    <w:p>
      <w:pPr>
        <w:ind w:left="40" w:right="279" w:firstLine="648"/>
        <w:spacing w:after="0" w:line="254" w:lineRule="auto"/>
        <w:rPr>
          <w:sz w:val="20"/>
          <w:szCs w:val="20"/>
          <w:color w:val="auto"/>
        </w:rPr>
      </w:pPr>
      <w:r>
        <w:rPr>
          <w:rFonts w:ascii="Arial" w:cs="Arial" w:eastAsia="Arial" w:hAnsi="Arial"/>
          <w:sz w:val="18"/>
          <w:szCs w:val="18"/>
          <w:color w:val="auto"/>
        </w:rPr>
        <w:t>In March 2019, we entered into the 2019 Term Loan with SVB and WestRiver consisting of an initial $20.0 million tranche, which was funded shortly upon closing, with the remaining $4.0 million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A portion of the first tranche was used to satisfy our then-existing obligations under our 2016 Amended Term Loan and such obligations are considered to be fully repaid and completed.</w:t>
      </w:r>
    </w:p>
    <w:p>
      <w:pPr>
        <w:spacing w:after="0" w:line="195" w:lineRule="exact"/>
        <w:rPr>
          <w:sz w:val="20"/>
          <w:szCs w:val="20"/>
          <w:color w:val="auto"/>
        </w:rPr>
      </w:pPr>
    </w:p>
    <w:p>
      <w:pPr>
        <w:ind w:left="40" w:right="239" w:firstLine="648"/>
        <w:spacing w:after="0" w:line="290" w:lineRule="auto"/>
        <w:rPr>
          <w:sz w:val="20"/>
          <w:szCs w:val="20"/>
          <w:color w:val="auto"/>
        </w:rPr>
      </w:pPr>
      <w:r>
        <w:rPr>
          <w:rFonts w:ascii="Arial" w:cs="Arial" w:eastAsia="Arial" w:hAnsi="Arial"/>
          <w:sz w:val="16"/>
          <w:szCs w:val="16"/>
          <w:color w:val="auto"/>
        </w:rPr>
        <w:t>The 2019 Term Loan accrues interest on the unpaid principal balance of the outstanding loan advances at a floating per annum rate equal to the greater of (i) seven and one-half of one percent (7.50%) and (ii) two percent (2.0%) above the prime rate and is payable monthly. The 2019 Term Loan initially had an interest-only monthly payment period for twelve months which was extendable to 18 months upon drawing of the second tranche. Following the interest only payment period, we will begin making monthly payments of principal and interest and these payments will continue until the maturity date of February 1, 2023. In addition, we were initially required to pay a final payment fee of 6.0% of the principal amount extended to us on the date of repayment of the outstanding loan, which was increased to 6.3% in connection with the First Amendment to the 2019 Term Loan, as described below.</w:t>
      </w:r>
    </w:p>
    <w:p>
      <w:pPr>
        <w:spacing w:after="0" w:line="165" w:lineRule="exact"/>
        <w:rPr>
          <w:sz w:val="20"/>
          <w:szCs w:val="20"/>
          <w:color w:val="auto"/>
        </w:rPr>
      </w:pPr>
    </w:p>
    <w:p>
      <w:pPr>
        <w:ind w:left="40" w:right="139" w:firstLine="648"/>
        <w:spacing w:after="0" w:line="255" w:lineRule="auto"/>
        <w:rPr>
          <w:sz w:val="20"/>
          <w:szCs w:val="20"/>
          <w:color w:val="auto"/>
        </w:rPr>
      </w:pPr>
      <w:r>
        <w:rPr>
          <w:rFonts w:ascii="Arial" w:cs="Arial" w:eastAsia="Arial" w:hAnsi="Arial"/>
          <w:sz w:val="18"/>
          <w:szCs w:val="18"/>
          <w:color w:val="auto"/>
        </w:rPr>
        <w:t>We were initially permitted to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prior to the second anniversary of the effective date, and 1.0% of the outstanding principal if prepaid after the second anniversary of the effective date. The term loan is collateralized by a security interest in all of our assets except intellectual property. Our intellectual property is subject to a negative pledge.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connection with the 2019 Term Loan, SVB and WestRiver received warrants, or the March 2019 Warrants, to</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purchase an aggregate 70,000 shares of our common stock at an exercise price of $8.10 per share, which are exercisable for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seven years from the date of issuance. The warrants were to be earned based upon the usage of the facility and are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exercisable until March 4, 2026. The warrants were classified as a component of stockholders’ equity, of which 58,332</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warrants were immediately exercisable and the remaining 11,668 warrants would be earned upon drawing of the second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$4.0 million tranche under the loan. In connection with the First Amendment to the 2019 Term Loan, the shares of common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 issuable under each of the March 2019 Warrants were fixed at 29,167 shares, as described further 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0" w:name="page131"/>
    <w:bookmarkEnd w:id="1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40" w:right="119" w:firstLine="648"/>
        <w:spacing w:after="0" w:line="301" w:lineRule="auto"/>
        <w:rPr>
          <w:sz w:val="20"/>
          <w:szCs w:val="20"/>
          <w:color w:val="auto"/>
        </w:rPr>
      </w:pPr>
      <w:r>
        <w:rPr>
          <w:rFonts w:ascii="Arial" w:cs="Arial" w:eastAsia="Arial" w:hAnsi="Arial"/>
          <w:sz w:val="16"/>
          <w:szCs w:val="16"/>
          <w:color w:val="auto"/>
        </w:rPr>
        <w:t>We allocated the proceeds of $20.0 million based on the relative fair values of the debt instrument and the warrant instrument.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July 2019 First Amendment to Loan and Security Agreement—Silicon Valley Bank</w:t>
      </w:r>
    </w:p>
    <w:p>
      <w:pPr>
        <w:spacing w:after="0" w:line="225" w:lineRule="exact"/>
        <w:rPr>
          <w:sz w:val="20"/>
          <w:szCs w:val="20"/>
          <w:color w:val="auto"/>
        </w:rPr>
      </w:pPr>
    </w:p>
    <w:p>
      <w:pPr>
        <w:ind w:left="40" w:right="299" w:firstLine="648"/>
        <w:spacing w:after="0" w:line="296" w:lineRule="auto"/>
        <w:rPr>
          <w:sz w:val="20"/>
          <w:szCs w:val="20"/>
          <w:color w:val="auto"/>
        </w:rPr>
      </w:pPr>
      <w:r>
        <w:rPr>
          <w:rFonts w:ascii="Arial" w:cs="Arial" w:eastAsia="Arial" w:hAnsi="Arial"/>
          <w:sz w:val="16"/>
          <w:szCs w:val="16"/>
          <w:color w:val="auto"/>
        </w:rPr>
        <w:t>In July 2019, we entered into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The Loan Advances mature on February 1, 2023.</w:t>
      </w:r>
    </w:p>
    <w:p>
      <w:pPr>
        <w:spacing w:after="0" w:line="161" w:lineRule="exact"/>
        <w:rPr>
          <w:sz w:val="20"/>
          <w:szCs w:val="20"/>
          <w:color w:val="auto"/>
        </w:rPr>
      </w:pPr>
    </w:p>
    <w:p>
      <w:pPr>
        <w:ind w:left="40" w:right="99" w:firstLine="648"/>
        <w:spacing w:after="0" w:line="271"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we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w:t>
      </w:r>
    </w:p>
    <w:p>
      <w:pPr>
        <w:spacing w:after="0" w:line="178"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We may prepay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192"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the July 2019 Warrants, which become exercisable only upon funding of the Term B Loan Advance, to purchase 5,750 shares of our common stock at a price per share equal to $25.71. The July 2019 Warrants replace the portion of the March 2019 Warrants that could originally be earned by SVB and WestRiver upon funding of the Term B Loan Advance. The July 2019 Warrants, if earned, will be exercisable until July 24, 2026 and will be exercised automatically on a net issuance basis if not exercised prior to the expiration date and if the then-current fair market value of one share of our common stock is greater than the exercise price then in effect.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Shelf Registration Statement</w:t>
      </w:r>
    </w:p>
    <w:p>
      <w:pPr>
        <w:spacing w:after="0" w:line="94"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On December 5, 2019, we filed a Form S-3ASR (File No. 333-235372) with the SEC, or the 2019 Shelf Registration Statement, for the issuance of common stock, preferred stock, warrants, rights, debt securities and units, which became effective immediately upon filing. At the time any of the securities covered by the 2019 Shelf Registration Statement are offered for sale, a prospectus supplement will be prepared and filed with the SEC containing specific information about the terms of any such offering.</w:t>
      </w:r>
    </w:p>
    <w:p>
      <w:pPr>
        <w:spacing w:after="0" w:line="62"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ind w:left="40" w:right="199" w:firstLine="648"/>
        <w:spacing w:after="0" w:line="22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1" w:name="page132"/>
    <w:bookmarkEnd w:id="1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left="40" w:right="59" w:firstLine="648"/>
        <w:spacing w:after="0" w:line="293"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Furthermore, we anticipate that we will no longer be an emerging growth company as of December 31, 2020.</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40" w:right="239" w:firstLine="648"/>
        <w:spacing w:after="0" w:line="263" w:lineRule="auto"/>
        <w:rPr>
          <w:sz w:val="20"/>
          <w:szCs w:val="20"/>
          <w:color w:val="auto"/>
        </w:rPr>
      </w:pPr>
      <w:r>
        <w:rPr>
          <w:rFonts w:ascii="Arial" w:cs="Arial" w:eastAsia="Arial" w:hAnsi="Arial"/>
          <w:sz w:val="18"/>
          <w:szCs w:val="18"/>
          <w:color w:val="auto"/>
        </w:rPr>
        <w:t>Refer to Note 2 – Summary of Significant Accounting Policies to our consolidated financial statements included in Part IV, Exhibits and Financial Statement Schedules, of this Annual Report on Form 10-K for a discussion of recently issued accounting pronouncements.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left="40" w:right="239" w:firstLine="648"/>
        <w:spacing w:after="0" w:line="218" w:lineRule="exact"/>
        <w:rPr>
          <w:sz w:val="20"/>
          <w:szCs w:val="20"/>
          <w:color w:val="auto"/>
        </w:rPr>
      </w:pPr>
      <w:r>
        <w:rPr>
          <w:rFonts w:ascii="Arial" w:cs="Arial" w:eastAsia="Arial" w:hAnsi="Arial"/>
          <w:sz w:val="17"/>
          <w:szCs w:val="17"/>
          <w:color w:val="auto"/>
        </w:rPr>
        <w:t>We are exposed to market risks in the ordinary course of our business. These market risks are principally limited to interest rate fluctuations. We had cash of $220.0 million as of December 31, 2019.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our investment portfolio and debt agreement,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left="40" w:right="79" w:firstLine="648"/>
        <w:spacing w:after="0" w:line="219" w:lineRule="exact"/>
        <w:rPr>
          <w:sz w:val="20"/>
          <w:szCs w:val="20"/>
          <w:color w:val="auto"/>
        </w:rPr>
      </w:pPr>
      <w:r>
        <w:rPr>
          <w:rFonts w:ascii="Arial" w:cs="Arial" w:eastAsia="Arial" w:hAnsi="Arial"/>
          <w:sz w:val="18"/>
          <w:szCs w:val="18"/>
          <w:color w:val="auto"/>
        </w:rPr>
        <w:t>We contract with vendors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205" w:lineRule="exact"/>
        <w:rPr>
          <w:sz w:val="20"/>
          <w:szCs w:val="20"/>
          <w:color w:val="auto"/>
        </w:rPr>
      </w:pPr>
    </w:p>
    <w:p>
      <w:pPr>
        <w:ind w:left="40" w:right="279" w:firstLine="648"/>
        <w:spacing w:after="0" w:line="277" w:lineRule="auto"/>
        <w:rPr>
          <w:sz w:val="20"/>
          <w:szCs w:val="20"/>
          <w:color w:val="auto"/>
        </w:rPr>
      </w:pPr>
      <w:r>
        <w:rPr>
          <w:rFonts w:ascii="Arial" w:cs="Arial" w:eastAsia="Arial" w:hAnsi="Arial"/>
          <w:sz w:val="18"/>
          <w:szCs w:val="18"/>
          <w:color w:val="auto"/>
        </w:rPr>
        <w:t>We do not believe a 10% change in these currencies on December 31, 2019 would have had a material effect on our results of operations or financial condition.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jc w:val="both"/>
        <w:ind w:left="40" w:right="579" w:firstLine="648"/>
        <w:spacing w:after="0" w:line="263"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year ended December 31, 2019.</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40" w:right="979" w:firstLine="648"/>
        <w:spacing w:after="0" w:line="277" w:lineRule="auto"/>
        <w:rPr>
          <w:sz w:val="20"/>
          <w:szCs w:val="20"/>
          <w:color w:val="auto"/>
        </w:rPr>
      </w:pPr>
      <w:r>
        <w:rPr>
          <w:rFonts w:ascii="Arial" w:cs="Arial" w:eastAsia="Arial" w:hAnsi="Arial"/>
          <w:sz w:val="18"/>
          <w:szCs w:val="18"/>
          <w:color w:val="auto"/>
        </w:rPr>
        <w:t>Our consolidated financial statements and the notes thereto, included in Part IV, Item 15(a), part 1, are incorporated by reference into this Item 8.</w:t>
      </w:r>
    </w:p>
    <w:p>
      <w:pPr>
        <w:spacing w:after="0" w:line="166" w:lineRule="exact"/>
        <w:rPr>
          <w:sz w:val="20"/>
          <w:szCs w:val="20"/>
          <w:color w:val="auto"/>
        </w:rPr>
      </w:pPr>
    </w:p>
    <w:p>
      <w:pPr>
        <w:ind w:left="40" w:right="105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2" w:name="page133"/>
    <w:bookmarkEnd w:id="1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40" w:right="59" w:firstLine="648"/>
        <w:spacing w:after="0" w:line="286"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management, with the participation of our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and principal financial officer, evaluated the effectiveness of our disclosure controls and procedures as of December 31, 2019.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in the reports that it files or submits under the Exchange Act is accumulated and communicated to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2019, our principal executive officer and principal financial officer concluded that, as of such date, our disclosure controls and procedures were effective.</w:t>
      </w:r>
    </w:p>
    <w:p>
      <w:pPr>
        <w:spacing w:after="0" w:line="171" w:lineRule="exact"/>
        <w:rPr>
          <w:sz w:val="20"/>
          <w:szCs w:val="20"/>
          <w:color w:val="auto"/>
        </w:rPr>
      </w:pPr>
    </w:p>
    <w:p>
      <w:pPr>
        <w:ind w:left="40" w:right="179" w:firstLine="648"/>
        <w:spacing w:after="0" w:line="272"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Our management is responsible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establishing and maintaining adequate internal control over financial reporting (as defined in Rule 13a-15(f) or Rule 15d-15(f) under the Exchange Act). Our management assessed the effectiveness of our internal control over financial reporting as of December 31, 2019. In making this assessment, our management used the criteria established in Internal Control – Integrated Framework (2013) issued by the Committee of Sponsoring Organizations of the Treadway Commission, or COSO Framework. Our management has concluded that, as of December 31, 2019, our internal control over financial reporting was effective based on these criteria.</w:t>
      </w:r>
    </w:p>
    <w:p>
      <w:pPr>
        <w:spacing w:after="0" w:line="177"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the attestation by our independent registered public accounting firm because emerging growth companies are exempt from this requirement. However, we anticipate that we will be required to include such an attestation report with our next annual report in 2021 for the year ended December 31, 2020.</w:t>
      </w:r>
    </w:p>
    <w:p>
      <w:pPr>
        <w:spacing w:after="0" w:line="188" w:lineRule="exact"/>
        <w:rPr>
          <w:sz w:val="20"/>
          <w:szCs w:val="20"/>
          <w:color w:val="auto"/>
        </w:rPr>
      </w:pPr>
    </w:p>
    <w:p>
      <w:pPr>
        <w:ind w:left="40" w:right="79" w:firstLine="648"/>
        <w:spacing w:after="0" w:line="272" w:lineRule="auto"/>
        <w:rPr>
          <w:sz w:val="20"/>
          <w:szCs w:val="20"/>
          <w:color w:val="auto"/>
        </w:rPr>
      </w:pPr>
      <w:r>
        <w:rPr>
          <w:rFonts w:ascii="Arial" w:cs="Arial" w:eastAsia="Arial" w:hAnsi="Arial"/>
          <w:sz w:val="17"/>
          <w:szCs w:val="17"/>
          <w:i w:val="1"/>
          <w:iCs w:val="1"/>
          <w:color w:val="auto"/>
        </w:rPr>
        <w:t xml:space="preserve">Inherent Limitations on Effectiveness of Controls. </w:t>
      </w:r>
      <w:r>
        <w:rPr>
          <w:rFonts w:ascii="Arial" w:cs="Arial" w:eastAsia="Arial" w:hAnsi="Arial"/>
          <w:sz w:val="17"/>
          <w:szCs w:val="17"/>
          <w:color w:val="auto"/>
        </w:rPr>
        <w:t>Our management, including our principal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40" w:right="179" w:firstLine="648"/>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2020 Annual Meeting of Stockholders or will be included in an amendment to this Annual Report on Form 10-K.</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40" w:right="179" w:firstLine="648"/>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2020 Annual Meeting of Stockholders or will be included in an amendment to this Annual Report on Form 10-K.</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3" w:name="page134"/>
    <w:bookmarkEnd w:id="1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right="65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40" w:right="179" w:firstLine="648"/>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2020 Annual Meeting of Stockholders or will be included in an amendment to this Annual Report on Form 10-K.</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179" w:firstLine="648"/>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2020 Annual Meeting of Stockholders or will be included in an amendment to this Annual Report on Form 10-K.</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40" w:right="179" w:firstLine="648"/>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from our Proxy Statement for our 2020 Annual Meeting of Stockholders or will be included in an amendment to this Annual Report on Form 10-K.</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4" w:name="page135"/>
    <w:bookmarkEnd w:id="1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620"/>
        <w:spacing w:after="0"/>
        <w:tabs>
          <w:tab w:leader="none" w:pos="166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Consolidated Financial Statements</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 following consolidated financial statements of Axsome Therapeutics, Inc. are filed as part of this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report.</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8000" w:type="dxa"/>
            <w:vAlign w:val="bottom"/>
            <w:gridSpan w:val="7"/>
          </w:tcPr>
          <w:p>
            <w:pPr>
              <w:spacing w:after="0"/>
              <w:rPr>
                <w:sz w:val="20"/>
                <w:szCs w:val="20"/>
                <w:color w:val="auto"/>
              </w:rPr>
            </w:pPr>
            <w:r>
              <w:rPr>
                <w:rFonts w:ascii="Arial" w:cs="Arial" w:eastAsia="Arial" w:hAnsi="Arial"/>
                <w:sz w:val="18"/>
                <w:szCs w:val="18"/>
                <w:b w:val="1"/>
                <w:bCs w:val="1"/>
                <w:color w:val="auto"/>
              </w:rPr>
              <w:t>Contents</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412"/>
        </w:trPr>
        <w:tc>
          <w:tcPr>
            <w:tcW w:w="8000" w:type="dxa"/>
            <w:vAlign w:val="bottom"/>
            <w:gridSpan w:val="7"/>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Report of Independent Registered Public Accounting Firm</w:t>
              </w:r>
            </w:hyperlink>
          </w:p>
        </w:tc>
        <w:tc>
          <w:tcPr>
            <w:tcW w:w="32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38">
              <w:r>
                <w:rPr>
                  <w:rFonts w:ascii="Arial" w:cs="Arial" w:eastAsia="Arial" w:hAnsi="Arial"/>
                  <w:sz w:val="18"/>
                  <w:szCs w:val="18"/>
                  <w:color w:val="0000EE"/>
                  <w:w w:val="88"/>
                </w:rPr>
                <w:t>Consolidated Balance Sheets as of December 31, 2019 and 2018</w:t>
              </w:r>
            </w:hyperlink>
          </w:p>
        </w:tc>
        <w:tc>
          <w:tcPr>
            <w:tcW w:w="334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412"/>
        </w:trPr>
        <w:tc>
          <w:tcPr>
            <w:tcW w:w="69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Consolidated Statements of Operations for the Years Ended December 31, 2019, 2018, and 2017</w:t>
              </w:r>
            </w:hyperlink>
          </w:p>
        </w:tc>
        <w:tc>
          <w:tcPr>
            <w:tcW w:w="104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412"/>
        </w:trPr>
        <w:tc>
          <w:tcPr>
            <w:tcW w:w="8000" w:type="dxa"/>
            <w:vAlign w:val="bottom"/>
            <w:gridSpan w:val="7"/>
          </w:tcPr>
          <w:p>
            <w:pPr>
              <w:spacing w:after="0"/>
              <w:rPr>
                <w:rFonts w:ascii="Arial" w:cs="Arial" w:eastAsia="Arial" w:hAnsi="Arial"/>
                <w:sz w:val="18"/>
                <w:szCs w:val="18"/>
                <w:color w:val="0000EE"/>
                <w:w w:val="93"/>
              </w:rPr>
            </w:pPr>
            <w:hyperlink w:anchor="page140">
              <w:r>
                <w:rPr>
                  <w:rFonts w:ascii="Arial" w:cs="Arial" w:eastAsia="Arial" w:hAnsi="Arial"/>
                  <w:sz w:val="18"/>
                  <w:szCs w:val="18"/>
                  <w:color w:val="0000EE"/>
                  <w:w w:val="93"/>
                </w:rPr>
                <w:t>Consolidated Statements of Stockholders’ Equity for the Years Ended December 31, 2019, 2018, and 2017</w:t>
              </w:r>
            </w:hyperlink>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412"/>
        </w:trPr>
        <w:tc>
          <w:tcPr>
            <w:tcW w:w="7680" w:type="dxa"/>
            <w:vAlign w:val="bottom"/>
            <w:tcBorders>
              <w:top w:val="single" w:sz="8" w:color="0000EE"/>
            </w:tcBorders>
            <w:gridSpan w:val="6"/>
          </w:tcPr>
          <w:p>
            <w:pPr>
              <w:spacing w:after="0"/>
              <w:rPr>
                <w:rFonts w:ascii="Arial" w:cs="Arial" w:eastAsia="Arial" w:hAnsi="Arial"/>
                <w:sz w:val="18"/>
                <w:szCs w:val="18"/>
                <w:color w:val="0000EE"/>
                <w:w w:val="97"/>
              </w:rPr>
            </w:pPr>
            <w:hyperlink w:anchor="page141">
              <w:r>
                <w:rPr>
                  <w:rFonts w:ascii="Arial" w:cs="Arial" w:eastAsia="Arial" w:hAnsi="Arial"/>
                  <w:sz w:val="18"/>
                  <w:szCs w:val="18"/>
                  <w:color w:val="0000EE"/>
                  <w:w w:val="97"/>
                </w:rPr>
                <w:t>Consolidated Statements of Cash Flows for the Years Ended December 31, 2019, 2018, and 2017</w:t>
              </w:r>
            </w:hyperlink>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412"/>
        </w:trPr>
        <w:tc>
          <w:tcPr>
            <w:tcW w:w="342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142">
              <w:r>
                <w:rPr>
                  <w:rFonts w:ascii="Arial" w:cs="Arial" w:eastAsia="Arial" w:hAnsi="Arial"/>
                  <w:sz w:val="18"/>
                  <w:szCs w:val="18"/>
                  <w:color w:val="0000EE"/>
                  <w:w w:val="89"/>
                </w:rPr>
                <w:t>Notes to the Consolidated Financial Statements</w:t>
              </w:r>
            </w:hyperlink>
          </w:p>
        </w:tc>
        <w:tc>
          <w:tcPr>
            <w:tcW w:w="3580" w:type="dxa"/>
            <w:vAlign w:val="bottom"/>
            <w:tcBorders>
              <w:top w:val="single" w:sz="8" w:color="0000EE"/>
            </w:tcBorders>
            <w:gridSpan w:val="4"/>
          </w:tcPr>
          <w:p>
            <w:pPr>
              <w:spacing w:after="0"/>
              <w:rPr>
                <w:sz w:val="24"/>
                <w:szCs w:val="24"/>
                <w:color w:val="auto"/>
              </w:rPr>
            </w:pPr>
          </w:p>
        </w:tc>
        <w:tc>
          <w:tcPr>
            <w:tcW w:w="100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F-6</w:t>
            </w:r>
          </w:p>
        </w:tc>
      </w:tr>
    </w:tbl>
    <w:p>
      <w:pPr>
        <w:spacing w:after="0" w:line="200" w:lineRule="exact"/>
        <w:rPr>
          <w:sz w:val="20"/>
          <w:szCs w:val="20"/>
          <w:color w:val="auto"/>
        </w:rPr>
      </w:pPr>
    </w:p>
    <w:p>
      <w:pPr>
        <w:spacing w:after="0" w:line="245" w:lineRule="exact"/>
        <w:rPr>
          <w:sz w:val="20"/>
          <w:szCs w:val="20"/>
          <w:color w:val="auto"/>
        </w:rPr>
      </w:pPr>
    </w:p>
    <w:p>
      <w:pPr>
        <w:ind w:left="1660" w:hanging="846"/>
        <w:spacing w:after="0"/>
        <w:tabs>
          <w:tab w:leader="none" w:pos="1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225" w:lineRule="exact"/>
        <w:rPr>
          <w:sz w:val="20"/>
          <w:szCs w:val="20"/>
          <w:color w:val="auto"/>
        </w:rPr>
      </w:pPr>
    </w:p>
    <w:p>
      <w:pPr>
        <w:ind w:left="40" w:right="699" w:firstLine="648"/>
        <w:spacing w:after="0" w:line="277" w:lineRule="auto"/>
        <w:rPr>
          <w:sz w:val="20"/>
          <w:szCs w:val="20"/>
          <w:color w:val="auto"/>
        </w:rPr>
      </w:pPr>
      <w:r>
        <w:rPr>
          <w:rFonts w:ascii="Arial" w:cs="Arial" w:eastAsia="Arial" w:hAnsi="Arial"/>
          <w:sz w:val="18"/>
          <w:szCs w:val="18"/>
          <w:color w:val="auto"/>
        </w:rPr>
        <w:t>All schedules are omitted as the information required is inapplicable or the information is presented in the consolidated financial statements or the related notes.</w:t>
      </w:r>
    </w:p>
    <w:p>
      <w:pPr>
        <w:spacing w:after="0" w:line="170" w:lineRule="exact"/>
        <w:rPr>
          <w:sz w:val="20"/>
          <w:szCs w:val="20"/>
          <w:color w:val="auto"/>
        </w:rPr>
      </w:pPr>
    </w:p>
    <w:p>
      <w:pPr>
        <w:ind w:left="1660" w:hanging="846"/>
        <w:spacing w:after="0"/>
        <w:tabs>
          <w:tab w:leader="none" w:pos="1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0" w:right="599" w:firstLine="648"/>
        <w:spacing w:after="0" w:line="277" w:lineRule="auto"/>
        <w:rPr>
          <w:sz w:val="20"/>
          <w:szCs w:val="20"/>
          <w:color w:val="auto"/>
        </w:rPr>
      </w:pPr>
      <w:r>
        <w:rPr>
          <w:rFonts w:ascii="Arial" w:cs="Arial" w:eastAsia="Arial" w:hAnsi="Arial"/>
          <w:sz w:val="18"/>
          <w:szCs w:val="18"/>
          <w:color w:val="auto"/>
        </w:rPr>
        <w:t>The list of exhibits filed with this report is set forth in the Exhibit Index following the signature page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5" w:name="page136"/>
    <w:bookmarkEnd w:id="13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Page</w:t>
            </w:r>
          </w:p>
        </w:tc>
      </w:tr>
      <w:tr>
        <w:trPr>
          <w:trHeight w:val="196"/>
        </w:trPr>
        <w:tc>
          <w:tcPr>
            <w:tcW w:w="8380" w:type="dxa"/>
            <w:vAlign w:val="bottom"/>
            <w:gridSpan w:val="7"/>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Report of Independent Registered Public Accounting Firm</w:t>
              </w:r>
            </w:hyperlink>
          </w:p>
        </w:tc>
        <w:tc>
          <w:tcPr>
            <w:tcW w:w="380" w:type="dxa"/>
            <w:vAlign w:val="bottom"/>
          </w:tcPr>
          <w:p>
            <w:pPr>
              <w:ind w:left="140"/>
              <w:spacing w:after="0" w:line="196" w:lineRule="exact"/>
              <w:rPr>
                <w:sz w:val="20"/>
                <w:szCs w:val="20"/>
                <w:color w:val="auto"/>
              </w:rPr>
            </w:pPr>
            <w:r>
              <w:rPr>
                <w:rFonts w:ascii="Arial" w:cs="Arial" w:eastAsia="Arial" w:hAnsi="Arial"/>
                <w:sz w:val="18"/>
                <w:szCs w:val="18"/>
                <w:color w:val="auto"/>
                <w:w w:val="82"/>
              </w:rPr>
              <w:t>F</w:t>
            </w:r>
            <w:r>
              <w:rPr>
                <w:rFonts w:ascii="MS PGothic" w:cs="MS PGothic" w:eastAsia="MS PGothic" w:hAnsi="MS PGothic"/>
                <w:sz w:val="18"/>
                <w:szCs w:val="18"/>
                <w:color w:val="auto"/>
                <w:w w:val="82"/>
              </w:rPr>
              <w:t>‑</w:t>
            </w:r>
            <w:r>
              <w:rPr>
                <w:rFonts w:ascii="Arial" w:cs="Arial" w:eastAsia="Arial" w:hAnsi="Arial"/>
                <w:sz w:val="18"/>
                <w:szCs w:val="18"/>
                <w:color w:val="auto"/>
                <w:w w:val="82"/>
              </w:rPr>
              <w:t>1</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Consolidated Balance Sheets as of December 31, 2019 and 2018</w:t>
              </w:r>
            </w:hyperlink>
          </w:p>
        </w:tc>
        <w:tc>
          <w:tcPr>
            <w:tcW w:w="3720" w:type="dxa"/>
            <w:vAlign w:val="bottom"/>
            <w:gridSpan w:val="4"/>
          </w:tcPr>
          <w:p>
            <w:pPr>
              <w:spacing w:after="0"/>
              <w:rPr>
                <w:sz w:val="17"/>
                <w:szCs w:val="17"/>
                <w:color w:val="auto"/>
              </w:rPr>
            </w:pPr>
          </w:p>
        </w:tc>
        <w:tc>
          <w:tcPr>
            <w:tcW w:w="380" w:type="dxa"/>
            <w:vAlign w:val="bottom"/>
          </w:tcPr>
          <w:p>
            <w:pPr>
              <w:ind w:left="140"/>
              <w:spacing w:after="0" w:line="196" w:lineRule="exact"/>
              <w:rPr>
                <w:sz w:val="20"/>
                <w:szCs w:val="20"/>
                <w:color w:val="auto"/>
              </w:rPr>
            </w:pPr>
            <w:r>
              <w:rPr>
                <w:rFonts w:ascii="Arial" w:cs="Arial" w:eastAsia="Arial" w:hAnsi="Arial"/>
                <w:sz w:val="18"/>
                <w:szCs w:val="18"/>
                <w:color w:val="auto"/>
                <w:w w:val="82"/>
              </w:rPr>
              <w:t>F</w:t>
            </w:r>
            <w:r>
              <w:rPr>
                <w:rFonts w:ascii="MS PGothic" w:cs="MS PGothic" w:eastAsia="MS PGothic" w:hAnsi="MS PGothic"/>
                <w:sz w:val="18"/>
                <w:szCs w:val="18"/>
                <w:color w:val="auto"/>
                <w:w w:val="82"/>
              </w:rPr>
              <w:t>‑</w:t>
            </w:r>
            <w:r>
              <w:rPr>
                <w:rFonts w:ascii="Arial" w:cs="Arial" w:eastAsia="Arial" w:hAnsi="Arial"/>
                <w:sz w:val="18"/>
                <w:szCs w:val="18"/>
                <w:color w:val="auto"/>
                <w:w w:val="82"/>
              </w:rPr>
              <w:t>2</w:t>
            </w:r>
          </w:p>
        </w:tc>
      </w:tr>
      <w:tr>
        <w:trPr>
          <w:trHeight w:val="196"/>
        </w:trPr>
        <w:tc>
          <w:tcPr>
            <w:tcW w:w="8380" w:type="dxa"/>
            <w:vAlign w:val="bottom"/>
            <w:gridSpan w:val="7"/>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Consolidated Statements of Operations for the years ended December 31, 2019, 2018, and 2017</w:t>
              </w:r>
            </w:hyperlink>
          </w:p>
        </w:tc>
        <w:tc>
          <w:tcPr>
            <w:tcW w:w="380" w:type="dxa"/>
            <w:vAlign w:val="bottom"/>
          </w:tcPr>
          <w:p>
            <w:pPr>
              <w:ind w:left="140"/>
              <w:spacing w:after="0" w:line="196" w:lineRule="exact"/>
              <w:rPr>
                <w:sz w:val="20"/>
                <w:szCs w:val="20"/>
                <w:color w:val="auto"/>
              </w:rPr>
            </w:pPr>
            <w:r>
              <w:rPr>
                <w:rFonts w:ascii="Arial" w:cs="Arial" w:eastAsia="Arial" w:hAnsi="Arial"/>
                <w:sz w:val="18"/>
                <w:szCs w:val="18"/>
                <w:color w:val="auto"/>
                <w:w w:val="82"/>
              </w:rPr>
              <w:t>F</w:t>
            </w:r>
            <w:r>
              <w:rPr>
                <w:rFonts w:ascii="MS PGothic" w:cs="MS PGothic" w:eastAsia="MS PGothic" w:hAnsi="MS PGothic"/>
                <w:sz w:val="18"/>
                <w:szCs w:val="18"/>
                <w:color w:val="auto"/>
                <w:w w:val="82"/>
              </w:rPr>
              <w:t>‑</w:t>
            </w:r>
            <w:r>
              <w:rPr>
                <w:rFonts w:ascii="Arial" w:cs="Arial" w:eastAsia="Arial" w:hAnsi="Arial"/>
                <w:sz w:val="18"/>
                <w:szCs w:val="18"/>
                <w:color w:val="auto"/>
                <w:w w:val="82"/>
              </w:rPr>
              <w:t>3</w:t>
            </w:r>
          </w:p>
        </w:tc>
      </w:tr>
      <w:tr>
        <w:trPr>
          <w:trHeight w:val="20"/>
        </w:trPr>
        <w:tc>
          <w:tcPr>
            <w:tcW w:w="316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76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Consolidated Statements of Stockholders’ Equity for the years ended December 31, 2019, 2018, and 2017</w:t>
              </w:r>
            </w:hyperlink>
          </w:p>
        </w:tc>
        <w:tc>
          <w:tcPr>
            <w:tcW w:w="740" w:type="dxa"/>
            <w:vAlign w:val="bottom"/>
          </w:tcPr>
          <w:p>
            <w:pPr>
              <w:spacing w:after="0"/>
              <w:rPr>
                <w:sz w:val="17"/>
                <w:szCs w:val="17"/>
                <w:color w:val="auto"/>
              </w:rPr>
            </w:pPr>
          </w:p>
        </w:tc>
        <w:tc>
          <w:tcPr>
            <w:tcW w:w="380" w:type="dxa"/>
            <w:vAlign w:val="bottom"/>
          </w:tcPr>
          <w:p>
            <w:pPr>
              <w:ind w:left="140"/>
              <w:spacing w:after="0" w:line="196" w:lineRule="exact"/>
              <w:rPr>
                <w:sz w:val="20"/>
                <w:szCs w:val="20"/>
                <w:color w:val="auto"/>
              </w:rPr>
            </w:pPr>
            <w:r>
              <w:rPr>
                <w:rFonts w:ascii="Arial" w:cs="Arial" w:eastAsia="Arial" w:hAnsi="Arial"/>
                <w:sz w:val="18"/>
                <w:szCs w:val="18"/>
                <w:color w:val="auto"/>
                <w:w w:val="82"/>
              </w:rPr>
              <w:t>F</w:t>
            </w:r>
            <w:r>
              <w:rPr>
                <w:rFonts w:ascii="MS PGothic" w:cs="MS PGothic" w:eastAsia="MS PGothic" w:hAnsi="MS PGothic"/>
                <w:sz w:val="18"/>
                <w:szCs w:val="18"/>
                <w:color w:val="auto"/>
                <w:w w:val="82"/>
              </w:rPr>
              <w:t>‑</w:t>
            </w:r>
            <w:r>
              <w:rPr>
                <w:rFonts w:ascii="Arial" w:cs="Arial" w:eastAsia="Arial" w:hAnsi="Arial"/>
                <w:sz w:val="18"/>
                <w:szCs w:val="18"/>
                <w:color w:val="auto"/>
                <w:w w:val="82"/>
              </w:rPr>
              <w:t>4</w:t>
            </w:r>
          </w:p>
        </w:tc>
      </w:tr>
      <w:tr>
        <w:trPr>
          <w:trHeight w:val="196"/>
        </w:trPr>
        <w:tc>
          <w:tcPr>
            <w:tcW w:w="69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Consolidated Statements of Cash Flows for the years ended December 31, 2019, 2018, and 2017</w:t>
              </w:r>
            </w:hyperlink>
          </w:p>
        </w:tc>
        <w:tc>
          <w:tcPr>
            <w:tcW w:w="1420" w:type="dxa"/>
            <w:vAlign w:val="bottom"/>
            <w:gridSpan w:val="2"/>
          </w:tcPr>
          <w:p>
            <w:pPr>
              <w:spacing w:after="0"/>
              <w:rPr>
                <w:sz w:val="17"/>
                <w:szCs w:val="17"/>
                <w:color w:val="auto"/>
              </w:rPr>
            </w:pPr>
          </w:p>
        </w:tc>
        <w:tc>
          <w:tcPr>
            <w:tcW w:w="380" w:type="dxa"/>
            <w:vAlign w:val="bottom"/>
          </w:tcPr>
          <w:p>
            <w:pPr>
              <w:ind w:left="140"/>
              <w:spacing w:after="0" w:line="196" w:lineRule="exact"/>
              <w:rPr>
                <w:sz w:val="20"/>
                <w:szCs w:val="20"/>
                <w:color w:val="auto"/>
              </w:rPr>
            </w:pPr>
            <w:r>
              <w:rPr>
                <w:rFonts w:ascii="Arial" w:cs="Arial" w:eastAsia="Arial" w:hAnsi="Arial"/>
                <w:sz w:val="18"/>
                <w:szCs w:val="18"/>
                <w:color w:val="auto"/>
                <w:w w:val="82"/>
              </w:rPr>
              <w:t>F</w:t>
            </w:r>
            <w:r>
              <w:rPr>
                <w:rFonts w:ascii="MS PGothic" w:cs="MS PGothic" w:eastAsia="MS PGothic" w:hAnsi="MS PGothic"/>
                <w:sz w:val="18"/>
                <w:szCs w:val="18"/>
                <w:color w:val="auto"/>
                <w:w w:val="82"/>
              </w:rPr>
              <w:t>‑</w:t>
            </w:r>
            <w:r>
              <w:rPr>
                <w:rFonts w:ascii="Arial" w:cs="Arial" w:eastAsia="Arial" w:hAnsi="Arial"/>
                <w:sz w:val="18"/>
                <w:szCs w:val="18"/>
                <w:color w:val="auto"/>
                <w:w w:val="82"/>
              </w:rPr>
              <w:t>5</w:t>
            </w: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Notes to Consolidated Financial Statements</w:t>
              </w:r>
            </w:hyperlink>
          </w:p>
        </w:tc>
        <w:tc>
          <w:tcPr>
            <w:tcW w:w="5220" w:type="dxa"/>
            <w:vAlign w:val="bottom"/>
            <w:gridSpan w:val="6"/>
          </w:tcPr>
          <w:p>
            <w:pPr>
              <w:spacing w:after="0"/>
              <w:rPr>
                <w:sz w:val="17"/>
                <w:szCs w:val="17"/>
                <w:color w:val="auto"/>
              </w:rPr>
            </w:pPr>
          </w:p>
        </w:tc>
        <w:tc>
          <w:tcPr>
            <w:tcW w:w="380" w:type="dxa"/>
            <w:vAlign w:val="bottom"/>
          </w:tcPr>
          <w:p>
            <w:pPr>
              <w:ind w:left="140"/>
              <w:spacing w:after="0" w:line="196" w:lineRule="exact"/>
              <w:rPr>
                <w:sz w:val="20"/>
                <w:szCs w:val="20"/>
                <w:color w:val="auto"/>
              </w:rPr>
            </w:pPr>
            <w:r>
              <w:rPr>
                <w:rFonts w:ascii="Arial" w:cs="Arial" w:eastAsia="Arial" w:hAnsi="Arial"/>
                <w:sz w:val="18"/>
                <w:szCs w:val="18"/>
                <w:color w:val="auto"/>
                <w:w w:val="82"/>
              </w:rPr>
              <w:t>F</w:t>
            </w:r>
            <w:r>
              <w:rPr>
                <w:rFonts w:ascii="MS PGothic" w:cs="MS PGothic" w:eastAsia="MS PGothic" w:hAnsi="MS PGothic"/>
                <w:sz w:val="18"/>
                <w:szCs w:val="18"/>
                <w:color w:val="auto"/>
                <w:w w:val="82"/>
              </w:rPr>
              <w:t>‑</w:t>
            </w:r>
            <w:r>
              <w:rPr>
                <w:rFonts w:ascii="Arial" w:cs="Arial" w:eastAsia="Arial" w:hAnsi="Arial"/>
                <w:sz w:val="18"/>
                <w:szCs w:val="18"/>
                <w:color w:val="auto"/>
                <w:w w:val="82"/>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6" w:name="page137"/>
    <w:bookmarkEnd w:id="13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Shareholders and the Board of Directors of Axsome Therapeutics, Inc.</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40" w:right="219"/>
        <w:spacing w:after="0" w:line="272" w:lineRule="auto"/>
        <w:rPr>
          <w:sz w:val="20"/>
          <w:szCs w:val="20"/>
          <w:color w:val="auto"/>
        </w:rPr>
      </w:pPr>
      <w:r>
        <w:rPr>
          <w:rFonts w:ascii="Arial" w:cs="Arial" w:eastAsia="Arial" w:hAnsi="Arial"/>
          <w:sz w:val="17"/>
          <w:szCs w:val="17"/>
          <w:color w:val="auto"/>
        </w:rPr>
        <w:t>We have audited the accompanying consolidated balance sheets of Axsome Therapeutics, Inc. (the “Company”) as of December 31, 2019 and 2018, the related consolidated statements of operations,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40" w:right="99"/>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2014.</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12,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7" w:name="page138"/>
    <w:bookmarkEnd w:id="13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ind w:lef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219,966,167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13,968,742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413,095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1,246,360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220,379,262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15,215,102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Equipment,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139,875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220,549,760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15,379,279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10,943,325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3,687,245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10,949,128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3,843,299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Loan payable, current portion</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2,602,292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3,291,394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24,494,745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10,821,938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Loan payable, long-term</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17,332,626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3,619,420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41,827,371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14,441,358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spacing w:after="0" w:line="201" w:lineRule="exact"/>
              <w:rPr>
                <w:sz w:val="20"/>
                <w:szCs w:val="20"/>
                <w:color w:val="auto"/>
              </w:rPr>
            </w:pPr>
            <w:r>
              <w:rPr>
                <w:rFonts w:ascii="Arial" w:cs="Arial" w:eastAsia="Arial" w:hAnsi="Arial"/>
                <w:sz w:val="18"/>
                <w:szCs w:val="18"/>
                <w:color w:val="auto"/>
              </w:rPr>
              <w:t>Preferred stock, $0.0001 par value per share (10,000,000 shares authorized,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w w:val="99"/>
              </w:rPr>
              <w:t>none issued and outstanding at December 31, 2019 and December 31, 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$0.0001 par value per share (150,000,000 shares authorized,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89"/>
              </w:rPr>
              <w:t>36,933,217 and 30,087,213 shares issued and outstanding at December 31, 2019 and</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 respectively)</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354,614,189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108,485,219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(175,895,493)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(107,550,307)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178,722,389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937,921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220,549,760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15,379,279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8" w:name="page139"/>
    <w:bookmarkEnd w:id="13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53,647,067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23,495,055</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19,957,616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13,598,030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9,351,522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7,206,691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67,245,097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32,846,577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27,164,307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(67,245,097)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(32,846,577)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(27,164,307)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and amortization of debt discount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(1,239,537)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(1,127,305)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(1,340,199)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Tax credit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2,791,000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(646,000)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(68,345,186)</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(30,965,464)</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(28,943,392)</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gridSpan w:val="2"/>
          </w:tcPr>
          <w:p>
            <w:pPr>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Weighted average common shares outstanding, basic and diluted</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34,020,257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26,883,656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22,764,606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9" w:name="page140"/>
    <w:bookmarkEnd w:id="13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6"/>
        </w:trPr>
        <w:tc>
          <w:tcPr>
            <w:tcW w:w="4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9"/>
                <w:szCs w:val="9"/>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paid-</w:t>
            </w:r>
          </w:p>
        </w:tc>
        <w:tc>
          <w:tcPr>
            <w:tcW w:w="160" w:type="dxa"/>
            <w:vAlign w:val="bottom"/>
          </w:tcPr>
          <w:p>
            <w:pPr>
              <w:spacing w:after="0"/>
              <w:rPr>
                <w:sz w:val="12"/>
                <w:szCs w:val="12"/>
                <w:color w:val="auto"/>
              </w:rPr>
            </w:pP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in capital</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2016</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19,158,417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1,916</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69,210,986</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(47,641,451)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21,571,451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2,072,210</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2,072,210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upon exercise of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316,710</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316,719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129,149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167,881</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167,894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upon financing</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6,116,504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21,531,730</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21,532,341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(28,943,392)</w:t>
            </w: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8"/>
              </w:rPr>
              <w:t>(28,943,392)</w:t>
            </w:r>
          </w:p>
        </w:tc>
        <w:tc>
          <w:tcPr>
            <w:tcW w:w="0" w:type="dxa"/>
            <w:vAlign w:val="bottom"/>
          </w:tcPr>
          <w:p>
            <w:pPr>
              <w:spacing w:after="0"/>
              <w:rPr>
                <w:sz w:val="1"/>
                <w:szCs w:val="1"/>
                <w:color w:val="auto"/>
              </w:rPr>
            </w:pPr>
          </w:p>
        </w:tc>
      </w:tr>
      <w:tr>
        <w:trPr>
          <w:trHeight w:val="142"/>
        </w:trPr>
        <w:tc>
          <w:tcPr>
            <w:tcW w:w="4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2017</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25,492,992</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2,549</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93,299,517</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(76,584,843)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16,717,223</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1,754,974</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1,754,974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upon exercise of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278,925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380,293</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380,322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101,310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131,693</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131,703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warrants upon debt financing</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37,842</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37,842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financing</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9"/>
              </w:rPr>
              <w:t>4,213,986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12,880,900</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12,881,321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(30,965,464)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(30,965,464)</w:t>
            </w:r>
          </w:p>
        </w:tc>
        <w:tc>
          <w:tcPr>
            <w:tcW w:w="0" w:type="dxa"/>
            <w:vAlign w:val="bottom"/>
          </w:tcPr>
          <w:p>
            <w:pPr>
              <w:spacing w:after="0"/>
              <w:rPr>
                <w:sz w:val="1"/>
                <w:szCs w:val="1"/>
                <w:color w:val="auto"/>
              </w:rPr>
            </w:pPr>
          </w:p>
        </w:tc>
      </w:tr>
      <w:tr>
        <w:trPr>
          <w:trHeight w:val="142"/>
        </w:trPr>
        <w:tc>
          <w:tcPr>
            <w:tcW w:w="4180" w:type="dxa"/>
            <w:vAlign w:val="bottom"/>
          </w:tcPr>
          <w:p>
            <w:pPr>
              <w:spacing w:after="0" w:line="142" w:lineRule="exact"/>
              <w:rPr>
                <w:sz w:val="20"/>
                <w:szCs w:val="20"/>
                <w:color w:val="auto"/>
              </w:rPr>
            </w:pPr>
            <w:r>
              <w:rPr>
                <w:rFonts w:ascii="Arial" w:cs="Arial" w:eastAsia="Arial" w:hAnsi="Arial"/>
                <w:sz w:val="14"/>
                <w:szCs w:val="14"/>
                <w:color w:val="auto"/>
              </w:rPr>
              <w:t>Balance at December 31, 2018</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30,087,213</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3,009</w:t>
            </w:r>
          </w:p>
        </w:tc>
        <w:tc>
          <w:tcPr>
            <w:tcW w:w="14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108,485,219</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(107,550,307)</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937,921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6,115,160</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6,115,160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Issuance of common stock upon exercise of options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252,773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1,143,816</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1,143,841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249,826</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249,836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Issuance of warrants upon debt financing</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387,000</w:t>
            </w:r>
          </w:p>
        </w:tc>
        <w:tc>
          <w:tcPr>
            <w:tcW w:w="16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387,000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upon financing</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6,495,690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238,233,168</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238,233,817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(68,345,186)</w:t>
            </w: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8"/>
              </w:rPr>
              <w:t>(68,345,186)</w:t>
            </w:r>
          </w:p>
        </w:tc>
        <w:tc>
          <w:tcPr>
            <w:tcW w:w="0" w:type="dxa"/>
            <w:vAlign w:val="bottom"/>
          </w:tcPr>
          <w:p>
            <w:pPr>
              <w:spacing w:after="0"/>
              <w:rPr>
                <w:sz w:val="1"/>
                <w:szCs w:val="1"/>
                <w:color w:val="auto"/>
              </w:rPr>
            </w:pPr>
          </w:p>
        </w:tc>
      </w:tr>
      <w:tr>
        <w:trPr>
          <w:trHeight w:val="149"/>
        </w:trPr>
        <w:tc>
          <w:tcPr>
            <w:tcW w:w="41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2019</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36,933,217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3,693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$ 354,614,189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(175,895,493)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178,722,389</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0" w:name="page141"/>
    <w:bookmarkEnd w:id="14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r>
      <w:tr>
        <w:trPr>
          <w:trHeight w:val="196"/>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w w:val="96"/>
              </w:rPr>
              <w:t>(68,345,186)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(30,965,464)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4"/>
              </w:rPr>
              <w:t>(28,943,392)</w:t>
            </w:r>
          </w:p>
        </w:tc>
        <w:tc>
          <w:tcPr>
            <w:tcW w:w="2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6,115,160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1,754,974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2,072,210</w:t>
            </w:r>
          </w:p>
        </w:tc>
        <w:tc>
          <w:tcPr>
            <w:tcW w:w="2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debt discount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649,993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375,635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470,521</w:t>
            </w:r>
          </w:p>
        </w:tc>
        <w:tc>
          <w:tcPr>
            <w:tcW w:w="20" w:type="dxa"/>
            <w:vAlign w:val="bottom"/>
          </w:tcPr>
          <w:p>
            <w:pPr>
              <w:spacing w:after="0"/>
              <w:rPr>
                <w:sz w:val="17"/>
                <w:szCs w:val="17"/>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color w:val="auto"/>
              </w:rPr>
              <w:t>Change in fair value of warrants</w:t>
            </w:r>
          </w:p>
        </w:tc>
        <w:tc>
          <w:tcPr>
            <w:tcW w:w="1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(2,791,000)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646,000</w:t>
            </w:r>
          </w:p>
        </w:tc>
        <w:tc>
          <w:tcPr>
            <w:tcW w:w="2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42,557</w:t>
            </w:r>
          </w:p>
        </w:tc>
        <w:tc>
          <w:tcPr>
            <w:tcW w:w="20" w:type="dxa"/>
            <w:vAlign w:val="bottom"/>
          </w:tcPr>
          <w:p>
            <w:pPr>
              <w:spacing w:after="0"/>
              <w:rPr>
                <w:sz w:val="17"/>
                <w:szCs w:val="17"/>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833,265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32,058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102,143</w:t>
            </w:r>
          </w:p>
        </w:tc>
        <w:tc>
          <w:tcPr>
            <w:tcW w:w="20" w:type="dxa"/>
            <w:vAlign w:val="bottom"/>
          </w:tcPr>
          <w:p>
            <w:pPr>
              <w:spacing w:after="0"/>
              <w:rPr>
                <w:sz w:val="17"/>
                <w:szCs w:val="17"/>
                <w:color w:val="auto"/>
              </w:rPr>
            </w:pPr>
          </w:p>
        </w:tc>
      </w:tr>
      <w:tr>
        <w:trPr>
          <w:trHeight w:val="203"/>
        </w:trPr>
        <w:tc>
          <w:tcPr>
            <w:tcW w:w="558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(27,530)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75,607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(75,131)</w:t>
            </w:r>
          </w:p>
        </w:tc>
        <w:tc>
          <w:tcPr>
            <w:tcW w:w="20" w:type="dxa"/>
            <w:vAlign w:val="bottom"/>
          </w:tcPr>
          <w:p>
            <w:pPr>
              <w:spacing w:after="0"/>
              <w:rPr>
                <w:sz w:val="17"/>
                <w:szCs w:val="17"/>
                <w:color w:val="auto"/>
              </w:rPr>
            </w:pPr>
          </w:p>
        </w:tc>
      </w:tr>
      <w:tr>
        <w:trPr>
          <w:trHeight w:val="203"/>
        </w:trPr>
        <w:tc>
          <w:tcPr>
            <w:tcW w:w="55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7,256,080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251,789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(645,717)</w:t>
            </w:r>
          </w:p>
        </w:tc>
        <w:tc>
          <w:tcPr>
            <w:tcW w:w="20" w:type="dxa"/>
            <w:vAlign w:val="bottom"/>
          </w:tcPr>
          <w:p>
            <w:pPr>
              <w:spacing w:after="0"/>
              <w:rPr>
                <w:sz w:val="17"/>
                <w:szCs w:val="17"/>
                <w:color w:val="auto"/>
              </w:rPr>
            </w:pPr>
          </w:p>
        </w:tc>
      </w:tr>
      <w:tr>
        <w:trPr>
          <w:trHeight w:val="203"/>
        </w:trPr>
        <w:tc>
          <w:tcPr>
            <w:tcW w:w="55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7,105,829</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1,163,765</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(140,843)</w:t>
            </w:r>
          </w:p>
        </w:tc>
        <w:tc>
          <w:tcPr>
            <w:tcW w:w="20" w:type="dxa"/>
            <w:vAlign w:val="bottom"/>
          </w:tcPr>
          <w:p>
            <w:pPr>
              <w:spacing w:after="0"/>
              <w:rPr>
                <w:sz w:val="17"/>
                <w:szCs w:val="17"/>
                <w:color w:val="auto"/>
              </w:rPr>
            </w:pPr>
          </w:p>
        </w:tc>
      </w:tr>
      <w:tr>
        <w:trPr>
          <w:trHeight w:val="196"/>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(46,375,059)</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(30,053,701)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(26,471,652)</w:t>
            </w:r>
          </w:p>
        </w:tc>
        <w:tc>
          <w:tcPr>
            <w:tcW w:w="20" w:type="dxa"/>
            <w:vAlign w:val="bottom"/>
          </w:tcPr>
          <w:p>
            <w:pPr>
              <w:spacing w:after="0"/>
              <w:rPr>
                <w:sz w:val="17"/>
                <w:szCs w:val="17"/>
                <w:color w:val="auto"/>
              </w:rPr>
            </w:pPr>
          </w:p>
        </w:tc>
      </w:tr>
      <w:tr>
        <w:trPr>
          <w:trHeight w:val="190"/>
        </w:trPr>
        <w:tc>
          <w:tcPr>
            <w:tcW w:w="55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Purchases of equipment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(16,121)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(32,696)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(9,898)</w:t>
            </w:r>
          </w:p>
        </w:tc>
        <w:tc>
          <w:tcPr>
            <w:tcW w:w="20" w:type="dxa"/>
            <w:vAlign w:val="bottom"/>
          </w:tcPr>
          <w:p>
            <w:pPr>
              <w:spacing w:after="0"/>
              <w:rPr>
                <w:sz w:val="18"/>
                <w:szCs w:val="18"/>
                <w:color w:val="auto"/>
              </w:rPr>
            </w:pPr>
          </w:p>
        </w:tc>
      </w:tr>
      <w:tr>
        <w:trPr>
          <w:trHeight w:val="196"/>
        </w:trPr>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used in investing activities</w:t>
            </w: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(16,121)</w:t>
            </w:r>
          </w:p>
        </w:tc>
        <w:tc>
          <w:tcPr>
            <w:tcW w:w="1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(32,696)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(9,898)</w:t>
            </w:r>
          </w:p>
        </w:tc>
        <w:tc>
          <w:tcPr>
            <w:tcW w:w="20" w:type="dxa"/>
            <w:vAlign w:val="bottom"/>
          </w:tcPr>
          <w:p>
            <w:pPr>
              <w:spacing w:after="0"/>
              <w:rPr>
                <w:sz w:val="17"/>
                <w:szCs w:val="17"/>
                <w:color w:val="auto"/>
              </w:rPr>
            </w:pPr>
          </w:p>
        </w:tc>
      </w:tr>
      <w:tr>
        <w:trPr>
          <w:trHeight w:val="196"/>
        </w:trPr>
        <w:tc>
          <w:tcPr>
            <w:tcW w:w="5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color w:val="auto"/>
              </w:rPr>
              <w:t>Proceeds from issuance of term loan</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20,000,000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Payment of debt issuance costs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(25,997)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color w:val="auto"/>
              </w:rPr>
              <w:t>Repayment of principal on term loan</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(7,238,889)</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(3,333,333)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(277,778)</w:t>
            </w:r>
          </w:p>
        </w:tc>
        <w:tc>
          <w:tcPr>
            <w:tcW w:w="2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common stock upon financing, net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238,233,817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12,881,321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23,677,341</w:t>
            </w:r>
          </w:p>
        </w:tc>
        <w:tc>
          <w:tcPr>
            <w:tcW w:w="20" w:type="dxa"/>
            <w:vAlign w:val="bottom"/>
          </w:tcPr>
          <w:p>
            <w:pPr>
              <w:spacing w:after="0"/>
              <w:rPr>
                <w:sz w:val="17"/>
                <w:szCs w:val="17"/>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color w:val="auto"/>
              </w:rPr>
              <w:t>Proceeds from issuance of common stock upon exercise of warrants</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249,836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131,703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167,894</w:t>
            </w:r>
          </w:p>
        </w:tc>
        <w:tc>
          <w:tcPr>
            <w:tcW w:w="20" w:type="dxa"/>
            <w:vAlign w:val="bottom"/>
          </w:tcPr>
          <w:p>
            <w:pPr>
              <w:spacing w:after="0"/>
              <w:rPr>
                <w:sz w:val="17"/>
                <w:szCs w:val="17"/>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common stock upon exercise of options</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1,143,841</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380,322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316,719</w:t>
            </w:r>
          </w:p>
        </w:tc>
        <w:tc>
          <w:tcPr>
            <w:tcW w:w="20" w:type="dxa"/>
            <w:vAlign w:val="bottom"/>
          </w:tcPr>
          <w:p>
            <w:pPr>
              <w:spacing w:after="0"/>
              <w:rPr>
                <w:sz w:val="17"/>
                <w:szCs w:val="17"/>
                <w:color w:val="auto"/>
              </w:rPr>
            </w:pPr>
          </w:p>
        </w:tc>
      </w:tr>
      <w:tr>
        <w:trPr>
          <w:trHeight w:val="196"/>
        </w:trPr>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252,388,605</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10,034,016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23,884,176</w:t>
            </w:r>
          </w:p>
        </w:tc>
        <w:tc>
          <w:tcPr>
            <w:tcW w:w="20" w:type="dxa"/>
            <w:vAlign w:val="bottom"/>
          </w:tcPr>
          <w:p>
            <w:pPr>
              <w:spacing w:after="0"/>
              <w:rPr>
                <w:sz w:val="17"/>
                <w:szCs w:val="17"/>
                <w:color w:val="auto"/>
              </w:rPr>
            </w:pPr>
          </w:p>
        </w:tc>
      </w:tr>
      <w:tr>
        <w:trPr>
          <w:trHeight w:val="196"/>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increase in cash</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205,997,425</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(20,052,381)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(2,597,374)</w:t>
            </w:r>
          </w:p>
        </w:tc>
        <w:tc>
          <w:tcPr>
            <w:tcW w:w="20" w:type="dxa"/>
            <w:vAlign w:val="bottom"/>
          </w:tcPr>
          <w:p>
            <w:pPr>
              <w:spacing w:after="0"/>
              <w:rPr>
                <w:sz w:val="17"/>
                <w:szCs w:val="17"/>
                <w:color w:val="auto"/>
              </w:rPr>
            </w:pPr>
          </w:p>
        </w:tc>
      </w:tr>
      <w:tr>
        <w:trPr>
          <w:trHeight w:val="196"/>
        </w:trPr>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at beginning of period</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13,968,742</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34,021,123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36,618,497</w:t>
            </w:r>
          </w:p>
        </w:tc>
        <w:tc>
          <w:tcPr>
            <w:tcW w:w="20" w:type="dxa"/>
            <w:vAlign w:val="bottom"/>
          </w:tcPr>
          <w:p>
            <w:pPr>
              <w:spacing w:after="0"/>
              <w:rPr>
                <w:sz w:val="17"/>
                <w:szCs w:val="17"/>
                <w:color w:val="auto"/>
              </w:rPr>
            </w:pPr>
          </w:p>
        </w:tc>
      </w:tr>
      <w:tr>
        <w:trPr>
          <w:trHeight w:val="216"/>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219,966,167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13,968,742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34,021,123</w:t>
            </w:r>
          </w:p>
        </w:tc>
        <w:tc>
          <w:tcPr>
            <w:tcW w:w="20" w:type="dxa"/>
            <w:vAlign w:val="bottom"/>
          </w:tcPr>
          <w:p>
            <w:pPr>
              <w:spacing w:after="0"/>
              <w:rPr>
                <w:sz w:val="18"/>
                <w:szCs w:val="18"/>
                <w:color w:val="auto"/>
              </w:rPr>
            </w:pPr>
          </w:p>
        </w:tc>
      </w:tr>
      <w:tr>
        <w:trPr>
          <w:trHeight w:val="187"/>
        </w:trPr>
        <w:tc>
          <w:tcPr>
            <w:tcW w:w="5580" w:type="dxa"/>
            <w:vAlign w:val="bottom"/>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1,287,506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771,966</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865,278</w:t>
            </w:r>
          </w:p>
        </w:tc>
        <w:tc>
          <w:tcPr>
            <w:tcW w:w="20" w:type="dxa"/>
            <w:vAlign w:val="bottom"/>
          </w:tcPr>
          <w:p>
            <w:pPr>
              <w:spacing w:after="0"/>
              <w:rPr>
                <w:sz w:val="19"/>
                <w:szCs w:val="19"/>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b w:val="1"/>
                <w:bCs w:val="1"/>
                <w:color w:val="auto"/>
              </w:rPr>
              <w:t>Supplemental disclosures of non-cash financing activity: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Establishment of warrant liabilities in connection with common stock issuance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2,145,000</w:t>
            </w:r>
          </w:p>
        </w:tc>
        <w:tc>
          <w:tcPr>
            <w:tcW w:w="20" w:type="dxa"/>
            <w:vAlign w:val="bottom"/>
          </w:tcPr>
          <w:p>
            <w:pPr>
              <w:spacing w:after="0"/>
              <w:rPr>
                <w:sz w:val="19"/>
                <w:szCs w:val="19"/>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6"/>
                <w:szCs w:val="16"/>
                <w:color w:val="auto"/>
              </w:rPr>
              <w:t>Issuance of warrants in connection with debt financing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387,000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37,842</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1" w:name="page142"/>
    <w:bookmarkEnd w:id="14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Nature of Business and Basis of Presentation</w:t>
      </w:r>
    </w:p>
    <w:p>
      <w:pPr>
        <w:spacing w:after="0" w:line="229" w:lineRule="exact"/>
        <w:rPr>
          <w:sz w:val="20"/>
          <w:szCs w:val="20"/>
          <w:color w:val="auto"/>
        </w:rPr>
      </w:pPr>
    </w:p>
    <w:p>
      <w:pPr>
        <w:ind w:left="40" w:right="59" w:firstLine="648"/>
        <w:spacing w:after="0" w:line="218" w:lineRule="exact"/>
        <w:rPr>
          <w:sz w:val="20"/>
          <w:szCs w:val="20"/>
          <w:color w:val="auto"/>
        </w:rPr>
      </w:pPr>
      <w:r>
        <w:rPr>
          <w:rFonts w:ascii="Arial" w:cs="Arial" w:eastAsia="Arial" w:hAnsi="Arial"/>
          <w:sz w:val="16"/>
          <w:szCs w:val="16"/>
          <w:color w:val="auto"/>
        </w:rPr>
        <w:t>Axsome Therapeutics, Inc. (“Axsome” or the “Company”) is a clinical-stage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five product candidates, AXS</w:t>
      </w:r>
      <w:r>
        <w:rPr>
          <w:rFonts w:ascii="MS PGothic" w:cs="MS PGothic" w:eastAsia="MS PGothic" w:hAnsi="MS PGothic"/>
          <w:sz w:val="16"/>
          <w:szCs w:val="16"/>
          <w:color w:val="auto"/>
        </w:rPr>
        <w:t>‑</w:t>
      </w:r>
      <w:r>
        <w:rPr>
          <w:rFonts w:ascii="Arial" w:cs="Arial" w:eastAsia="Arial" w:hAnsi="Arial"/>
          <w:sz w:val="16"/>
          <w:szCs w:val="16"/>
          <w:color w:val="auto"/>
        </w:rPr>
        <w:t>05, AXS-07, AXS-09, AXS-12, and AXS-14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 and now has operations in the United States and Australia.</w:t>
      </w:r>
    </w:p>
    <w:p>
      <w:pPr>
        <w:spacing w:after="0" w:line="202"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all adjustments necessary for the fair presentation of the Company’s financial position for the periods presented. The consolidated financial statements include the accounts of the Company and its wholly owned subsidiaries. All material intercompany accounts and transactions have been eliminated during the consolidation process.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Amendment to Certificate of Incorporation</w:t>
      </w:r>
    </w:p>
    <w:p>
      <w:pPr>
        <w:spacing w:after="0" w:line="229" w:lineRule="exact"/>
        <w:rPr>
          <w:sz w:val="20"/>
          <w:szCs w:val="20"/>
          <w:color w:val="auto"/>
        </w:rPr>
      </w:pPr>
    </w:p>
    <w:p>
      <w:pPr>
        <w:jc w:val="both"/>
        <w:ind w:left="40" w:right="319" w:firstLine="648"/>
        <w:spacing w:after="0" w:line="259" w:lineRule="auto"/>
        <w:rPr>
          <w:sz w:val="20"/>
          <w:szCs w:val="20"/>
          <w:color w:val="auto"/>
        </w:rPr>
      </w:pPr>
      <w:r>
        <w:rPr>
          <w:rFonts w:ascii="Arial" w:cs="Arial" w:eastAsia="Arial" w:hAnsi="Arial"/>
          <w:sz w:val="18"/>
          <w:szCs w:val="18"/>
          <w:color w:val="auto"/>
        </w:rPr>
        <w:t>In connection with the completion of the Company’s initial public offering (“IPO”) on November 24, 2015, the Company’s stockholders approved an amended and restated Certificate of Incorporation, in which its authorized capital stock consists of 150,000,000 shares of common stock, par value $0.0001 per share, and 10,000,000 shares of preferred stock, par value $0.0001 per share.</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40" w:right="239" w:firstLine="648"/>
        <w:spacing w:after="0" w:line="263" w:lineRule="auto"/>
        <w:rPr>
          <w:sz w:val="20"/>
          <w:szCs w:val="20"/>
          <w:color w:val="auto"/>
        </w:rPr>
      </w:pPr>
      <w:r>
        <w:rPr>
          <w:rFonts w:ascii="Arial" w:cs="Arial" w:eastAsia="Arial" w:hAnsi="Arial"/>
          <w:sz w:val="18"/>
          <w:szCs w:val="18"/>
          <w:color w:val="auto"/>
        </w:rPr>
        <w:t>The Company has incurred operating losses since its inception, and expects to continue to incur operating losses for the foreseeable future and may never become profitable. As of December 31, 2019, the Company had an accumulated deficit of $175.9 million.</w:t>
      </w:r>
    </w:p>
    <w:p>
      <w:pPr>
        <w:spacing w:after="0" w:line="184"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The Company’s primary sources of cash have been proceeds from the issuance and sale of its common stock in public offerings. The Company has not yet commercialized any of its product candidates and cannot be sure if it will ever be able to do so. Even if the Company commercializes one or more of its product candidates, it may not become profitable.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77" w:lineRule="exact"/>
        <w:rPr>
          <w:sz w:val="20"/>
          <w:szCs w:val="20"/>
          <w:color w:val="auto"/>
        </w:rPr>
      </w:pPr>
    </w:p>
    <w:p>
      <w:pPr>
        <w:ind w:left="40" w:right="99" w:firstLine="648"/>
        <w:spacing w:after="0" w:line="255" w:lineRule="auto"/>
        <w:rPr>
          <w:sz w:val="20"/>
          <w:szCs w:val="20"/>
          <w:color w:val="auto"/>
        </w:rPr>
      </w:pPr>
      <w:r>
        <w:rPr>
          <w:rFonts w:ascii="Arial" w:cs="Arial" w:eastAsia="Arial" w:hAnsi="Arial"/>
          <w:sz w:val="18"/>
          <w:szCs w:val="18"/>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along with cost to commercialize its product candidates. The Company is dependent upon future financing to provide the cash necessary to execute its current operations, including the commercialization of any of its product candidates.</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Company’s common stock is listed on the Nasdaq Global Market and trades under the symbol “AXSM”.</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2" w:name="page143"/>
    <w:bookmarkEnd w:id="14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29" w:lineRule="exact"/>
        <w:rPr>
          <w:sz w:val="20"/>
          <w:szCs w:val="20"/>
          <w:color w:val="auto"/>
        </w:rPr>
      </w:pPr>
    </w:p>
    <w:p>
      <w:pPr>
        <w:ind w:left="40" w:right="79" w:firstLine="648"/>
        <w:spacing w:after="0" w:line="254"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Company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40" w:right="139" w:firstLine="648"/>
        <w:spacing w:after="0" w:line="217" w:lineRule="exact"/>
        <w:rPr>
          <w:sz w:val="20"/>
          <w:szCs w:val="20"/>
          <w:color w:val="auto"/>
        </w:rPr>
      </w:pPr>
      <w:r>
        <w:rPr>
          <w:rFonts w:ascii="Arial" w:cs="Arial" w:eastAsia="Arial" w:hAnsi="Arial"/>
          <w:sz w:val="17"/>
          <w:szCs w:val="17"/>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and Geographic Information</w:t>
      </w:r>
    </w:p>
    <w:p>
      <w:pPr>
        <w:spacing w:after="0" w:line="229" w:lineRule="exact"/>
        <w:rPr>
          <w:sz w:val="20"/>
          <w:szCs w:val="20"/>
          <w:color w:val="auto"/>
        </w:rPr>
      </w:pPr>
    </w:p>
    <w:p>
      <w:pPr>
        <w:ind w:left="40" w:right="479" w:firstLine="648"/>
        <w:spacing w:after="0" w:line="301" w:lineRule="auto"/>
        <w:rPr>
          <w:sz w:val="20"/>
          <w:szCs w:val="20"/>
          <w:color w:val="auto"/>
        </w:rPr>
      </w:pPr>
      <w:r>
        <w:rPr>
          <w:rFonts w:ascii="Arial" w:cs="Arial" w:eastAsia="Arial" w:hAnsi="Arial"/>
          <w:sz w:val="16"/>
          <w:szCs w:val="16"/>
          <w:color w:val="auto"/>
        </w:rPr>
        <w:t>Operating segments are defined as components of an enterprise for which separate discrete information is available for evaluation by the chief operating decision maker or decision 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ind w:left="40" w:right="239" w:firstLine="648"/>
        <w:spacing w:after="0" w:line="263" w:lineRule="auto"/>
        <w:rPr>
          <w:sz w:val="20"/>
          <w:szCs w:val="20"/>
          <w:color w:val="auto"/>
        </w:rPr>
      </w:pPr>
      <w:r>
        <w:rPr>
          <w:rFonts w:ascii="Arial" w:cs="Arial" w:eastAsia="Arial" w:hAnsi="Arial"/>
          <w:sz w:val="18"/>
          <w:szCs w:val="18"/>
          <w:color w:val="auto"/>
        </w:rPr>
        <w:t>The Company considers all highly liquid investments that have maturities of three months or less when acquired to be cash equivalents. Cash equivalents are valued at cost, which approximates their fair value. There were no cash equivalents at December 31, 2019 and 2018.</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3" w:name="page144"/>
    <w:bookmarkEnd w:id="14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left="40" w:right="139" w:firstLine="648"/>
        <w:spacing w:after="0" w:line="296"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The Company maintains its cash at financial institutions, which at times, exceed federally insured limits. At December 31, 2019,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40" w:right="79" w:firstLine="648"/>
        <w:spacing w:after="0" w:line="219"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4" w:lineRule="exact"/>
        <w:rPr>
          <w:sz w:val="20"/>
          <w:szCs w:val="20"/>
          <w:color w:val="auto"/>
        </w:rPr>
      </w:pPr>
    </w:p>
    <w:p>
      <w:pPr>
        <w:ind w:left="40" w:right="479" w:firstLine="648"/>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70" w:lineRule="exact"/>
        <w:rPr>
          <w:sz w:val="20"/>
          <w:szCs w:val="20"/>
          <w:color w:val="auto"/>
        </w:rPr>
      </w:pPr>
    </w:p>
    <w:p>
      <w:pPr>
        <w:ind w:left="40" w:right="519" w:firstLine="648"/>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225" w:lineRule="exact"/>
        <w:rPr>
          <w:sz w:val="20"/>
          <w:szCs w:val="20"/>
          <w:color w:val="auto"/>
        </w:rPr>
      </w:pPr>
    </w:p>
    <w:p>
      <w:pPr>
        <w:ind w:left="40" w:right="99" w:firstLine="648"/>
        <w:spacing w:after="0" w:line="301"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ind w:left="40" w:right="279" w:firstLine="648"/>
        <w:spacing w:after="0" w:line="223" w:lineRule="exact"/>
        <w:rPr>
          <w:sz w:val="20"/>
          <w:szCs w:val="20"/>
          <w:color w:val="auto"/>
        </w:rPr>
      </w:pPr>
      <w:r>
        <w:rPr>
          <w:rFonts w:ascii="Arial" w:cs="Arial" w:eastAsia="Arial" w:hAnsi="Arial"/>
          <w:sz w:val="18"/>
          <w:szCs w:val="18"/>
          <w:color w:val="auto"/>
        </w:rPr>
        <w:t>The carrying amounts reported in the accompanying consolidated financial statements for accounts payable and accrued expenses approximate their respective fair values due to their short</w:t>
      </w:r>
      <w:r>
        <w:rPr>
          <w:rFonts w:ascii="MS PGothic" w:cs="MS PGothic" w:eastAsia="MS PGothic" w:hAnsi="MS PGothic"/>
          <w:sz w:val="18"/>
          <w:szCs w:val="18"/>
          <w:color w:val="auto"/>
        </w:rPr>
        <w:t>‑</w:t>
      </w:r>
      <w:r>
        <w:rPr>
          <w:rFonts w:ascii="Arial" w:cs="Arial" w:eastAsia="Arial" w:hAnsi="Arial"/>
          <w:sz w:val="18"/>
          <w:szCs w:val="18"/>
          <w:color w:val="auto"/>
        </w:rPr>
        <w:t>term maturities.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left="40" w:right="259" w:firstLine="648"/>
        <w:spacing w:after="0" w:line="220" w:lineRule="exact"/>
        <w:rPr>
          <w:sz w:val="20"/>
          <w:szCs w:val="20"/>
          <w:color w:val="auto"/>
        </w:rPr>
      </w:pPr>
      <w:r>
        <w:rPr>
          <w:rFonts w:ascii="Arial" w:cs="Arial" w:eastAsia="Arial" w:hAnsi="Arial"/>
          <w:sz w:val="18"/>
          <w:szCs w:val="18"/>
          <w:color w:val="auto"/>
        </w:rPr>
        <w:t>The Company incurred third</w:t>
      </w:r>
      <w:r>
        <w:rPr>
          <w:rFonts w:ascii="MS PGothic" w:cs="MS PGothic" w:eastAsia="MS PGothic" w:hAnsi="MS PGothic"/>
          <w:sz w:val="18"/>
          <w:szCs w:val="18"/>
          <w:color w:val="auto"/>
        </w:rPr>
        <w:t>‑</w:t>
      </w:r>
      <w:r>
        <w:rPr>
          <w:rFonts w:ascii="Arial" w:cs="Arial" w:eastAsia="Arial" w:hAnsi="Arial"/>
          <w:sz w:val="18"/>
          <w:szCs w:val="18"/>
          <w:color w:val="auto"/>
        </w:rPr>
        <w:t>party costs in connection with the Company’s term loans as described in Note 6 – Loan and Security Agreement. These costs are classified on the consolidated balance sheet as a direct deduction from the debt liability. The Company amortizes these costs over the term of its debt agreements as interest expense in the consolidated statement of operations.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ind w:left="40" w:right="99" w:firstLine="648"/>
        <w:spacing w:after="0" w:line="220" w:lineRule="exact"/>
        <w:rPr>
          <w:sz w:val="20"/>
          <w:szCs w:val="20"/>
          <w:color w:val="auto"/>
        </w:rPr>
      </w:pPr>
      <w:r>
        <w:rPr>
          <w:rFonts w:ascii="Arial" w:cs="Arial" w:eastAsia="Arial" w:hAnsi="Arial"/>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left="40" w:right="219" w:firstLine="648"/>
        <w:spacing w:after="0" w:line="219"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4" w:name="page145"/>
    <w:bookmarkEnd w:id="14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85"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external CROs, and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CRO expenses and clinical trial study expenses based on work performed and relies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0" w:right="179" w:firstLine="648"/>
        <w:spacing w:after="0" w:line="271"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78" w:lineRule="exact"/>
        <w:rPr>
          <w:sz w:val="20"/>
          <w:szCs w:val="20"/>
          <w:color w:val="auto"/>
        </w:rPr>
      </w:pPr>
    </w:p>
    <w:p>
      <w:pPr>
        <w:ind w:left="40" w:right="139" w:firstLine="648"/>
        <w:spacing w:after="0" w:line="293"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December 31, 2019 and 2018,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60"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229" w:lineRule="exact"/>
        <w:rPr>
          <w:sz w:val="20"/>
          <w:szCs w:val="20"/>
          <w:color w:val="auto"/>
        </w:rPr>
      </w:pPr>
    </w:p>
    <w:p>
      <w:pPr>
        <w:ind w:left="40" w:right="59" w:firstLine="648"/>
        <w:spacing w:after="0" w:line="217" w:lineRule="exact"/>
        <w:rPr>
          <w:sz w:val="20"/>
          <w:szCs w:val="20"/>
          <w:color w:val="auto"/>
        </w:rPr>
      </w:pPr>
      <w:r>
        <w:rPr>
          <w:rFonts w:ascii="Arial" w:cs="Arial" w:eastAsia="Arial" w:hAnsi="Arial"/>
          <w:sz w:val="16"/>
          <w:szCs w:val="16"/>
          <w:color w:val="auto"/>
        </w:rPr>
        <w:t>For stock options issued, the Company estimates the grant date fair value of each option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 judgment. In addition, the Company recognizes expense for equity award forfeitures as they occur. 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financial statement line item the grantee’s cash compensation is recorded in.</w:t>
      </w:r>
    </w:p>
    <w:p>
      <w:pPr>
        <w:spacing w:after="0" w:line="207" w:lineRule="exact"/>
        <w:rPr>
          <w:sz w:val="20"/>
          <w:szCs w:val="20"/>
          <w:color w:val="auto"/>
        </w:rPr>
      </w:pPr>
    </w:p>
    <w:p>
      <w:pPr>
        <w:ind w:left="40" w:right="279" w:firstLine="648"/>
        <w:spacing w:after="0" w:line="263" w:lineRule="auto"/>
        <w:rPr>
          <w:sz w:val="20"/>
          <w:szCs w:val="20"/>
          <w:color w:val="auto"/>
        </w:rPr>
      </w:pPr>
      <w:r>
        <w:rPr>
          <w:rFonts w:ascii="Arial" w:cs="Arial" w:eastAsia="Arial" w:hAnsi="Arial"/>
          <w:sz w:val="18"/>
          <w:szCs w:val="18"/>
          <w:color w:val="auto"/>
        </w:rPr>
        <w:t>The Company’s policy upon exercise of stock options is that shares will be issued as new shares drawing on the Company’s 2015 Omnibus Incentive Compensation Plan share pool that was adopted by the stockholders in November 2015.</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5" w:name="page146"/>
    <w:bookmarkEnd w:id="14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 Credit</w:t>
      </w:r>
    </w:p>
    <w:p>
      <w:pPr>
        <w:spacing w:after="0" w:line="229" w:lineRule="exact"/>
        <w:rPr>
          <w:sz w:val="20"/>
          <w:szCs w:val="20"/>
          <w:color w:val="auto"/>
        </w:rPr>
      </w:pPr>
    </w:p>
    <w:p>
      <w:pPr>
        <w:ind w:left="40" w:right="99" w:firstLine="648"/>
        <w:spacing w:after="0" w:line="259" w:lineRule="auto"/>
        <w:rPr>
          <w:sz w:val="20"/>
          <w:szCs w:val="20"/>
          <w:color w:val="auto"/>
        </w:rPr>
      </w:pPr>
      <w:r>
        <w:rPr>
          <w:rFonts w:ascii="Arial" w:cs="Arial" w:eastAsia="Arial" w:hAnsi="Arial"/>
          <w:sz w:val="18"/>
          <w:szCs w:val="18"/>
          <w:color w:val="auto"/>
        </w:rPr>
        <w:t>The tax credit represents the receipt by Axsome Therapeutics Australia PTY, LTD, the Company’s Australian subsidiary, of the Australia Tax Incentive Credit, related to the Company’s research and development expenses incurred for its product candidates. These expenses were incurred in prior periods and therefore the grant income was recorded when the funds were received.</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ind w:left="40" w:right="279" w:firstLine="648"/>
        <w:spacing w:after="0" w:line="219" w:lineRule="exact"/>
        <w:rPr>
          <w:sz w:val="20"/>
          <w:szCs w:val="20"/>
          <w:color w:val="auto"/>
        </w:rPr>
      </w:pPr>
      <w:r>
        <w:rPr>
          <w:rFonts w:ascii="Arial" w:cs="Arial" w:eastAsia="Arial" w:hAnsi="Arial"/>
          <w:sz w:val="17"/>
          <w:szCs w:val="17"/>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convertible notes, warrants, and stock options, which would result in the issuance of incremental shares of common stock. As the impact of these items is anti</w:t>
      </w:r>
      <w:r>
        <w:rPr>
          <w:rFonts w:ascii="MS PGothic" w:cs="MS PGothic" w:eastAsia="MS PGothic" w:hAnsi="MS PGothic"/>
          <w:sz w:val="17"/>
          <w:szCs w:val="17"/>
          <w:color w:val="auto"/>
        </w:rPr>
        <w:t>‑</w:t>
      </w:r>
      <w:r>
        <w:rPr>
          <w:rFonts w:ascii="Arial" w:cs="Arial" w:eastAsia="Arial" w:hAnsi="Arial"/>
          <w:sz w:val="17"/>
          <w:szCs w:val="17"/>
          <w:color w:val="auto"/>
        </w:rPr>
        <w:t>dilutive during periods of net loss, there was no difference between basic and diluted net loss per share of common stock for the years ended December 31, 2019, 2018, and 2017.</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40" w:right="99" w:firstLine="648"/>
        <w:spacing w:after="0" w:line="285"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(Topic 842), which supersedes FASB Topic 840, Leases (Topic 840), requires that assets and liabilities arising under leases be recognized on the balance sheet as well as additional quantitative and qualitative disclosures that provide the amount, timing, and uncertainty of cash flows related to lease agreements. In July 2018, the FASB also issued ASU No. 2018-11, Leases (Topic 842), which provides (1) optional transition method that entities can use when adopting the standard and (2) a practical expedient that permits lessors to not separate nonlease components from the associated lease component if certain conditions are met. The standard is effective for annual and interim periods beginning after December 15, 2018, with early adoption permitted upon issuance. The Company elected to use the transition method approved by the FASB in accordance with ASU No. 2018-11, Leases, which allows companies to apply the provisions of the new leasing standard as of January 1, 2019, without adjusting the comparative periods presented by recognizing a cumulative-effect adjustment to the opening balance of retained earnings. The Company applied a policy election to exclude short-term leases from balance sheet recognition and also elected certain practical expedients at adoption. As permitted under these expedients, the Company did not reassess whether existing contracts are or contain leases, the lease classification for any existing leases, initial direct costs for any existing lease and whether existing land easements and rights of way, that were not previously accounted for as leases, are or contain a lease. The Company has adopted this guidance effective January 1, 2019. The Company evaluated its contracts and concluded that the contracts are not leases and do not contain a lease and the adoption of this guidance did not impact its financial statements.</w:t>
      </w:r>
    </w:p>
    <w:p>
      <w:pPr>
        <w:spacing w:after="0" w:line="174" w:lineRule="exact"/>
        <w:rPr>
          <w:sz w:val="20"/>
          <w:szCs w:val="20"/>
          <w:color w:val="auto"/>
        </w:rPr>
      </w:pPr>
    </w:p>
    <w:p>
      <w:pPr>
        <w:ind w:left="40" w:right="179" w:firstLine="648"/>
        <w:spacing w:after="0" w:line="254" w:lineRule="auto"/>
        <w:rPr>
          <w:sz w:val="20"/>
          <w:szCs w:val="20"/>
          <w:color w:val="auto"/>
        </w:rPr>
      </w:pPr>
      <w:r>
        <w:rPr>
          <w:rFonts w:ascii="Arial" w:cs="Arial" w:eastAsia="Arial" w:hAnsi="Arial"/>
          <w:sz w:val="18"/>
          <w:szCs w:val="18"/>
          <w:color w:val="auto"/>
        </w:rPr>
        <w:t xml:space="preserve">In July 2018, the FASB issued ASU No. 2018-09,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provides technical corrections, clarifications, and other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Amendments that do not have transition guidance are effective for annual periods beginning after December 15, 2018. The Company has adopted this guidance effective January 1, 2019 and the adoption of the guidance did not have a material impact on the Company’s financial statements.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6" w:name="page147"/>
    <w:bookmarkEnd w:id="14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99" w:firstLine="648"/>
        <w:spacing w:after="0" w:line="288"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Framework-Changes to the Disclosure Requirements for Fair Value Measurement</w:t>
      </w:r>
      <w:r>
        <w:rPr>
          <w:rFonts w:ascii="Arial" w:cs="Arial" w:eastAsia="Arial" w:hAnsi="Arial"/>
          <w:sz w:val="16"/>
          <w:szCs w:val="16"/>
          <w:color w:val="auto"/>
        </w:rPr>
        <w:t>, which modifies, removes and adds</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disclosure requirements on fair value measurements based on the FASB Concepts Statement, Conceptual Framework for Financial Reporting-Chapter 8: Notes to the Financial Statements.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ASU is effective for fiscal years beginning after December 15, 2019, including interim periods within those years. The Company has adopted this guidance effective January 1, 2019 and the adoption of the guidance did not have a material impact on the Company’s financial statements.</w:t>
      </w:r>
    </w:p>
    <w:p>
      <w:pPr>
        <w:spacing w:after="0" w:line="168" w:lineRule="exact"/>
        <w:rPr>
          <w:sz w:val="20"/>
          <w:szCs w:val="20"/>
          <w:color w:val="auto"/>
        </w:rPr>
      </w:pPr>
    </w:p>
    <w:p>
      <w:pPr>
        <w:ind w:left="40" w:right="79" w:firstLine="648"/>
        <w:spacing w:after="0" w:line="28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(ASU 2019-12). The new standard simplifies the accounting for income taxes by removing exceptions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incremental approach for intraperiod tax allocation when there is a loss from continuing operations and income or a gain from other items, to the requirement to recognize a deferred tax liability for equity method investments when a foreign subsidiary becomes an equity method investment, to the ability not to recognize a deferred tax liability for a foreign subsidiary when a foreign equity method investment becomes a subsidiary, and to the general methodology for calculating income taxes in an interim period when a year-to-date loss exceeds the anticipated loss for the year. In addition, the standard requires that an entity recognize a franchise tax that is partially based on income as an income-based tax and account for any incremental amount incurred as a non-income-based tax, evaluate when a step up in the tax basis of goodwill should be considered part of the business combination in which the book goodwill was originally recognized and when it should be considered a separate transaction, reflect the effect of an enacted change in tax laws or rates in the annual effective tax rate computation in the interim period that includes the enactment date, and specifying that an entity is not required to allocate the consolidated amount of current and deferred tax expense to a legal entity that is not subject to tax in its separate financial statements, however, an entity may elect to do so (on an entity-by-entity basis) for a legal entity that is both not subject to tax and disregarded by the taxing authority. ASU 2019-12 is effective for annual periods, and interim periods within those annual periods, beginning after December 15, 2020. Early adoption is permitted, including adoption in an interim period. The Company is currently evaluating the expected impact of this standard, but does not expect it to have a material impact on its consolidated financial statements upon adoption.</w:t>
      </w:r>
    </w:p>
    <w:p>
      <w:pPr>
        <w:spacing w:after="0" w:line="167"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Measurements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2017 Warrants associated with Registered Direct Offering</w:t>
      </w:r>
    </w:p>
    <w:p>
      <w:pPr>
        <w:spacing w:after="0" w:line="229" w:lineRule="exact"/>
        <w:rPr>
          <w:sz w:val="20"/>
          <w:szCs w:val="20"/>
          <w:color w:val="auto"/>
        </w:rPr>
      </w:pPr>
    </w:p>
    <w:p>
      <w:pPr>
        <w:ind w:left="40" w:right="59" w:firstLine="648"/>
        <w:spacing w:after="0" w:line="288" w:lineRule="auto"/>
        <w:rPr>
          <w:sz w:val="20"/>
          <w:szCs w:val="20"/>
          <w:color w:val="auto"/>
        </w:rPr>
      </w:pPr>
      <w:r>
        <w:rPr>
          <w:rFonts w:ascii="Arial" w:cs="Arial" w:eastAsia="Arial" w:hAnsi="Arial"/>
          <w:sz w:val="16"/>
          <w:szCs w:val="16"/>
          <w:color w:val="auto"/>
        </w:rPr>
        <w:t xml:space="preserve">In connection with the Company’s 2017 Registered Direct Offering, the Company issued common stock warrants (“Common Warrants”) to certain investors to purchase an aggregate of 1,783,587 shares of its common stock. The Common Warrants were exercisable at $5.25 per share and expired on December 11, 2018. Additionally, as part of the 2017 Registered Direct Offering, the Company issued warrants (the “Placement Agent Warrants’) to certain investors affiliated with H.C. Wainwright &amp; Co., LLC, the placement agent in the 2017 Registered Direct Offering to purchase an aggregate of 107,015 shares of its common stock. The Placement Agent Warrants were exercisable at $6.6562 and expired on December 11, 2018. The Common Warrants and Placement Agent Warrants (collectively the “2017 Warrants”) were analyzed and it was determined that they required liability treatment.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registered common stock warrants that require the issuance of registered shares upon exercise and do not expressly preclude an implied right to cash settlement are accounted for as derivative liabilities.</w:t>
      </w:r>
    </w:p>
    <w:p>
      <w:pPr>
        <w:spacing w:after="0" w:line="168" w:lineRule="exact"/>
        <w:rPr>
          <w:sz w:val="20"/>
          <w:szCs w:val="20"/>
          <w:color w:val="auto"/>
        </w:rPr>
      </w:pPr>
    </w:p>
    <w:p>
      <w:pPr>
        <w:ind w:left="40" w:right="119" w:firstLine="648"/>
        <w:spacing w:after="0" w:line="293" w:lineRule="auto"/>
        <w:rPr>
          <w:sz w:val="20"/>
          <w:szCs w:val="20"/>
          <w:color w:val="auto"/>
        </w:rPr>
      </w:pPr>
      <w:r>
        <w:rPr>
          <w:rFonts w:ascii="Arial" w:cs="Arial" w:eastAsia="Arial" w:hAnsi="Arial"/>
          <w:sz w:val="16"/>
          <w:szCs w:val="16"/>
          <w:color w:val="auto"/>
        </w:rPr>
        <w:t>The fair value of the Common Warrants at December 4, 2017, the date these warrants were issued, and December 31, 2017 were determined to be approximately $2,064,000 and $2,683,000, respectively, as calculated using Black-Scholes with the following assumptions: (1) stock price of $5.00 and $5.60, respectively; (2) a risk-free rate of 1.66% and 1.76%, respectively; and (3) an expected volatility of 61% and 62%, respectively. The fair value of the Common Warrants were reported as a warrant liability on the balance sheet and the change in the fair value between December 4, 2017 and December 31, 2017 is reported as a change in fair value of the warrant liability on the statement of operations.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7" w:name="page148"/>
    <w:bookmarkEnd w:id="14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40" w:right="199" w:firstLine="648"/>
        <w:spacing w:after="0" w:line="293" w:lineRule="auto"/>
        <w:rPr>
          <w:sz w:val="20"/>
          <w:szCs w:val="20"/>
          <w:color w:val="auto"/>
        </w:rPr>
      </w:pPr>
      <w:r>
        <w:rPr>
          <w:rFonts w:ascii="Arial" w:cs="Arial" w:eastAsia="Arial" w:hAnsi="Arial"/>
          <w:sz w:val="16"/>
          <w:szCs w:val="16"/>
          <w:color w:val="auto"/>
        </w:rPr>
        <w:t>The fair value of the Placement Agent Warrants at December 4, 2017, the date these warrants were issued, and December 31, 2017 were determined to be approximately $81,000 and $108,000, respectively, as calculated using Black-Scholes with the following assumptions: (1) stock price of $5.00 and $5.60, respectively; (2) a risk-free rate of 1.66% and 1.76%, respectively; and (3) an expected volatility of 61% and 62%, respectively. The fair value of the Placement Agent Warrants were reported as a warrant liability on the balance sheet and the change in the fair value between December 4, 2017 and December 31, 2017 is reported as a change in fair value of the warrant liability on the statement of operations.</w:t>
      </w:r>
    </w:p>
    <w:p>
      <w:pPr>
        <w:spacing w:after="0" w:line="164" w:lineRule="exact"/>
        <w:rPr>
          <w:sz w:val="20"/>
          <w:szCs w:val="20"/>
          <w:color w:val="auto"/>
        </w:rPr>
      </w:pPr>
    </w:p>
    <w:p>
      <w:pPr>
        <w:ind w:left="40" w:right="79" w:firstLine="648"/>
        <w:spacing w:after="0" w:line="277" w:lineRule="auto"/>
        <w:rPr>
          <w:sz w:val="20"/>
          <w:szCs w:val="20"/>
          <w:color w:val="auto"/>
        </w:rPr>
      </w:pPr>
      <w:r>
        <w:rPr>
          <w:rFonts w:ascii="Arial" w:cs="Arial" w:eastAsia="Arial" w:hAnsi="Arial"/>
          <w:sz w:val="18"/>
          <w:szCs w:val="18"/>
          <w:color w:val="auto"/>
        </w:rPr>
        <w:t>The 2017 Warrants associated with 2017 Registered Direct Offering expired on December 11, 2018, and therefore, the warrant liability was zero as of December 31, 2018.</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 financial liabilities measured at fair value on a recurring basis as of December 31, 2019.</w:t>
      </w:r>
    </w:p>
    <w:p>
      <w:pPr>
        <w:spacing w:after="0" w:line="221"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Net Loss per Common Share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2017</w:t>
            </w:r>
          </w:p>
        </w:tc>
      </w:tr>
      <w:tr>
        <w:trPr>
          <w:trHeight w:val="209"/>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(68,345,186)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(30,965,464)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0"/>
              </w:rPr>
              <w:t>(28,943,392)</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34,020,257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26,883,656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22,764,606</w:t>
            </w:r>
          </w:p>
        </w:tc>
      </w:t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Net loss per common share—basic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bl>
    <w:p>
      <w:pPr>
        <w:spacing w:after="0" w:line="202" w:lineRule="exact"/>
        <w:rPr>
          <w:sz w:val="20"/>
          <w:szCs w:val="20"/>
          <w:color w:val="auto"/>
        </w:rPr>
      </w:pPr>
    </w:p>
    <w:p>
      <w:pPr>
        <w:ind w:left="40" w:right="639" w:firstLine="648"/>
        <w:spacing w:after="0" w:line="224" w:lineRule="exact"/>
        <w:rPr>
          <w:sz w:val="20"/>
          <w:szCs w:val="20"/>
          <w:color w:val="auto"/>
        </w:rPr>
      </w:pPr>
      <w:r>
        <w:rPr>
          <w:rFonts w:ascii="Arial" w:cs="Arial" w:eastAsia="Arial" w:hAnsi="Arial"/>
          <w:sz w:val="16"/>
          <w:szCs w:val="16"/>
          <w:color w:val="auto"/>
        </w:rPr>
        <w:t>The following potentially dilutive securities outstanding at December 31, 2019, 2018, and 2017 have been excluded from the computation of diluted weighted average shares outstanding, as they would be anti</w:t>
      </w:r>
      <w:r>
        <w:rPr>
          <w:rFonts w:ascii="MS PGothic" w:cs="MS PGothic" w:eastAsia="MS PGothic" w:hAnsi="MS PGothic"/>
          <w:sz w:val="16"/>
          <w:szCs w:val="16"/>
          <w:color w:val="auto"/>
        </w:rPr>
        <w:t>‑</w:t>
      </w:r>
      <w:r>
        <w:rPr>
          <w:rFonts w:ascii="Arial" w:cs="Arial" w:eastAsia="Arial" w:hAnsi="Arial"/>
          <w:sz w:val="16"/>
          <w:szCs w:val="16"/>
          <w:color w:val="auto"/>
        </w:rPr>
        <w:t>dilutive:</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9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000" w:type="dxa"/>
            <w:vAlign w:val="bottom"/>
            <w:gridSpan w:val="2"/>
          </w:tcPr>
          <w:p>
            <w:pPr>
              <w:jc w:val="center"/>
              <w:ind w:left="55"/>
              <w:spacing w:after="0" w:line="142" w:lineRule="exact"/>
              <w:rPr>
                <w:sz w:val="20"/>
                <w:szCs w:val="20"/>
                <w:color w:val="auto"/>
              </w:rPr>
            </w:pPr>
            <w:r>
              <w:rPr>
                <w:rFonts w:ascii="Arial" w:cs="Arial" w:eastAsia="Arial" w:hAnsi="Arial"/>
                <w:sz w:val="14"/>
                <w:szCs w:val="14"/>
                <w:b w:val="1"/>
                <w:bCs w:val="1"/>
                <w:color w:val="auto"/>
                <w:w w:val="96"/>
              </w:rPr>
              <w:t>2017</w:t>
            </w:r>
          </w:p>
        </w:tc>
      </w:tr>
      <w:tr>
        <w:trPr>
          <w:trHeight w:val="210"/>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3,458,447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2,291,163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75"/>
              <w:spacing w:after="0"/>
              <w:rPr>
                <w:sz w:val="20"/>
                <w:szCs w:val="20"/>
                <w:color w:val="auto"/>
              </w:rPr>
            </w:pPr>
            <w:r>
              <w:rPr>
                <w:rFonts w:ascii="Arial" w:cs="Arial" w:eastAsia="Arial" w:hAnsi="Arial"/>
                <w:sz w:val="18"/>
                <w:szCs w:val="18"/>
                <w:color w:val="auto"/>
                <w:w w:val="89"/>
              </w:rPr>
              <w:t>2,315,638</w:t>
            </w: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69,656</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123,037</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tcPr>
          <w:p>
            <w:pPr>
              <w:jc w:val="center"/>
              <w:ind w:left="75"/>
              <w:spacing w:after="0"/>
              <w:rPr>
                <w:sz w:val="20"/>
                <w:szCs w:val="20"/>
                <w:color w:val="auto"/>
              </w:rPr>
            </w:pPr>
            <w:r>
              <w:rPr>
                <w:rFonts w:ascii="Arial" w:cs="Arial" w:eastAsia="Arial" w:hAnsi="Arial"/>
                <w:sz w:val="18"/>
                <w:szCs w:val="18"/>
                <w:color w:val="auto"/>
                <w:w w:val="89"/>
              </w:rPr>
              <w:t>2,099,199</w:t>
            </w: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3,528,103</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2,414,200</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center"/>
              <w:ind w:left="75"/>
              <w:spacing w:after="0"/>
              <w:rPr>
                <w:sz w:val="20"/>
                <w:szCs w:val="20"/>
                <w:color w:val="auto"/>
              </w:rPr>
            </w:pPr>
            <w:r>
              <w:rPr>
                <w:rFonts w:ascii="Arial" w:cs="Arial" w:eastAsia="Arial" w:hAnsi="Arial"/>
                <w:sz w:val="18"/>
                <w:szCs w:val="18"/>
                <w:color w:val="auto"/>
                <w:w w:val="89"/>
              </w:rPr>
              <w:t>4,414,837</w:t>
            </w:r>
          </w:p>
        </w:tc>
      </w:tr>
    </w:tbl>
    <w:p>
      <w:pPr>
        <w:spacing w:after="0" w:line="238"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December 31, 2019 and 2018, accrued expenses consisted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6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8,209,594</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2,266,285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Accrued compensation</w:t>
            </w:r>
          </w:p>
        </w:tc>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2,056,356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1,051,401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683,178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525,613</w:t>
            </w:r>
          </w:p>
        </w:tc>
        <w:tc>
          <w:tcPr>
            <w:tcW w:w="0" w:type="dxa"/>
            <w:vAlign w:val="bottom"/>
          </w:tcPr>
          <w:p>
            <w:pPr>
              <w:spacing w:after="0"/>
              <w:rPr>
                <w:sz w:val="1"/>
                <w:szCs w:val="1"/>
                <w:color w:val="auto"/>
              </w:rPr>
            </w:pPr>
          </w:p>
        </w:tc>
      </w:tr>
      <w:tr>
        <w:trPr>
          <w:trHeight w:val="217"/>
        </w:trPr>
        <w:tc>
          <w:tcPr>
            <w:tcW w:w="3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10,949,128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3,843,299</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620" w:type="dxa"/>
            <w:vAlign w:val="bottom"/>
            <w:gridSpan w:val="2"/>
          </w:tcPr>
          <w:p>
            <w:pPr>
              <w:jc w:val="right"/>
              <w:ind w:right="2027"/>
              <w:spacing w:after="0"/>
              <w:rPr>
                <w:sz w:val="20"/>
                <w:szCs w:val="20"/>
                <w:color w:val="auto"/>
              </w:rPr>
            </w:pPr>
            <w:r>
              <w:rPr>
                <w:rFonts w:ascii="Arial" w:cs="Arial" w:eastAsia="Arial" w:hAnsi="Arial"/>
                <w:sz w:val="18"/>
                <w:szCs w:val="18"/>
                <w:color w:val="auto"/>
              </w:rPr>
              <w:t>F-12</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48" w:name="page149"/>
    <w:bookmarkEnd w:id="14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Loan and Security Agreement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Term Loan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2019 Term Loan</w:t>
      </w:r>
    </w:p>
    <w:p>
      <w:pPr>
        <w:spacing w:after="0" w:line="225" w:lineRule="exact"/>
        <w:rPr>
          <w:sz w:val="20"/>
          <w:szCs w:val="20"/>
          <w:color w:val="auto"/>
        </w:rPr>
      </w:pPr>
    </w:p>
    <w:p>
      <w:pPr>
        <w:ind w:left="40" w:right="119" w:firstLine="648"/>
        <w:spacing w:after="0" w:line="287" w:lineRule="auto"/>
        <w:rPr>
          <w:sz w:val="20"/>
          <w:szCs w:val="20"/>
          <w:color w:val="auto"/>
        </w:rPr>
      </w:pPr>
      <w:r>
        <w:rPr>
          <w:rFonts w:ascii="Arial" w:cs="Arial" w:eastAsia="Arial" w:hAnsi="Arial"/>
          <w:sz w:val="16"/>
          <w:szCs w:val="16"/>
          <w:color w:val="auto"/>
        </w:rPr>
        <w:t>In March 2019, the Company entered into a $24.0 million growth capital term loan facility (the “2019 Term Loan”) with Silicon Valley Bank (“SVB”) and WestRiver Innovation Lending Fund VIII, L.P (“WestRiver”). The two-tranche loan agreement consists of an initial $20.0 million tranche (the “Term A Loan Advance”), which was funded upon closing, with the remaining $4.0 million (the “Term B Loan Advance”) initially available to be drawn, at the Company’s option, subject to the achievement of positive data, on or prior to August 15, 2019 (which was extended to December 31, 2019, in connection with the First Amendment to the 2019 Term Loan, as discussed below), with respect to the Company’s ongoing Phase 2 clinical trial for AXS-12 in narcolepsy, sufficient to submit a Phase 3 protocol to FDA, provided that the Company has not received any objections from the FDA within thirty days after submission of such Phase 3 protocol (the “Milestone Event”). A portion of the first tranche was used to satisfy the Company’s existing obligations under the 2016 Amended Term Loan (as defined below) with SVB, which consisted of $5.6 million in outstanding principal balance and $0.85 million as a final payment fee, and such obligations are considered to be fully repaid and performed. The Term B Loan Advance of $4.0 million was not drawn down by the Company and has since expired.</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loan bears interest at an annual rate equal to the greater of (i) seven and one-half of one percent (7.50%) and</w:t>
      </w:r>
    </w:p>
    <w:p>
      <w:pPr>
        <w:spacing w:after="0" w:line="46" w:lineRule="exact"/>
        <w:rPr>
          <w:sz w:val="20"/>
          <w:szCs w:val="20"/>
          <w:color w:val="auto"/>
        </w:rPr>
      </w:pPr>
    </w:p>
    <w:p>
      <w:pPr>
        <w:ind w:left="40" w:right="59" w:firstLine="4"/>
        <w:spacing w:after="0" w:line="251" w:lineRule="auto"/>
        <w:tabs>
          <w:tab w:leader="none" w:pos="3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two percent (2%) above the Prime Rate. The loan advances mature in February 2023 and initially had an interest-only payment period of 12 months (which was extended to 18 months in connection with the First Amendment to the 2019 Term Loan, as discussed below), extendable to 18 months upon the drawing of the Term B Loan Advance (which is now extendable to 24 months as a result of the First Amendment to the 2019 Term Loan). Principal payments coming due within twelve months have been classified as current liabilities in the accompanying balance sheet. In addition, the Company was initially required to pay a final payment fee of 6.0% of the principal amount extended on the date of repayment of the 2019 Term Loan (which was increased to 6.3% in connection with the First Amendment to the 2019 Term Loan, as discussed below), which is being accreted and amortized into interest expense using the effective interest rate method over the term of the loan.</w:t>
      </w:r>
    </w:p>
    <w:p>
      <w:pPr>
        <w:spacing w:after="0" w:line="197" w:lineRule="exact"/>
        <w:rPr>
          <w:sz w:val="20"/>
          <w:szCs w:val="20"/>
          <w:color w:val="auto"/>
        </w:rPr>
      </w:pPr>
    </w:p>
    <w:p>
      <w:pPr>
        <w:ind w:left="40" w:right="219" w:firstLine="648"/>
        <w:spacing w:after="0" w:line="273" w:lineRule="auto"/>
        <w:rPr>
          <w:sz w:val="20"/>
          <w:szCs w:val="20"/>
          <w:color w:val="auto"/>
        </w:rPr>
      </w:pPr>
      <w:r>
        <w:rPr>
          <w:rFonts w:ascii="Arial" w:cs="Arial" w:eastAsia="Arial" w:hAnsi="Arial"/>
          <w:sz w:val="17"/>
          <w:szCs w:val="17"/>
          <w:color w:val="auto"/>
        </w:rPr>
        <w:t>The Company could initially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or prior to the second anniversary of the effective date, and 1.0% of the outstanding principal if prepaid after the second anniversary of the effective date. The 2019 Term Loan is collateralized by a security interest in all of the Company’s assets except intellectual property. The Company’s intellectual property is subject to a negative pledge.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First Amendment to the 2019 Term Loan</w:t>
      </w:r>
    </w:p>
    <w:p>
      <w:pPr>
        <w:spacing w:after="0" w:line="225"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On July 25, 2019 (the “First Amendment Effective Date”), the Company entered into the first amendment to the 2019 Term Loan (the “First Amendment to the 2019 Term Loan”). Under the First Amendment to the 2019 Term Loan, the interest-only monthly payment period was extended to 18 months after the date of the 2019 Term Loan, which may be further extended to 24 months upon receipt by the Company of the Term B Loan Advance. The Company’s ability to draw down the Term B Loan Advance was extended to December 31, 2019, subject to the Company’s achievement of the Milestone Event prior to or on December 31, 2019. The Term B Loan Advance and the Term A Loan Advance (together, the “Loan Advances”) mature on February 1, 2023 (the “Maturity Date”).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9" w:name="page150"/>
    <w:bookmarkEnd w:id="14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40" w:right="239" w:firstLine="648"/>
        <w:spacing w:after="0" w:line="271"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the Company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the Company’s repayment of the Loan Advances from 6.0% to 6.3% of the original principal amount of the Loan Advances.</w:t>
      </w:r>
    </w:p>
    <w:p>
      <w:pPr>
        <w:spacing w:after="0" w:line="57" w:lineRule="exact"/>
        <w:rPr>
          <w:sz w:val="20"/>
          <w:szCs w:val="20"/>
          <w:color w:val="auto"/>
        </w:rPr>
      </w:pPr>
    </w:p>
    <w:p>
      <w:pPr>
        <w:ind w:left="40" w:right="119" w:firstLine="648"/>
        <w:spacing w:after="0" w:line="255" w:lineRule="auto"/>
        <w:rPr>
          <w:sz w:val="20"/>
          <w:szCs w:val="20"/>
          <w:color w:val="auto"/>
        </w:rPr>
      </w:pPr>
      <w:r>
        <w:rPr>
          <w:rFonts w:ascii="Arial" w:cs="Arial" w:eastAsia="Arial" w:hAnsi="Arial"/>
          <w:sz w:val="18"/>
          <w:szCs w:val="18"/>
          <w:color w:val="auto"/>
        </w:rPr>
        <w:t>The Company may prepay all, but not less than all of the Loan Advances, subject to a prepayment fee of 3.0% of any amount prepaid prior to the first anniversary of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192" w:lineRule="exact"/>
        <w:rPr>
          <w:sz w:val="20"/>
          <w:szCs w:val="20"/>
          <w:color w:val="auto"/>
        </w:rPr>
      </w:pPr>
    </w:p>
    <w:p>
      <w:pPr>
        <w:ind w:left="40" w:right="139" w:firstLine="648"/>
        <w:spacing w:after="0" w:line="254" w:lineRule="auto"/>
        <w:rPr>
          <w:sz w:val="20"/>
          <w:szCs w:val="20"/>
          <w:color w:val="auto"/>
        </w:rPr>
      </w:pPr>
      <w:r>
        <w:rPr>
          <w:rFonts w:ascii="Arial" w:cs="Arial" w:eastAsia="Arial" w:hAnsi="Arial"/>
          <w:sz w:val="18"/>
          <w:szCs w:val="18"/>
          <w:color w:val="auto"/>
        </w:rPr>
        <w:t>The Company evaluated whether the First Amendment to the 2019 Term Loan entered into in July 2019 represented a debt modification or extinguishment in accordance with ASC 470-50, Debt – Modifications and Extinguishments. As the present value of the cash flows under the terms of the First Amendment to the 2019 Term Loan is less than 10% different from the remaining cash flows under the terms of the 2019 Term Loan, the First Amendment to the 2019 Term Loan was accounted for as a debt modification. Therefore, the unamortized balance of debt discount costs incurred in connection with 2019 Term Loan are being amortized through maturity in February 2023 utilizing the effective interest rate method.</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Previous Term Loan</w:t>
      </w:r>
    </w:p>
    <w:p>
      <w:pPr>
        <w:spacing w:after="0" w:line="225" w:lineRule="exact"/>
        <w:rPr>
          <w:sz w:val="20"/>
          <w:szCs w:val="20"/>
          <w:color w:val="auto"/>
        </w:rPr>
      </w:pPr>
    </w:p>
    <w:p>
      <w:pPr>
        <w:ind w:left="40" w:right="79" w:firstLine="648"/>
        <w:spacing w:after="0" w:line="255" w:lineRule="auto"/>
        <w:rPr>
          <w:sz w:val="20"/>
          <w:szCs w:val="20"/>
          <w:color w:val="auto"/>
        </w:rPr>
      </w:pPr>
      <w:r>
        <w:rPr>
          <w:rFonts w:ascii="Arial" w:cs="Arial" w:eastAsia="Arial" w:hAnsi="Arial"/>
          <w:sz w:val="18"/>
          <w:szCs w:val="18"/>
          <w:color w:val="auto"/>
        </w:rPr>
        <w:t>Prior to the 2019 Term Loan, the Company had a $20.0 million Term Loan Agreement with SVB which was executed in November 2016 (“2016 Original Term Loan”). The three-tranche term loan consisted of an initial $10.0 million tranche triggered upon closing, with the remaining $10.0 million available to be drawn in two $5.0 million tranches, at the Company’s option, subject to the achievement of certain clinical and financial milestones. The Company did not achieve the conditional criteria to access the second and third tranches before the specified dates and the $10.0 million in additional term loan advances subsequently expired.</w:t>
      </w:r>
    </w:p>
    <w:p>
      <w:pPr>
        <w:spacing w:after="0" w:line="192" w:lineRule="exact"/>
        <w:rPr>
          <w:sz w:val="20"/>
          <w:szCs w:val="20"/>
          <w:color w:val="auto"/>
        </w:rPr>
      </w:pPr>
    </w:p>
    <w:p>
      <w:pPr>
        <w:ind w:left="40" w:right="79" w:firstLine="648"/>
        <w:spacing w:after="0" w:line="287" w:lineRule="auto"/>
        <w:rPr>
          <w:sz w:val="20"/>
          <w:szCs w:val="20"/>
          <w:color w:val="auto"/>
        </w:rPr>
      </w:pPr>
      <w:r>
        <w:rPr>
          <w:rFonts w:ascii="Arial" w:cs="Arial" w:eastAsia="Arial" w:hAnsi="Arial"/>
          <w:sz w:val="16"/>
          <w:szCs w:val="16"/>
          <w:color w:val="auto"/>
        </w:rPr>
        <w:t>The 2016 Original Term Loan bore interest at an annual rate equal to 4.50% plus the prime rate, which is the greater of 3.50% or the Wall Street Journal prime rate, and was payable monthly. It was set to mature in November 2020 and had an interest-only payment period until December 1, 2017, which was extendable to May 2018 upon the drawing of the second tranche. Because the Company did not achieve the conditional criteria to access the second and third term advances before the specified dates, the $10.0 million in additional term loan advances expired and the Company began to repay principal in December 2017. Following the interest only payment period, the Company began making monthly payments of principal and interest which were to continue until the maturity date. Principal payments coming due within twelve months have been classified as current liabilities in the accompanying balance sheet. In addition, the Company was required to pay a final payment fee of 8.5% of the principal amount extended on the date of repayment of the 2016 Original Term Loan. The Company accrued the final payment fee into interest expense using the effective interest rate method until the entry into the 2019 Term Loan in March 2019, at which time the Company paid SVB $0.85 million in satisfaction of all final payment fee liabilities due under the 2016 Original Term Loan.</w:t>
      </w:r>
    </w:p>
    <w:p>
      <w:pPr>
        <w:spacing w:after="0" w:line="168" w:lineRule="exact"/>
        <w:rPr>
          <w:sz w:val="20"/>
          <w:szCs w:val="20"/>
          <w:color w:val="auto"/>
        </w:rPr>
      </w:pPr>
    </w:p>
    <w:p>
      <w:pPr>
        <w:ind w:left="40" w:right="59" w:firstLine="648"/>
        <w:spacing w:after="0" w:line="275" w:lineRule="auto"/>
        <w:rPr>
          <w:sz w:val="20"/>
          <w:szCs w:val="20"/>
          <w:color w:val="auto"/>
        </w:rPr>
      </w:pPr>
      <w:r>
        <w:rPr>
          <w:rFonts w:ascii="Arial" w:cs="Arial" w:eastAsia="Arial" w:hAnsi="Arial"/>
          <w:sz w:val="17"/>
          <w:szCs w:val="17"/>
          <w:color w:val="auto"/>
        </w:rPr>
        <w:t>The Company was permitted to prepay all, but not less than all, of the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was collateralized by a security interest in all of the Company’s assets except intellectual property. The Company’s intellectual property was subject to a negative pledge.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0" w:name="page151"/>
    <w:bookmarkEnd w:id="15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99" w:firstLine="648"/>
        <w:spacing w:after="0" w:line="270" w:lineRule="auto"/>
        <w:rPr>
          <w:sz w:val="20"/>
          <w:szCs w:val="20"/>
          <w:color w:val="auto"/>
        </w:rPr>
      </w:pPr>
      <w:r>
        <w:rPr>
          <w:rFonts w:ascii="Arial" w:cs="Arial" w:eastAsia="Arial" w:hAnsi="Arial"/>
          <w:sz w:val="17"/>
          <w:szCs w:val="17"/>
          <w:color w:val="auto"/>
        </w:rPr>
        <w:t>In November 2018, the Company amended the 2016 Original Term Loan with SVB to provide an additional $4.0 million growth capital loan. This additional capital was available to be drawn, at Axsome’s option, subject to the achievement of positive results from the Company’s upcoming Phase 2 trial of AXS-12 in narcolepsy sufficient to proceed to a Phase 3 trial. The financial terms for this additional growth capital were more favorable than those of the original term loan. All other terms and conditions from the original term loan agreement remain in place. The additional $4.0 million growth capital loan had to be drawn by May 31, 2019 and would bear interest at an annual rate equal to the greater of the prime rate plus 2.00%, or 7.25%, if drawn. The Company’s obligations under the 2016 Amended Term Loan, along with the ability of the Company to draw down on the additional $4.0 million tranche, were considered performed and completed in connection with the establishment of the 2019 Term Loan.</w:t>
      </w:r>
    </w:p>
    <w:p>
      <w:pPr>
        <w:spacing w:after="0" w:line="59"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color w:val="auto"/>
        </w:rPr>
        <w:t>The Company evaluated whether the 2019 Term Loan entered into in March 2019 represented a debt modification or extinguishment in accordance with ASC 470-50, Debt – Modifications and Extinguishments. As the present value of the cash flows under the terms of the 2019 Term Loan is less than 10% different from the remaining cash flows under the terms of the 2016 Original Term Loan and the 2016 Amended Term Loan, the 2019 Term Loan was accounted for as a debt modification. Since the borrowing capacity of the 2019 Term Loan is greater than the borrowing capacity from the 2016 Original Term Loan and the 2016 Amended Term Loan, the unamortized balance of debt discount costs incurred in connection with those loans and additional debt discount costs incurred in connection with entry into the 2019 Term Loan, are being amortized through maturity in February 2023 utilizing the effective interest rate method.</w:t>
      </w:r>
    </w:p>
    <w:p>
      <w:pPr>
        <w:spacing w:after="0" w:line="165" w:lineRule="exact"/>
        <w:rPr>
          <w:sz w:val="20"/>
          <w:szCs w:val="20"/>
          <w:color w:val="auto"/>
        </w:rPr>
      </w:pPr>
    </w:p>
    <w:p>
      <w:pPr>
        <w:ind w:left="40" w:right="159" w:firstLine="648"/>
        <w:spacing w:after="0" w:line="263" w:lineRule="auto"/>
        <w:rPr>
          <w:sz w:val="20"/>
          <w:szCs w:val="20"/>
          <w:color w:val="auto"/>
        </w:rPr>
      </w:pPr>
      <w:r>
        <w:rPr>
          <w:rFonts w:ascii="Arial" w:cs="Arial" w:eastAsia="Arial" w:hAnsi="Arial"/>
          <w:sz w:val="18"/>
          <w:szCs w:val="18"/>
          <w:color w:val="auto"/>
        </w:rPr>
        <w:t>The book value of debt approximates its fair value given its short term maturity and variable interest rate. Interest expense was $1,362,500, $751,670, and $869,678 and amortization of the final payment was $436,567, $266,668, and $346,978 for the years ended December 31, 2019, 2018, and 2017,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and unamortized debt discount balances are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amount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6,388,889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Add: accreted liability of final payment fee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404,364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663,459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unamortized debt discount, long term</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current portion of long-term debt</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(3,333,333)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payable, long-term</w:t>
            </w: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17,332,626</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3,619,420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outstanding principal amount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current portion of unamortized debt discount</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(41,939)</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payable, current portion</w:t>
            </w: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2,602,292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3,291,394</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79" w:firstLine="648"/>
        <w:spacing w:after="0" w:line="277" w:lineRule="auto"/>
        <w:rPr>
          <w:sz w:val="20"/>
          <w:szCs w:val="20"/>
          <w:color w:val="auto"/>
        </w:rPr>
      </w:pPr>
      <w:r>
        <w:rPr>
          <w:rFonts w:ascii="Arial" w:cs="Arial" w:eastAsia="Arial" w:hAnsi="Arial"/>
          <w:sz w:val="18"/>
          <w:szCs w:val="18"/>
          <w:color w:val="auto"/>
        </w:rPr>
        <w:t>Further information on warrants issued related to the debt financings and amendments are disclosed in Note 8 - Warrants.</w:t>
      </w:r>
    </w:p>
    <w:p>
      <w:pPr>
        <w:spacing w:after="0" w:line="170"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Amortization of the debt discount in relation to warrants issued in Note 8 - Warrants was $213,426, $108,968, and $123,543 for the year ended December 31, 2019, 2018, and 2017, respectively. Due to the debt modification upon entry of the 2019 Term Loan, the unamortized balance of the deferred debt issuance costs incurred with the 2016 Amended Term Loan will continue to be amortized through maturity in February 2023 along with the debt issuance costs of the 2019 Term Loan utilizing the effective interest rate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1" w:name="page152"/>
    <w:bookmarkEnd w:id="151"/>
    <w:tbl>
      <w:tblPr>
        <w:tblLayout w:type="fixed"/>
        <w:tblInd w:w="40" w:type="dxa"/>
        <w:tblCellMar>
          <w:top w:w="0" w:type="dxa"/>
          <w:left w:w="0" w:type="dxa"/>
          <w:bottom w:w="0" w:type="dxa"/>
          <w:right w:w="0" w:type="dxa"/>
        </w:tblCellMar>
      </w:tblPr>
      <w:tr>
        <w:trPr>
          <w:trHeight w:val="207"/>
        </w:trPr>
        <w:tc>
          <w:tcPr>
            <w:tcW w:w="7560" w:type="dxa"/>
            <w:vAlign w:val="bottom"/>
            <w:gridSpan w:val="3"/>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563C1"/>
          </w:tcPr>
          <w:p>
            <w:pPr>
              <w:spacing w:after="0" w:line="20" w:lineRule="exact"/>
              <w:rPr>
                <w:sz w:val="1"/>
                <w:szCs w:val="1"/>
                <w:color w:val="auto"/>
              </w:rPr>
            </w:pPr>
          </w:p>
        </w:tc>
        <w:tc>
          <w:tcPr>
            <w:tcW w:w="1260" w:type="dxa"/>
            <w:vAlign w:val="bottom"/>
            <w:shd w:val="clear" w:color="auto" w:fill="0563C1"/>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7540" w:type="dxa"/>
            <w:vAlign w:val="bottom"/>
            <w:gridSpan w:val="2"/>
          </w:tcPr>
          <w:p>
            <w:pPr>
              <w:ind w:left="640"/>
              <w:spacing w:after="0"/>
              <w:rPr>
                <w:sz w:val="20"/>
                <w:szCs w:val="20"/>
                <w:color w:val="auto"/>
              </w:rPr>
            </w:pPr>
            <w:r>
              <w:rPr>
                <w:rFonts w:ascii="Arial" w:cs="Arial" w:eastAsia="Arial" w:hAnsi="Arial"/>
                <w:sz w:val="18"/>
                <w:szCs w:val="18"/>
                <w:color w:val="auto"/>
                <w:w w:val="91"/>
              </w:rPr>
              <w:t>Scheduled Principal Payments on Outstanding Debt, as of December 31, 2019, are as follows: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6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2021</w:t>
            </w:r>
          </w:p>
        </w:tc>
        <w:tc>
          <w:tcPr>
            <w:tcW w:w="6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62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principal payments outstanding</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Capital Structure</w:t>
      </w:r>
    </w:p>
    <w:p>
      <w:pPr>
        <w:spacing w:after="0" w:line="229" w:lineRule="exact"/>
        <w:rPr>
          <w:sz w:val="20"/>
          <w:szCs w:val="20"/>
          <w:color w:val="auto"/>
        </w:rPr>
      </w:pPr>
    </w:p>
    <w:p>
      <w:pPr>
        <w:ind w:left="40" w:right="179" w:firstLine="648"/>
        <w:spacing w:after="0" w:line="255" w:lineRule="auto"/>
        <w:rPr>
          <w:sz w:val="20"/>
          <w:szCs w:val="20"/>
          <w:color w:val="auto"/>
        </w:rPr>
      </w:pPr>
      <w:r>
        <w:rPr>
          <w:rFonts w:ascii="Arial" w:cs="Arial" w:eastAsia="Arial" w:hAnsi="Arial"/>
          <w:sz w:val="18"/>
          <w:szCs w:val="18"/>
          <w:color w:val="auto"/>
        </w:rPr>
        <w:t>In October 2017, the Company entered into the Sales Agreement with SVB Leerink, pursuant to which the Company may sell up to $30 million in shares of its common stock from time to time through SVB Leerink, acting as its sales agent, in one or more at-the-market offerings. In January 2019, the Company raised approximately $25.8 million in gross proceeds through the sale of 3,164,015 shares under the Sales Agreement. Upon completion of this final sale, the Sales Agreement was automatically terminated, SVB Leerink received a commission of 3.0% of the gross proceeds for all shares sold under the Sales Agreement.</w:t>
      </w:r>
    </w:p>
    <w:p>
      <w:pPr>
        <w:spacing w:after="0" w:line="300" w:lineRule="exact"/>
        <w:rPr>
          <w:sz w:val="20"/>
          <w:szCs w:val="20"/>
          <w:color w:val="auto"/>
        </w:rPr>
      </w:pPr>
    </w:p>
    <w:p>
      <w:pPr>
        <w:ind w:left="40" w:right="119" w:firstLine="648"/>
        <w:spacing w:after="0" w:line="287" w:lineRule="auto"/>
        <w:rPr>
          <w:sz w:val="20"/>
          <w:szCs w:val="20"/>
          <w:color w:val="auto"/>
        </w:rPr>
      </w:pPr>
      <w:r>
        <w:rPr>
          <w:rFonts w:ascii="Arial" w:cs="Arial" w:eastAsia="Arial" w:hAnsi="Arial"/>
          <w:sz w:val="16"/>
          <w:szCs w:val="16"/>
          <w:color w:val="auto"/>
        </w:rPr>
        <w:t>In December 2017, the Company completed the Registered Direct Offering, whereby it sold an aggregate of $9.5 million worth of units (“Units”) at a purchase price of $5.325 per Unit with each Unit consisting of (i) one share of the Company’s common stock, and (ii) a Common Warrant at an exercise price equal to $5.25 per share. The Company sold an aggregate of 1,783,587 Units for gross proceeds of approximately $9.5 million and net proceeds of approximately $8.8 million, net of underwriting discounts and offering expenses. Additionally, the Company issued 107,015 Placement Agent Warrants. The Company incurred issuance costs associated with the Units offering of $745,856, which included $81,000 related to issuance of 107,015 Placement Agent Warrants, of which, $583,768 was allocated to the common stock sold and was recorded as a reduction to equity. The remaining amount was allocated to the Common Warrants and was expensed. The Placement Agent Warrants have the same terms as the Common Warrants, except for the exercise price of $6.6562 per share. The Common Warrants priced at $5.25 and Placement Agent Warrants priced at $6.6562 utilized the 2016 Shelf Registration Statement for a total of $9.4 million and $712,313.</w:t>
      </w:r>
    </w:p>
    <w:p>
      <w:pPr>
        <w:spacing w:after="0" w:line="64" w:lineRule="exact"/>
        <w:rPr>
          <w:sz w:val="20"/>
          <w:szCs w:val="20"/>
          <w:color w:val="auto"/>
        </w:rPr>
      </w:pPr>
    </w:p>
    <w:p>
      <w:pPr>
        <w:ind w:left="40" w:right="139" w:firstLine="648"/>
        <w:spacing w:after="0" w:line="271" w:lineRule="auto"/>
        <w:rPr>
          <w:sz w:val="20"/>
          <w:szCs w:val="20"/>
          <w:color w:val="auto"/>
        </w:rPr>
      </w:pPr>
      <w:r>
        <w:rPr>
          <w:rFonts w:ascii="Arial" w:cs="Arial" w:eastAsia="Arial" w:hAnsi="Arial"/>
          <w:sz w:val="17"/>
          <w:szCs w:val="17"/>
          <w:color w:val="auto"/>
        </w:rPr>
        <w:t>On September 27, 2018, the Company entered into a purchase agreement with certain institutional and accredited investors (collectively, the “RDO Investors”) for the sale by the Company directly to the RDO Investors of an aggregate of 2,966,667 shares of the Company’s common stock, at a purchase price of $3.00 per share (the “2018 Registered Direct Offering”), for gross proceeds of approximately $8.9 million. The 2018 Registered Direct Offering closed on October 1, 2018, and the Company received net proceeds of approximately $8.8 million, after deducting transaction expenses. The 2,966,667 shares of common stock sold in the 2018 Registered Direct Offering were offered and sold by the Company directly to the RDO Investors, without a placement agent, underwriter, broker or dealer, pursuant to a prospectus supplement to the 2016 Shelf Registration Statement.</w:t>
      </w:r>
    </w:p>
    <w:p>
      <w:pPr>
        <w:spacing w:after="0" w:line="178" w:lineRule="exact"/>
        <w:rPr>
          <w:sz w:val="20"/>
          <w:szCs w:val="20"/>
          <w:color w:val="auto"/>
        </w:rPr>
      </w:pPr>
    </w:p>
    <w:p>
      <w:pPr>
        <w:ind w:left="40" w:right="59" w:firstLine="648"/>
        <w:spacing w:after="0" w:line="290" w:lineRule="auto"/>
        <w:rPr>
          <w:sz w:val="20"/>
          <w:szCs w:val="20"/>
          <w:color w:val="auto"/>
        </w:rPr>
      </w:pPr>
      <w:r>
        <w:rPr>
          <w:rFonts w:ascii="Arial" w:cs="Arial" w:eastAsia="Arial" w:hAnsi="Arial"/>
          <w:sz w:val="16"/>
          <w:szCs w:val="16"/>
          <w:color w:val="auto"/>
        </w:rPr>
        <w:t>In May 2019, the Company entered into the May 2019 Sales Agreement with SVB Leerink, pursuant to which the Company may sell up to $50 million in shares of the Company’s common stock from time to time through SVB Leerink, acting as the Company’s sales agent, in one or more at-the-market offerings utilizing the 2016 Shelf Registration Statement. SVB Leerink is entitled to receive a commission of 3.0% of the gross proceeds for any shares sold under the May 2019 Sales Agreement. The Company received approximately $20.1 million in gross proceeds through the sale of 942,285 shares, of which net proceeds were approximately $19.5 million during the year ended December 31, 2019. Due to expiration of the 2016 Shelf Registration Statement, at the Company’s option, the shares that were unsold under the May 2019 Sales Agreement, may be rolled over to the December 2019 Sales Agreement (see below).</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2" w:name="page153"/>
    <w:bookmarkEnd w:id="15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159" w:firstLine="648"/>
        <w:spacing w:after="0" w:line="254" w:lineRule="auto"/>
        <w:rPr>
          <w:sz w:val="20"/>
          <w:szCs w:val="20"/>
          <w:color w:val="auto"/>
        </w:rPr>
      </w:pPr>
      <w:r>
        <w:rPr>
          <w:rFonts w:ascii="Arial" w:cs="Arial" w:eastAsia="Arial" w:hAnsi="Arial"/>
          <w:sz w:val="18"/>
          <w:szCs w:val="18"/>
          <w:color w:val="auto"/>
        </w:rPr>
        <w:t>In December 2019, the Company entered into the December 2019 Sales Agreement with SVB Leerink, pursuant to which the Company may sell up to $80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December 2019 Sales Agreement. The Company received approximately $7.3 million in gross proceeds through the sale of 89,390 shares, of which net proceeds were approximately $7.1 million during the quarter ended December 31, 2019.</w:t>
      </w:r>
    </w:p>
    <w:p>
      <w:pPr>
        <w:spacing w:after="0" w:line="195" w:lineRule="exact"/>
        <w:rPr>
          <w:sz w:val="20"/>
          <w:szCs w:val="20"/>
          <w:color w:val="auto"/>
        </w:rPr>
      </w:pPr>
    </w:p>
    <w:p>
      <w:pPr>
        <w:ind w:left="40" w:right="119" w:firstLine="648"/>
        <w:spacing w:after="0" w:line="259" w:lineRule="auto"/>
        <w:rPr>
          <w:sz w:val="20"/>
          <w:szCs w:val="20"/>
          <w:color w:val="auto"/>
        </w:rPr>
      </w:pPr>
      <w:r>
        <w:rPr>
          <w:rFonts w:ascii="Arial" w:cs="Arial" w:eastAsia="Arial" w:hAnsi="Arial"/>
          <w:sz w:val="18"/>
          <w:szCs w:val="18"/>
          <w:color w:val="auto"/>
        </w:rPr>
        <w:t>In December 2019, the Company completed an underwritten public offering, whereby the Company sold 2,300,000 shares of our common stock at a public offering price of $87.00 per share. The Company received gross proceeds of approximately $200.1 million and net proceeds of approximately $187.1 million, net of underwriting discounts and offering expenses.</w:t>
      </w:r>
    </w:p>
    <w:p>
      <w:pPr>
        <w:spacing w:after="0" w:line="187" w:lineRule="exact"/>
        <w:rPr>
          <w:sz w:val="20"/>
          <w:szCs w:val="20"/>
          <w:color w:val="auto"/>
        </w:rPr>
      </w:pPr>
    </w:p>
    <w:p>
      <w:pPr>
        <w:ind w:left="40" w:right="419" w:firstLine="648"/>
        <w:spacing w:after="0" w:line="263"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Shelf Registration Statement</w:t>
      </w:r>
    </w:p>
    <w:p>
      <w:pPr>
        <w:spacing w:after="0" w:line="229" w:lineRule="exact"/>
        <w:rPr>
          <w:sz w:val="20"/>
          <w:szCs w:val="20"/>
          <w:color w:val="auto"/>
        </w:rPr>
      </w:pPr>
    </w:p>
    <w:p>
      <w:pPr>
        <w:ind w:left="40" w:right="79" w:firstLine="648"/>
        <w:spacing w:after="0" w:line="257" w:lineRule="auto"/>
        <w:rPr>
          <w:sz w:val="20"/>
          <w:szCs w:val="20"/>
          <w:color w:val="auto"/>
        </w:rPr>
      </w:pPr>
      <w:r>
        <w:rPr>
          <w:rFonts w:ascii="Arial" w:cs="Arial" w:eastAsia="Arial" w:hAnsi="Arial"/>
          <w:sz w:val="18"/>
          <w:szCs w:val="18"/>
          <w:color w:val="auto"/>
        </w:rPr>
        <w:t>On December 5, 2019, the Company filed an automatic shelf registration statement (“2019 Shelf Registration”) with the Securities and Exchange Commission (“SEC”) for the issuance of common stock, preferred stock, warrants, rights, debt securities and units. It became effective upon filing with the SEC and is currently the Company’s only active shelf registration. Through the date of this report, the Company has issued common stock of approximately $207.4 million pursuant to such shelf registration statement.</w:t>
      </w:r>
    </w:p>
    <w:p>
      <w:pPr>
        <w:spacing w:after="0" w:line="53" w:lineRule="exact"/>
        <w:rPr>
          <w:sz w:val="20"/>
          <w:szCs w:val="20"/>
          <w:color w:val="auto"/>
        </w:rPr>
      </w:pPr>
    </w:p>
    <w:p>
      <w:pPr>
        <w:ind w:left="40" w:right="79" w:firstLine="648"/>
        <w:spacing w:after="0" w:line="259" w:lineRule="auto"/>
        <w:rPr>
          <w:sz w:val="20"/>
          <w:szCs w:val="20"/>
          <w:color w:val="auto"/>
        </w:rPr>
      </w:pPr>
      <w:r>
        <w:rPr>
          <w:rFonts w:ascii="Arial" w:cs="Arial" w:eastAsia="Arial" w:hAnsi="Arial"/>
          <w:sz w:val="18"/>
          <w:szCs w:val="18"/>
          <w:color w:val="auto"/>
        </w:rPr>
        <w:t>In the future, the Company may also periodically offer unlimited number of these securities in amounts, prices and terms to be announced when and if the securities are offered. At the time any of the securities covered by the 2019 Shelf Registration Statement are offered for sale, a prospectus supplement will be prepared and filed with the SEC containing specific information about the terms of any such offering.</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ind w:left="40" w:right="179" w:firstLine="648"/>
        <w:spacing w:after="0" w:line="291" w:lineRule="auto"/>
        <w:rPr>
          <w:sz w:val="20"/>
          <w:szCs w:val="20"/>
          <w:color w:val="auto"/>
        </w:rPr>
      </w:pPr>
      <w:r>
        <w:rPr>
          <w:rFonts w:ascii="Arial" w:cs="Arial" w:eastAsia="Arial" w:hAnsi="Arial"/>
          <w:sz w:val="16"/>
          <w:szCs w:val="16"/>
          <w:color w:val="auto"/>
        </w:rPr>
        <w:t>The Company had granted stock options under its 2013 Equity Compensation Plan (the "2013 Plan"), which was adopted for employees and consultants for the purpose of advancing the interests of the Company's stockholders by enhancing its ability to attract, retain and motivate persons who are expected to make important contributions to the Company. In November 2015, the 2015 Omnibus Incentive Compensation Plan (the “2015 Plan”) was adopted by the Company’s stockholders. The 2015 Plan is the successor to the Company's 2013 Plan. In conjunction with the adoption of the 2015 Plan, no additional grants were made from the 2013 Plan and options from the 2013 Plan remain outstanding. As of December 31, 2019, there were 3,388,926 shares available for future grant under the 2015 Plan.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3" w:name="page154"/>
    <w:bookmarkEnd w:id="15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stock option activity as of December 31, 2019:</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11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900" w:type="dxa"/>
            <w:vAlign w:val="bottom"/>
          </w:tcPr>
          <w:p>
            <w:pPr>
              <w:jc w:val="right"/>
              <w:ind w:right="94"/>
              <w:spacing w:after="0"/>
              <w:rPr>
                <w:sz w:val="20"/>
                <w:szCs w:val="20"/>
                <w:color w:val="auto"/>
              </w:rPr>
            </w:pPr>
            <w:r>
              <w:rPr>
                <w:rFonts w:ascii="Arial" w:cs="Arial" w:eastAsia="Arial" w:hAnsi="Arial"/>
                <w:sz w:val="14"/>
                <w:szCs w:val="14"/>
                <w:b w:val="1"/>
                <w:bCs w:val="1"/>
                <w:color w:val="auto"/>
              </w:rPr>
              <w:t>of shares</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term</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2,282,636</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1,484,352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(252,773)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900" w:type="dxa"/>
            <w:vAlign w:val="bottom"/>
          </w:tcPr>
          <w:p>
            <w:pPr>
              <w:jc w:val="right"/>
              <w:spacing w:after="0"/>
              <w:rPr>
                <w:sz w:val="20"/>
                <w:szCs w:val="20"/>
                <w:color w:val="auto"/>
              </w:rPr>
            </w:pPr>
            <w:r>
              <w:rPr>
                <w:rFonts w:ascii="Arial" w:cs="Arial" w:eastAsia="Arial" w:hAnsi="Arial"/>
                <w:sz w:val="18"/>
                <w:szCs w:val="18"/>
                <w:color w:val="auto"/>
              </w:rPr>
              <w:t>(55,768)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Outstanding at December 31, 2019</w:t>
            </w:r>
          </w:p>
        </w:tc>
        <w:tc>
          <w:tcPr>
            <w:tcW w:w="900" w:type="dxa"/>
            <w:vAlign w:val="bottom"/>
          </w:tcPr>
          <w:p>
            <w:pPr>
              <w:jc w:val="right"/>
              <w:spacing w:after="0"/>
              <w:rPr>
                <w:sz w:val="20"/>
                <w:szCs w:val="20"/>
                <w:color w:val="auto"/>
              </w:rPr>
            </w:pPr>
            <w:r>
              <w:rPr>
                <w:rFonts w:ascii="Arial" w:cs="Arial" w:eastAsia="Arial" w:hAnsi="Arial"/>
                <w:sz w:val="18"/>
                <w:szCs w:val="18"/>
                <w:color w:val="auto"/>
              </w:rPr>
              <w:t>3,458,447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322,229,820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3,449,778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321,347,251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line="203" w:lineRule="exact"/>
              <w:rPr>
                <w:sz w:val="20"/>
                <w:szCs w:val="20"/>
                <w:color w:val="auto"/>
              </w:rPr>
            </w:pPr>
            <w:r>
              <w:rPr>
                <w:rFonts w:ascii="Arial" w:cs="Arial" w:eastAsia="Arial" w:hAnsi="Arial"/>
                <w:sz w:val="18"/>
                <w:szCs w:val="18"/>
                <w:color w:val="auto"/>
              </w:rPr>
              <w:t>Exercisable at December 31, 2019</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1,861,890</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7.23</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178,992,676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right="99" w:firstLine="648"/>
        <w:spacing w:after="0" w:line="217" w:lineRule="exact"/>
        <w:rPr>
          <w:sz w:val="20"/>
          <w:szCs w:val="20"/>
          <w:color w:val="auto"/>
        </w:rPr>
      </w:pPr>
      <w:r>
        <w:rPr>
          <w:rFonts w:ascii="Arial" w:cs="Arial" w:eastAsia="Arial" w:hAnsi="Arial"/>
          <w:sz w:val="17"/>
          <w:szCs w:val="17"/>
          <w:color w:val="auto"/>
        </w:rPr>
        <w:t>The fair value of each stock option grant is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expected term of the Company’s stock options has been determined utilizing the “simplified” method as described in the SEC’s Staff Accounting Bulletin No. 107 relating to stock</w:t>
      </w:r>
      <w:r>
        <w:rPr>
          <w:rFonts w:ascii="MS PGothic" w:cs="MS PGothic" w:eastAsia="MS PGothic" w:hAnsi="MS PGothic"/>
          <w:sz w:val="17"/>
          <w:szCs w:val="17"/>
          <w:color w:val="auto"/>
        </w:rPr>
        <w:t>‑</w:t>
      </w:r>
      <w:r>
        <w:rPr>
          <w:rFonts w:ascii="Arial" w:cs="Arial" w:eastAsia="Arial" w:hAnsi="Arial"/>
          <w:sz w:val="17"/>
          <w:szCs w:val="17"/>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 The relevant data used to determine the value of the stock option grants for the years ended December 31, 2019, 2018, and 2017 is as follows: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10"/>
        </w:trPr>
        <w:tc>
          <w:tcPr>
            <w:tcW w:w="4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2.7 %</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3.1 %</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2.2 %</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3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91 %</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87 %</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77 %</w:t>
            </w: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Weighted average expected term</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5.00</w:t>
            </w:r>
          </w:p>
        </w:tc>
        <w:tc>
          <w:tcPr>
            <w:tcW w:w="1200" w:type="dxa"/>
            <w:vAlign w:val="bottom"/>
            <w:gridSpan w:val="3"/>
          </w:tcPr>
          <w:p>
            <w:pPr>
              <w:ind w:left="160"/>
              <w:spacing w:after="0"/>
              <w:rPr>
                <w:sz w:val="20"/>
                <w:szCs w:val="20"/>
                <w:color w:val="auto"/>
              </w:rPr>
            </w:pPr>
            <w:r>
              <w:rPr>
                <w:rFonts w:ascii="Arial" w:cs="Arial" w:eastAsia="Arial" w:hAnsi="Arial"/>
                <w:sz w:val="18"/>
                <w:szCs w:val="18"/>
                <w:color w:val="auto"/>
              </w:rPr>
              <w:t>- 6.13 years</w:t>
            </w:r>
          </w:p>
        </w:tc>
        <w:tc>
          <w:tcPr>
            <w:tcW w:w="420" w:type="dxa"/>
            <w:vAlign w:val="bottom"/>
          </w:tcPr>
          <w:p>
            <w:pPr>
              <w:jc w:val="right"/>
              <w:spacing w:after="0"/>
              <w:rPr>
                <w:sz w:val="20"/>
                <w:szCs w:val="20"/>
                <w:color w:val="auto"/>
              </w:rPr>
            </w:pPr>
            <w:r>
              <w:rPr>
                <w:rFonts w:ascii="Arial" w:cs="Arial" w:eastAsia="Arial" w:hAnsi="Arial"/>
                <w:sz w:val="18"/>
                <w:szCs w:val="18"/>
                <w:color w:val="auto"/>
              </w:rPr>
              <w:t>3.66</w:t>
            </w:r>
          </w:p>
        </w:tc>
        <w:tc>
          <w:tcPr>
            <w:tcW w:w="1140" w:type="dxa"/>
            <w:vAlign w:val="bottom"/>
            <w:gridSpan w:val="3"/>
          </w:tcPr>
          <w:p>
            <w:pPr>
              <w:ind w:left="120"/>
              <w:spacing w:after="0"/>
              <w:rPr>
                <w:sz w:val="20"/>
                <w:szCs w:val="20"/>
                <w:color w:val="auto"/>
              </w:rPr>
            </w:pPr>
            <w:r>
              <w:rPr>
                <w:rFonts w:ascii="Arial" w:cs="Arial" w:eastAsia="Arial" w:hAnsi="Arial"/>
                <w:sz w:val="18"/>
                <w:szCs w:val="18"/>
                <w:color w:val="auto"/>
              </w:rPr>
              <w:t>- 6.13 years</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3.50</w:t>
            </w:r>
          </w:p>
        </w:tc>
        <w:tc>
          <w:tcPr>
            <w:tcW w:w="1060" w:type="dxa"/>
            <w:vAlign w:val="bottom"/>
            <w:gridSpan w:val="3"/>
          </w:tcPr>
          <w:p>
            <w:pPr>
              <w:ind w:left="160"/>
              <w:spacing w:after="0"/>
              <w:rPr>
                <w:sz w:val="20"/>
                <w:szCs w:val="20"/>
                <w:color w:val="auto"/>
              </w:rPr>
            </w:pPr>
            <w:r>
              <w:rPr>
                <w:rFonts w:ascii="Arial" w:cs="Arial" w:eastAsia="Arial" w:hAnsi="Arial"/>
                <w:sz w:val="18"/>
                <w:szCs w:val="18"/>
                <w:color w:val="auto"/>
                <w:w w:val="92"/>
              </w:rPr>
              <w:t>- 6.12 years</w:t>
            </w:r>
          </w:p>
        </w:tc>
      </w:tr>
    </w:tbl>
    <w:p>
      <w:pPr>
        <w:spacing w:after="0" w:line="187" w:lineRule="exact"/>
        <w:rPr>
          <w:sz w:val="20"/>
          <w:szCs w:val="20"/>
          <w:color w:val="auto"/>
        </w:rPr>
      </w:pPr>
    </w:p>
    <w:p>
      <w:pPr>
        <w:ind w:left="40" w:right="139" w:firstLine="648"/>
        <w:spacing w:after="0" w:line="219" w:lineRule="exact"/>
        <w:rPr>
          <w:sz w:val="20"/>
          <w:szCs w:val="20"/>
          <w:color w:val="auto"/>
        </w:rPr>
      </w:pPr>
      <w:r>
        <w:rPr>
          <w:rFonts w:ascii="Arial" w:cs="Arial" w:eastAsia="Arial" w:hAnsi="Arial"/>
          <w:sz w:val="17"/>
          <w:szCs w:val="17"/>
          <w:color w:val="auto"/>
        </w:rPr>
        <w:t>The weighted average grant date fair value of options granted was $12.49, $1.99, and $3.06 per option for the years ended December 31, 2019, 2018 and 2017, respectively. As of December 31, 2019, there was $14.9 million of total unrecognized compensation cost related to non</w:t>
      </w:r>
      <w:r>
        <w:rPr>
          <w:rFonts w:ascii="MS PGothic" w:cs="MS PGothic" w:eastAsia="MS PGothic" w:hAnsi="MS PGothic"/>
          <w:sz w:val="17"/>
          <w:szCs w:val="17"/>
          <w:color w:val="auto"/>
        </w:rPr>
        <w:t>‑</w:t>
      </w:r>
      <w:r>
        <w:rPr>
          <w:rFonts w:ascii="Arial" w:cs="Arial" w:eastAsia="Arial" w:hAnsi="Arial"/>
          <w:sz w:val="17"/>
          <w:szCs w:val="17"/>
          <w:color w:val="auto"/>
        </w:rPr>
        <w:t>vested stock options which is expected to be recognized over a weighted average period of 3.3 years. These amounts do not include 15,269 options outstanding as of December 31, 2019, which are performance</w:t>
      </w:r>
      <w:r>
        <w:rPr>
          <w:rFonts w:ascii="MS PGothic" w:cs="MS PGothic" w:eastAsia="MS PGothic" w:hAnsi="MS PGothic"/>
          <w:sz w:val="17"/>
          <w:szCs w:val="17"/>
          <w:color w:val="auto"/>
        </w:rPr>
        <w:t>‑</w:t>
      </w:r>
      <w:r>
        <w:rPr>
          <w:rFonts w:ascii="Arial" w:cs="Arial" w:eastAsia="Arial" w:hAnsi="Arial"/>
          <w:sz w:val="17"/>
          <w:szCs w:val="17"/>
          <w:color w:val="auto"/>
        </w:rPr>
        <w:t>based and vest upon the achievement of certain corporate milestones.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will be measured and recorded if and when it is probable that the milestone will occur.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4" w:name="page155"/>
    <w:bookmarkEnd w:id="15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for the years ended December 31, 2019, 2018, and 2017 was as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follows: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1,584,165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391,946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613,629</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4,530,995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1,363,028</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1,458,581</w:t>
            </w:r>
          </w:p>
        </w:tc>
        <w:tc>
          <w:tcPr>
            <w:tcW w:w="60" w:type="dxa"/>
            <w:vAlign w:val="bottom"/>
            <w:tcBorders>
              <w:bottom w:val="single" w:sz="8" w:color="CCEEFF"/>
            </w:tcBorders>
          </w:tcPr>
          <w:p>
            <w:pPr>
              <w:spacing w:after="0"/>
              <w:rPr>
                <w:sz w:val="18"/>
                <w:szCs w:val="18"/>
                <w:color w:val="auto"/>
              </w:rPr>
            </w:pPr>
          </w:p>
        </w:tc>
      </w:tr>
      <w:tr>
        <w:trPr>
          <w:trHeight w:val="217"/>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6,115,160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1,754,974</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2,072,210</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b w:val="1"/>
          <w:bCs w:val="1"/>
          <w:color w:val="auto"/>
        </w:rPr>
        <w:t>Performance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229" w:lineRule="exact"/>
        <w:rPr>
          <w:sz w:val="20"/>
          <w:szCs w:val="20"/>
          <w:color w:val="auto"/>
        </w:rPr>
      </w:pPr>
    </w:p>
    <w:p>
      <w:pPr>
        <w:ind w:left="40" w:right="79" w:firstLine="648"/>
        <w:spacing w:after="0" w:line="217" w:lineRule="exact"/>
        <w:rPr>
          <w:sz w:val="20"/>
          <w:szCs w:val="20"/>
          <w:color w:val="auto"/>
        </w:rPr>
      </w:pPr>
      <w:r>
        <w:rPr>
          <w:rFonts w:ascii="Arial" w:cs="Arial" w:eastAsia="Arial" w:hAnsi="Arial"/>
          <w:sz w:val="16"/>
          <w:szCs w:val="16"/>
          <w:color w:val="auto"/>
        </w:rPr>
        <w:t>During the year ended December 31, 2019, the Company issued 4,500 performance-based awards at an exercise price of $16.71, to employees that vest upon completion of certain clinical events. During the year ended December 31, 2018, the Company issued 19,000 performance-based awards at an exercise price of $2.18, to employees that vest upon completion of certain clinical events. During the year ended December 31, 2017, the Company issued 20,650 performance-based awards, with a weighted average exercise price of $5.70, to employees that vest upon completion of certain clinical events. For awards granted to employees with performance conditions, no expense will be recognized, and no measurement date can occur, until the occurrence of the event is probable. For awards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the Company will recognize the lowest aggregate amount within the range of potential values as expense until the measurement date is established. For the years ended December 31, 2019, 2018, and 2017, the Company recognized $88,835, $1,587,</w:t>
      </w:r>
    </w:p>
    <w:p>
      <w:pPr>
        <w:spacing w:after="0" w:line="6" w:lineRule="exact"/>
        <w:rPr>
          <w:sz w:val="20"/>
          <w:szCs w:val="20"/>
          <w:color w:val="auto"/>
        </w:rPr>
      </w:pPr>
    </w:p>
    <w:p>
      <w:pPr>
        <w:ind w:left="80"/>
        <w:spacing w:after="0" w:line="207" w:lineRule="exact"/>
        <w:rPr>
          <w:sz w:val="20"/>
          <w:szCs w:val="20"/>
          <w:color w:val="auto"/>
        </w:rPr>
      </w:pPr>
      <w:r>
        <w:rPr>
          <w:rFonts w:ascii="Arial" w:cs="Arial" w:eastAsia="Arial" w:hAnsi="Arial"/>
          <w:sz w:val="18"/>
          <w:szCs w:val="18"/>
          <w:color w:val="auto"/>
        </w:rPr>
        <w:t>and $59,424, respectively, as expense related to performance</w:t>
      </w:r>
      <w:r>
        <w:rPr>
          <w:rFonts w:ascii="MS PGothic" w:cs="MS PGothic" w:eastAsia="MS PGothic" w:hAnsi="MS PGothic"/>
          <w:sz w:val="18"/>
          <w:szCs w:val="18"/>
          <w:color w:val="auto"/>
        </w:rPr>
        <w:t>‑</w:t>
      </w:r>
      <w:r>
        <w:rPr>
          <w:rFonts w:ascii="Arial" w:cs="Arial" w:eastAsia="Arial" w:hAnsi="Arial"/>
          <w:sz w:val="18"/>
          <w:szCs w:val="18"/>
          <w:color w:val="auto"/>
        </w:rPr>
        <w:t>based awards.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5" w:name="page156"/>
    <w:bookmarkEnd w:id="15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Warrants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December 31, 2019, the Company had outstanding warrants to purchase 69,656 shares of common stock.</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warrant activity as of December 31, 2019, 2018, and 2017:</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96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Warrants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65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337,746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9"/>
        </w:trPr>
        <w:tc>
          <w:tcPr>
            <w:tcW w:w="6520" w:type="dxa"/>
            <w:vAlign w:val="bottom"/>
          </w:tcPr>
          <w:p>
            <w:pPr>
              <w:ind w:left="220"/>
              <w:spacing w:after="0"/>
              <w:rPr>
                <w:sz w:val="20"/>
                <w:szCs w:val="20"/>
                <w:color w:val="auto"/>
              </w:rPr>
            </w:pPr>
            <w:r>
              <w:rPr>
                <w:rFonts w:ascii="Arial" w:cs="Arial" w:eastAsia="Arial" w:hAnsi="Arial"/>
                <w:sz w:val="18"/>
                <w:szCs w:val="18"/>
                <w:color w:val="auto"/>
              </w:rPr>
              <w:t>Issued</w:t>
            </w:r>
          </w:p>
        </w:tc>
        <w:tc>
          <w:tcPr>
            <w:tcW w:w="960" w:type="dxa"/>
            <w:vAlign w:val="bottom"/>
          </w:tcPr>
          <w:p>
            <w:pPr>
              <w:jc w:val="right"/>
              <w:spacing w:after="0"/>
              <w:rPr>
                <w:sz w:val="20"/>
                <w:szCs w:val="20"/>
                <w:color w:val="auto"/>
              </w:rPr>
            </w:pPr>
            <w:r>
              <w:rPr>
                <w:rFonts w:ascii="Arial" w:cs="Arial" w:eastAsia="Arial" w:hAnsi="Arial"/>
                <w:sz w:val="18"/>
                <w:szCs w:val="18"/>
                <w:color w:val="auto"/>
              </w:rPr>
              <w:t>1,890,602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(129,149)</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2,099,199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652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960" w:type="dxa"/>
            <w:vAlign w:val="bottom"/>
          </w:tcPr>
          <w:p>
            <w:pPr>
              <w:jc w:val="right"/>
              <w:spacing w:after="0"/>
              <w:rPr>
                <w:sz w:val="20"/>
                <w:szCs w:val="20"/>
                <w:color w:val="auto"/>
              </w:rPr>
            </w:pPr>
            <w:r>
              <w:rPr>
                <w:rFonts w:ascii="Arial" w:cs="Arial" w:eastAsia="Arial" w:hAnsi="Arial"/>
                <w:sz w:val="18"/>
                <w:szCs w:val="18"/>
                <w:color w:val="auto"/>
              </w:rPr>
              <w:t>(101,310)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(1,890,602)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123,037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Exercised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(111,715)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7"/>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59" w:firstLine="648"/>
        <w:spacing w:after="0" w:line="268" w:lineRule="auto"/>
        <w:rPr>
          <w:sz w:val="20"/>
          <w:szCs w:val="20"/>
          <w:color w:val="auto"/>
        </w:rPr>
      </w:pPr>
      <w:r>
        <w:rPr>
          <w:rFonts w:ascii="Arial" w:cs="Arial" w:eastAsia="Arial" w:hAnsi="Arial"/>
          <w:sz w:val="17"/>
          <w:szCs w:val="17"/>
          <w:color w:val="auto"/>
        </w:rPr>
        <w:t>In connection with the Company’s new term loan facility with SVB and WestRiver which was completed in March 2019, the Company issued warrants for up to 70,000 shares of the Company’s common stock at a price per share equal to $8.10 based upon usage of the facility and are exercisable until March 4, 2026. The warrants were classified as a component of stockholders' equity. On July 25, 2019, in connection with the First Amendment to the 2019 Term Loan, the March 2019 Warrants were amended to fix the number of shares that may be issued upon exercise of each such March 2019 Warrant at 29,167 shares of common stock, and SVB and WestRiver were issued new warrants (the “July 2019 Warrants”), which would have become exercisable upon funding of the Term B Loan Advance, to purchase 5,750 shares of the Company’s common stock at a price per share equal to $25.71. The July 2019 Warrants replace the portion of the March 2019 Warrants that could originally be earned by SVB and WestRiver upon funding of the Term B Loan Advance. Due to the Company not drawing down on the Term B Loan Advance by December 31, 2019, the July 2019 Warrants have been terminated. In December 2019, SVB exercised in full its portion of 29,167 warrants it received in connection with the 2019 Term Loan via a cashless exercise. The Company issued SVB 24,185 shares of its common stock in connection with the warrant exercise and did not receive any cash proceeds. As of December 31, 2019, WestRiver’s portion of 29,167 warrants remain outstanding.</w:t>
      </w:r>
    </w:p>
    <w:p>
      <w:pPr>
        <w:spacing w:after="0" w:line="184" w:lineRule="exact"/>
        <w:rPr>
          <w:sz w:val="20"/>
          <w:szCs w:val="20"/>
          <w:color w:val="auto"/>
        </w:rPr>
      </w:pPr>
    </w:p>
    <w:p>
      <w:pPr>
        <w:ind w:left="40" w:right="59" w:firstLine="648"/>
        <w:spacing w:after="0" w:line="284" w:lineRule="auto"/>
        <w:rPr>
          <w:sz w:val="20"/>
          <w:szCs w:val="20"/>
          <w:color w:val="auto"/>
        </w:rPr>
      </w:pPr>
      <w:r>
        <w:rPr>
          <w:rFonts w:ascii="Arial" w:cs="Arial" w:eastAsia="Arial" w:hAnsi="Arial"/>
          <w:sz w:val="16"/>
          <w:szCs w:val="16"/>
          <w:color w:val="auto"/>
        </w:rPr>
        <w:t>On November 26, 2018, in connection with the First Amendment to the Loan and Security Agreement, SVB and WestRiver Innovation Lending Fund VIII, L.P. received warrants to purchase 15,750 shares of the Company’s stock at an exercise price of $3.06 per share, which are exercisable for seven years from the date of issuance (“2018 warrants”). The warrants were classified as a component of stockholders' equity. In August 2019, SVB exercised in full its portions of 7,875 warrants it received in connection with the 2016 Amended Term Loan via a cashless exercise. The Company issued SVB 6,969 shares of its common stock in connection with the warrant exercise, and did not receive any cash proceeds. The 2018 warrants have a seven-year term and expire on November 25, 2025. As of December 31, 2019, WestRiver’s portion of</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7,875 warrants remain outstanding.</w:t>
      </w:r>
    </w:p>
    <w:p>
      <w:pPr>
        <w:spacing w:after="0" w:line="211" w:lineRule="exact"/>
        <w:rPr>
          <w:sz w:val="20"/>
          <w:szCs w:val="20"/>
          <w:color w:val="auto"/>
        </w:rPr>
      </w:pPr>
    </w:p>
    <w:p>
      <w:pPr>
        <w:ind w:left="40" w:right="199" w:firstLine="648"/>
        <w:spacing w:after="0" w:line="293" w:lineRule="auto"/>
        <w:rPr>
          <w:sz w:val="20"/>
          <w:szCs w:val="20"/>
          <w:color w:val="auto"/>
        </w:rPr>
      </w:pPr>
      <w:r>
        <w:rPr>
          <w:rFonts w:ascii="Arial" w:cs="Arial" w:eastAsia="Arial" w:hAnsi="Arial"/>
          <w:sz w:val="16"/>
          <w:szCs w:val="16"/>
          <w:color w:val="auto"/>
        </w:rPr>
        <w:t>In connection with the Registered Direct Offering, which was completed on December 11, 2017, the Company issued Common Warrants and Placement Agent Warrants to purchase 1,783,587 shares and 107,015 shares of common stock, respectively, with an exercise price of $5.25 per share and $6.6562 per share, respectively, which are exercisable from the date of issuance until December 11, 2018 (“2017 warrants”). The Common Warrants and Placement Agent Warrants were classified as warrant liability. See Note 3, “Fair Value Measurements”, for the fair value calculations of the warrant liability. The 2017 warrants had a 1 year term and expired on December 11, 2018.</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6" w:name="page157"/>
    <w:bookmarkEnd w:id="15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40" w:right="59" w:firstLine="648"/>
        <w:spacing w:after="0" w:line="291" w:lineRule="auto"/>
        <w:rPr>
          <w:sz w:val="20"/>
          <w:szCs w:val="20"/>
          <w:color w:val="auto"/>
        </w:rPr>
      </w:pPr>
      <w:r>
        <w:rPr>
          <w:rFonts w:ascii="Arial" w:cs="Arial" w:eastAsia="Arial" w:hAnsi="Arial"/>
          <w:sz w:val="16"/>
          <w:szCs w:val="16"/>
          <w:color w:val="auto"/>
        </w:rPr>
        <w:t>In connection with the Company’s debt financing which was completed on November 9, 2016, the Company issued warrants to purchase 65,228 shares of common stock with an exercise price of $7.41 per share, which are exercisable upon issuance (“2016 warrants”) to SVB and Life Sciences. The warrants were classified as a component of stockholders' equity. In September 2019, SVB exercised its portion of 32,614 warrants it received in connection with the 2016 Original Term Loan via a cashless exercise. The Company issued SVB 24,328 shares of its common stock in connection with the warrant exercise, and did not receive any cash proceeds. The 2016 warrants have a seven-year term and expire on November 8, 2023. As of December 31, 2019, Life Sciences portion of 32,164 warrants remain outstanding.</w:t>
      </w:r>
    </w:p>
    <w:p>
      <w:pPr>
        <w:spacing w:after="0" w:line="166" w:lineRule="exact"/>
        <w:rPr>
          <w:sz w:val="20"/>
          <w:szCs w:val="20"/>
          <w:color w:val="auto"/>
        </w:rPr>
      </w:pPr>
    </w:p>
    <w:p>
      <w:pPr>
        <w:jc w:val="both"/>
        <w:ind w:left="40" w:right="79" w:firstLine="648"/>
        <w:spacing w:after="0" w:line="287" w:lineRule="auto"/>
        <w:rPr>
          <w:sz w:val="20"/>
          <w:szCs w:val="20"/>
          <w:color w:val="auto"/>
        </w:rPr>
      </w:pPr>
      <w:r>
        <w:rPr>
          <w:rFonts w:ascii="Arial" w:cs="Arial" w:eastAsia="Arial" w:hAnsi="Arial"/>
          <w:sz w:val="16"/>
          <w:szCs w:val="16"/>
          <w:color w:val="auto"/>
        </w:rPr>
        <w:t>On November 3, 2014, the Company issued warrants to purchase 42,059 shares of common stock with an exercise price of $5.94 per share to the placement agent in connection with the issuance of certain convertible notes from September 2014 through November 2014 (the “September 2014 Notes”), which were exercisable upon issuance (“2014 warrants”).</w:t>
      </w:r>
    </w:p>
    <w:p>
      <w:pPr>
        <w:spacing w:after="0" w:line="2" w:lineRule="exact"/>
        <w:rPr>
          <w:sz w:val="20"/>
          <w:szCs w:val="20"/>
          <w:color w:val="auto"/>
        </w:rPr>
      </w:pPr>
    </w:p>
    <w:p>
      <w:pPr>
        <w:ind w:left="40" w:right="99"/>
        <w:spacing w:after="0" w:line="268" w:lineRule="auto"/>
        <w:rPr>
          <w:sz w:val="20"/>
          <w:szCs w:val="20"/>
          <w:color w:val="auto"/>
        </w:rPr>
      </w:pPr>
      <w:r>
        <w:rPr>
          <w:rFonts w:ascii="Arial" w:cs="Arial" w:eastAsia="Arial" w:hAnsi="Arial"/>
          <w:sz w:val="17"/>
          <w:szCs w:val="17"/>
          <w:color w:val="auto"/>
        </w:rPr>
        <w:t>The warrants were initially classified as a liability in the consolidated financial statements, as upon a qualified financing, the warrant price would automatically adjust to a 10% premium to the conversion price of the September 2014 Notes in such mandatory conversion. The initial fair value of the warrant liability was $79,129 which was recorded as a discount to the notes and amortized over the term of the original September 2014 Notes. Upon the note amendment that occurred in September 2015, the discount was included in the carrying amount in the calculation of a loss on extinguishment. In connection with the automatic conversion of the September 2014 Notes upon the close of the Company’s IPO in November 2015, the warrant liability was reclassified to equity. The 2014 warrants had a five-year term and an expiration of November 2, 2019. All 42,059 warrants were exercised in 2019.</w:t>
      </w:r>
    </w:p>
    <w:p>
      <w:pPr>
        <w:spacing w:after="0" w:line="183" w:lineRule="exact"/>
        <w:rPr>
          <w:sz w:val="20"/>
          <w:szCs w:val="20"/>
          <w:color w:val="auto"/>
        </w:rPr>
      </w:pPr>
    </w:p>
    <w:p>
      <w:pPr>
        <w:ind w:left="40" w:right="99" w:firstLine="648"/>
        <w:spacing w:after="0" w:line="301" w:lineRule="auto"/>
        <w:rPr>
          <w:sz w:val="20"/>
          <w:szCs w:val="20"/>
          <w:color w:val="auto"/>
        </w:rPr>
      </w:pPr>
      <w:r>
        <w:rPr>
          <w:rFonts w:ascii="Arial" w:cs="Arial" w:eastAsia="Arial" w:hAnsi="Arial"/>
          <w:sz w:val="16"/>
          <w:szCs w:val="16"/>
          <w:color w:val="auto"/>
        </w:rPr>
        <w:t>On October 29, 2013, the Company issued warrants to purchase 230,459 shares of common stock with an exercise price of $1.30 per share to the placement agent in connection with the June 2013 Notes, which were exercisable upon issuance (“2013 warrants”). The warrants were classified as a component of stockholders’ equity. The 2013 warrants had a five-year term. 129,149 warrants and 101,310 warrants were exercised in 2017 and 2018, respectively.</w:t>
      </w:r>
    </w:p>
    <w:p>
      <w:pPr>
        <w:spacing w:after="0" w:line="157" w:lineRule="exact"/>
        <w:rPr>
          <w:sz w:val="20"/>
          <w:szCs w:val="20"/>
          <w:color w:val="auto"/>
        </w:rPr>
      </w:pPr>
    </w:p>
    <w:p>
      <w:pPr>
        <w:ind w:left="40" w:right="639" w:firstLine="648"/>
        <w:spacing w:after="0" w:line="223" w:lineRule="exact"/>
        <w:rPr>
          <w:sz w:val="20"/>
          <w:szCs w:val="20"/>
          <w:color w:val="auto"/>
        </w:rPr>
      </w:pPr>
      <w:r>
        <w:rPr>
          <w:rFonts w:ascii="Arial" w:cs="Arial" w:eastAsia="Arial" w:hAnsi="Arial"/>
          <w:sz w:val="18"/>
          <w:szCs w:val="18"/>
          <w:color w:val="auto"/>
        </w:rPr>
        <w:t>The initial fair value of the warrants were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with the following assumptions: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Black-Scholes option valuation assumptions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88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5"/>
              </w:rPr>
              <w:t>warrants</w:t>
            </w:r>
          </w:p>
        </w:tc>
        <w:tc>
          <w:tcPr>
            <w:tcW w:w="90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warrants</w:t>
            </w:r>
          </w:p>
        </w:tc>
        <w:tc>
          <w:tcPr>
            <w:tcW w:w="8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5"/>
              </w:rPr>
              <w:t>warrants</w:t>
            </w:r>
          </w:p>
        </w:tc>
        <w:tc>
          <w:tcPr>
            <w:tcW w:w="9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5"/>
              </w:rPr>
              <w:t>warrants</w:t>
            </w:r>
          </w:p>
        </w:tc>
        <w:tc>
          <w:tcPr>
            <w:tcW w:w="88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5"/>
              </w:rPr>
              <w:t>warrants</w:t>
            </w:r>
          </w:p>
        </w:tc>
        <w:tc>
          <w:tcPr>
            <w:tcW w:w="9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97 %</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85 %</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61 %</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73 %</w:t>
            </w:r>
          </w:p>
        </w:tc>
        <w:tc>
          <w:tcPr>
            <w:tcW w:w="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70 %</w:t>
            </w:r>
          </w:p>
        </w:tc>
        <w:tc>
          <w:tcPr>
            <w:tcW w:w="9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Weighted average contractual term</w:t>
            </w:r>
          </w:p>
        </w:tc>
        <w:tc>
          <w:tcPr>
            <w:tcW w:w="880" w:type="dxa"/>
            <w:vAlign w:val="bottom"/>
            <w:gridSpan w:val="2"/>
          </w:tcPr>
          <w:p>
            <w:pPr>
              <w:jc w:val="center"/>
              <w:ind w:right="190"/>
              <w:spacing w:after="0"/>
              <w:rPr>
                <w:sz w:val="20"/>
                <w:szCs w:val="20"/>
                <w:color w:val="auto"/>
              </w:rPr>
            </w:pPr>
            <w:r>
              <w:rPr>
                <w:rFonts w:ascii="Arial" w:cs="Arial" w:eastAsia="Arial" w:hAnsi="Arial"/>
                <w:sz w:val="18"/>
                <w:szCs w:val="18"/>
                <w:color w:val="auto"/>
                <w:w w:val="88"/>
              </w:rPr>
              <w:t>7 years</w:t>
            </w:r>
          </w:p>
        </w:tc>
        <w:tc>
          <w:tcPr>
            <w:tcW w:w="900" w:type="dxa"/>
            <w:vAlign w:val="bottom"/>
            <w:gridSpan w:val="2"/>
          </w:tcPr>
          <w:p>
            <w:pPr>
              <w:jc w:val="center"/>
              <w:ind w:right="190"/>
              <w:spacing w:after="0"/>
              <w:rPr>
                <w:sz w:val="20"/>
                <w:szCs w:val="20"/>
                <w:color w:val="auto"/>
              </w:rPr>
            </w:pPr>
            <w:r>
              <w:rPr>
                <w:rFonts w:ascii="Arial" w:cs="Arial" w:eastAsia="Arial" w:hAnsi="Arial"/>
                <w:sz w:val="18"/>
                <w:szCs w:val="18"/>
                <w:color w:val="auto"/>
                <w:w w:val="84"/>
              </w:rPr>
              <w:t>7 years</w:t>
            </w: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1 year</w:t>
            </w:r>
          </w:p>
        </w:tc>
        <w:tc>
          <w:tcPr>
            <w:tcW w:w="900" w:type="dxa"/>
            <w:vAlign w:val="bottom"/>
            <w:gridSpan w:val="2"/>
          </w:tcPr>
          <w:p>
            <w:pPr>
              <w:jc w:val="center"/>
              <w:ind w:right="190"/>
              <w:spacing w:after="0"/>
              <w:rPr>
                <w:sz w:val="20"/>
                <w:szCs w:val="20"/>
                <w:color w:val="auto"/>
              </w:rPr>
            </w:pPr>
            <w:r>
              <w:rPr>
                <w:rFonts w:ascii="Arial" w:cs="Arial" w:eastAsia="Arial" w:hAnsi="Arial"/>
                <w:sz w:val="18"/>
                <w:szCs w:val="18"/>
                <w:color w:val="auto"/>
                <w:w w:val="84"/>
              </w:rPr>
              <w:t>7 years</w:t>
            </w:r>
          </w:p>
        </w:tc>
        <w:tc>
          <w:tcPr>
            <w:tcW w:w="880" w:type="dxa"/>
            <w:vAlign w:val="bottom"/>
            <w:gridSpan w:val="2"/>
          </w:tcPr>
          <w:p>
            <w:pPr>
              <w:jc w:val="center"/>
              <w:ind w:right="190"/>
              <w:spacing w:after="0"/>
              <w:rPr>
                <w:sz w:val="20"/>
                <w:szCs w:val="20"/>
                <w:color w:val="auto"/>
              </w:rPr>
            </w:pPr>
            <w:r>
              <w:rPr>
                <w:rFonts w:ascii="Arial" w:cs="Arial" w:eastAsia="Arial" w:hAnsi="Arial"/>
                <w:sz w:val="18"/>
                <w:szCs w:val="18"/>
                <w:color w:val="auto"/>
                <w:w w:val="88"/>
              </w:rPr>
              <w:t>5 years</w:t>
            </w:r>
          </w:p>
        </w:tc>
        <w:tc>
          <w:tcPr>
            <w:tcW w:w="900" w:type="dxa"/>
            <w:vAlign w:val="bottom"/>
            <w:gridSpan w:val="2"/>
          </w:tcPr>
          <w:p>
            <w:pPr>
              <w:jc w:val="center"/>
              <w:ind w:right="170"/>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647"/>
        </w:trPr>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gridSpan w:val="3"/>
          </w:tcPr>
          <w:p>
            <w:pPr>
              <w:jc w:val="right"/>
              <w:ind w:right="630"/>
              <w:spacing w:after="0"/>
              <w:rPr>
                <w:sz w:val="20"/>
                <w:szCs w:val="20"/>
                <w:color w:val="auto"/>
              </w:rPr>
            </w:pPr>
            <w:r>
              <w:rPr>
                <w:rFonts w:ascii="Arial" w:cs="Arial" w:eastAsia="Arial" w:hAnsi="Arial"/>
                <w:sz w:val="18"/>
                <w:szCs w:val="18"/>
                <w:color w:val="auto"/>
              </w:rPr>
              <w:t>F-21</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57" w:name="page158"/>
    <w:bookmarkEnd w:id="15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License Agreements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2012, the Company entered into three exclusive license agreements with Antecip Bioventures II LLC, or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Antecip, an entity owned by Axsome’s Chief Executive Officer and Chairman of the Board, Herriot Tabuteau, M.D., in</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which it was granted exclusive licenses to develop, manufacture, and commercialize Antecip’s patents and applications</w:t>
      </w:r>
    </w:p>
    <w:p>
      <w:pPr>
        <w:spacing w:after="0" w:line="32"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color w:val="auto"/>
        </w:rPr>
        <w:t>related to the development of AXS</w:t>
      </w:r>
      <w:r>
        <w:rPr>
          <w:rFonts w:ascii="MS PGothic" w:cs="MS PGothic" w:eastAsia="MS PGothic" w:hAnsi="MS PGothic"/>
          <w:sz w:val="18"/>
          <w:szCs w:val="18"/>
          <w:color w:val="auto"/>
        </w:rPr>
        <w:t>‑</w:t>
      </w:r>
      <w:r>
        <w:rPr>
          <w:rFonts w:ascii="Arial" w:cs="Arial" w:eastAsia="Arial" w:hAnsi="Arial"/>
          <w:sz w:val="18"/>
          <w:szCs w:val="18"/>
          <w:color w:val="auto"/>
        </w:rPr>
        <w:t>02, AXS</w:t>
      </w:r>
      <w:r>
        <w:rPr>
          <w:rFonts w:ascii="MS PGothic" w:cs="MS PGothic" w:eastAsia="MS PGothic" w:hAnsi="MS PGothic"/>
          <w:sz w:val="18"/>
          <w:szCs w:val="18"/>
          <w:color w:val="auto"/>
        </w:rPr>
        <w:t>‑</w:t>
      </w:r>
      <w:r>
        <w:rPr>
          <w:rFonts w:ascii="Arial" w:cs="Arial" w:eastAsia="Arial" w:hAnsi="Arial"/>
          <w:sz w:val="18"/>
          <w:szCs w:val="18"/>
          <w:color w:val="auto"/>
        </w:rPr>
        <w:t>05, and AXS</w:t>
      </w:r>
      <w:r>
        <w:rPr>
          <w:rFonts w:ascii="MS PGothic" w:cs="MS PGothic" w:eastAsia="MS PGothic" w:hAnsi="MS PGothic"/>
          <w:sz w:val="18"/>
          <w:szCs w:val="18"/>
          <w:color w:val="auto"/>
        </w:rPr>
        <w:t>‑</w:t>
      </w:r>
      <w:r>
        <w:rPr>
          <w:rFonts w:ascii="Arial" w:cs="Arial" w:eastAsia="Arial" w:hAnsi="Arial"/>
          <w:sz w:val="18"/>
          <w:szCs w:val="18"/>
          <w:color w:val="auto"/>
        </w:rPr>
        <w:t>04, a product candidate that is currently in early stage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development, anywhere in the world for veterinary and human therapeutic and diagnostic use. Pursuant to the agreements,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is required to use commercially reasonable efforts to develop, obtain regulatory approval for and</w:t>
      </w:r>
    </w:p>
    <w:p>
      <w:pPr>
        <w:spacing w:after="0" w:line="9"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commercialize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 AXS</w:t>
      </w:r>
      <w:r>
        <w:rPr>
          <w:rFonts w:ascii="MS PGothic" w:cs="MS PGothic" w:eastAsia="MS PGothic" w:hAnsi="MS PGothic"/>
          <w:sz w:val="17"/>
          <w:szCs w:val="17"/>
          <w:color w:val="auto"/>
        </w:rPr>
        <w:t>‑</w:t>
      </w:r>
      <w:r>
        <w:rPr>
          <w:rFonts w:ascii="Arial" w:cs="Arial" w:eastAsia="Arial" w:hAnsi="Arial"/>
          <w:sz w:val="17"/>
          <w:szCs w:val="17"/>
          <w:color w:val="auto"/>
        </w:rPr>
        <w:t>04. Under the terms of the agreements, the Company is required to pay to</w:t>
      </w:r>
    </w:p>
    <w:p>
      <w:pPr>
        <w:spacing w:after="0" w:line="21"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 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licensed technology by the Company, its affiliates, or permitted sublicensees. These royalty payments are subject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reduction by an amount up to 50.0% of any required payments to third parties. Unless earlier terminated by a party for</w:t>
      </w:r>
    </w:p>
    <w:p>
      <w:pPr>
        <w:spacing w:after="0" w:line="21" w:lineRule="exact"/>
        <w:rPr>
          <w:sz w:val="20"/>
          <w:szCs w:val="20"/>
          <w:color w:val="auto"/>
        </w:rPr>
      </w:pPr>
    </w:p>
    <w:p>
      <w:pPr>
        <w:ind w:left="40"/>
        <w:spacing w:after="0" w:line="207" w:lineRule="exact"/>
        <w:rPr>
          <w:sz w:val="20"/>
          <w:szCs w:val="20"/>
          <w:color w:val="auto"/>
        </w:rPr>
      </w:pPr>
      <w:r>
        <w:rPr>
          <w:rFonts w:ascii="Arial" w:cs="Arial" w:eastAsia="Arial" w:hAnsi="Arial"/>
          <w:sz w:val="18"/>
          <w:szCs w:val="18"/>
          <w:color w:val="auto"/>
        </w:rPr>
        <w:t>cause or by the Company for convenience, the agreements shall remain in effect on a product</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product and</w:t>
      </w:r>
    </w:p>
    <w:p>
      <w:pPr>
        <w:spacing w:after="0" w:line="9"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basis until the later to occur of (i) the applicable product is no longer covered by a valid claim in that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country or (ii) 10 years from the first commercial sale of the applicable product in that country. Upon expiration of the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agreements with respect to a product in a country, the Company’s license grant for that product in that country will become</w:t>
      </w:r>
    </w:p>
    <w:p>
      <w:pPr>
        <w:spacing w:after="0" w:line="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 or if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exercises its right to terminate any of the agreements for convenience, the rights granted to the Company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under such terminated agreement will revert to Antecip. To date, the Company has not been required to make any payments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Antecip under any of the license agreements.</w:t>
      </w:r>
    </w:p>
    <w:p>
      <w:pPr>
        <w:spacing w:after="0" w:line="211" w:lineRule="exact"/>
        <w:rPr>
          <w:sz w:val="20"/>
          <w:szCs w:val="20"/>
          <w:color w:val="auto"/>
        </w:rPr>
      </w:pPr>
    </w:p>
    <w:p>
      <w:pPr>
        <w:ind w:left="40" w:right="719" w:firstLine="648"/>
        <w:spacing w:after="0" w:line="277" w:lineRule="auto"/>
        <w:rPr>
          <w:sz w:val="20"/>
          <w:szCs w:val="20"/>
          <w:color w:val="auto"/>
        </w:rPr>
      </w:pPr>
      <w:r>
        <w:rPr>
          <w:rFonts w:ascii="Arial" w:cs="Arial" w:eastAsia="Arial" w:hAnsi="Arial"/>
          <w:sz w:val="18"/>
          <w:szCs w:val="18"/>
          <w:color w:val="auto"/>
        </w:rPr>
        <w:t>In January 2020, the Company entered into an exclusive license agreement with Pfizer Inc. See Note 14 – Subsequent Event, for further information.</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ind w:left="40" w:right="279" w:firstLine="648"/>
        <w:spacing w:after="0" w:line="263" w:lineRule="auto"/>
        <w:rPr>
          <w:sz w:val="20"/>
          <w:szCs w:val="20"/>
          <w:color w:val="auto"/>
        </w:rPr>
      </w:pPr>
      <w:r>
        <w:rPr>
          <w:rFonts w:ascii="Arial" w:cs="Arial" w:eastAsia="Arial" w:hAnsi="Arial"/>
          <w:sz w:val="18"/>
          <w:szCs w:val="18"/>
          <w:color w:val="auto"/>
        </w:rPr>
        <w:t>The Company’s offices are located in New York, New York. The Company is currently under a short-term lease agreement, which does not qualify for accounting under ASC 842. Rent expense incurred during the years ended December 31, 2019, 2018 and 2017 was $485,548, $315,301, and $307,557.</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ind w:left="40" w:right="59" w:firstLine="648"/>
        <w:spacing w:after="0" w:line="271" w:lineRule="auto"/>
        <w:rPr>
          <w:sz w:val="20"/>
          <w:szCs w:val="20"/>
          <w:color w:val="auto"/>
        </w:rPr>
      </w:pPr>
      <w:r>
        <w:rPr>
          <w:rFonts w:ascii="Arial" w:cs="Arial" w:eastAsia="Arial" w:hAnsi="Arial"/>
          <w:sz w:val="17"/>
          <w:szCs w:val="17"/>
          <w:color w:val="auto"/>
        </w:rPr>
        <w:t>As of December 31, 2019, the Company has U.S. federal net operating loss (“NOL”) carryforwards of approximately $154 million. NOLs amounting to $60 million generated before the 2018 tax year will start expiring beginning 2033, and the NOL of approximately $94 million generated in 2018 and later have an indefinite carryforward period. The NOL carryforwards are subject to review and possible adjustment by the Internal Revenue Service and state tax authorities. NOL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that the Company can utilize annually to offset future taxable income or tax liabilities.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8" w:name="page159"/>
    <w:bookmarkEnd w:id="15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the Company’s deferred tax assets and deferred tax liabilities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federal operating loss carryforward</w:t>
            </w:r>
          </w:p>
        </w:tc>
        <w:tc>
          <w:tcPr>
            <w:tcW w:w="1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32,299,085</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18,911,435</w:t>
            </w:r>
          </w:p>
        </w:tc>
        <w:tc>
          <w:tcPr>
            <w:tcW w:w="1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foreign operating loss carryforward</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40,927</w:t>
            </w: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state operating loss carryforward</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20,000,317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11,842,460</w:t>
            </w:r>
          </w:p>
        </w:tc>
        <w:tc>
          <w:tcPr>
            <w:tcW w:w="1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3,485,519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1,625,560</w:t>
            </w: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10,366,683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7,651,781</w:t>
            </w:r>
          </w:p>
        </w:tc>
        <w:tc>
          <w:tcPr>
            <w:tcW w:w="1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finance costs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38,578</w:t>
            </w: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985,431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400,946</w:t>
            </w:r>
          </w:p>
        </w:tc>
        <w:tc>
          <w:tcPr>
            <w:tcW w:w="1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Charitable Contribution</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Fixed Assets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8,595</w:t>
            </w:r>
          </w:p>
        </w:tc>
        <w:tc>
          <w:tcPr>
            <w:tcW w:w="1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1,200,754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732,958</w:t>
            </w:r>
          </w:p>
        </w:tc>
        <w:tc>
          <w:tcPr>
            <w:tcW w:w="140" w:type="dxa"/>
            <w:vAlign w:val="bottom"/>
            <w:shd w:val="clear" w:color="auto" w:fill="CCEEFF"/>
          </w:tcPr>
          <w:p>
            <w:pPr>
              <w:spacing w:after="0"/>
              <w:rPr>
                <w:sz w:val="18"/>
                <w:szCs w:val="18"/>
                <w:color w:val="auto"/>
              </w:rPr>
            </w:pP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Deferred tax asset, excluding valuation allowance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68,414,155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41,258,648</w:t>
            </w:r>
          </w:p>
        </w:tc>
        <w:tc>
          <w:tcPr>
            <w:tcW w:w="1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finance costs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(121,875)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9"/>
        </w:trPr>
        <w:tc>
          <w:tcPr>
            <w:tcW w:w="4940" w:type="dxa"/>
            <w:vAlign w:val="bottom"/>
          </w:tcPr>
          <w:p>
            <w:pPr>
              <w:spacing w:after="0"/>
              <w:rPr>
                <w:sz w:val="20"/>
                <w:szCs w:val="20"/>
                <w:color w:val="auto"/>
              </w:rPr>
            </w:pPr>
            <w:r>
              <w:rPr>
                <w:rFonts w:ascii="Arial" w:cs="Arial" w:eastAsia="Arial" w:hAnsi="Arial"/>
                <w:sz w:val="18"/>
                <w:szCs w:val="18"/>
                <w:color w:val="auto"/>
              </w:rPr>
              <w:t>Deferred tax liability, excluding valuation allowance</w:t>
            </w:r>
          </w:p>
        </w:tc>
        <w:tc>
          <w:tcPr>
            <w:tcW w:w="1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(121,875)</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(68,292,280)</w:t>
            </w: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(41,258,648)</w:t>
            </w:r>
          </w:p>
        </w:tc>
      </w:tr>
      <w:tr>
        <w:trPr>
          <w:trHeight w:val="217"/>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tax assets</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40" w:right="119" w:firstLine="648"/>
        <w:spacing w:after="0" w:line="272" w:lineRule="auto"/>
        <w:rPr>
          <w:sz w:val="20"/>
          <w:szCs w:val="20"/>
          <w:color w:val="auto"/>
        </w:rPr>
      </w:pPr>
      <w:r>
        <w:rPr>
          <w:rFonts w:ascii="Arial" w:cs="Arial" w:eastAsia="Arial" w:hAnsi="Arial"/>
          <w:sz w:val="17"/>
          <w:szCs w:val="17"/>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and forecast of future losses, the Company provided a full valuation allowance against the deferred tax assets resulting from the tax loss and credits carried forward. Valuation allowance increased $27.0 million, $12.5 million, and $6.7 million, in 2019, 2018, and 2017, respectively, as a result of the increase of the deferred tax assets.</w:t>
      </w:r>
    </w:p>
    <w:p>
      <w:pPr>
        <w:spacing w:after="0" w:line="177" w:lineRule="exact"/>
        <w:rPr>
          <w:sz w:val="20"/>
          <w:szCs w:val="20"/>
          <w:color w:val="auto"/>
        </w:rPr>
      </w:pPr>
    </w:p>
    <w:p>
      <w:pPr>
        <w:ind w:left="40" w:right="139" w:firstLine="648"/>
        <w:spacing w:after="0" w:line="259" w:lineRule="auto"/>
        <w:rPr>
          <w:sz w:val="20"/>
          <w:szCs w:val="20"/>
          <w:color w:val="auto"/>
        </w:rPr>
      </w:pPr>
      <w:r>
        <w:rPr>
          <w:rFonts w:ascii="Arial" w:cs="Arial" w:eastAsia="Arial" w:hAnsi="Arial"/>
          <w:sz w:val="18"/>
          <w:szCs w:val="18"/>
          <w:color w:val="auto"/>
        </w:rPr>
        <w:t>There was no income tax expense (benefit) recorded by the Company due to its net loss tax position and full valuation allowance during the years ended December 31, 2019, 2018, and 2017. A reconciliation of income tax expense (benefit) at the statutory federal income tax rate and income taxes as reflected in the consolidated financial statements is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4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1"/>
              </w:rPr>
              <w:t>December 31, 2019</w:t>
            </w:r>
          </w:p>
        </w:tc>
        <w:tc>
          <w:tcPr>
            <w:tcW w:w="14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1"/>
              </w:rPr>
              <w:t>December 31, 2018</w:t>
            </w:r>
          </w:p>
        </w:tc>
        <w:tc>
          <w:tcPr>
            <w:tcW w:w="13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0"/>
              </w:rPr>
              <w:t>December 31, 2017</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 Excess tax benefit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permanent differences</w:t>
            </w: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(0.1)</w:t>
            </w:r>
          </w:p>
        </w:tc>
        <w:tc>
          <w:tcPr>
            <w:tcW w:w="142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Tax credit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US Federal tax rate change - tax reform</w:t>
            </w:r>
          </w:p>
        </w:tc>
        <w:tc>
          <w:tcPr>
            <w:tcW w:w="14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(25.4)</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(39.8)</w:t>
            </w:r>
          </w:p>
        </w:tc>
        <w:tc>
          <w:tcPr>
            <w:tcW w:w="1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(40.2)</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r>
      <w:tr>
        <w:trPr>
          <w:trHeight w:val="217"/>
        </w:trPr>
        <w:tc>
          <w:tcPr>
            <w:tcW w:w="4740" w:type="dxa"/>
            <w:vAlign w:val="bottom"/>
          </w:tcPr>
          <w:p>
            <w:pPr>
              <w:spacing w:after="0"/>
              <w:rPr>
                <w:sz w:val="20"/>
                <w:szCs w:val="20"/>
                <w:color w:val="auto"/>
              </w:rPr>
            </w:pPr>
            <w:r>
              <w:rPr>
                <w:rFonts w:ascii="Arial" w:cs="Arial" w:eastAsia="Arial" w:hAnsi="Arial"/>
                <w:sz w:val="18"/>
                <w:szCs w:val="18"/>
                <w:color w:val="auto"/>
              </w:rPr>
              <w:t>Effective tax rate</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8"/>
          <w:szCs w:val="18"/>
          <w:color w:val="auto"/>
        </w:rPr>
        <w:t>The Company is not currently under examination at the federal or state levels and as of the date of the consolidated financial statements, and there were no known assessments.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9" w:name="page160"/>
    <w:bookmarkEnd w:id="15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Related Party Transactions</w:t>
      </w:r>
    </w:p>
    <w:p>
      <w:pPr>
        <w:spacing w:after="0" w:line="229" w:lineRule="exact"/>
        <w:rPr>
          <w:sz w:val="20"/>
          <w:szCs w:val="20"/>
          <w:color w:val="auto"/>
        </w:rPr>
      </w:pPr>
    </w:p>
    <w:p>
      <w:pPr>
        <w:ind w:left="40" w:right="59" w:firstLine="648"/>
        <w:spacing w:after="0" w:line="257" w:lineRule="auto"/>
        <w:rPr>
          <w:sz w:val="20"/>
          <w:szCs w:val="20"/>
          <w:color w:val="auto"/>
        </w:rPr>
      </w:pPr>
      <w:r>
        <w:rPr>
          <w:rFonts w:ascii="Arial" w:cs="Arial" w:eastAsia="Arial" w:hAnsi="Arial"/>
          <w:sz w:val="18"/>
          <w:szCs w:val="18"/>
          <w:color w:val="auto"/>
        </w:rPr>
        <w:t>From the Company’s inception, Herriot Tabuteau, M.D. has been the Company’s founder, Chief Executive Officer, Chairman of the Company’s board of directors, and the beneficial owner of more than 5% of the outstanding shares of the Company’s common stock. In connection with the formation of the Company, in January 2012, the Company issued to Antecip Capital LLC, an entity controlled by Dr. Tabuteau, an aggregate of 7,344,500 shares of the Company’s common stock for nominal consideration.</w:t>
      </w:r>
    </w:p>
    <w:p>
      <w:pPr>
        <w:spacing w:after="0" w:line="188" w:lineRule="exact"/>
        <w:rPr>
          <w:sz w:val="20"/>
          <w:szCs w:val="20"/>
          <w:color w:val="auto"/>
        </w:rPr>
      </w:pPr>
    </w:p>
    <w:p>
      <w:pPr>
        <w:ind w:left="40" w:right="199" w:firstLine="648"/>
        <w:spacing w:after="0" w:line="308" w:lineRule="auto"/>
        <w:rPr>
          <w:sz w:val="20"/>
          <w:szCs w:val="20"/>
          <w:color w:val="auto"/>
        </w:rPr>
      </w:pPr>
      <w:r>
        <w:rPr>
          <w:rFonts w:ascii="Arial" w:cs="Arial" w:eastAsia="Arial" w:hAnsi="Arial"/>
          <w:sz w:val="17"/>
          <w:szCs w:val="17"/>
          <w:color w:val="auto"/>
        </w:rPr>
        <w:t>The Company is a party to three exclusive license agreements with Antecip Bioventures II LLC, an entity owned by Dr. Tabuteau. See Note 9 – License Agreements for further information regarding the license agreements.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Quarterly Consolidated Financial Data (Unaudited)</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3"/>
              </w:rPr>
              <w:t>2019</w:t>
            </w: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Mar. 31</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Sept. 30</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10,421,473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13,448,219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18,947,235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24,428,170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(10,640,376)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(13,762,214)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(19,135,612)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2"/>
              </w:rPr>
              <w:t>(24,806,984)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3"/>
              </w:rPr>
              <w:t>Net loss per common share, basic and diluted (1)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3"/>
              </w:rPr>
              <w:t>2018</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Mar. 31</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Sept. 30</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7,163,210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7,989,593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8,243,459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(4,805,559)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(8,280,916)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(8,281,974)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(9,597,015)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3"/>
              </w:rPr>
              <w:t>Net loss per common share, basic and diluted (1)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right="379" w:hanging="332"/>
        <w:spacing w:after="0" w:line="263"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Basic and diluted net loss per common share is computed independently for each of the quarters presented. Therefore, the sum of all quarterly basic and fully diluted net loss per common share may not equal the annual basic and diluted net loss per common share.</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14. Subsequent Event</w:t>
      </w:r>
    </w:p>
    <w:p>
      <w:pPr>
        <w:spacing w:after="0" w:line="229"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8"/>
          <w:szCs w:val="18"/>
          <w:color w:val="auto"/>
        </w:rPr>
        <w:t>In January 2020, the Company entered into an exclusive license agreement with Pfizer Inc.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now referred to as AXS-14, in the U.S. for the treatment of fibromyalgia.</w:t>
      </w:r>
    </w:p>
    <w:p>
      <w:pPr>
        <w:spacing w:after="0" w:line="188" w:lineRule="exact"/>
        <w:rPr>
          <w:sz w:val="20"/>
          <w:szCs w:val="20"/>
          <w:color w:val="auto"/>
        </w:rPr>
      </w:pPr>
    </w:p>
    <w:p>
      <w:pPr>
        <w:jc w:val="both"/>
        <w:ind w:left="40" w:right="119" w:firstLine="648"/>
        <w:spacing w:after="0" w:line="286" w:lineRule="auto"/>
        <w:rPr>
          <w:sz w:val="20"/>
          <w:szCs w:val="20"/>
          <w:color w:val="auto"/>
        </w:rPr>
      </w:pPr>
      <w:r>
        <w:rPr>
          <w:rFonts w:ascii="Arial" w:cs="Arial" w:eastAsia="Arial" w:hAnsi="Arial"/>
          <w:sz w:val="16"/>
          <w:szCs w:val="16"/>
          <w:color w:val="auto"/>
        </w:rPr>
        <w:t>Under the terms of the Agreement, Pfizer received 82,019 shares of the Company’s common stock having a value of $8 million, based on the average closing price of the Company’s common stock for the 10 prior trading days of $97.538, in consideration for the license and rights. Pfizer also received an upfront cash payment of $3 million and will also receive up to $323 million in regulatory and sales milestones, and tiered mid-single to low double-digit royalties on future sales.</w:t>
      </w:r>
    </w:p>
    <w:p>
      <w:pPr>
        <w:spacing w:after="0" w:line="1" w:lineRule="exact"/>
        <w:rPr>
          <w:sz w:val="20"/>
          <w:szCs w:val="20"/>
          <w:color w:val="auto"/>
        </w:rPr>
      </w:pPr>
    </w:p>
    <w:p>
      <w:pPr>
        <w:ind w:left="40" w:right="219"/>
        <w:spacing w:after="0" w:line="260" w:lineRule="auto"/>
        <w:rPr>
          <w:sz w:val="20"/>
          <w:szCs w:val="20"/>
          <w:color w:val="auto"/>
        </w:rPr>
      </w:pPr>
      <w:r>
        <w:rPr>
          <w:rFonts w:ascii="Arial" w:cs="Arial" w:eastAsia="Arial" w:hAnsi="Arial"/>
          <w:sz w:val="18"/>
          <w:szCs w:val="18"/>
          <w:color w:val="auto"/>
        </w:rPr>
        <w:t>Pfizer will also have a right of first negotiation on any potential future strategic transactions involving AXS-12 and AXS-14.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0" w:name="page161"/>
    <w:bookmarkEnd w:id="16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20" w:type="dxa"/>
            <w:vAlign w:val="bottom"/>
          </w:tcPr>
          <w:p>
            <w:pPr>
              <w:ind w:left="2460"/>
              <w:spacing w:after="0"/>
              <w:rPr>
                <w:sz w:val="20"/>
                <w:szCs w:val="20"/>
                <w:color w:val="auto"/>
              </w:rPr>
            </w:pPr>
            <w:r>
              <w:rPr>
                <w:rFonts w:ascii="Arial" w:cs="Arial" w:eastAsia="Arial" w:hAnsi="Arial"/>
                <w:sz w:val="18"/>
                <w:szCs w:val="18"/>
                <w:b w:val="1"/>
                <w:bCs w:val="1"/>
                <w:color w:val="auto"/>
              </w:rPr>
              <w:t>INDEX EXHIBITS</w:t>
            </w:r>
          </w:p>
        </w:tc>
        <w:tc>
          <w:tcPr>
            <w:tcW w:w="0" w:type="dxa"/>
            <w:vAlign w:val="bottom"/>
          </w:tcPr>
          <w:p>
            <w:pPr>
              <w:spacing w:after="0"/>
              <w:rPr>
                <w:sz w:val="1"/>
                <w:szCs w:val="1"/>
                <w:color w:val="auto"/>
              </w:rPr>
            </w:pPr>
          </w:p>
        </w:tc>
      </w:tr>
      <w:tr>
        <w:trPr>
          <w:trHeight w:val="369"/>
        </w:trPr>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7320" w:type="dxa"/>
            <w:vAlign w:val="bottom"/>
            <w:vMerge w:val="restart"/>
          </w:tcPr>
          <w:p>
            <w:pPr>
              <w:ind w:left="3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7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1300" w:right="799" w:hanging="301"/>
        <w:spacing w:after="0" w:line="256"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3.1 </w:t>
      </w:r>
      <w:hyperlink r:id="rId176">
        <w:r>
          <w:rPr>
            <w:rFonts w:ascii="Arial" w:cs="Arial" w:eastAsia="Arial" w:hAnsi="Arial"/>
            <w:sz w:val="16"/>
            <w:szCs w:val="16"/>
            <w:u w:val="single" w:color="auto"/>
            <w:color w:val="0000EE"/>
          </w:rPr>
          <w:t>Amended and Restated Certificate of Incorporation of the Company (Incorporated by reference,</w:t>
        </w:r>
      </w:hyperlink>
      <w:r>
        <w:rPr>
          <w:rFonts w:ascii="Arial" w:cs="Arial" w:eastAsia="Arial" w:hAnsi="Arial"/>
          <w:sz w:val="16"/>
          <w:szCs w:val="16"/>
          <w:color w:val="auto"/>
        </w:rPr>
        <w:t xml:space="preserve"> </w:t>
      </w:r>
      <w:hyperlink r:id="rId176">
        <w:r>
          <w:rPr>
            <w:rFonts w:ascii="Arial" w:cs="Arial" w:eastAsia="Arial" w:hAnsi="Arial"/>
            <w:sz w:val="16"/>
            <w:szCs w:val="16"/>
            <w:u w:val="single" w:color="auto"/>
            <w:color w:val="0000EE"/>
          </w:rPr>
          <w:t>Exhibit 3.1 to the Company’s Form 8-K (No. 001-37635) filed November 24, 2015.)</w:t>
        </w:r>
      </w:hyperlink>
    </w:p>
    <w:p>
      <w:pPr>
        <w:spacing w:after="0" w:line="1" w:lineRule="exact"/>
        <w:rPr>
          <w:sz w:val="20"/>
          <w:szCs w:val="20"/>
          <w:color w:val="auto"/>
        </w:rPr>
      </w:pPr>
    </w:p>
    <w:p>
      <w:pPr>
        <w:ind w:left="1300" w:right="95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3.2 </w:t>
      </w:r>
      <w:hyperlink r:id="rId177">
        <w:r>
          <w:rPr>
            <w:rFonts w:ascii="Arial" w:cs="Arial" w:eastAsia="Arial" w:hAnsi="Arial"/>
            <w:sz w:val="18"/>
            <w:szCs w:val="18"/>
            <w:u w:val="single" w:color="auto"/>
            <w:color w:val="0000EE"/>
          </w:rPr>
          <w:t>Amended and Restated Bylaws of the Company (Incorporated by reference, Exhibit 3.2 to the</w:t>
        </w:r>
      </w:hyperlink>
      <w:r>
        <w:rPr>
          <w:rFonts w:ascii="Arial" w:cs="Arial" w:eastAsia="Arial" w:hAnsi="Arial"/>
          <w:sz w:val="18"/>
          <w:szCs w:val="18"/>
          <w:color w:val="auto"/>
        </w:rPr>
        <w:t xml:space="preserve"> </w:t>
      </w:r>
      <w:hyperlink r:id="rId177">
        <w:r>
          <w:rPr>
            <w:rFonts w:ascii="Arial" w:cs="Arial" w:eastAsia="Arial" w:hAnsi="Arial"/>
            <w:sz w:val="18"/>
            <w:szCs w:val="18"/>
            <w:u w:val="single" w:color="auto"/>
            <w:color w:val="0000EE"/>
          </w:rPr>
          <w:t>Company’s Form 8-K (No. 001-37635) filed November 24, 2015.)</w:t>
        </w:r>
      </w:hyperlink>
    </w:p>
    <w:p>
      <w:pPr>
        <w:jc w:val="center"/>
        <w:ind w:left="2140" w:right="300"/>
        <w:spacing w:after="0" w:line="246"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4.1 </w:t>
      </w:r>
      <w:hyperlink r:id="rId178">
        <w:r>
          <w:rPr>
            <w:rFonts w:ascii="Arial" w:cs="Arial" w:eastAsia="Arial" w:hAnsi="Arial"/>
            <w:sz w:val="16"/>
            <w:szCs w:val="16"/>
            <w:u w:val="single" w:color="auto"/>
            <w:color w:val="0000EE"/>
          </w:rPr>
          <w:t>Specimen Certificate evidencing shares of Company’s common stock (Incorporated by reference,</w:t>
        </w:r>
      </w:hyperlink>
      <w:r>
        <w:rPr>
          <w:rFonts w:ascii="Arial" w:cs="Arial" w:eastAsia="Arial" w:hAnsi="Arial"/>
          <w:sz w:val="16"/>
          <w:szCs w:val="16"/>
          <w:color w:val="auto"/>
        </w:rPr>
        <w:t xml:space="preserve"> </w:t>
      </w:r>
      <w:hyperlink r:id="rId178">
        <w:r>
          <w:rPr>
            <w:rFonts w:ascii="Arial" w:cs="Arial" w:eastAsia="Arial" w:hAnsi="Arial"/>
            <w:sz w:val="16"/>
            <w:szCs w:val="16"/>
            <w:u w:val="single" w:color="auto"/>
            <w:color w:val="0000EE"/>
          </w:rPr>
          <w:t>Exhibit 4.1 to Amendment No. 1 to the Company’s Registration Statement on Form S-1 (No.</w:t>
        </w:r>
      </w:hyperlink>
    </w:p>
    <w:p>
      <w:pPr>
        <w:ind w:left="1300"/>
        <w:spacing w:after="0" w:line="190" w:lineRule="exact"/>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333</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207393) filed October 30, 2015.)</w:t>
        </w:r>
      </w:hyperlink>
    </w:p>
    <w:p>
      <w:pPr>
        <w:ind w:left="1300" w:right="47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4.2 </w:t>
      </w:r>
      <w:hyperlink r:id="rId179">
        <w:r>
          <w:rPr>
            <w:rFonts w:ascii="Arial" w:cs="Arial" w:eastAsia="Arial" w:hAnsi="Arial"/>
            <w:sz w:val="18"/>
            <w:szCs w:val="18"/>
            <w:u w:val="single" w:color="auto"/>
            <w:color w:val="0000EE"/>
          </w:rPr>
          <w:t>Form of warrant to purchase shares of Company’s common stock issued in 2013 (Incorporated by</w:t>
        </w:r>
      </w:hyperlink>
      <w:r>
        <w:rPr>
          <w:rFonts w:ascii="Arial" w:cs="Arial" w:eastAsia="Arial" w:hAnsi="Arial"/>
          <w:sz w:val="18"/>
          <w:szCs w:val="18"/>
          <w:color w:val="auto"/>
        </w:rPr>
        <w:t xml:space="preserve"> </w:t>
      </w:r>
      <w:hyperlink r:id="rId179">
        <w:r>
          <w:rPr>
            <w:rFonts w:ascii="Arial" w:cs="Arial" w:eastAsia="Arial" w:hAnsi="Arial"/>
            <w:sz w:val="18"/>
            <w:szCs w:val="18"/>
            <w:u w:val="single" w:color="auto"/>
            <w:color w:val="0000EE"/>
          </w:rPr>
          <w:t>reference, Exhibit 4.2 to the Company’s Registration Statement on Form S-1 (No. 333-207393) filed</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October 13, 2015.)</w:t>
        </w:r>
      </w:hyperlink>
    </w:p>
    <w:p>
      <w:pPr>
        <w:ind w:left="1300" w:right="47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4.3 </w:t>
      </w:r>
      <w:hyperlink r:id="rId180">
        <w:r>
          <w:rPr>
            <w:rFonts w:ascii="Arial" w:cs="Arial" w:eastAsia="Arial" w:hAnsi="Arial"/>
            <w:sz w:val="18"/>
            <w:szCs w:val="18"/>
            <w:u w:val="single" w:color="auto"/>
            <w:color w:val="0000EE"/>
          </w:rPr>
          <w:t>Form of warrant to purchase shares of Company’s common stock issued in 2014 (Incorporated by</w:t>
        </w:r>
      </w:hyperlink>
      <w:r>
        <w:rPr>
          <w:rFonts w:ascii="Arial" w:cs="Arial" w:eastAsia="Arial" w:hAnsi="Arial"/>
          <w:sz w:val="18"/>
          <w:szCs w:val="18"/>
          <w:color w:val="auto"/>
        </w:rPr>
        <w:t xml:space="preserve"> </w:t>
      </w:r>
      <w:hyperlink r:id="rId180">
        <w:r>
          <w:rPr>
            <w:rFonts w:ascii="Arial" w:cs="Arial" w:eastAsia="Arial" w:hAnsi="Arial"/>
            <w:sz w:val="18"/>
            <w:szCs w:val="18"/>
            <w:u w:val="single" w:color="auto"/>
            <w:color w:val="0000EE"/>
          </w:rPr>
          <w:t>reference, Exhibit 4.3 to the Company’s Registration Statement on Form S-1 (No. 333-207393) filed</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October 13, 2015.)</w:t>
        </w:r>
      </w:hyperlink>
    </w:p>
    <w:p>
      <w:pPr>
        <w:ind w:left="1300" w:right="41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4.4 </w:t>
      </w:r>
      <w:hyperlink r:id="rId181">
        <w:r>
          <w:rPr>
            <w:rFonts w:ascii="Arial" w:cs="Arial" w:eastAsia="Arial" w:hAnsi="Arial"/>
            <w:sz w:val="18"/>
            <w:szCs w:val="18"/>
            <w:u w:val="single" w:color="auto"/>
            <w:color w:val="0000EE"/>
          </w:rPr>
          <w:t>Warrant Agreement between Axsome Therapeutics, Inc. and Silicon Valley Bank, dated November 9,</w:t>
        </w:r>
      </w:hyperlink>
      <w:r>
        <w:rPr>
          <w:rFonts w:ascii="Arial" w:cs="Arial" w:eastAsia="Arial" w:hAnsi="Arial"/>
          <w:sz w:val="18"/>
          <w:szCs w:val="18"/>
          <w:color w:val="auto"/>
        </w:rPr>
        <w:t xml:space="preserve"> </w:t>
      </w:r>
      <w:hyperlink r:id="rId181">
        <w:r>
          <w:rPr>
            <w:rFonts w:ascii="Arial" w:cs="Arial" w:eastAsia="Arial" w:hAnsi="Arial"/>
            <w:sz w:val="18"/>
            <w:szCs w:val="18"/>
            <w:u w:val="single" w:color="auto"/>
            <w:color w:val="0000EE"/>
          </w:rPr>
          <w:t>2016 (Incorporated by reference, Exhibit 4.1 to the Company’s Current Report on Form 8-K filed</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November 10, 2016.)</w:t>
        </w:r>
      </w:hyperlink>
    </w:p>
    <w:p>
      <w:pPr>
        <w:ind w:left="1300" w:right="41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4.5 </w:t>
      </w:r>
      <w:hyperlink r:id="rId182">
        <w:r>
          <w:rPr>
            <w:rFonts w:ascii="Arial" w:cs="Arial" w:eastAsia="Arial" w:hAnsi="Arial"/>
            <w:sz w:val="18"/>
            <w:szCs w:val="18"/>
            <w:u w:val="single" w:color="auto"/>
            <w:color w:val="0000EE"/>
          </w:rPr>
          <w:t>Warrant Agreement between Axsome Therapeutics, Inc. and Life Sciences Loans, LLC, dated</w:t>
        </w:r>
      </w:hyperlink>
      <w:r>
        <w:rPr>
          <w:rFonts w:ascii="Arial" w:cs="Arial" w:eastAsia="Arial" w:hAnsi="Arial"/>
          <w:sz w:val="18"/>
          <w:szCs w:val="18"/>
          <w:color w:val="auto"/>
        </w:rPr>
        <w:t xml:space="preserve"> </w:t>
      </w:r>
      <w:hyperlink r:id="rId182">
        <w:r>
          <w:rPr>
            <w:rFonts w:ascii="Arial" w:cs="Arial" w:eastAsia="Arial" w:hAnsi="Arial"/>
            <w:sz w:val="18"/>
            <w:szCs w:val="18"/>
            <w:u w:val="single" w:color="auto"/>
            <w:color w:val="0000EE"/>
          </w:rPr>
          <w:t>November 9, 2016 (Incorporated by reference, Exhibit 4.2 to the Company’s Current Report on Form</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8-K filed November 10, 2016.)</w:t>
        </w:r>
      </w:hyperlink>
    </w:p>
    <w:p>
      <w:pPr>
        <w:ind w:left="1000"/>
        <w:spacing w:after="0"/>
        <w:rPr>
          <w:rFonts w:ascii="Arial" w:cs="Arial" w:eastAsia="Arial" w:hAnsi="Arial"/>
          <w:sz w:val="16"/>
          <w:szCs w:val="16"/>
          <w:color w:val="auto"/>
        </w:rPr>
      </w:pPr>
      <w:r>
        <w:rPr>
          <w:rFonts w:ascii="Arial" w:cs="Arial" w:eastAsia="Arial" w:hAnsi="Arial"/>
          <w:sz w:val="16"/>
          <w:szCs w:val="16"/>
          <w:color w:val="auto"/>
        </w:rPr>
        <w:t xml:space="preserve">4.6 </w:t>
      </w:r>
      <w:hyperlink r:id="rId183">
        <w:r>
          <w:rPr>
            <w:rFonts w:ascii="Arial" w:cs="Arial" w:eastAsia="Arial" w:hAnsi="Arial"/>
            <w:sz w:val="16"/>
            <w:szCs w:val="16"/>
            <w:u w:val="single" w:color="auto"/>
            <w:color w:val="0000EE"/>
          </w:rPr>
          <w:t>Form of Warrant (Incorporated by reference, Exhibit 4.1 to the Company’s Current Report on Form</w:t>
        </w:r>
      </w:hyperlink>
    </w:p>
    <w:p>
      <w:pPr>
        <w:ind w:left="1300"/>
        <w:spacing w:after="0" w:line="194" w:lineRule="exact"/>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8</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K filed December 4, 2017.)</w:t>
        </w:r>
      </w:hyperlink>
    </w:p>
    <w:p>
      <w:pPr>
        <w:spacing w:after="0" w:line="1" w:lineRule="exact"/>
        <w:rPr>
          <w:rFonts w:ascii="Arial" w:cs="Arial" w:eastAsia="Arial" w:hAnsi="Arial"/>
          <w:sz w:val="18"/>
          <w:szCs w:val="18"/>
          <w:color w:val="auto"/>
        </w:rPr>
      </w:pPr>
    </w:p>
    <w:p>
      <w:pPr>
        <w:ind w:left="1300" w:right="67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4.7 </w:t>
      </w:r>
      <w:hyperlink r:id="rId184">
        <w:r>
          <w:rPr>
            <w:rFonts w:ascii="Arial" w:cs="Arial" w:eastAsia="Arial" w:hAnsi="Arial"/>
            <w:sz w:val="18"/>
            <w:szCs w:val="18"/>
            <w:u w:val="single" w:color="auto"/>
            <w:color w:val="0000EE"/>
          </w:rPr>
          <w:t>Warrant to Purchase Stock made by the Company in favor of Silicon Valley Bank, dated March 5,</w:t>
        </w:r>
      </w:hyperlink>
      <w:r>
        <w:rPr>
          <w:rFonts w:ascii="Arial" w:cs="Arial" w:eastAsia="Arial" w:hAnsi="Arial"/>
          <w:sz w:val="18"/>
          <w:szCs w:val="18"/>
          <w:color w:val="auto"/>
        </w:rPr>
        <w:t xml:space="preserve"> </w:t>
      </w:r>
      <w:hyperlink r:id="rId184">
        <w:r>
          <w:rPr>
            <w:rFonts w:ascii="Arial" w:cs="Arial" w:eastAsia="Arial" w:hAnsi="Arial"/>
            <w:sz w:val="18"/>
            <w:szCs w:val="18"/>
            <w:u w:val="single" w:color="auto"/>
            <w:color w:val="0000EE"/>
          </w:rPr>
          <w:t>2019, as amended (Incorporated by reference, Exhibit 10.2 to the Company’s Current Report on</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Form 8-K filed July 29, 2019).</w:t>
        </w:r>
      </w:hyperlink>
    </w:p>
    <w:p>
      <w:pPr>
        <w:ind w:left="1300" w:right="63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4.8 </w:t>
      </w:r>
      <w:hyperlink r:id="rId185">
        <w:r>
          <w:rPr>
            <w:rFonts w:ascii="Arial" w:cs="Arial" w:eastAsia="Arial" w:hAnsi="Arial"/>
            <w:sz w:val="18"/>
            <w:szCs w:val="18"/>
            <w:u w:val="single" w:color="auto"/>
            <w:color w:val="0000EE"/>
          </w:rPr>
          <w:t>Warrant to Purchase Stock made by the Company in favor of WestRiver Innovation Lending Fund</w:t>
        </w:r>
      </w:hyperlink>
      <w:r>
        <w:rPr>
          <w:rFonts w:ascii="Arial" w:cs="Arial" w:eastAsia="Arial" w:hAnsi="Arial"/>
          <w:sz w:val="18"/>
          <w:szCs w:val="18"/>
          <w:color w:val="auto"/>
        </w:rPr>
        <w:t xml:space="preserve"> </w:t>
      </w:r>
      <w:hyperlink r:id="rId185">
        <w:r>
          <w:rPr>
            <w:rFonts w:ascii="Arial" w:cs="Arial" w:eastAsia="Arial" w:hAnsi="Arial"/>
            <w:sz w:val="18"/>
            <w:szCs w:val="18"/>
            <w:u w:val="single" w:color="auto"/>
            <w:color w:val="0000EE"/>
          </w:rPr>
          <w:t>VIII, L.P., dated March 5, 2019, as amended (Incorporated by reference, Exhibit 10.3 to the</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Company’s Current Report on Form 8 K filed July 29, 2019).</w:t>
        </w:r>
      </w:hyperlink>
    </w:p>
    <w:p>
      <w:pPr>
        <w:ind w:left="1300" w:right="619" w:hanging="30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4.9 </w:t>
      </w:r>
      <w:hyperlink r:id="rId186">
        <w:r>
          <w:rPr>
            <w:rFonts w:ascii="Arial" w:cs="Arial" w:eastAsia="Arial" w:hAnsi="Arial"/>
            <w:sz w:val="18"/>
            <w:szCs w:val="18"/>
            <w:u w:val="single" w:color="auto"/>
            <w:color w:val="0000EE"/>
          </w:rPr>
          <w:t>Warrant to Purchase Stock made by the Company in favor of Silicon Valley Bank, dated July 25,</w:t>
        </w:r>
      </w:hyperlink>
      <w:r>
        <w:rPr>
          <w:rFonts w:ascii="Arial" w:cs="Arial" w:eastAsia="Arial" w:hAnsi="Arial"/>
          <w:sz w:val="18"/>
          <w:szCs w:val="18"/>
          <w:color w:val="auto"/>
        </w:rPr>
        <w:t xml:space="preserve"> </w:t>
      </w:r>
      <w:hyperlink r:id="rId186">
        <w:r>
          <w:rPr>
            <w:rFonts w:ascii="Arial" w:cs="Arial" w:eastAsia="Arial" w:hAnsi="Arial"/>
            <w:sz w:val="18"/>
            <w:szCs w:val="18"/>
            <w:u w:val="single" w:color="auto"/>
            <w:color w:val="0000EE"/>
          </w:rPr>
          <w:t>2019 (Incorporated by reference, Exhibit 10.4 to the Company’s Current Report on Form 8 K filed</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July 29, 2019).</w:t>
        </w:r>
      </w:hyperlink>
    </w:p>
    <w:p>
      <w:pPr>
        <w:jc w:val="both"/>
        <w:ind w:left="1300" w:right="639" w:hanging="39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4.10 </w:t>
      </w:r>
      <w:hyperlink r:id="rId187">
        <w:r>
          <w:rPr>
            <w:rFonts w:ascii="Arial" w:cs="Arial" w:eastAsia="Arial" w:hAnsi="Arial"/>
            <w:sz w:val="18"/>
            <w:szCs w:val="18"/>
            <w:u w:val="single" w:color="auto"/>
            <w:color w:val="0000EE"/>
          </w:rPr>
          <w:t>Warrant to Purchase Stock made by the Company in favor of WestRiver Innovation Lending Fund</w:t>
        </w:r>
      </w:hyperlink>
      <w:r>
        <w:rPr>
          <w:rFonts w:ascii="Arial" w:cs="Arial" w:eastAsia="Arial" w:hAnsi="Arial"/>
          <w:sz w:val="18"/>
          <w:szCs w:val="18"/>
          <w:color w:val="auto"/>
        </w:rPr>
        <w:t xml:space="preserve"> </w:t>
      </w:r>
      <w:hyperlink r:id="rId187">
        <w:r>
          <w:rPr>
            <w:rFonts w:ascii="Arial" w:cs="Arial" w:eastAsia="Arial" w:hAnsi="Arial"/>
            <w:sz w:val="18"/>
            <w:szCs w:val="18"/>
            <w:u w:val="single" w:color="auto"/>
            <w:color w:val="0000EE"/>
          </w:rPr>
          <w:t>VIII, L.P., dated July 25, 2019 (Incorporated by reference, Exhibit 10.5 to the Company’s Current</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Report on Form 8- K filed July 29, 2019).</w:t>
        </w:r>
      </w:hyperlink>
    </w:p>
    <w:p>
      <w:pPr>
        <w:jc w:val="both"/>
        <w:ind w:left="1300" w:right="439" w:hanging="384"/>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4.11 </w:t>
      </w:r>
      <w:hyperlink r:id="rId188">
        <w:r>
          <w:rPr>
            <w:rFonts w:ascii="Arial" w:cs="Arial" w:eastAsia="Arial" w:hAnsi="Arial"/>
            <w:sz w:val="18"/>
            <w:szCs w:val="18"/>
            <w:u w:val="single" w:color="auto"/>
            <w:color w:val="0000EE"/>
          </w:rPr>
          <w:t>Form of Warrant, with respect to November 2018 First Amendment to Loan and Security Agreement</w:t>
        </w:r>
      </w:hyperlink>
      <w:r>
        <w:rPr>
          <w:rFonts w:ascii="Arial" w:cs="Arial" w:eastAsia="Arial" w:hAnsi="Arial"/>
          <w:sz w:val="18"/>
          <w:szCs w:val="18"/>
          <w:color w:val="auto"/>
        </w:rPr>
        <w:t xml:space="preserve"> </w:t>
      </w:r>
      <w:hyperlink r:id="rId188">
        <w:r>
          <w:rPr>
            <w:rFonts w:ascii="Arial" w:cs="Arial" w:eastAsia="Arial" w:hAnsi="Arial"/>
            <w:sz w:val="18"/>
            <w:szCs w:val="18"/>
            <w:u w:val="single" w:color="auto"/>
            <w:color w:val="0000EE"/>
          </w:rPr>
          <w:t>(Incorporated by reference, Exhibit 4.7 to the Company’s Annual Report on Form 10-K, filed March</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15, 2019).</w:t>
        </w:r>
      </w:hyperlink>
    </w:p>
    <w:p>
      <w:pPr>
        <w:jc w:val="right"/>
        <w:ind w:left="920" w:right="939"/>
        <w:spacing w:after="0" w:line="246"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4.12 </w:t>
      </w:r>
      <w:hyperlink r:id="rId189">
        <w:r>
          <w:rPr>
            <w:rFonts w:ascii="Arial" w:cs="Arial" w:eastAsia="Arial" w:hAnsi="Arial"/>
            <w:sz w:val="16"/>
            <w:szCs w:val="16"/>
            <w:u w:val="single" w:color="auto"/>
            <w:color w:val="0000EE"/>
          </w:rPr>
          <w:t>Form of Warrant, with respect to March 2019 Loan and Security Agreement (Incorporated by</w:t>
        </w:r>
      </w:hyperlink>
      <w:r>
        <w:rPr>
          <w:rFonts w:ascii="Arial" w:cs="Arial" w:eastAsia="Arial" w:hAnsi="Arial"/>
          <w:sz w:val="16"/>
          <w:szCs w:val="16"/>
          <w:color w:val="auto"/>
        </w:rPr>
        <w:t xml:space="preserve"> </w:t>
      </w:r>
      <w:hyperlink r:id="rId189">
        <w:r>
          <w:rPr>
            <w:rFonts w:ascii="Arial" w:cs="Arial" w:eastAsia="Arial" w:hAnsi="Arial"/>
            <w:sz w:val="16"/>
            <w:szCs w:val="16"/>
            <w:u w:val="single" w:color="auto"/>
            <w:color w:val="0000EE"/>
          </w:rPr>
          <w:t>reference, Exhibit 4.8 to the Company’s Annual Report on Form 10-K, filed March 15, 2019).</w:t>
        </w:r>
      </w:hyperlink>
    </w:p>
    <w:p>
      <w:pPr>
        <w:spacing w:after="0" w:line="1" w:lineRule="exact"/>
        <w:rPr>
          <w:sz w:val="20"/>
          <w:szCs w:val="20"/>
          <w:color w:val="auto"/>
        </w:rPr>
      </w:pPr>
    </w:p>
    <w:p>
      <w:pPr>
        <w:ind w:left="6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4.13**</w:t>
      </w:r>
      <w:r>
        <w:rPr>
          <w:sz w:val="20"/>
          <w:szCs w:val="20"/>
          <w:color w:val="auto"/>
        </w:rPr>
        <w:tab/>
      </w:r>
      <w:hyperlink w:anchor="page165">
        <w:r>
          <w:rPr>
            <w:rFonts w:ascii="Arial" w:cs="Arial" w:eastAsia="Arial" w:hAnsi="Arial"/>
            <w:sz w:val="16"/>
            <w:szCs w:val="16"/>
            <w:u w:val="single" w:color="auto"/>
            <w:color w:val="0000EE"/>
          </w:rPr>
          <w:t>Description of Securities.</w:t>
        </w:r>
      </w:hyperlink>
    </w:p>
    <w:p>
      <w:pPr>
        <w:spacing w:after="0" w:line="9" w:lineRule="exact"/>
        <w:rPr>
          <w:sz w:val="20"/>
          <w:szCs w:val="20"/>
          <w:color w:val="auto"/>
        </w:rPr>
      </w:pPr>
    </w:p>
    <w:p>
      <w:pPr>
        <w:ind w:left="1300" w:right="459" w:hanging="570"/>
        <w:spacing w:after="0" w:line="219"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90">
        <w:r>
          <w:rPr>
            <w:rFonts w:ascii="Arial" w:cs="Arial" w:eastAsia="Arial" w:hAnsi="Arial"/>
            <w:sz w:val="18"/>
            <w:szCs w:val="18"/>
            <w:u w:val="single" w:color="auto"/>
            <w:color w:val="0000EE"/>
          </w:rPr>
          <w:t>Axsome Therapeutics, Inc. 2013 Equity Compensation Plan and Form of Nonqualified Stock Option</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Agreement thereunder (Incorporated by reference, Exhibit 10.1 to the Company’s Registration</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Statement on Form S-1 (No. 333-207393) filed October 13, 2015.)</w:t>
        </w:r>
      </w:hyperlink>
    </w:p>
    <w:p>
      <w:pPr>
        <w:jc w:val="both"/>
        <w:ind w:left="1300" w:right="399" w:hanging="570"/>
        <w:spacing w:after="0" w:line="219"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91">
        <w:r>
          <w:rPr>
            <w:rFonts w:ascii="Arial" w:cs="Arial" w:eastAsia="Arial" w:hAnsi="Arial"/>
            <w:sz w:val="18"/>
            <w:szCs w:val="18"/>
            <w:u w:val="single" w:color="auto"/>
            <w:color w:val="0000EE"/>
          </w:rPr>
          <w:t>Axsome Therapeutics, Inc. 2015 Omnibus Incentive Compensation Plan (Incorporated by reference,</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Exhibit 10.6 to Amendment to the Company’s Registration Statement on Form S-1 (No. 333-207393)</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filed October 30, 2015.)</w:t>
        </w:r>
      </w:hyperlink>
    </w:p>
    <w:p>
      <w:pPr>
        <w:ind w:left="1300" w:right="419" w:hanging="570"/>
        <w:spacing w:after="0" w:line="228"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92">
        <w:r>
          <w:rPr>
            <w:rFonts w:ascii="Arial" w:cs="Arial" w:eastAsia="Arial" w:hAnsi="Arial"/>
            <w:sz w:val="18"/>
            <w:szCs w:val="18"/>
            <w:u w:val="single" w:color="auto"/>
            <w:color w:val="0000EE"/>
          </w:rPr>
          <w:t>Axsome Therapeutics, Inc. Form of Stock Option Agreement pursuant to the 2015 Omnibus</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Incentive Compensation Plan (Incorporated by reference, Exhibit 99.2 to the Company’s Registration</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Statement on Form S-8 (No. 333-208579) filed December 16, 2015.)</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610235</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1" w:name="page162"/>
    <w:bookmarkEnd w:id="16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88" w:lineRule="exact"/>
        <w:rPr>
          <w:sz w:val="20"/>
          <w:szCs w:val="20"/>
          <w:color w:val="auto"/>
        </w:rPr>
      </w:pPr>
    </w:p>
    <w:p>
      <w:pPr>
        <w:ind w:left="6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94">
        <w:r>
          <w:rPr>
            <w:rFonts w:ascii="Arial" w:cs="Arial" w:eastAsia="Arial" w:hAnsi="Arial"/>
            <w:sz w:val="16"/>
            <w:szCs w:val="16"/>
            <w:u w:val="single" w:color="auto"/>
            <w:color w:val="0000EE"/>
          </w:rPr>
          <w:t>License Agreement, dated January 12, 2012, by and between the Company and Antecip Bioventures</w:t>
        </w:r>
      </w:hyperlink>
    </w:p>
    <w:p>
      <w:pPr>
        <w:spacing w:after="0" w:line="13" w:lineRule="exact"/>
        <w:rPr>
          <w:sz w:val="20"/>
          <w:szCs w:val="20"/>
          <w:color w:val="auto"/>
        </w:rPr>
      </w:pPr>
    </w:p>
    <w:p>
      <w:pPr>
        <w:jc w:val="both"/>
        <w:ind w:left="1340" w:right="519" w:hanging="6"/>
        <w:spacing w:after="0" w:line="246" w:lineRule="auto"/>
        <w:tabs>
          <w:tab w:leader="none" w:pos="1505" w:val="left"/>
        </w:tabs>
        <w:numPr>
          <w:ilvl w:val="0"/>
          <w:numId w:val="50"/>
        </w:numPr>
        <w:rPr>
          <w:rFonts w:ascii="Arial" w:cs="Arial" w:eastAsia="Arial" w:hAnsi="Arial"/>
          <w:sz w:val="16"/>
          <w:szCs w:val="16"/>
          <w:u w:val="single" w:color="auto"/>
          <w:color w:val="0000EE"/>
        </w:rPr>
      </w:pPr>
      <w:hyperlink r:id="rId194">
        <w:r>
          <w:rPr>
            <w:rFonts w:ascii="Arial" w:cs="Arial" w:eastAsia="Arial" w:hAnsi="Arial"/>
            <w:sz w:val="16"/>
            <w:szCs w:val="16"/>
            <w:u w:val="single" w:color="auto"/>
            <w:color w:val="0000EE"/>
          </w:rPr>
          <w:t>LLC, as modified by the First Amendment to License Agreement, dated August 21, 2015, by and</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between the Company and Antecip Bioventures II LLC (Incorporated by reference, Exhibit 10.2 to</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the Company’s Registration Statement on Form S-1 (No. 333-207393) filed October 13, 2015.)</w:t>
        </w:r>
      </w:hyperlink>
    </w:p>
    <w:p>
      <w:pPr>
        <w:jc w:val="center"/>
        <w:ind w:right="-20"/>
        <w:spacing w:after="0"/>
        <w:tabs>
          <w:tab w:leader="none" w:pos="14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195">
        <w:r>
          <w:rPr>
            <w:rFonts w:ascii="Arial" w:cs="Arial" w:eastAsia="Arial" w:hAnsi="Arial"/>
            <w:sz w:val="16"/>
            <w:szCs w:val="16"/>
            <w:u w:val="single" w:color="auto"/>
            <w:color w:val="0000EE"/>
          </w:rPr>
          <w:t>License Agreement, dated April 17, 2012, by and between the Company and Antecip Bioventures</w:t>
        </w:r>
      </w:hyperlink>
    </w:p>
    <w:p>
      <w:pPr>
        <w:spacing w:after="0" w:line="1" w:lineRule="exact"/>
        <w:rPr>
          <w:rFonts w:ascii="Arial" w:cs="Arial" w:eastAsia="Arial" w:hAnsi="Arial"/>
          <w:sz w:val="16"/>
          <w:szCs w:val="16"/>
          <w:u w:val="single" w:color="auto"/>
          <w:color w:val="0000EE"/>
        </w:rPr>
      </w:pPr>
    </w:p>
    <w:p>
      <w:pPr>
        <w:jc w:val="both"/>
        <w:ind w:left="1340" w:right="519" w:hanging="6"/>
        <w:spacing w:after="0" w:line="246" w:lineRule="auto"/>
        <w:tabs>
          <w:tab w:leader="none" w:pos="1505" w:val="left"/>
        </w:tabs>
        <w:numPr>
          <w:ilvl w:val="0"/>
          <w:numId w:val="51"/>
        </w:numPr>
        <w:rPr>
          <w:rFonts w:ascii="Arial" w:cs="Arial" w:eastAsia="Arial" w:hAnsi="Arial"/>
          <w:sz w:val="16"/>
          <w:szCs w:val="16"/>
          <w:u w:val="single" w:color="auto"/>
          <w:color w:val="0000EE"/>
        </w:rPr>
      </w:pPr>
      <w:hyperlink r:id="rId195">
        <w:r>
          <w:rPr>
            <w:rFonts w:ascii="Arial" w:cs="Arial" w:eastAsia="Arial" w:hAnsi="Arial"/>
            <w:sz w:val="16"/>
            <w:szCs w:val="16"/>
            <w:u w:val="single" w:color="auto"/>
            <w:color w:val="0000EE"/>
          </w:rPr>
          <w:t>LLC, as modified by the First Amendment to License Agreement, dated August 21, 2015, by and</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between the Company and Antecip Bioventures II LLC (Incorporated by reference, Exhibit 10.3 to</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the Company’s Registration Statement on Form S-1 (No. 333-207393) filed October 13, 2015.)</w:t>
        </w:r>
      </w:hyperlink>
    </w:p>
    <w:p>
      <w:pPr>
        <w:ind w:left="66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96">
        <w:r>
          <w:rPr>
            <w:rFonts w:ascii="Arial" w:cs="Arial" w:eastAsia="Arial" w:hAnsi="Arial"/>
            <w:sz w:val="16"/>
            <w:szCs w:val="16"/>
            <w:u w:val="single" w:color="auto"/>
            <w:color w:val="0000EE"/>
          </w:rPr>
          <w:t>License Agreement, dated June 6, 2012, by and between the Company and Antecip Bioventures</w:t>
        </w:r>
      </w:hyperlink>
    </w:p>
    <w:p>
      <w:pPr>
        <w:spacing w:after="0" w:line="1" w:lineRule="exact"/>
        <w:rPr>
          <w:rFonts w:ascii="Arial" w:cs="Arial" w:eastAsia="Arial" w:hAnsi="Arial"/>
          <w:sz w:val="16"/>
          <w:szCs w:val="16"/>
          <w:u w:val="single" w:color="auto"/>
          <w:color w:val="0000EE"/>
        </w:rPr>
      </w:pPr>
    </w:p>
    <w:p>
      <w:pPr>
        <w:jc w:val="both"/>
        <w:ind w:left="1340" w:right="519" w:hanging="6"/>
        <w:spacing w:after="0" w:line="246" w:lineRule="auto"/>
        <w:tabs>
          <w:tab w:leader="none" w:pos="1505" w:val="left"/>
        </w:tabs>
        <w:numPr>
          <w:ilvl w:val="0"/>
          <w:numId w:val="52"/>
        </w:numPr>
        <w:rPr>
          <w:rFonts w:ascii="Arial" w:cs="Arial" w:eastAsia="Arial" w:hAnsi="Arial"/>
          <w:sz w:val="16"/>
          <w:szCs w:val="16"/>
          <w:u w:val="single" w:color="auto"/>
          <w:color w:val="0000EE"/>
        </w:rPr>
      </w:pPr>
      <w:hyperlink r:id="rId196">
        <w:r>
          <w:rPr>
            <w:rFonts w:ascii="Arial" w:cs="Arial" w:eastAsia="Arial" w:hAnsi="Arial"/>
            <w:sz w:val="16"/>
            <w:szCs w:val="16"/>
            <w:u w:val="single" w:color="auto"/>
            <w:color w:val="0000EE"/>
          </w:rPr>
          <w:t>LLC, as modified by the First Amendment to License Agreement, dated August 21, 2015, by and</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between the Company and Antecip Bioventures II LLC (Incorporated by reference, Exhibit 10.4 to</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the Company’s Registration Statement on Form S-1 (No. 333-207393) filed October 13, 2015.)</w:t>
        </w:r>
      </w:hyperlink>
    </w:p>
    <w:p>
      <w:pPr>
        <w:spacing w:after="0" w:line="1" w:lineRule="exact"/>
        <w:rPr>
          <w:rFonts w:ascii="Arial" w:cs="Arial" w:eastAsia="Arial" w:hAnsi="Arial"/>
          <w:sz w:val="16"/>
          <w:szCs w:val="16"/>
          <w:u w:val="single" w:color="auto"/>
          <w:color w:val="0000EE"/>
        </w:rPr>
      </w:pPr>
    </w:p>
    <w:p>
      <w:pPr>
        <w:ind w:left="1340" w:right="699" w:hanging="570"/>
        <w:spacing w:after="0" w:line="246" w:lineRule="auto"/>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197">
        <w:r>
          <w:rPr>
            <w:rFonts w:ascii="Arial" w:cs="Arial" w:eastAsia="Arial" w:hAnsi="Arial"/>
            <w:sz w:val="16"/>
            <w:szCs w:val="16"/>
            <w:u w:val="single" w:color="auto"/>
            <w:color w:val="0000EE"/>
          </w:rPr>
          <w:t>Consulting Agreement, dated April 13, 2012, by and between the Company and Mark Coleman,</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M.D., as modified by the First Amendment to Consulting Agreement, dated June 2, 2014, by and</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between the Company and Mark Coleman, M.D (Incorporated by reference, Exhibit 10.5 to the</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Company’s Registration Statement on Form S-1 (No. 333-207393) filed October 13, 2015.)</w:t>
        </w:r>
      </w:hyperlink>
    </w:p>
    <w:p>
      <w:pPr>
        <w:spacing w:after="0" w:line="2" w:lineRule="exact"/>
        <w:rPr>
          <w:rFonts w:ascii="Arial" w:cs="Arial" w:eastAsia="Arial" w:hAnsi="Arial"/>
          <w:sz w:val="16"/>
          <w:szCs w:val="16"/>
          <w:u w:val="single" w:color="auto"/>
          <w:color w:val="0000EE"/>
        </w:rPr>
      </w:pPr>
    </w:p>
    <w:p>
      <w:pPr>
        <w:ind w:left="1340" w:right="1159" w:hanging="391"/>
        <w:spacing w:after="0" w:line="232"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10.8 </w:t>
      </w:r>
      <w:hyperlink r:id="rId198">
        <w:r>
          <w:rPr>
            <w:rFonts w:ascii="Arial" w:cs="Arial" w:eastAsia="Arial" w:hAnsi="Arial"/>
            <w:sz w:val="17"/>
            <w:szCs w:val="17"/>
            <w:u w:val="single" w:color="auto"/>
            <w:color w:val="0000EE"/>
          </w:rPr>
          <w:t>Loan and Security Agreement, dated as of November 9, 2016, by and between Axsome</w:t>
        </w:r>
      </w:hyperlink>
      <w:r>
        <w:rPr>
          <w:rFonts w:ascii="Arial" w:cs="Arial" w:eastAsia="Arial" w:hAnsi="Arial"/>
          <w:sz w:val="17"/>
          <w:szCs w:val="17"/>
          <w:color w:val="auto"/>
        </w:rPr>
        <w:t xml:space="preserve"> </w:t>
      </w:r>
      <w:hyperlink r:id="rId198">
        <w:r>
          <w:rPr>
            <w:rFonts w:ascii="Arial" w:cs="Arial" w:eastAsia="Arial" w:hAnsi="Arial"/>
            <w:sz w:val="17"/>
            <w:szCs w:val="17"/>
            <w:u w:val="single" w:color="auto"/>
            <w:color w:val="0000EE"/>
          </w:rPr>
          <w:t>Therapeutics, Inc., and Silicon Valley Bank (Incorporated by reference, Exhibit 10.1 to the</w:t>
        </w:r>
      </w:hyperlink>
      <w:r>
        <w:rPr>
          <w:rFonts w:ascii="Arial" w:cs="Arial" w:eastAsia="Arial" w:hAnsi="Arial"/>
          <w:sz w:val="17"/>
          <w:szCs w:val="17"/>
          <w:u w:val="single" w:color="auto"/>
          <w:color w:val="0000EE"/>
        </w:rPr>
        <w:t xml:space="preserve"> </w:t>
      </w:r>
      <w:hyperlink r:id="rId198">
        <w:r>
          <w:rPr>
            <w:rFonts w:ascii="Arial" w:cs="Arial" w:eastAsia="Arial" w:hAnsi="Arial"/>
            <w:sz w:val="17"/>
            <w:szCs w:val="17"/>
            <w:u w:val="single" w:color="auto"/>
            <w:color w:val="0000EE"/>
          </w:rPr>
          <w:t>Company’s Current Report on Form 8-K filed November 10, 2016.)</w:t>
        </w:r>
      </w:hyperlink>
    </w:p>
    <w:p>
      <w:pPr>
        <w:jc w:val="both"/>
        <w:ind w:left="1340" w:right="679" w:hanging="39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10.9 </w:t>
      </w:r>
      <w:hyperlink r:id="rId199">
        <w:r>
          <w:rPr>
            <w:rFonts w:ascii="Arial" w:cs="Arial" w:eastAsia="Arial" w:hAnsi="Arial"/>
            <w:sz w:val="18"/>
            <w:szCs w:val="18"/>
            <w:u w:val="single" w:color="auto"/>
            <w:color w:val="0000EE"/>
          </w:rPr>
          <w:t>Form of Purchase Agreement, dated as of November 30, 2017 among Axsome Therapeutics, Inc.</w:t>
        </w:r>
      </w:hyperlink>
      <w:r>
        <w:rPr>
          <w:rFonts w:ascii="Arial" w:cs="Arial" w:eastAsia="Arial" w:hAnsi="Arial"/>
          <w:sz w:val="18"/>
          <w:szCs w:val="18"/>
          <w:color w:val="auto"/>
        </w:rPr>
        <w:t xml:space="preserve"> </w:t>
      </w:r>
      <w:hyperlink r:id="rId199">
        <w:r>
          <w:rPr>
            <w:rFonts w:ascii="Arial" w:cs="Arial" w:eastAsia="Arial" w:hAnsi="Arial"/>
            <w:sz w:val="18"/>
            <w:szCs w:val="18"/>
            <w:u w:val="single" w:color="auto"/>
            <w:color w:val="0000EE"/>
          </w:rPr>
          <w:t>and the purchasers thereunder (Incorporated by reference, Exhibit 10.1 to the Company’s Current</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Report on Form 8-K filed December 4, 2017.)</w:t>
        </w:r>
      </w:hyperlink>
    </w:p>
    <w:p>
      <w:pPr>
        <w:ind w:left="1340" w:right="979" w:hanging="660"/>
        <w:spacing w:after="0" w:line="219"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200">
        <w:r>
          <w:rPr>
            <w:rFonts w:ascii="Arial" w:cs="Arial" w:eastAsia="Arial" w:hAnsi="Arial"/>
            <w:sz w:val="18"/>
            <w:szCs w:val="18"/>
            <w:u w:val="single" w:color="auto"/>
            <w:color w:val="0000EE"/>
          </w:rPr>
          <w:t>Nick Pizzie Offer Letter, dated April 16, 2018 (Incorporated by reference, Exhibit 10.1 to the</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Company’s Quarterly Report on Form 10-Q filed May 8, 2018.)</w:t>
        </w:r>
      </w:hyperlink>
    </w:p>
    <w:p>
      <w:pPr>
        <w:jc w:val="both"/>
        <w:ind w:left="1340" w:right="459" w:hanging="474"/>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10.11 </w:t>
      </w:r>
      <w:hyperlink r:id="rId201">
        <w:r>
          <w:rPr>
            <w:rFonts w:ascii="Arial" w:cs="Arial" w:eastAsia="Arial" w:hAnsi="Arial"/>
            <w:sz w:val="18"/>
            <w:szCs w:val="18"/>
            <w:u w:val="single" w:color="auto"/>
            <w:color w:val="0000EE"/>
          </w:rPr>
          <w:t>Form of Purchase Agreement, dated as of September 27, 2018, by and among the Company and the</w:t>
        </w:r>
      </w:hyperlink>
      <w:r>
        <w:rPr>
          <w:rFonts w:ascii="Arial" w:cs="Arial" w:eastAsia="Arial" w:hAnsi="Arial"/>
          <w:sz w:val="18"/>
          <w:szCs w:val="18"/>
          <w:color w:val="auto"/>
        </w:rPr>
        <w:t xml:space="preserve"> </w:t>
      </w:r>
      <w:hyperlink r:id="rId201">
        <w:r>
          <w:rPr>
            <w:rFonts w:ascii="Arial" w:cs="Arial" w:eastAsia="Arial" w:hAnsi="Arial"/>
            <w:sz w:val="18"/>
            <w:szCs w:val="18"/>
            <w:u w:val="single" w:color="auto"/>
            <w:color w:val="0000EE"/>
          </w:rPr>
          <w:t>investors party thereto (Incorporated by reference, Exhibit 10.1 to the Company’s Current Report on</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Form 8-K, filed September 28, 2018.)</w:t>
        </w:r>
      </w:hyperlink>
    </w:p>
    <w:p>
      <w:pPr>
        <w:ind w:left="1340" w:right="459" w:hanging="481"/>
        <w:spacing w:after="0" w:line="21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10.12 </w:t>
      </w:r>
      <w:hyperlink r:id="rId202">
        <w:r>
          <w:rPr>
            <w:rFonts w:ascii="Arial" w:cs="Arial" w:eastAsia="Arial" w:hAnsi="Arial"/>
            <w:sz w:val="18"/>
            <w:szCs w:val="18"/>
            <w:u w:val="single" w:color="auto"/>
            <w:color w:val="0000EE"/>
          </w:rPr>
          <w:t>First Amendment to Loan and Security Agreement, dated as of November 26, 2018, by and between</w:t>
        </w:r>
      </w:hyperlink>
      <w:r>
        <w:rPr>
          <w:rFonts w:ascii="Arial" w:cs="Arial" w:eastAsia="Arial" w:hAnsi="Arial"/>
          <w:sz w:val="18"/>
          <w:szCs w:val="18"/>
          <w:color w:val="auto"/>
        </w:rPr>
        <w:t xml:space="preserve"> </w:t>
      </w:r>
      <w:hyperlink r:id="rId202">
        <w:r>
          <w:rPr>
            <w:rFonts w:ascii="Arial" w:cs="Arial" w:eastAsia="Arial" w:hAnsi="Arial"/>
            <w:sz w:val="18"/>
            <w:szCs w:val="18"/>
            <w:u w:val="single" w:color="auto"/>
            <w:color w:val="0000EE"/>
          </w:rPr>
          <w:t>the Company and Silicon Valley Bank (Incorporated by reference, Exhibit 10.14 to the Company’s</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Annual Report on Form 10-K, filed March 15, 2019).</w:t>
        </w:r>
      </w:hyperlink>
    </w:p>
    <w:p>
      <w:pPr>
        <w:ind w:left="1340" w:right="499" w:hanging="481"/>
        <w:spacing w:after="0" w:line="232"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10.13 </w:t>
      </w:r>
      <w:hyperlink r:id="rId202">
        <w:r>
          <w:rPr>
            <w:rFonts w:ascii="Arial" w:cs="Arial" w:eastAsia="Arial" w:hAnsi="Arial"/>
            <w:sz w:val="17"/>
            <w:szCs w:val="17"/>
            <w:u w:val="single" w:color="auto"/>
            <w:color w:val="0000EE"/>
          </w:rPr>
          <w:t>Loan and Security Agreement, dated as of March 5, 2019, by and among the Company, Silicon</w:t>
        </w:r>
      </w:hyperlink>
      <w:r>
        <w:rPr>
          <w:rFonts w:ascii="Arial" w:cs="Arial" w:eastAsia="Arial" w:hAnsi="Arial"/>
          <w:sz w:val="17"/>
          <w:szCs w:val="17"/>
          <w:color w:val="auto"/>
        </w:rPr>
        <w:t xml:space="preserve"> </w:t>
      </w:r>
      <w:hyperlink r:id="rId202">
        <w:r>
          <w:rPr>
            <w:rFonts w:ascii="Arial" w:cs="Arial" w:eastAsia="Arial" w:hAnsi="Arial"/>
            <w:sz w:val="17"/>
            <w:szCs w:val="17"/>
            <w:u w:val="single" w:color="auto"/>
            <w:color w:val="0000EE"/>
          </w:rPr>
          <w:t>Valley Bank and WestRiver Innovation Lending Fund VIII, L.P. (Incorporated by reference, Exhibit</w:t>
        </w:r>
      </w:hyperlink>
      <w:r>
        <w:rPr>
          <w:rFonts w:ascii="Arial" w:cs="Arial" w:eastAsia="Arial" w:hAnsi="Arial"/>
          <w:sz w:val="17"/>
          <w:szCs w:val="17"/>
          <w:u w:val="single" w:color="auto"/>
          <w:color w:val="0000EE"/>
        </w:rPr>
        <w:t xml:space="preserve"> </w:t>
      </w:r>
      <w:hyperlink r:id="rId202">
        <w:r>
          <w:rPr>
            <w:rFonts w:ascii="Arial" w:cs="Arial" w:eastAsia="Arial" w:hAnsi="Arial"/>
            <w:sz w:val="17"/>
            <w:szCs w:val="17"/>
            <w:u w:val="single" w:color="auto"/>
            <w:color w:val="0000EE"/>
          </w:rPr>
          <w:t>10.14 to the Company’s Annual Report on Form 10-K, filed March 15, 2019).</w:t>
        </w:r>
      </w:hyperlink>
    </w:p>
    <w:p>
      <w:pPr>
        <w:ind w:left="1340" w:right="499" w:hanging="481"/>
        <w:spacing w:after="0" w:line="232"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10.14 </w:t>
      </w:r>
      <w:hyperlink r:id="rId203">
        <w:r>
          <w:rPr>
            <w:rFonts w:ascii="Arial" w:cs="Arial" w:eastAsia="Arial" w:hAnsi="Arial"/>
            <w:sz w:val="17"/>
            <w:szCs w:val="17"/>
            <w:u w:val="single" w:color="auto"/>
            <w:color w:val="0000EE"/>
          </w:rPr>
          <w:t>First Amendment to Loan and Security Agreement dated as of July 25, 2019 by and among the</w:t>
        </w:r>
      </w:hyperlink>
      <w:r>
        <w:rPr>
          <w:rFonts w:ascii="Arial" w:cs="Arial" w:eastAsia="Arial" w:hAnsi="Arial"/>
          <w:sz w:val="17"/>
          <w:szCs w:val="17"/>
          <w:color w:val="auto"/>
        </w:rPr>
        <w:t xml:space="preserve"> </w:t>
      </w:r>
      <w:hyperlink r:id="rId203">
        <w:r>
          <w:rPr>
            <w:rFonts w:ascii="Arial" w:cs="Arial" w:eastAsia="Arial" w:hAnsi="Arial"/>
            <w:sz w:val="17"/>
            <w:szCs w:val="17"/>
            <w:u w:val="single" w:color="auto"/>
            <w:color w:val="0000EE"/>
          </w:rPr>
          <w:t>Company, Silicon Valley Bank, in its capacity as administrative agent and collateral agent, Silicon</w:t>
        </w:r>
      </w:hyperlink>
      <w:r>
        <w:rPr>
          <w:rFonts w:ascii="Arial" w:cs="Arial" w:eastAsia="Arial" w:hAnsi="Arial"/>
          <w:sz w:val="17"/>
          <w:szCs w:val="17"/>
          <w:u w:val="single" w:color="auto"/>
          <w:color w:val="0000EE"/>
        </w:rPr>
        <w:t xml:space="preserve"> </w:t>
      </w:r>
      <w:hyperlink r:id="rId203">
        <w:r>
          <w:rPr>
            <w:rFonts w:ascii="Arial" w:cs="Arial" w:eastAsia="Arial" w:hAnsi="Arial"/>
            <w:sz w:val="17"/>
            <w:szCs w:val="17"/>
            <w:u w:val="single" w:color="auto"/>
            <w:color w:val="0000EE"/>
          </w:rPr>
          <w:t>Valley Bank, as a lender, WestRiver Innovation Lending Fund VIII, L.P., as a lender and each of the</w:t>
        </w:r>
      </w:hyperlink>
      <w:r>
        <w:rPr>
          <w:rFonts w:ascii="Arial" w:cs="Arial" w:eastAsia="Arial" w:hAnsi="Arial"/>
          <w:sz w:val="17"/>
          <w:szCs w:val="17"/>
          <w:u w:val="single" w:color="auto"/>
          <w:color w:val="0000EE"/>
        </w:rPr>
        <w:t xml:space="preserve"> </w:t>
      </w:r>
      <w:hyperlink r:id="rId203">
        <w:r>
          <w:rPr>
            <w:rFonts w:ascii="Arial" w:cs="Arial" w:eastAsia="Arial" w:hAnsi="Arial"/>
            <w:sz w:val="17"/>
            <w:szCs w:val="17"/>
            <w:u w:val="single" w:color="auto"/>
            <w:color w:val="0000EE"/>
          </w:rPr>
          <w:t>other lenders from time to time party thereto (Incorporated by reference, Exhibit 10.1 to the</w:t>
        </w:r>
      </w:hyperlink>
      <w:r>
        <w:rPr>
          <w:rFonts w:ascii="Arial" w:cs="Arial" w:eastAsia="Arial" w:hAnsi="Arial"/>
          <w:sz w:val="17"/>
          <w:szCs w:val="17"/>
          <w:u w:val="single" w:color="auto"/>
          <w:color w:val="0000EE"/>
        </w:rPr>
        <w:t xml:space="preserve"> </w:t>
      </w:r>
      <w:hyperlink r:id="rId203">
        <w:r>
          <w:rPr>
            <w:rFonts w:ascii="Arial" w:cs="Arial" w:eastAsia="Arial" w:hAnsi="Arial"/>
            <w:sz w:val="17"/>
            <w:szCs w:val="17"/>
            <w:u w:val="single" w:color="auto"/>
            <w:color w:val="0000EE"/>
          </w:rPr>
          <w:t>Company’s Current Report on Form 8-K, filed July 29, 2019).</w:t>
        </w:r>
      </w:hyperlink>
    </w:p>
    <w:p>
      <w:pPr>
        <w:ind w:left="400"/>
        <w:spacing w:after="0"/>
        <w:tabs>
          <w:tab w:leader="none" w:pos="132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w:anchor="page169">
        <w:r>
          <w:rPr>
            <w:rFonts w:ascii="Arial" w:cs="Arial" w:eastAsia="Arial" w:hAnsi="Arial"/>
            <w:sz w:val="16"/>
            <w:szCs w:val="16"/>
            <w:u w:val="single" w:color="auto"/>
            <w:color w:val="0000EE"/>
          </w:rPr>
          <w:t>License Agreement, dated as of January 10, 2020, by and between the Company and Pfizer Inc.</w:t>
        </w:r>
      </w:hyperlink>
    </w:p>
    <w:tbl>
      <w:tblPr>
        <w:tblLayout w:type="fixed"/>
        <w:tblInd w:w="40" w:type="dxa"/>
        <w:tblCellMar>
          <w:top w:w="0" w:type="dxa"/>
          <w:left w:w="0" w:type="dxa"/>
          <w:bottom w:w="0" w:type="dxa"/>
          <w:right w:w="0" w:type="dxa"/>
        </w:tblCellMar>
      </w:tblPr>
      <w:tr>
        <w:trPr>
          <w:trHeight w:val="183"/>
        </w:trPr>
        <w:tc>
          <w:tcPr>
            <w:tcW w:w="1300" w:type="dxa"/>
            <w:vAlign w:val="bottom"/>
          </w:tcPr>
          <w:p>
            <w:pPr>
              <w:jc w:val="right"/>
              <w:spacing w:after="0" w:line="163" w:lineRule="exact"/>
              <w:rPr>
                <w:sz w:val="20"/>
                <w:szCs w:val="20"/>
                <w:color w:val="auto"/>
              </w:rPr>
            </w:pPr>
            <w:r>
              <w:rPr>
                <w:rFonts w:ascii="Arial" w:cs="Arial" w:eastAsia="Arial" w:hAnsi="Arial"/>
                <w:sz w:val="18"/>
                <w:szCs w:val="18"/>
                <w:color w:val="auto"/>
              </w:rPr>
              <w:t>10.16</w:t>
            </w:r>
          </w:p>
        </w:tc>
        <w:tc>
          <w:tcPr>
            <w:tcW w:w="7620" w:type="dxa"/>
            <w:vAlign w:val="bottom"/>
            <w:gridSpan w:val="13"/>
          </w:tcPr>
          <w:p>
            <w:pPr>
              <w:spacing w:after="0" w:line="163" w:lineRule="exact"/>
              <w:rPr>
                <w:rFonts w:ascii="Arial" w:cs="Arial" w:eastAsia="Arial" w:hAnsi="Arial"/>
                <w:sz w:val="18"/>
                <w:szCs w:val="18"/>
                <w:color w:val="0000EE"/>
                <w:w w:val="95"/>
              </w:rPr>
            </w:pPr>
            <w:hyperlink r:id="rId204">
              <w:r>
                <w:rPr>
                  <w:rFonts w:ascii="Arial" w:cs="Arial" w:eastAsia="Arial" w:hAnsi="Arial"/>
                  <w:sz w:val="18"/>
                  <w:szCs w:val="18"/>
                  <w:color w:val="0000EE"/>
                  <w:w w:val="95"/>
                </w:rPr>
                <w:t>Share Transfer Agreement by and between the Company and Pfizer Inc. (Incorporated by reference,</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7180" w:type="dxa"/>
            <w:vAlign w:val="bottom"/>
            <w:tcBorders>
              <w:top w:val="single" w:sz="8" w:color="0000EE"/>
            </w:tcBorders>
            <w:gridSpan w:val="10"/>
          </w:tcPr>
          <w:p>
            <w:pPr>
              <w:spacing w:after="0" w:line="169" w:lineRule="exact"/>
              <w:rPr>
                <w:rFonts w:ascii="Arial" w:cs="Arial" w:eastAsia="Arial" w:hAnsi="Arial"/>
                <w:sz w:val="18"/>
                <w:szCs w:val="18"/>
                <w:color w:val="0000EE"/>
              </w:rPr>
            </w:pPr>
            <w:hyperlink r:id="rId204">
              <w:r>
                <w:rPr>
                  <w:rFonts w:ascii="Arial" w:cs="Arial" w:eastAsia="Arial" w:hAnsi="Arial"/>
                  <w:sz w:val="18"/>
                  <w:szCs w:val="18"/>
                  <w:color w:val="0000EE"/>
                </w:rPr>
                <w:t>Exhibit 10.1 to the Company’s Current Report on Form 8-K, filed January 13, 2019).</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jc w:val="right"/>
              <w:ind w:right="73"/>
              <w:spacing w:after="0" w:line="149" w:lineRule="exact"/>
              <w:rPr>
                <w:sz w:val="20"/>
                <w:szCs w:val="20"/>
                <w:color w:val="auto"/>
              </w:rPr>
            </w:pPr>
            <w:r>
              <w:rPr>
                <w:rFonts w:ascii="Arial" w:cs="Arial" w:eastAsia="Arial" w:hAnsi="Arial"/>
                <w:sz w:val="17"/>
                <w:szCs w:val="17"/>
                <w:color w:val="auto"/>
              </w:rPr>
              <w:t>10.17**</w:t>
            </w:r>
          </w:p>
        </w:tc>
        <w:tc>
          <w:tcPr>
            <w:tcW w:w="6120" w:type="dxa"/>
            <w:vAlign w:val="bottom"/>
            <w:tcBorders>
              <w:top w:val="single" w:sz="8" w:color="0000EE"/>
            </w:tcBorders>
            <w:gridSpan w:val="6"/>
          </w:tcPr>
          <w:p>
            <w:pPr>
              <w:spacing w:after="0" w:line="156" w:lineRule="exact"/>
              <w:rPr>
                <w:rFonts w:ascii="Arial" w:cs="Arial" w:eastAsia="Arial" w:hAnsi="Arial"/>
                <w:sz w:val="18"/>
                <w:szCs w:val="18"/>
                <w:color w:val="0000EE"/>
                <w:w w:val="90"/>
              </w:rPr>
            </w:pPr>
            <w:hyperlink w:anchor="page215">
              <w:r>
                <w:rPr>
                  <w:rFonts w:ascii="Arial" w:cs="Arial" w:eastAsia="Arial" w:hAnsi="Arial"/>
                  <w:sz w:val="18"/>
                  <w:szCs w:val="18"/>
                  <w:color w:val="0000EE"/>
                  <w:w w:val="90"/>
                </w:rPr>
                <w:t>Axsome Therapeutics, Inc. Form of Restricted Stock Unit Agreement pursuant to the</w:t>
              </w:r>
            </w:hyperlink>
          </w:p>
        </w:tc>
        <w:tc>
          <w:tcPr>
            <w:tcW w:w="1500" w:type="dxa"/>
            <w:vAlign w:val="bottom"/>
            <w:gridSpan w:val="7"/>
          </w:tcPr>
          <w:p>
            <w:pPr>
              <w:ind w:left="40"/>
              <w:spacing w:after="0" w:line="149" w:lineRule="exact"/>
              <w:rPr>
                <w:rFonts w:ascii="Arial" w:cs="Arial" w:eastAsia="Arial" w:hAnsi="Arial"/>
                <w:sz w:val="17"/>
                <w:szCs w:val="17"/>
                <w:color w:val="0000EE"/>
              </w:rPr>
            </w:pPr>
            <w:hyperlink w:anchor="page215">
              <w:r>
                <w:rPr>
                  <w:rFonts w:ascii="Arial" w:cs="Arial" w:eastAsia="Arial" w:hAnsi="Arial"/>
                  <w:sz w:val="17"/>
                  <w:szCs w:val="17"/>
                  <w:color w:val="0000EE"/>
                </w:rPr>
                <w:t>2015 Omnibus</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7220" w:type="dxa"/>
            <w:vAlign w:val="bottom"/>
            <w:tcBorders>
              <w:top w:val="single" w:sz="8" w:color="0000EE"/>
            </w:tcBorders>
            <w:gridSpan w:val="11"/>
          </w:tcPr>
          <w:p>
            <w:pPr>
              <w:spacing w:after="0" w:line="169" w:lineRule="exact"/>
              <w:rPr>
                <w:rFonts w:ascii="Arial" w:cs="Arial" w:eastAsia="Arial" w:hAnsi="Arial"/>
                <w:sz w:val="18"/>
                <w:szCs w:val="18"/>
                <w:color w:val="0000EE"/>
              </w:rPr>
            </w:pPr>
            <w:hyperlink w:anchor="page215">
              <w:r>
                <w:rPr>
                  <w:rFonts w:ascii="Arial" w:cs="Arial" w:eastAsia="Arial" w:hAnsi="Arial"/>
                  <w:sz w:val="18"/>
                  <w:szCs w:val="18"/>
                  <w:color w:val="0000EE"/>
                </w:rPr>
                <w:t>Incentive Compensation Plan.</w:t>
              </w:r>
            </w:hyperlink>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jc w:val="right"/>
              <w:spacing w:after="0" w:line="149" w:lineRule="exact"/>
              <w:rPr>
                <w:sz w:val="20"/>
                <w:szCs w:val="20"/>
                <w:color w:val="auto"/>
              </w:rPr>
            </w:pPr>
            <w:r>
              <w:rPr>
                <w:rFonts w:ascii="Arial" w:cs="Arial" w:eastAsia="Arial" w:hAnsi="Arial"/>
                <w:sz w:val="17"/>
                <w:szCs w:val="17"/>
                <w:color w:val="auto"/>
              </w:rPr>
              <w:t>21.1</w:t>
            </w:r>
          </w:p>
        </w:tc>
        <w:tc>
          <w:tcPr>
            <w:tcW w:w="2160" w:type="dxa"/>
            <w:vAlign w:val="bottom"/>
            <w:tcBorders>
              <w:top w:val="single" w:sz="8" w:color="0000EE"/>
            </w:tcBorders>
          </w:tcPr>
          <w:p>
            <w:pPr>
              <w:spacing w:after="0" w:line="156" w:lineRule="exact"/>
              <w:rPr>
                <w:rFonts w:ascii="Arial" w:cs="Arial" w:eastAsia="Arial" w:hAnsi="Arial"/>
                <w:sz w:val="18"/>
                <w:szCs w:val="18"/>
                <w:color w:val="0000EE"/>
                <w:w w:val="92"/>
              </w:rPr>
            </w:pPr>
            <w:hyperlink r:id="rId205">
              <w:r>
                <w:rPr>
                  <w:rFonts w:ascii="Arial" w:cs="Arial" w:eastAsia="Arial" w:hAnsi="Arial"/>
                  <w:sz w:val="18"/>
                  <w:szCs w:val="18"/>
                  <w:color w:val="0000EE"/>
                  <w:w w:val="92"/>
                </w:rPr>
                <w:t>Subsidiaries of the Company</w:t>
              </w:r>
            </w:hyperlink>
          </w:p>
        </w:tc>
        <w:tc>
          <w:tcPr>
            <w:tcW w:w="5460" w:type="dxa"/>
            <w:vAlign w:val="bottom"/>
            <w:gridSpan w:val="12"/>
          </w:tcPr>
          <w:p>
            <w:pPr>
              <w:spacing w:after="0" w:line="149" w:lineRule="exact"/>
              <w:rPr>
                <w:rFonts w:ascii="Arial" w:cs="Arial" w:eastAsia="Arial" w:hAnsi="Arial"/>
                <w:sz w:val="17"/>
                <w:szCs w:val="17"/>
                <w:color w:val="0000EE"/>
              </w:rPr>
            </w:pPr>
            <w:hyperlink r:id="rId205">
              <w:r>
                <w:rPr>
                  <w:rFonts w:ascii="Arial" w:cs="Arial" w:eastAsia="Arial" w:hAnsi="Arial"/>
                  <w:sz w:val="17"/>
                  <w:szCs w:val="17"/>
                  <w:color w:val="0000EE"/>
                </w:rPr>
                <w:t>(Incorporated by reference, Exhibit 21.1 to the Company’s Registration</w:t>
              </w:r>
            </w:hyperlink>
          </w:p>
        </w:tc>
        <w:tc>
          <w:tcPr>
            <w:tcW w:w="0" w:type="dxa"/>
            <w:vAlign w:val="bottom"/>
          </w:tcPr>
          <w:p>
            <w:pPr>
              <w:spacing w:after="0"/>
              <w:rPr>
                <w:sz w:val="1"/>
                <w:szCs w:val="1"/>
                <w:color w:val="auto"/>
              </w:rPr>
            </w:pPr>
          </w:p>
        </w:tc>
      </w:tr>
      <w:tr>
        <w:trPr>
          <w:trHeight w:val="169"/>
        </w:trPr>
        <w:tc>
          <w:tcPr>
            <w:tcW w:w="1300" w:type="dxa"/>
            <w:vAlign w:val="bottom"/>
            <w:vMerge w:val="restart"/>
          </w:tcPr>
          <w:p>
            <w:pPr>
              <w:jc w:val="right"/>
              <w:ind w:right="73"/>
              <w:spacing w:after="0"/>
              <w:rPr>
                <w:sz w:val="20"/>
                <w:szCs w:val="20"/>
                <w:color w:val="auto"/>
              </w:rPr>
            </w:pPr>
            <w:r>
              <w:rPr>
                <w:rFonts w:ascii="Arial" w:cs="Arial" w:eastAsia="Arial" w:hAnsi="Arial"/>
                <w:sz w:val="18"/>
                <w:szCs w:val="18"/>
                <w:color w:val="auto"/>
              </w:rPr>
              <w:t>23.1**</w:t>
            </w:r>
          </w:p>
        </w:tc>
        <w:tc>
          <w:tcPr>
            <w:tcW w:w="7260" w:type="dxa"/>
            <w:vAlign w:val="bottom"/>
            <w:tcBorders>
              <w:top w:val="single" w:sz="8" w:color="0000EE"/>
            </w:tcBorders>
            <w:gridSpan w:val="12"/>
          </w:tcPr>
          <w:p>
            <w:pPr>
              <w:spacing w:after="0" w:line="169" w:lineRule="exact"/>
              <w:rPr>
                <w:rFonts w:ascii="Arial" w:cs="Arial" w:eastAsia="Arial" w:hAnsi="Arial"/>
                <w:sz w:val="18"/>
                <w:szCs w:val="18"/>
                <w:color w:val="0000EE"/>
              </w:rPr>
            </w:pPr>
            <w:hyperlink r:id="rId205">
              <w:r>
                <w:rPr>
                  <w:rFonts w:ascii="Arial" w:cs="Arial" w:eastAsia="Arial" w:hAnsi="Arial"/>
                  <w:sz w:val="18"/>
                  <w:szCs w:val="18"/>
                  <w:color w:val="0000EE"/>
                </w:rPr>
                <w:t>Statement on Form S-1 (No. 333-207393) filed October 13, 2015.)</w:t>
              </w:r>
            </w:hyperlink>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vMerge w:val="continue"/>
          </w:tcPr>
          <w:p>
            <w:pPr>
              <w:spacing w:after="0"/>
              <w:rPr>
                <w:sz w:val="14"/>
                <w:szCs w:val="14"/>
                <w:color w:val="auto"/>
              </w:rPr>
            </w:pPr>
          </w:p>
        </w:tc>
        <w:tc>
          <w:tcPr>
            <w:tcW w:w="230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1"/>
              </w:rPr>
            </w:pPr>
            <w:hyperlink w:anchor="page222">
              <w:r>
                <w:rPr>
                  <w:rFonts w:ascii="Arial" w:cs="Arial" w:eastAsia="Arial" w:hAnsi="Arial"/>
                  <w:sz w:val="18"/>
                  <w:szCs w:val="18"/>
                  <w:color w:val="0000EE"/>
                  <w:w w:val="91"/>
                </w:rPr>
                <w:t>Consent of Ernst &amp; Young LLP.</w:t>
              </w:r>
            </w:hyperlink>
          </w:p>
        </w:tc>
        <w:tc>
          <w:tcPr>
            <w:tcW w:w="2500" w:type="dxa"/>
            <w:vAlign w:val="bottom"/>
            <w:tcBorders>
              <w:top w:val="single" w:sz="8" w:color="0000EE"/>
            </w:tcBorders>
            <w:gridSpan w:val="2"/>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right"/>
              <w:ind w:right="73"/>
              <w:spacing w:after="0" w:line="182" w:lineRule="exact"/>
              <w:rPr>
                <w:sz w:val="20"/>
                <w:szCs w:val="20"/>
                <w:color w:val="auto"/>
              </w:rPr>
            </w:pPr>
            <w:r>
              <w:rPr>
                <w:rFonts w:ascii="Arial" w:cs="Arial" w:eastAsia="Arial" w:hAnsi="Arial"/>
                <w:sz w:val="18"/>
                <w:szCs w:val="18"/>
                <w:color w:val="auto"/>
              </w:rPr>
              <w:t>31.1**</w:t>
            </w:r>
          </w:p>
        </w:tc>
        <w:tc>
          <w:tcPr>
            <w:tcW w:w="7620" w:type="dxa"/>
            <w:vAlign w:val="bottom"/>
            <w:gridSpan w:val="13"/>
          </w:tcPr>
          <w:p>
            <w:pPr>
              <w:spacing w:after="0" w:line="182" w:lineRule="exact"/>
              <w:rPr>
                <w:rFonts w:ascii="Arial" w:cs="Arial" w:eastAsia="Arial" w:hAnsi="Arial"/>
                <w:sz w:val="18"/>
                <w:szCs w:val="18"/>
                <w:color w:val="0000EE"/>
              </w:rPr>
            </w:pPr>
            <w:hyperlink w:anchor="page223">
              <w:r>
                <w:rPr>
                  <w:rFonts w:ascii="Arial" w:cs="Arial" w:eastAsia="Arial" w:hAnsi="Arial"/>
                  <w:sz w:val="18"/>
                  <w:szCs w:val="18"/>
                  <w:color w:val="0000EE"/>
                </w:rPr>
                <w:t>Certification of Principal Executive Officer pursuant to Rule 13a-14(a)/15d-14(a), as adopted</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6720" w:type="dxa"/>
            <w:vAlign w:val="bottom"/>
            <w:tcBorders>
              <w:top w:val="single" w:sz="8" w:color="0000EE"/>
            </w:tcBorders>
            <w:gridSpan w:val="8"/>
          </w:tcPr>
          <w:p>
            <w:pPr>
              <w:spacing w:after="0" w:line="169" w:lineRule="exact"/>
              <w:rPr>
                <w:rFonts w:ascii="Arial" w:cs="Arial" w:eastAsia="Arial" w:hAnsi="Arial"/>
                <w:sz w:val="18"/>
                <w:szCs w:val="18"/>
                <w:color w:val="0000EE"/>
              </w:rPr>
            </w:pPr>
            <w:hyperlink w:anchor="page223">
              <w:r>
                <w:rPr>
                  <w:rFonts w:ascii="Arial" w:cs="Arial" w:eastAsia="Arial" w:hAnsi="Arial"/>
                  <w:sz w:val="18"/>
                  <w:szCs w:val="18"/>
                  <w:color w:val="0000EE"/>
                </w:rPr>
                <w:t>pursuant to Section 302 of the Sarbanes-Oxley Act of 2002.</w:t>
              </w:r>
            </w:hyperlink>
          </w:p>
        </w:tc>
        <w:tc>
          <w:tcPr>
            <w:tcW w:w="200" w:type="dxa"/>
            <w:vAlign w:val="bottom"/>
          </w:tcPr>
          <w:p>
            <w:pPr>
              <w:spacing w:after="0"/>
              <w:rPr>
                <w:sz w:val="14"/>
                <w:szCs w:val="14"/>
                <w:color w:val="auto"/>
              </w:rPr>
            </w:pPr>
          </w:p>
        </w:tc>
        <w:tc>
          <w:tcPr>
            <w:tcW w:w="7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jc w:val="right"/>
              <w:ind w:right="73"/>
              <w:spacing w:after="0" w:line="149" w:lineRule="exact"/>
              <w:rPr>
                <w:sz w:val="20"/>
                <w:szCs w:val="20"/>
                <w:color w:val="auto"/>
              </w:rPr>
            </w:pPr>
            <w:r>
              <w:rPr>
                <w:rFonts w:ascii="Arial" w:cs="Arial" w:eastAsia="Arial" w:hAnsi="Arial"/>
                <w:sz w:val="17"/>
                <w:szCs w:val="17"/>
                <w:color w:val="auto"/>
              </w:rPr>
              <w:t>31.2**</w:t>
            </w:r>
          </w:p>
        </w:tc>
        <w:tc>
          <w:tcPr>
            <w:tcW w:w="4300" w:type="dxa"/>
            <w:vAlign w:val="bottom"/>
            <w:tcBorders>
              <w:top w:val="single" w:sz="8" w:color="0000EE"/>
            </w:tcBorders>
            <w:gridSpan w:val="3"/>
          </w:tcPr>
          <w:p>
            <w:pPr>
              <w:spacing w:after="0" w:line="156" w:lineRule="exact"/>
              <w:rPr>
                <w:rFonts w:ascii="Arial" w:cs="Arial" w:eastAsia="Arial" w:hAnsi="Arial"/>
                <w:sz w:val="18"/>
                <w:szCs w:val="18"/>
                <w:color w:val="0000EE"/>
                <w:w w:val="92"/>
              </w:rPr>
            </w:pPr>
            <w:hyperlink w:anchor="page224">
              <w:r>
                <w:rPr>
                  <w:rFonts w:ascii="Arial" w:cs="Arial" w:eastAsia="Arial" w:hAnsi="Arial"/>
                  <w:sz w:val="18"/>
                  <w:szCs w:val="18"/>
                  <w:color w:val="0000EE"/>
                  <w:w w:val="92"/>
                </w:rPr>
                <w:t>Certification of Principal Financial Officer pursuant to Rule</w:t>
              </w:r>
            </w:hyperlink>
          </w:p>
        </w:tc>
        <w:tc>
          <w:tcPr>
            <w:tcW w:w="3320" w:type="dxa"/>
            <w:vAlign w:val="bottom"/>
            <w:gridSpan w:val="10"/>
          </w:tcPr>
          <w:p>
            <w:pPr>
              <w:ind w:left="40"/>
              <w:spacing w:after="0" w:line="149" w:lineRule="exact"/>
              <w:rPr>
                <w:rFonts w:ascii="Arial" w:cs="Arial" w:eastAsia="Arial" w:hAnsi="Arial"/>
                <w:sz w:val="17"/>
                <w:szCs w:val="17"/>
                <w:color w:val="0000EE"/>
              </w:rPr>
            </w:pPr>
            <w:hyperlink w:anchor="page224">
              <w:r>
                <w:rPr>
                  <w:rFonts w:ascii="Arial" w:cs="Arial" w:eastAsia="Arial" w:hAnsi="Arial"/>
                  <w:sz w:val="17"/>
                  <w:szCs w:val="17"/>
                  <w:color w:val="0000EE"/>
                </w:rPr>
                <w:t>13a-14(a)/15d-14(a), as adopted</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6660" w:type="dxa"/>
            <w:vAlign w:val="bottom"/>
            <w:tcBorders>
              <w:top w:val="single" w:sz="8" w:color="0000EE"/>
            </w:tcBorders>
            <w:gridSpan w:val="7"/>
          </w:tcPr>
          <w:p>
            <w:pPr>
              <w:spacing w:after="0" w:line="169" w:lineRule="exact"/>
              <w:rPr>
                <w:rFonts w:ascii="Arial" w:cs="Arial" w:eastAsia="Arial" w:hAnsi="Arial"/>
                <w:sz w:val="18"/>
                <w:szCs w:val="18"/>
                <w:color w:val="0000EE"/>
              </w:rPr>
            </w:pPr>
            <w:hyperlink w:anchor="page224">
              <w:r>
                <w:rPr>
                  <w:rFonts w:ascii="Arial" w:cs="Arial" w:eastAsia="Arial" w:hAnsi="Arial"/>
                  <w:sz w:val="18"/>
                  <w:szCs w:val="18"/>
                  <w:color w:val="0000EE"/>
                </w:rPr>
                <w:t>pursuant to Section 302 of the Sarbanes-Oxley Act of 2002.</w:t>
              </w:r>
            </w:hyperlink>
          </w:p>
        </w:tc>
        <w:tc>
          <w:tcPr>
            <w:tcW w:w="260" w:type="dxa"/>
            <w:vAlign w:val="bottom"/>
            <w:gridSpan w:val="2"/>
          </w:tcPr>
          <w:p>
            <w:pPr>
              <w:spacing w:after="0"/>
              <w:rPr>
                <w:sz w:val="14"/>
                <w:szCs w:val="14"/>
                <w:color w:val="auto"/>
              </w:rPr>
            </w:pPr>
          </w:p>
        </w:tc>
        <w:tc>
          <w:tcPr>
            <w:tcW w:w="7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jc w:val="right"/>
              <w:ind w:right="73"/>
              <w:spacing w:after="0" w:line="149" w:lineRule="exact"/>
              <w:rPr>
                <w:sz w:val="20"/>
                <w:szCs w:val="20"/>
                <w:color w:val="auto"/>
              </w:rPr>
            </w:pPr>
            <w:r>
              <w:rPr>
                <w:rFonts w:ascii="Arial" w:cs="Arial" w:eastAsia="Arial" w:hAnsi="Arial"/>
                <w:sz w:val="17"/>
                <w:szCs w:val="17"/>
                <w:color w:val="auto"/>
              </w:rPr>
              <w:t>32.1**</w:t>
            </w:r>
          </w:p>
        </w:tc>
        <w:tc>
          <w:tcPr>
            <w:tcW w:w="4300" w:type="dxa"/>
            <w:vAlign w:val="bottom"/>
            <w:tcBorders>
              <w:top w:val="single" w:sz="8" w:color="0000EE"/>
            </w:tcBorders>
            <w:gridSpan w:val="3"/>
          </w:tcPr>
          <w:p>
            <w:pPr>
              <w:spacing w:after="0" w:line="156" w:lineRule="exact"/>
              <w:rPr>
                <w:rFonts w:ascii="Arial" w:cs="Arial" w:eastAsia="Arial" w:hAnsi="Arial"/>
                <w:sz w:val="18"/>
                <w:szCs w:val="18"/>
                <w:color w:val="0000EE"/>
                <w:w w:val="95"/>
              </w:rPr>
            </w:pPr>
            <w:hyperlink w:anchor="page225">
              <w:r>
                <w:rPr>
                  <w:rFonts w:ascii="Arial" w:cs="Arial" w:eastAsia="Arial" w:hAnsi="Arial"/>
                  <w:sz w:val="18"/>
                  <w:szCs w:val="18"/>
                  <w:color w:val="0000EE"/>
                  <w:w w:val="95"/>
                </w:rPr>
                <w:t>Certification of Principal Executive Officer pursuant to 18</w:t>
              </w:r>
            </w:hyperlink>
          </w:p>
        </w:tc>
        <w:tc>
          <w:tcPr>
            <w:tcW w:w="3320" w:type="dxa"/>
            <w:vAlign w:val="bottom"/>
            <w:gridSpan w:val="10"/>
          </w:tcPr>
          <w:p>
            <w:pPr>
              <w:spacing w:after="0" w:line="149" w:lineRule="exact"/>
              <w:rPr>
                <w:rFonts w:ascii="Arial" w:cs="Arial" w:eastAsia="Arial" w:hAnsi="Arial"/>
                <w:sz w:val="17"/>
                <w:szCs w:val="17"/>
                <w:color w:val="0000EE"/>
              </w:rPr>
            </w:pPr>
            <w:hyperlink w:anchor="page225">
              <w:r>
                <w:rPr>
                  <w:rFonts w:ascii="Arial" w:cs="Arial" w:eastAsia="Arial" w:hAnsi="Arial"/>
                  <w:sz w:val="17"/>
                  <w:szCs w:val="17"/>
                  <w:color w:val="0000EE"/>
                </w:rPr>
                <w:t>U.S.C. §1350, as adopted pursuant to</w:t>
              </w:r>
            </w:hyperlink>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6920" w:type="dxa"/>
            <w:vAlign w:val="bottom"/>
            <w:tcBorders>
              <w:top w:val="single" w:sz="8" w:color="0000EE"/>
            </w:tcBorders>
            <w:gridSpan w:val="9"/>
          </w:tcPr>
          <w:p>
            <w:pPr>
              <w:spacing w:after="0" w:line="169" w:lineRule="exact"/>
              <w:rPr>
                <w:rFonts w:ascii="Arial" w:cs="Arial" w:eastAsia="Arial" w:hAnsi="Arial"/>
                <w:sz w:val="18"/>
                <w:szCs w:val="18"/>
                <w:color w:val="0000EE"/>
              </w:rPr>
            </w:pPr>
            <w:hyperlink w:anchor="page225">
              <w:r>
                <w:rPr>
                  <w:rFonts w:ascii="Arial" w:cs="Arial" w:eastAsia="Arial" w:hAnsi="Arial"/>
                  <w:sz w:val="18"/>
                  <w:szCs w:val="18"/>
                  <w:color w:val="0000EE"/>
                </w:rPr>
                <w:t>Section 906 of the Sarbanes-Oxley Act of 2002 (furnished herewith).</w:t>
              </w:r>
            </w:hyperlink>
          </w:p>
        </w:tc>
        <w:tc>
          <w:tcPr>
            <w:tcW w:w="7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000"/>
        </w:trPr>
        <w:tc>
          <w:tcPr>
            <w:tcW w:w="1300" w:type="dxa"/>
            <w:vAlign w:val="bottom"/>
            <w:tcBorders>
              <w:bottom w:val="single" w:sz="8" w:color="auto"/>
            </w:tcBorders>
          </w:tcPr>
          <w:p>
            <w:pPr>
              <w:spacing w:after="0"/>
              <w:rPr>
                <w:sz w:val="24"/>
                <w:szCs w:val="24"/>
                <w:color w:val="auto"/>
              </w:rPr>
            </w:pPr>
          </w:p>
        </w:tc>
        <w:tc>
          <w:tcPr>
            <w:tcW w:w="2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0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62" w:name="page163"/>
    <w:bookmarkEnd w:id="162"/>
    <w:p>
      <w:pPr>
        <w:ind w:left="40"/>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ectPr>
          <w:pgSz w:w="11900" w:h="16838" w:orient="portrait"/>
          <w:cols w:equalWidth="0" w:num="1">
            <w:col w:w="9019"/>
          </w:cols>
          <w:pgMar w:left="1440" w:top="125" w:right="1440" w:bottom="1440" w:gutter="0" w:footer="0" w:header="0"/>
        </w:sectPr>
      </w:pP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32.2**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426085</wp:posOffset>
            </wp:positionV>
            <wp:extent cx="14141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839"/>
        <w:spacing w:after="0" w:line="228" w:lineRule="auto"/>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Certification of Principal Financial Officer pursuant to 18 U.S.C. §1350, as adopted pursuant to</w:t>
        </w:r>
      </w:hyperlink>
      <w:r>
        <w:rPr>
          <w:rFonts w:ascii="Arial" w:cs="Arial" w:eastAsia="Arial" w:hAnsi="Arial"/>
          <w:sz w:val="18"/>
          <w:szCs w:val="18"/>
          <w:u w:val="single" w:color="auto"/>
          <w:color w:val="0000EE"/>
        </w:rPr>
        <w:t xml:space="preserve"> </w:t>
      </w:r>
      <w:hyperlink w:anchor="page226">
        <w:r>
          <w:rPr>
            <w:rFonts w:ascii="Arial" w:cs="Arial" w:eastAsia="Arial" w:hAnsi="Arial"/>
            <w:sz w:val="18"/>
            <w:szCs w:val="18"/>
            <w:u w:val="single" w:color="auto"/>
            <w:color w:val="0000EE"/>
          </w:rPr>
          <w:t>Section 906 of the Sarbanes-Oxley Act of 2002 (furnished herewith).</w:t>
        </w:r>
      </w:hyperlink>
    </w:p>
    <w:p>
      <w:pPr>
        <w:spacing w:after="0" w:line="232" w:lineRule="auto"/>
        <w:rPr>
          <w:sz w:val="20"/>
          <w:szCs w:val="20"/>
          <w:color w:val="auto"/>
        </w:rPr>
      </w:pPr>
      <w:r>
        <w:rPr>
          <w:rFonts w:ascii="Arial" w:cs="Arial" w:eastAsia="Arial" w:hAnsi="Arial"/>
          <w:sz w:val="17"/>
          <w:szCs w:val="17"/>
          <w:color w:val="auto"/>
        </w:rPr>
        <w:t>Interactive data files pursuant to Rule 405 of Regulation S-T: (i) Consolidated Balance Sheets,</w:t>
      </w:r>
    </w:p>
    <w:p>
      <w:pPr>
        <w:spacing w:after="0" w:line="1" w:lineRule="exact"/>
        <w:rPr>
          <w:sz w:val="20"/>
          <w:szCs w:val="20"/>
          <w:color w:val="auto"/>
        </w:rPr>
      </w:pPr>
    </w:p>
    <w:p>
      <w:pPr>
        <w:ind w:right="439" w:firstLine="7"/>
        <w:spacing w:after="0" w:line="233" w:lineRule="auto"/>
        <w:tabs>
          <w:tab w:leader="none" w:pos="2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Consolidated Statements of Operations, (iii) Consolidated Statements of Cash Flows, and (iv) the Notes to Consolidated Financial Statements.</w:t>
      </w:r>
    </w:p>
    <w:p>
      <w:pPr>
        <w:spacing w:after="0" w:line="200" w:lineRule="exact"/>
        <w:rPr>
          <w:sz w:val="20"/>
          <w:szCs w:val="20"/>
          <w:color w:val="auto"/>
        </w:rPr>
      </w:pPr>
    </w:p>
    <w:p>
      <w:pPr>
        <w:sectPr>
          <w:pgSz w:w="11900" w:h="16838" w:orient="portrait"/>
          <w:cols w:equalWidth="0" w:num="2">
            <w:col w:w="1240" w:space="60"/>
            <w:col w:w="7719"/>
          </w:cols>
          <w:pgMar w:left="1440" w:top="125" w:right="1440" w:bottom="1440" w:gutter="0" w:footer="0" w:header="0"/>
          <w:type w:val="continuous"/>
        </w:sectPr>
      </w:pPr>
    </w:p>
    <w:p>
      <w:pPr>
        <w:spacing w:after="0" w:line="192" w:lineRule="exact"/>
        <w:rPr>
          <w:sz w:val="20"/>
          <w:szCs w:val="20"/>
          <w:color w:val="auto"/>
        </w:rPr>
      </w:pPr>
    </w:p>
    <w:p>
      <w:pPr>
        <w:ind w:left="680" w:hanging="636"/>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700" w:right="379" w:hanging="656"/>
        <w:spacing w:after="0" w:line="277" w:lineRule="auto"/>
        <w:tabs>
          <w:tab w:leader="none" w:pos="7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170" w:lineRule="exact"/>
        <w:rPr>
          <w:sz w:val="20"/>
          <w:szCs w:val="20"/>
          <w:color w:val="auto"/>
        </w:rPr>
      </w:pPr>
    </w:p>
    <w:p>
      <w:pPr>
        <w:ind w:left="720" w:hanging="67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1180465</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63" w:name="page164"/>
    <w:bookmarkEnd w:id="16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259" w:firstLine="648"/>
        <w:spacing w:after="0" w:line="263"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this 12</w:t>
      </w:r>
      <w:r>
        <w:rPr>
          <w:rFonts w:ascii="Arial" w:cs="Arial" w:eastAsia="Arial" w:hAnsi="Arial"/>
          <w:sz w:val="8"/>
          <w:szCs w:val="8"/>
          <w:color w:val="auto"/>
        </w:rPr>
        <w:t>th</w:t>
      </w:r>
      <w:r>
        <w:rPr>
          <w:rFonts w:ascii="Arial" w:cs="Arial" w:eastAsia="Arial" w:hAnsi="Arial"/>
          <w:sz w:val="18"/>
          <w:szCs w:val="18"/>
          <w:color w:val="auto"/>
        </w:rPr>
        <w:t xml:space="preserve"> day of March 2020.</w:t>
      </w:r>
    </w:p>
    <w:p>
      <w:pPr>
        <w:spacing w:after="0" w:line="184"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AXSOME THERAPEUTICS, INC.</w:t>
      </w:r>
    </w:p>
    <w:p>
      <w:pPr>
        <w:spacing w:after="0" w:line="171" w:lineRule="exact"/>
        <w:rPr>
          <w:sz w:val="20"/>
          <w:szCs w:val="20"/>
          <w:color w:val="auto"/>
        </w:rPr>
      </w:pPr>
    </w:p>
    <w:tbl>
      <w:tblPr>
        <w:tblLayout w:type="fixed"/>
        <w:tblInd w:w="4660" w:type="dxa"/>
        <w:tblCellMar>
          <w:top w:w="0" w:type="dxa"/>
          <w:left w:w="0" w:type="dxa"/>
          <w:bottom w:w="0" w:type="dxa"/>
          <w:right w:w="0" w:type="dxa"/>
        </w:tblCellMar>
      </w:tblPr>
      <w:tr>
        <w:trPr>
          <w:trHeight w:val="217"/>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Herriot Tabuteau, M.D.</w:t>
            </w:r>
          </w:p>
        </w:tc>
      </w:tr>
      <w:tr>
        <w:trPr>
          <w:trHeight w:val="182"/>
        </w:trPr>
        <w:tc>
          <w:tcPr>
            <w:tcW w:w="440" w:type="dxa"/>
            <w:vAlign w:val="bottom"/>
          </w:tcPr>
          <w:p>
            <w:pPr>
              <w:spacing w:after="0"/>
              <w:rPr>
                <w:sz w:val="15"/>
                <w:szCs w:val="15"/>
                <w:color w:val="auto"/>
              </w:rPr>
            </w:pPr>
          </w:p>
        </w:tc>
        <w:tc>
          <w:tcPr>
            <w:tcW w:w="3780" w:type="dxa"/>
            <w:vAlign w:val="bottom"/>
          </w:tcPr>
          <w:p>
            <w:pPr>
              <w:jc w:val="center"/>
              <w:spacing w:after="0" w:line="182" w:lineRule="exact"/>
              <w:rPr>
                <w:sz w:val="20"/>
                <w:szCs w:val="20"/>
                <w:color w:val="auto"/>
              </w:rPr>
            </w:pPr>
            <w:r>
              <w:rPr>
                <w:rFonts w:ascii="Arial" w:cs="Arial" w:eastAsia="Arial" w:hAnsi="Arial"/>
                <w:sz w:val="18"/>
                <w:szCs w:val="18"/>
                <w:color w:val="auto"/>
                <w:w w:val="92"/>
              </w:rPr>
              <w:t>Herriot Tabuteau, M.D.</w:t>
            </w:r>
          </w:p>
        </w:tc>
      </w:tr>
      <w:tr>
        <w:trPr>
          <w:trHeight w:val="230"/>
        </w:trPr>
        <w:tc>
          <w:tcPr>
            <w:tcW w:w="44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bl>
    <w:p>
      <w:pPr>
        <w:spacing w:after="0" w:line="200" w:lineRule="exact"/>
        <w:rPr>
          <w:sz w:val="20"/>
          <w:szCs w:val="20"/>
          <w:color w:val="auto"/>
        </w:rPr>
      </w:pPr>
    </w:p>
    <w:p>
      <w:pPr>
        <w:spacing w:after="0" w:line="204" w:lineRule="exact"/>
        <w:rPr>
          <w:sz w:val="20"/>
          <w:szCs w:val="20"/>
          <w:color w:val="auto"/>
        </w:rPr>
      </w:pPr>
    </w:p>
    <w:p>
      <w:pPr>
        <w:ind w:left="40" w:right="219" w:firstLine="648"/>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by the following persons on behalf of the registrant and in the capacities and on the dates indicated: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0" w:type="dxa"/>
            <w:vAlign w:val="bottom"/>
            <w:gridSpan w:val="2"/>
          </w:tcPr>
          <w:p>
            <w:pPr>
              <w:jc w:val="center"/>
              <w:ind w:right="1420"/>
              <w:spacing w:after="0"/>
              <w:rPr>
                <w:sz w:val="20"/>
                <w:szCs w:val="20"/>
                <w:color w:val="auto"/>
              </w:rPr>
            </w:pPr>
            <w:r>
              <w:rPr>
                <w:rFonts w:ascii="Arial" w:cs="Arial" w:eastAsia="Arial" w:hAnsi="Arial"/>
                <w:sz w:val="14"/>
                <w:szCs w:val="14"/>
                <w:b w:val="1"/>
                <w:bCs w:val="1"/>
                <w:color w:val="auto"/>
                <w:w w:val="89"/>
              </w:rPr>
              <w:t>Signature</w:t>
            </w:r>
          </w:p>
        </w:tc>
        <w:tc>
          <w:tcPr>
            <w:tcW w:w="1560" w:type="dxa"/>
            <w:vAlign w:val="bottom"/>
          </w:tcPr>
          <w:p>
            <w:pPr>
              <w:spacing w:after="0"/>
              <w:rPr>
                <w:sz w:val="14"/>
                <w:szCs w:val="14"/>
                <w:color w:val="auto"/>
              </w:rPr>
            </w:pPr>
          </w:p>
        </w:tc>
        <w:tc>
          <w:tcPr>
            <w:tcW w:w="1960" w:type="dxa"/>
            <w:vAlign w:val="bottom"/>
            <w:gridSpan w:val="2"/>
          </w:tcPr>
          <w:p>
            <w:pPr>
              <w:ind w:left="8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60" w:type="dxa"/>
            <w:vAlign w:val="bottom"/>
          </w:tcPr>
          <w:p>
            <w:pPr>
              <w:spacing w:after="0"/>
              <w:rPr>
                <w:sz w:val="24"/>
                <w:szCs w:val="24"/>
                <w:color w:val="auto"/>
              </w:rPr>
            </w:pPr>
          </w:p>
        </w:tc>
        <w:tc>
          <w:tcPr>
            <w:tcW w:w="32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1"/>
              </w:rPr>
              <w:t>/s/ Herriot Tabuteau, M.D.</w:t>
            </w: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and Chairman of</w:t>
            </w:r>
          </w:p>
        </w:tc>
        <w:tc>
          <w:tcPr>
            <w:tcW w:w="1900" w:type="dxa"/>
            <w:vAlign w:val="bottom"/>
            <w:gridSpan w:val="3"/>
            <w:vMerge w:val="restart"/>
          </w:tcPr>
          <w:p>
            <w:pPr>
              <w:ind w:left="40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24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92"/>
              </w:rPr>
              <w:t>Herriot Tabuteau, M.D.</w:t>
            </w:r>
          </w:p>
        </w:tc>
        <w:tc>
          <w:tcPr>
            <w:tcW w:w="3520" w:type="dxa"/>
            <w:vAlign w:val="bottom"/>
            <w:gridSpan w:val="3"/>
            <w:vMerge w:val="restart"/>
          </w:tcPr>
          <w:p>
            <w:pPr>
              <w:ind w:left="160"/>
              <w:spacing w:after="0"/>
              <w:rPr>
                <w:sz w:val="20"/>
                <w:szCs w:val="20"/>
                <w:color w:val="auto"/>
              </w:rPr>
            </w:pPr>
            <w:r>
              <w:rPr>
                <w:rFonts w:ascii="Arial" w:cs="Arial" w:eastAsia="Arial" w:hAnsi="Arial"/>
                <w:sz w:val="18"/>
                <w:szCs w:val="18"/>
                <w:color w:val="auto"/>
              </w:rPr>
              <w:t>the Board (Principal Executive Officer)</w:t>
            </w:r>
          </w:p>
        </w:tc>
        <w:tc>
          <w:tcPr>
            <w:tcW w:w="1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240" w:type="dxa"/>
            <w:vAlign w:val="bottom"/>
            <w:gridSpan w:val="3"/>
            <w:vMerge w:val="continue"/>
          </w:tcPr>
          <w:p>
            <w:pPr>
              <w:spacing w:after="0"/>
              <w:rPr>
                <w:sz w:val="10"/>
                <w:szCs w:val="10"/>
                <w:color w:val="auto"/>
              </w:rPr>
            </w:pPr>
          </w:p>
        </w:tc>
        <w:tc>
          <w:tcPr>
            <w:tcW w:w="352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1"/>
        </w:trPr>
        <w:tc>
          <w:tcPr>
            <w:tcW w:w="260" w:type="dxa"/>
            <w:vAlign w:val="bottom"/>
          </w:tcPr>
          <w:p>
            <w:pPr>
              <w:spacing w:after="0"/>
              <w:rPr>
                <w:sz w:val="24"/>
                <w:szCs w:val="24"/>
                <w:color w:val="auto"/>
              </w:rPr>
            </w:pPr>
          </w:p>
        </w:tc>
        <w:tc>
          <w:tcPr>
            <w:tcW w:w="324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94"/>
              </w:rPr>
              <w:t>/s/ Nick Pizzie</w:t>
            </w: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60" w:type="dxa"/>
            <w:vAlign w:val="bottom"/>
          </w:tcPr>
          <w:p>
            <w:pPr>
              <w:spacing w:after="0"/>
              <w:rPr>
                <w:sz w:val="8"/>
                <w:szCs w:val="8"/>
                <w:color w:val="auto"/>
              </w:rPr>
            </w:pPr>
          </w:p>
        </w:tc>
        <w:tc>
          <w:tcPr>
            <w:tcW w:w="3240" w:type="dxa"/>
            <w:vAlign w:val="bottom"/>
            <w:tcBorders>
              <w:bottom w:val="single" w:sz="8" w:color="auto"/>
            </w:tcBorders>
            <w:gridSpan w:val="3"/>
            <w:vMerge w:val="continue"/>
          </w:tcPr>
          <w:p>
            <w:pPr>
              <w:spacing w:after="0"/>
              <w:rPr>
                <w:sz w:val="8"/>
                <w:szCs w:val="8"/>
                <w:color w:val="auto"/>
              </w:rPr>
            </w:pPr>
          </w:p>
        </w:tc>
        <w:tc>
          <w:tcPr>
            <w:tcW w:w="3520" w:type="dxa"/>
            <w:vAlign w:val="bottom"/>
            <w:gridSpan w:val="3"/>
            <w:vMerge w:val="restart"/>
          </w:tcPr>
          <w:p>
            <w:pPr>
              <w:ind w:left="160"/>
              <w:spacing w:after="0" w:line="189" w:lineRule="exact"/>
              <w:rPr>
                <w:sz w:val="20"/>
                <w:szCs w:val="20"/>
                <w:color w:val="auto"/>
              </w:rPr>
            </w:pPr>
            <w:r>
              <w:rPr>
                <w:rFonts w:ascii="Arial" w:cs="Arial" w:eastAsia="Arial" w:hAnsi="Arial"/>
                <w:sz w:val="18"/>
                <w:szCs w:val="18"/>
                <w:color w:val="auto"/>
              </w:rPr>
              <w:t>(Principal Financial and Accounting</w:t>
            </w:r>
          </w:p>
        </w:tc>
        <w:tc>
          <w:tcPr>
            <w:tcW w:w="1900" w:type="dxa"/>
            <w:vAlign w:val="bottom"/>
            <w:gridSpan w:val="3"/>
            <w:vMerge w:val="restart"/>
          </w:tcPr>
          <w:p>
            <w:pPr>
              <w:ind w:left="400"/>
              <w:spacing w:after="0" w:line="189" w:lineRule="exact"/>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74"/>
        </w:trPr>
        <w:tc>
          <w:tcPr>
            <w:tcW w:w="260" w:type="dxa"/>
            <w:vAlign w:val="bottom"/>
          </w:tcPr>
          <w:p>
            <w:pPr>
              <w:spacing w:after="0"/>
              <w:rPr>
                <w:sz w:val="6"/>
                <w:szCs w:val="6"/>
                <w:color w:val="auto"/>
              </w:rPr>
            </w:pPr>
          </w:p>
        </w:tc>
        <w:tc>
          <w:tcPr>
            <w:tcW w:w="324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93"/>
              </w:rPr>
              <w:t>Nick Pizzie</w:t>
            </w:r>
          </w:p>
        </w:tc>
        <w:tc>
          <w:tcPr>
            <w:tcW w:w="3520" w:type="dxa"/>
            <w:vAlign w:val="bottom"/>
            <w:gridSpan w:val="3"/>
            <w:vMerge w:val="continue"/>
          </w:tcPr>
          <w:p>
            <w:pPr>
              <w:spacing w:after="0"/>
              <w:rPr>
                <w:sz w:val="6"/>
                <w:szCs w:val="6"/>
                <w:color w:val="auto"/>
              </w:rPr>
            </w:pPr>
          </w:p>
        </w:tc>
        <w:tc>
          <w:tcPr>
            <w:tcW w:w="1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3240" w:type="dxa"/>
            <w:vAlign w:val="bottom"/>
            <w:gridSpan w:val="3"/>
            <w:vMerge w:val="continue"/>
          </w:tcPr>
          <w:p>
            <w:pPr>
              <w:spacing w:after="0"/>
              <w:rPr>
                <w:sz w:val="13"/>
                <w:szCs w:val="13"/>
                <w:color w:val="auto"/>
              </w:rPr>
            </w:pPr>
          </w:p>
        </w:tc>
        <w:tc>
          <w:tcPr>
            <w:tcW w:w="3520" w:type="dxa"/>
            <w:vAlign w:val="bottom"/>
            <w:gridSpan w:val="3"/>
            <w:vMerge w:val="restart"/>
          </w:tcPr>
          <w:p>
            <w:pPr>
              <w:ind w:left="160"/>
              <w:spacing w:after="0"/>
              <w:rPr>
                <w:sz w:val="20"/>
                <w:szCs w:val="20"/>
                <w:color w:val="auto"/>
              </w:rPr>
            </w:pPr>
            <w:r>
              <w:rPr>
                <w:rFonts w:ascii="Arial" w:cs="Arial" w:eastAsia="Arial" w:hAnsi="Arial"/>
                <w:sz w:val="18"/>
                <w:szCs w:val="18"/>
                <w:color w:val="auto"/>
              </w:rPr>
              <w:t>Officer)</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52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3"/>
        </w:trPr>
        <w:tc>
          <w:tcPr>
            <w:tcW w:w="260" w:type="dxa"/>
            <w:vAlign w:val="bottom"/>
          </w:tcPr>
          <w:p>
            <w:pPr>
              <w:spacing w:after="0"/>
              <w:rPr>
                <w:sz w:val="24"/>
                <w:szCs w:val="24"/>
                <w:color w:val="auto"/>
              </w:rPr>
            </w:pPr>
          </w:p>
        </w:tc>
        <w:tc>
          <w:tcPr>
            <w:tcW w:w="32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9"/>
              </w:rPr>
              <w:t>/s/ Roger Jeffs, Ph.D.</w:t>
            </w:r>
          </w:p>
        </w:tc>
        <w:tc>
          <w:tcPr>
            <w:tcW w:w="3520" w:type="dxa"/>
            <w:vAlign w:val="bottom"/>
            <w:gridSpan w:val="3"/>
            <w:vMerge w:val="restart"/>
          </w:tcPr>
          <w:p>
            <w:pPr>
              <w:ind w:left="160"/>
              <w:spacing w:after="0"/>
              <w:rPr>
                <w:sz w:val="20"/>
                <w:szCs w:val="20"/>
                <w:color w:val="auto"/>
              </w:rPr>
            </w:pPr>
            <w:r>
              <w:rPr>
                <w:rFonts w:ascii="Arial" w:cs="Arial" w:eastAsia="Arial" w:hAnsi="Arial"/>
                <w:sz w:val="18"/>
                <w:szCs w:val="18"/>
                <w:color w:val="auto"/>
              </w:rPr>
              <w:t>Director</w:t>
            </w:r>
          </w:p>
        </w:tc>
        <w:tc>
          <w:tcPr>
            <w:tcW w:w="1900" w:type="dxa"/>
            <w:vAlign w:val="bottom"/>
            <w:gridSpan w:val="3"/>
            <w:vMerge w:val="restart"/>
          </w:tcPr>
          <w:p>
            <w:pPr>
              <w:ind w:left="40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240" w:type="dxa"/>
            <w:vAlign w:val="bottom"/>
            <w:gridSpan w:val="3"/>
            <w:vMerge w:val="restart"/>
          </w:tcPr>
          <w:p>
            <w:pPr>
              <w:jc w:val="center"/>
              <w:ind w:right="160"/>
              <w:spacing w:after="0"/>
              <w:rPr>
                <w:sz w:val="20"/>
                <w:szCs w:val="20"/>
                <w:color w:val="auto"/>
              </w:rPr>
            </w:pPr>
            <w:r>
              <w:rPr>
                <w:rFonts w:ascii="Arial" w:cs="Arial" w:eastAsia="Arial" w:hAnsi="Arial"/>
                <w:sz w:val="18"/>
                <w:szCs w:val="18"/>
                <w:color w:val="auto"/>
                <w:w w:val="89"/>
              </w:rPr>
              <w:t>Roger Jeffs, Ph.D.</w:t>
            </w:r>
          </w:p>
        </w:tc>
        <w:tc>
          <w:tcPr>
            <w:tcW w:w="3520" w:type="dxa"/>
            <w:vAlign w:val="bottom"/>
            <w:gridSpan w:val="3"/>
            <w:vMerge w:val="continue"/>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24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2"/>
        </w:trPr>
        <w:tc>
          <w:tcPr>
            <w:tcW w:w="260" w:type="dxa"/>
            <w:vAlign w:val="bottom"/>
          </w:tcPr>
          <w:p>
            <w:pPr>
              <w:spacing w:after="0"/>
              <w:rPr>
                <w:sz w:val="24"/>
                <w:szCs w:val="24"/>
                <w:color w:val="auto"/>
              </w:rPr>
            </w:pPr>
          </w:p>
        </w:tc>
        <w:tc>
          <w:tcPr>
            <w:tcW w:w="32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4"/>
              </w:rPr>
              <w:t>/s/ Mark Coleman, M.D.</w:t>
            </w:r>
          </w:p>
        </w:tc>
        <w:tc>
          <w:tcPr>
            <w:tcW w:w="3520" w:type="dxa"/>
            <w:vAlign w:val="bottom"/>
            <w:gridSpan w:val="3"/>
            <w:vMerge w:val="restart"/>
          </w:tcPr>
          <w:p>
            <w:pPr>
              <w:ind w:left="160"/>
              <w:spacing w:after="0"/>
              <w:rPr>
                <w:sz w:val="20"/>
                <w:szCs w:val="20"/>
                <w:color w:val="auto"/>
              </w:rPr>
            </w:pPr>
            <w:r>
              <w:rPr>
                <w:rFonts w:ascii="Arial" w:cs="Arial" w:eastAsia="Arial" w:hAnsi="Arial"/>
                <w:sz w:val="18"/>
                <w:szCs w:val="18"/>
                <w:color w:val="auto"/>
              </w:rPr>
              <w:t>Director</w:t>
            </w:r>
          </w:p>
        </w:tc>
        <w:tc>
          <w:tcPr>
            <w:tcW w:w="1900" w:type="dxa"/>
            <w:vAlign w:val="bottom"/>
            <w:gridSpan w:val="3"/>
            <w:vMerge w:val="restart"/>
          </w:tcPr>
          <w:p>
            <w:pPr>
              <w:ind w:left="40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24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93"/>
              </w:rPr>
              <w:t>Mark Coleman, M.D.</w:t>
            </w:r>
          </w:p>
        </w:tc>
        <w:tc>
          <w:tcPr>
            <w:tcW w:w="3520" w:type="dxa"/>
            <w:vAlign w:val="bottom"/>
            <w:gridSpan w:val="3"/>
            <w:vMerge w:val="continue"/>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24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5"/>
        </w:trPr>
        <w:tc>
          <w:tcPr>
            <w:tcW w:w="260" w:type="dxa"/>
            <w:vAlign w:val="bottom"/>
          </w:tcPr>
          <w:p>
            <w:pPr>
              <w:spacing w:after="0"/>
              <w:rPr>
                <w:sz w:val="24"/>
                <w:szCs w:val="24"/>
                <w:color w:val="auto"/>
              </w:rPr>
            </w:pPr>
          </w:p>
        </w:tc>
        <w:tc>
          <w:tcPr>
            <w:tcW w:w="32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/s/ Mark Saad</w:t>
            </w:r>
          </w:p>
        </w:tc>
        <w:tc>
          <w:tcPr>
            <w:tcW w:w="3520" w:type="dxa"/>
            <w:vAlign w:val="bottom"/>
            <w:gridSpan w:val="3"/>
            <w:vMerge w:val="restart"/>
          </w:tcPr>
          <w:p>
            <w:pPr>
              <w:ind w:left="160"/>
              <w:spacing w:after="0"/>
              <w:rPr>
                <w:sz w:val="20"/>
                <w:szCs w:val="20"/>
                <w:color w:val="auto"/>
              </w:rPr>
            </w:pPr>
            <w:r>
              <w:rPr>
                <w:rFonts w:ascii="Arial" w:cs="Arial" w:eastAsia="Arial" w:hAnsi="Arial"/>
                <w:sz w:val="18"/>
                <w:szCs w:val="18"/>
                <w:color w:val="auto"/>
              </w:rPr>
              <w:t>Director</w:t>
            </w:r>
          </w:p>
        </w:tc>
        <w:tc>
          <w:tcPr>
            <w:tcW w:w="1900" w:type="dxa"/>
            <w:vAlign w:val="bottom"/>
            <w:gridSpan w:val="3"/>
            <w:vMerge w:val="restart"/>
          </w:tcPr>
          <w:p>
            <w:pPr>
              <w:ind w:left="40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24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89"/>
              </w:rPr>
              <w:t>Mark Saad</w:t>
            </w:r>
          </w:p>
        </w:tc>
        <w:tc>
          <w:tcPr>
            <w:tcW w:w="3520" w:type="dxa"/>
            <w:vAlign w:val="bottom"/>
            <w:gridSpan w:val="3"/>
            <w:vMerge w:val="continue"/>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24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6"/>
        </w:trPr>
        <w:tc>
          <w:tcPr>
            <w:tcW w:w="260" w:type="dxa"/>
            <w:vAlign w:val="bottom"/>
          </w:tcPr>
          <w:p>
            <w:pPr>
              <w:spacing w:after="0"/>
              <w:rPr>
                <w:sz w:val="24"/>
                <w:szCs w:val="24"/>
                <w:color w:val="auto"/>
              </w:rPr>
            </w:pPr>
          </w:p>
        </w:tc>
        <w:tc>
          <w:tcPr>
            <w:tcW w:w="32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93"/>
              </w:rPr>
              <w:t>/s/ Myrtle Potter</w:t>
            </w:r>
          </w:p>
        </w:tc>
        <w:tc>
          <w:tcPr>
            <w:tcW w:w="3520" w:type="dxa"/>
            <w:vAlign w:val="bottom"/>
            <w:gridSpan w:val="3"/>
            <w:vMerge w:val="restart"/>
          </w:tcPr>
          <w:p>
            <w:pPr>
              <w:ind w:left="160"/>
              <w:spacing w:after="0"/>
              <w:rPr>
                <w:sz w:val="20"/>
                <w:szCs w:val="20"/>
                <w:color w:val="auto"/>
              </w:rPr>
            </w:pPr>
            <w:r>
              <w:rPr>
                <w:rFonts w:ascii="Arial" w:cs="Arial" w:eastAsia="Arial" w:hAnsi="Arial"/>
                <w:sz w:val="18"/>
                <w:szCs w:val="18"/>
                <w:color w:val="auto"/>
              </w:rPr>
              <w:t>Director</w:t>
            </w:r>
          </w:p>
        </w:tc>
        <w:tc>
          <w:tcPr>
            <w:tcW w:w="1900" w:type="dxa"/>
            <w:vAlign w:val="bottom"/>
            <w:gridSpan w:val="3"/>
            <w:vMerge w:val="restart"/>
          </w:tcPr>
          <w:p>
            <w:pPr>
              <w:ind w:left="40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102"/>
        </w:trPr>
        <w:tc>
          <w:tcPr>
            <w:tcW w:w="260" w:type="dxa"/>
            <w:vAlign w:val="bottom"/>
          </w:tcPr>
          <w:p>
            <w:pPr>
              <w:spacing w:after="0"/>
              <w:rPr>
                <w:sz w:val="8"/>
                <w:szCs w:val="8"/>
                <w:color w:val="auto"/>
              </w:rPr>
            </w:pPr>
          </w:p>
        </w:tc>
        <w:tc>
          <w:tcPr>
            <w:tcW w:w="3240" w:type="dxa"/>
            <w:vAlign w:val="bottom"/>
            <w:gridSpan w:val="3"/>
            <w:vMerge w:val="restart"/>
          </w:tcPr>
          <w:p>
            <w:pPr>
              <w:jc w:val="center"/>
              <w:ind w:right="180"/>
              <w:spacing w:after="0"/>
              <w:rPr>
                <w:sz w:val="20"/>
                <w:szCs w:val="20"/>
                <w:color w:val="auto"/>
              </w:rPr>
            </w:pPr>
            <w:r>
              <w:rPr>
                <w:rFonts w:ascii="Arial" w:cs="Arial" w:eastAsia="Arial" w:hAnsi="Arial"/>
                <w:sz w:val="18"/>
                <w:szCs w:val="18"/>
                <w:color w:val="auto"/>
                <w:w w:val="96"/>
              </w:rPr>
              <w:t>Myrtle Potter</w:t>
            </w:r>
          </w:p>
        </w:tc>
        <w:tc>
          <w:tcPr>
            <w:tcW w:w="3520" w:type="dxa"/>
            <w:vAlign w:val="bottom"/>
            <w:gridSpan w:val="3"/>
            <w:vMerge w:val="continue"/>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24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1"/>
        </w:trPr>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64" w:name="page165"/>
    <w:bookmarkEnd w:id="164"/>
    <w:p>
      <w:pPr>
        <w:jc w:val="right"/>
        <w:ind w:right="219"/>
        <w:spacing w:after="0"/>
        <w:rPr>
          <w:sz w:val="20"/>
          <w:szCs w:val="20"/>
          <w:color w:val="auto"/>
        </w:rPr>
      </w:pPr>
      <w:r>
        <w:rPr>
          <w:rFonts w:ascii="Arial" w:cs="Arial" w:eastAsia="Arial" w:hAnsi="Arial"/>
          <w:sz w:val="18"/>
          <w:szCs w:val="18"/>
          <w:b w:val="1"/>
          <w:bCs w:val="1"/>
          <w:color w:val="auto"/>
        </w:rPr>
        <w:t>Exhibit 4.13</w:t>
      </w:r>
    </w:p>
    <w:p>
      <w:pPr>
        <w:jc w:val="center"/>
        <w:ind w:right="19"/>
        <w:spacing w:after="0" w:line="203" w:lineRule="auto"/>
        <w:rPr>
          <w:sz w:val="20"/>
          <w:szCs w:val="20"/>
          <w:color w:val="auto"/>
        </w:rPr>
      </w:pPr>
      <w:r>
        <w:rPr>
          <w:rFonts w:ascii="Arial" w:cs="Arial" w:eastAsia="Arial" w:hAnsi="Arial"/>
          <w:sz w:val="18"/>
          <w:szCs w:val="18"/>
          <w:b w:val="1"/>
          <w:bCs w:val="1"/>
          <w:color w:val="auto"/>
        </w:rPr>
        <w:t>DESCRIPTION OF THE REGISTRANT’S SECURITIES</w:t>
      </w:r>
    </w:p>
    <w:p>
      <w:pPr>
        <w:jc w:val="center"/>
        <w:ind w:right="19"/>
        <w:spacing w:after="0" w:line="203" w:lineRule="auto"/>
        <w:rPr>
          <w:sz w:val="20"/>
          <w:szCs w:val="20"/>
          <w:color w:val="auto"/>
        </w:rPr>
      </w:pPr>
      <w:r>
        <w:rPr>
          <w:rFonts w:ascii="Arial" w:cs="Arial" w:eastAsia="Arial" w:hAnsi="Arial"/>
          <w:sz w:val="18"/>
          <w:szCs w:val="18"/>
          <w:b w:val="1"/>
          <w:bCs w:val="1"/>
          <w:color w:val="auto"/>
        </w:rPr>
        <w:t>REGISTERED PURSUANT TO SECTION 12 OF THE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128" w:lineRule="exact"/>
        <w:rPr>
          <w:sz w:val="20"/>
          <w:szCs w:val="20"/>
          <w:color w:val="auto"/>
        </w:rPr>
      </w:pPr>
    </w:p>
    <w:p>
      <w:pPr>
        <w:ind w:left="200" w:right="299" w:firstLine="648"/>
        <w:spacing w:after="0" w:line="237" w:lineRule="auto"/>
        <w:rPr>
          <w:sz w:val="20"/>
          <w:szCs w:val="20"/>
          <w:color w:val="auto"/>
        </w:rPr>
      </w:pPr>
      <w:r>
        <w:rPr>
          <w:rFonts w:ascii="Arial" w:cs="Arial" w:eastAsia="Arial" w:hAnsi="Arial"/>
          <w:sz w:val="16"/>
          <w:szCs w:val="16"/>
          <w:color w:val="auto"/>
        </w:rPr>
        <w:t>The following description sets forth certain material terms and provisions of our securities that are registered under Section 12 of the Securities Exchange Act of 1934, as amended (the “Exchange Act”). This description also summarizes relevant provisions of the General Corporation Law of Delaware (the “DGCL”). The following description is a summary and does not purport to be complete. It is subject to, and qualified in its entirety by reference to, the applicable provisions of the DGCL and our amended and restated certificate of incorporation (our “Certificate of Incorporation”), and our amended and restated bylaws (our “Bylaws”), each of which is incorporated by reference as an exhibit to the Annual Report on Form 10-K of which this Exhibit 4.13 is a part. We encourage you to read our Certificate of Incorporation, our Bylaws, and the applicable provisions of the DGCL for additional information.</w:t>
      </w:r>
    </w:p>
    <w:p>
      <w:pPr>
        <w:spacing w:after="0" w:line="288"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DESCRIPTION OF COMMON STOCK</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Certificate of Incorporation provides the authority to issue 150,000,000 shares of common stock, par value</w:t>
      </w:r>
    </w:p>
    <w:p>
      <w:pPr>
        <w:spacing w:after="0" w:line="35" w:lineRule="exact"/>
        <w:rPr>
          <w:sz w:val="20"/>
          <w:szCs w:val="20"/>
          <w:color w:val="auto"/>
        </w:rPr>
      </w:pPr>
    </w:p>
    <w:p>
      <w:pPr>
        <w:ind w:left="200" w:right="279"/>
        <w:spacing w:after="0" w:line="295" w:lineRule="auto"/>
        <w:rPr>
          <w:sz w:val="20"/>
          <w:szCs w:val="20"/>
          <w:color w:val="auto"/>
        </w:rPr>
      </w:pPr>
      <w:r>
        <w:rPr>
          <w:rFonts w:ascii="Arial" w:cs="Arial" w:eastAsia="Arial" w:hAnsi="Arial"/>
          <w:sz w:val="16"/>
          <w:szCs w:val="16"/>
          <w:color w:val="auto"/>
        </w:rPr>
        <w:t>$0.0001 per share. As December 31, 2019, there were 36,933,217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200" w:right="539"/>
        <w:spacing w:after="0" w:line="263" w:lineRule="auto"/>
        <w:rPr>
          <w:sz w:val="20"/>
          <w:szCs w:val="20"/>
          <w:color w:val="auto"/>
        </w:rPr>
      </w:pPr>
      <w:r>
        <w:rPr>
          <w:rFonts w:ascii="Arial" w:cs="Arial" w:eastAsia="Arial" w:hAnsi="Arial"/>
          <w:sz w:val="18"/>
          <w:szCs w:val="18"/>
          <w:color w:val="auto"/>
        </w:rPr>
        <w:t>The holders of our common stock are entitled to one vote per share on any matter to be voted upon by our stockholders. Our Certificate of Incorporation does not permit cumulative voting in connection with the election of directors.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200" w:right="399"/>
        <w:spacing w:after="0" w:line="263" w:lineRule="auto"/>
        <w:rPr>
          <w:sz w:val="20"/>
          <w:szCs w:val="20"/>
          <w:color w:val="auto"/>
        </w:rPr>
      </w:pPr>
      <w:r>
        <w:rPr>
          <w:rFonts w:ascii="Arial" w:cs="Arial" w:eastAsia="Arial" w:hAnsi="Arial"/>
          <w:sz w:val="18"/>
          <w:szCs w:val="18"/>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Liquidation Rights</w:t>
      </w:r>
    </w:p>
    <w:p>
      <w:pPr>
        <w:spacing w:after="0" w:line="229" w:lineRule="exact"/>
        <w:rPr>
          <w:sz w:val="20"/>
          <w:szCs w:val="20"/>
          <w:color w:val="auto"/>
        </w:rPr>
      </w:pPr>
    </w:p>
    <w:p>
      <w:pPr>
        <w:ind w:left="200" w:right="299"/>
        <w:spacing w:after="0" w:line="263" w:lineRule="auto"/>
        <w:rPr>
          <w:sz w:val="20"/>
          <w:szCs w:val="20"/>
          <w:color w:val="auto"/>
        </w:rPr>
      </w:pPr>
      <w:r>
        <w:rPr>
          <w:rFonts w:ascii="Arial" w:cs="Arial" w:eastAsia="Arial" w:hAnsi="Arial"/>
          <w:sz w:val="18"/>
          <w:szCs w:val="18"/>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left="200" w:right="559"/>
        <w:spacing w:after="0" w:line="263" w:lineRule="auto"/>
        <w:rPr>
          <w:sz w:val="20"/>
          <w:szCs w:val="20"/>
          <w:color w:val="auto"/>
        </w:rPr>
      </w:pPr>
      <w:r>
        <w:rPr>
          <w:rFonts w:ascii="Arial" w:cs="Arial" w:eastAsia="Arial" w:hAnsi="Arial"/>
          <w:sz w:val="18"/>
          <w:szCs w:val="18"/>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Listing</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is listed on the Nasdaq Global Market under the symbol “AXSM.”</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165" w:name="page166"/>
    <w:bookmarkEnd w:id="165"/>
    <w:p>
      <w:pPr>
        <w:ind w:left="2940"/>
        <w:spacing w:after="0"/>
        <w:rPr>
          <w:sz w:val="20"/>
          <w:szCs w:val="20"/>
          <w:color w:val="auto"/>
        </w:rPr>
      </w:pPr>
      <w:r>
        <w:rPr>
          <w:rFonts w:ascii="Arial" w:cs="Arial" w:eastAsia="Arial" w:hAnsi="Arial"/>
          <w:sz w:val="18"/>
          <w:szCs w:val="18"/>
          <w:color w:val="auto"/>
        </w:rPr>
        <w:t>DESCRIPTION OF PREFERRED STOCK</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Certificate of Incorporation authorizes the issuance of up to 10,000,000 shares of preferred stock, par value</w:t>
      </w:r>
    </w:p>
    <w:p>
      <w:pPr>
        <w:spacing w:after="0" w:line="35" w:lineRule="exact"/>
        <w:rPr>
          <w:sz w:val="20"/>
          <w:szCs w:val="20"/>
          <w:color w:val="auto"/>
        </w:rPr>
      </w:pPr>
    </w:p>
    <w:p>
      <w:pPr>
        <w:ind w:left="200" w:right="259"/>
        <w:spacing w:after="0" w:line="269" w:lineRule="auto"/>
        <w:rPr>
          <w:sz w:val="20"/>
          <w:szCs w:val="20"/>
          <w:color w:val="auto"/>
        </w:rPr>
      </w:pPr>
      <w:r>
        <w:rPr>
          <w:rFonts w:ascii="Arial" w:cs="Arial" w:eastAsia="Arial" w:hAnsi="Arial"/>
          <w:sz w:val="17"/>
          <w:szCs w:val="17"/>
          <w:color w:val="auto"/>
        </w:rPr>
        <w:t>$0.0001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80" w:lineRule="exact"/>
        <w:rPr>
          <w:sz w:val="20"/>
          <w:szCs w:val="20"/>
          <w:color w:val="auto"/>
        </w:rPr>
      </w:pPr>
    </w:p>
    <w:p>
      <w:pPr>
        <w:ind w:left="200" w:right="359"/>
        <w:spacing w:after="0" w:line="263" w:lineRule="auto"/>
        <w:rPr>
          <w:sz w:val="20"/>
          <w:szCs w:val="20"/>
          <w:color w:val="auto"/>
        </w:rPr>
      </w:pPr>
      <w:r>
        <w:rPr>
          <w:rFonts w:ascii="Arial" w:cs="Arial" w:eastAsia="Arial" w:hAnsi="Arial"/>
          <w:sz w:val="18"/>
          <w:szCs w:val="18"/>
          <w:color w:val="auto"/>
        </w:rPr>
        <w:t>The issuance of any preferred stock could adversely affect the rights of the holders of common stock and, therefore, reduce the value of the common stock. The ability of our board of directors to issue preferred stock could discourage, delay or prevent a takeover or change in control.</w:t>
      </w:r>
    </w:p>
    <w:p>
      <w:pPr>
        <w:spacing w:after="0" w:line="184" w:lineRule="exact"/>
        <w:rPr>
          <w:sz w:val="20"/>
          <w:szCs w:val="20"/>
          <w:color w:val="auto"/>
        </w:rPr>
      </w:pPr>
    </w:p>
    <w:p>
      <w:pPr>
        <w:ind w:left="200" w:right="299"/>
        <w:spacing w:after="0" w:line="259" w:lineRule="auto"/>
        <w:rPr>
          <w:sz w:val="20"/>
          <w:szCs w:val="20"/>
          <w:color w:val="auto"/>
        </w:rPr>
      </w:pPr>
      <w:r>
        <w:rPr>
          <w:rFonts w:ascii="Arial" w:cs="Arial" w:eastAsia="Arial" w:hAnsi="Arial"/>
          <w:sz w:val="18"/>
          <w:szCs w:val="18"/>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187" w:lineRule="exact"/>
        <w:rPr>
          <w:sz w:val="20"/>
          <w:szCs w:val="20"/>
          <w:color w:val="auto"/>
        </w:rPr>
      </w:pPr>
    </w:p>
    <w:p>
      <w:pPr>
        <w:ind w:left="200" w:right="559"/>
        <w:spacing w:after="0" w:line="277" w:lineRule="auto"/>
        <w:rPr>
          <w:sz w:val="20"/>
          <w:szCs w:val="20"/>
          <w:color w:val="auto"/>
        </w:rPr>
      </w:pPr>
      <w:r>
        <w:rPr>
          <w:rFonts w:ascii="Arial" w:cs="Arial" w:eastAsia="Arial" w:hAnsi="Arial"/>
          <w:sz w:val="18"/>
          <w:szCs w:val="18"/>
          <w:color w:val="auto"/>
        </w:rPr>
        <w:t>The terms of any particular series of preferred stock will be described in the prospectus supplement relating to that particular series of preferred stock, including, where applicable:</w:t>
      </w:r>
    </w:p>
    <w:p>
      <w:pPr>
        <w:spacing w:after="0" w:line="170" w:lineRule="exact"/>
        <w:rPr>
          <w:sz w:val="20"/>
          <w:szCs w:val="20"/>
          <w:color w:val="auto"/>
        </w:rPr>
      </w:pPr>
    </w:p>
    <w:p>
      <w:pPr>
        <w:ind w:left="860" w:right="679" w:hanging="327"/>
        <w:spacing w:after="0" w:line="258"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series designation, stated value and liquidation preference of such preferred stock and the number of shares offered;</w:t>
      </w:r>
    </w:p>
    <w:p>
      <w:pPr>
        <w:spacing w:after="0" w:line="1" w:lineRule="exact"/>
        <w:rPr>
          <w:rFonts w:ascii="Arial" w:cs="Arial" w:eastAsia="Arial" w:hAnsi="Arial"/>
          <w:sz w:val="18"/>
          <w:szCs w:val="18"/>
          <w:color w:val="auto"/>
        </w:rPr>
      </w:pPr>
    </w:p>
    <w:p>
      <w:pPr>
        <w:ind w:left="860" w:hanging="327"/>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9" w:lineRule="exact"/>
        <w:rPr>
          <w:rFonts w:ascii="Arial" w:cs="Arial" w:eastAsia="Arial" w:hAnsi="Arial"/>
          <w:sz w:val="18"/>
          <w:szCs w:val="18"/>
          <w:color w:val="auto"/>
        </w:rPr>
      </w:pPr>
    </w:p>
    <w:p>
      <w:pPr>
        <w:ind w:left="860" w:right="299" w:hanging="327"/>
        <w:spacing w:after="0" w:line="250"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1" w:lineRule="exact"/>
        <w:rPr>
          <w:rFonts w:ascii="Arial" w:cs="Arial" w:eastAsia="Arial" w:hAnsi="Arial"/>
          <w:sz w:val="18"/>
          <w:szCs w:val="18"/>
          <w:color w:val="auto"/>
        </w:rPr>
      </w:pPr>
    </w:p>
    <w:p>
      <w:pPr>
        <w:ind w:left="860" w:hanging="327"/>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9" w:lineRule="exact"/>
        <w:rPr>
          <w:rFonts w:ascii="Arial" w:cs="Arial" w:eastAsia="Arial" w:hAnsi="Arial"/>
          <w:sz w:val="18"/>
          <w:szCs w:val="18"/>
          <w:color w:val="auto"/>
        </w:rPr>
      </w:pPr>
    </w:p>
    <w:p>
      <w:pPr>
        <w:ind w:left="860" w:right="319" w:hanging="327"/>
        <w:spacing w:after="0" w:line="250"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that shares of such series shall be entitled to receive in the event of our liquidation, dissolution or winding-up;</w:t>
      </w:r>
    </w:p>
    <w:p>
      <w:pPr>
        <w:ind w:left="860" w:right="699" w:hanging="327"/>
        <w:spacing w:after="0" w:line="281" w:lineRule="auto"/>
        <w:tabs>
          <w:tab w:leader="none" w:pos="8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terms and conditions, if any, on which shares of such series shall be convertible or exchangeable for shares of our stock of any other class or classes, or other series of the same class;</w:t>
      </w:r>
    </w:p>
    <w:p>
      <w:pPr>
        <w:spacing w:after="0" w:line="1" w:lineRule="exact"/>
        <w:rPr>
          <w:rFonts w:ascii="Arial" w:cs="Arial" w:eastAsia="Arial" w:hAnsi="Arial"/>
          <w:sz w:val="16"/>
          <w:szCs w:val="16"/>
          <w:color w:val="auto"/>
        </w:rPr>
      </w:pPr>
    </w:p>
    <w:p>
      <w:pPr>
        <w:ind w:left="860" w:right="1419" w:hanging="327"/>
        <w:spacing w:after="0" w:line="250"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he voting rights, if any, of shares of such series in addition to those set forth under the caption entitled, “Voting Rights” below;</w:t>
      </w:r>
    </w:p>
    <w:p>
      <w:pPr>
        <w:ind w:left="860" w:right="539" w:hanging="327"/>
        <w:spacing w:after="0" w:line="250"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status as to reissuance or sale of shares of such series redeemed, purchased or otherwise reacquired, or surrendered to us on conversion or exchange;</w:t>
      </w:r>
    </w:p>
    <w:p>
      <w:pPr>
        <w:ind w:left="860" w:right="239" w:hanging="327"/>
        <w:spacing w:after="0" w:line="265" w:lineRule="auto"/>
        <w:tabs>
          <w:tab w:leader="none" w:pos="8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ind w:left="860" w:right="799" w:hanging="327"/>
        <w:spacing w:after="0" w:line="250"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1" w:lineRule="exact"/>
        <w:rPr>
          <w:rFonts w:ascii="Arial" w:cs="Arial" w:eastAsia="Arial" w:hAnsi="Arial"/>
          <w:sz w:val="18"/>
          <w:szCs w:val="18"/>
          <w:color w:val="auto"/>
        </w:rPr>
      </w:pPr>
    </w:p>
    <w:p>
      <w:pPr>
        <w:ind w:left="860" w:right="579" w:hanging="327"/>
        <w:spacing w:after="0" w:line="260" w:lineRule="auto"/>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or retirement fund and other rights, preferences, privileges, limitations and restrictions of such preferred stock.</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200" w:right="479"/>
        <w:spacing w:after="0" w:line="259" w:lineRule="auto"/>
        <w:rPr>
          <w:sz w:val="20"/>
          <w:szCs w:val="20"/>
          <w:color w:val="auto"/>
        </w:rPr>
      </w:pPr>
      <w:r>
        <w:rPr>
          <w:rFonts w:ascii="Arial" w:cs="Arial" w:eastAsia="Arial" w:hAnsi="Arial"/>
          <w:sz w:val="18"/>
          <w:szCs w:val="18"/>
          <w:color w:val="auto"/>
        </w:rPr>
        <w:t>The General Corporation Law of Delaware, or 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333375</wp:posOffset>
            </wp:positionV>
            <wp:extent cx="545211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6" w:name="page167"/>
    <w:bookmarkEnd w:id="166"/>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200" w:right="979"/>
        <w:spacing w:after="0" w:line="277" w:lineRule="auto"/>
        <w:rPr>
          <w:sz w:val="20"/>
          <w:szCs w:val="20"/>
          <w:color w:val="auto"/>
        </w:rPr>
      </w:pPr>
      <w:r>
        <w:rPr>
          <w:rFonts w:ascii="Arial" w:cs="Arial" w:eastAsia="Arial" w:hAnsi="Arial"/>
          <w:sz w:val="18"/>
          <w:szCs w:val="18"/>
          <w:color w:val="auto"/>
        </w:rPr>
        <w:t>The transfer agent and registrar for any series of preferred stock will be set forth in the applicable prospectus supplement.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left="200" w:right="479"/>
        <w:spacing w:after="0" w:line="259" w:lineRule="auto"/>
        <w:rPr>
          <w:sz w:val="20"/>
          <w:szCs w:val="20"/>
          <w:color w:val="auto"/>
        </w:rPr>
      </w:pPr>
      <w:r>
        <w:rPr>
          <w:rFonts w:ascii="Arial" w:cs="Arial" w:eastAsia="Arial" w:hAnsi="Arial"/>
          <w:sz w:val="18"/>
          <w:szCs w:val="18"/>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Delaware Law and Certain Certificate of Incorporation and Bylaws Provisions</w:t>
      </w:r>
    </w:p>
    <w:p>
      <w:pPr>
        <w:spacing w:after="0" w:line="225" w:lineRule="exact"/>
        <w:rPr>
          <w:sz w:val="20"/>
          <w:szCs w:val="20"/>
          <w:color w:val="auto"/>
        </w:rPr>
      </w:pPr>
    </w:p>
    <w:p>
      <w:pPr>
        <w:ind w:left="200" w:right="359"/>
        <w:spacing w:after="0" w:line="263"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w:t>
      </w:r>
    </w:p>
    <w:p>
      <w:pPr>
        <w:spacing w:after="0" w:line="184" w:lineRule="exact"/>
        <w:rPr>
          <w:sz w:val="20"/>
          <w:szCs w:val="20"/>
          <w:color w:val="auto"/>
        </w:rPr>
      </w:pPr>
    </w:p>
    <w:p>
      <w:pPr>
        <w:ind w:left="860" w:right="439" w:hanging="327"/>
        <w:spacing w:after="0" w:line="258" w:lineRule="auto"/>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w:t>
      </w:r>
    </w:p>
    <w:p>
      <w:pPr>
        <w:spacing w:after="0" w:line="1" w:lineRule="exact"/>
        <w:rPr>
          <w:rFonts w:ascii="Arial" w:cs="Arial" w:eastAsia="Arial" w:hAnsi="Arial"/>
          <w:sz w:val="18"/>
          <w:szCs w:val="18"/>
          <w:color w:val="auto"/>
        </w:rPr>
      </w:pPr>
    </w:p>
    <w:p>
      <w:pPr>
        <w:ind w:left="860" w:hanging="327"/>
        <w:spacing w:after="0"/>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for a classified board of directors, with each director serving a staggered three-year term;</w:t>
      </w:r>
    </w:p>
    <w:p>
      <w:pPr>
        <w:spacing w:after="0" w:line="9" w:lineRule="exact"/>
        <w:rPr>
          <w:rFonts w:ascii="Arial" w:cs="Arial" w:eastAsia="Arial" w:hAnsi="Arial"/>
          <w:sz w:val="18"/>
          <w:szCs w:val="18"/>
          <w:color w:val="auto"/>
        </w:rPr>
      </w:pPr>
    </w:p>
    <w:p>
      <w:pPr>
        <w:ind w:left="860" w:right="379" w:hanging="327"/>
        <w:spacing w:after="0" w:line="250" w:lineRule="auto"/>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calling special stockholder meetings or taking action by written consent;</w:t>
      </w:r>
    </w:p>
    <w:p>
      <w:pPr>
        <w:ind w:left="860" w:right="239" w:hanging="327"/>
        <w:spacing w:after="0" w:line="250" w:lineRule="auto"/>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by the affirmative vote of the holders of 66 2/3 % or more of the shares then entitled to vote at an election of our directors;</w:t>
      </w:r>
    </w:p>
    <w:p>
      <w:pPr>
        <w:ind w:left="860" w:hanging="327"/>
        <w:spacing w:after="0"/>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 and</w:t>
      </w:r>
    </w:p>
    <w:p>
      <w:pPr>
        <w:spacing w:after="0" w:line="9" w:lineRule="exact"/>
        <w:rPr>
          <w:rFonts w:ascii="Arial" w:cs="Arial" w:eastAsia="Arial" w:hAnsi="Arial"/>
          <w:sz w:val="18"/>
          <w:szCs w:val="18"/>
          <w:color w:val="auto"/>
        </w:rPr>
      </w:pPr>
    </w:p>
    <w:p>
      <w:pPr>
        <w:ind w:left="860" w:right="679" w:hanging="327"/>
        <w:spacing w:after="0" w:line="260" w:lineRule="auto"/>
        <w:tabs>
          <w:tab w:leader="none" w:pos="8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any action instituted against our officers or directors in connection with their service to us to be brought in the state of Delaware.</w:t>
      </w:r>
    </w:p>
    <w:p>
      <w:pPr>
        <w:spacing w:after="0" w:line="185" w:lineRule="exact"/>
        <w:rPr>
          <w:sz w:val="20"/>
          <w:szCs w:val="20"/>
          <w:color w:val="auto"/>
        </w:rPr>
      </w:pPr>
    </w:p>
    <w:p>
      <w:pPr>
        <w:ind w:left="200" w:right="279"/>
        <w:spacing w:after="0" w:line="271" w:lineRule="auto"/>
        <w:rPr>
          <w:sz w:val="20"/>
          <w:szCs w:val="20"/>
          <w:color w:val="auto"/>
        </w:rPr>
      </w:pPr>
      <w:r>
        <w:rPr>
          <w:rFonts w:ascii="Arial" w:cs="Arial" w:eastAsia="Arial" w:hAnsi="Arial"/>
          <w:sz w:val="17"/>
          <w:szCs w:val="17"/>
          <w:color w:val="auto"/>
        </w:rPr>
        <w:t>In addition, we are subject to the provisions of Section 203 of the DGCL, which may prohibit certain business combinations with stockholders owning 15% or more of our outstanding voting stock. These and other provisions in our Certificate of Incorporation, Bylaws and the DGCL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spacing w:after="0" w:line="300" w:lineRule="exact"/>
        <w:rPr>
          <w:sz w:val="20"/>
          <w:szCs w:val="20"/>
          <w:color w:val="auto"/>
        </w:rPr>
      </w:pPr>
    </w:p>
    <w:p>
      <w:pPr>
        <w:ind w:left="200" w:right="399"/>
        <w:spacing w:after="0" w:line="272" w:lineRule="auto"/>
        <w:rPr>
          <w:sz w:val="20"/>
          <w:szCs w:val="20"/>
          <w:color w:val="auto"/>
        </w:rPr>
      </w:pPr>
      <w:r>
        <w:rPr>
          <w:rFonts w:ascii="Arial" w:cs="Arial" w:eastAsia="Arial" w:hAnsi="Arial"/>
          <w:sz w:val="17"/>
          <w:szCs w:val="17"/>
          <w:color w:val="auto"/>
        </w:rPr>
        <w:t>Further, our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agents to our company or our stockholders, (3) any action asserting a claim arising pursuant to any provision of the DGCL, or (4) any action asserting a claim governed by the internal affairs doctrine, in each such case subject to such Court of Chancery having personal jurisdiction over the indispensable parties named as defendants therein.</w:t>
      </w:r>
    </w:p>
    <w:p>
      <w:pPr>
        <w:spacing w:after="0" w:line="177" w:lineRule="exact"/>
        <w:rPr>
          <w:sz w:val="20"/>
          <w:szCs w:val="20"/>
          <w:color w:val="auto"/>
        </w:rPr>
      </w:pPr>
    </w:p>
    <w:p>
      <w:pPr>
        <w:ind w:left="200" w:right="279"/>
        <w:spacing w:after="0" w:line="271"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of 1933, as amended (the “Securities Act”) or the Exchange Act. Section 27 of the Exchange Act creates exclusive federal jurisdiction over all suits brought to enforce any duty or liability created by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7" w:name="page168"/>
    <w:bookmarkEnd w:id="167"/>
    <w:p>
      <w:pPr>
        <w:ind w:left="200" w:right="239"/>
        <w:spacing w:after="0" w:line="270" w:lineRule="auto"/>
        <w:rPr>
          <w:sz w:val="20"/>
          <w:szCs w:val="20"/>
          <w:color w:val="auto"/>
        </w:rPr>
      </w:pPr>
      <w:r>
        <w:rPr>
          <w:rFonts w:ascii="Arial" w:cs="Arial" w:eastAsia="Arial" w:hAnsi="Arial"/>
          <w:sz w:val="17"/>
          <w:szCs w:val="17"/>
          <w:color w:val="auto"/>
        </w:rPr>
        <w:t>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200" w:right="219"/>
        <w:spacing w:after="0" w:line="253" w:lineRule="auto"/>
        <w:rPr>
          <w:sz w:val="20"/>
          <w:szCs w:val="20"/>
          <w:color w:val="auto"/>
        </w:rPr>
      </w:pPr>
      <w:r>
        <w:rPr>
          <w:rFonts w:ascii="Arial" w:cs="Arial" w:eastAsia="Arial" w:hAnsi="Arial"/>
          <w:sz w:val="18"/>
          <w:szCs w:val="18"/>
          <w:color w:val="auto"/>
        </w:rPr>
        <w:t>Our Certificate of Incorporation contains provisions permitted under the DGCL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certificate of incorporation contains provisions to indemnify our directors and officers to the fullest extent permitted by the DGCL. These provisions do not limit or eliminate our right 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466725</wp:posOffset>
            </wp:positionV>
            <wp:extent cx="545211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8" w:name="page169"/>
    <w:bookmarkEnd w:id="168"/>
    <w:p>
      <w:pPr>
        <w:jc w:val="right"/>
        <w:ind w:right="219"/>
        <w:spacing w:after="0"/>
        <w:rPr>
          <w:sz w:val="20"/>
          <w:szCs w:val="20"/>
          <w:color w:val="auto"/>
        </w:rPr>
      </w:pPr>
      <w:r>
        <w:rPr>
          <w:rFonts w:ascii="Arial" w:cs="Arial" w:eastAsia="Arial" w:hAnsi="Arial"/>
          <w:sz w:val="18"/>
          <w:szCs w:val="18"/>
          <w:b w:val="1"/>
          <w:bCs w:val="1"/>
          <w:color w:val="auto"/>
        </w:rPr>
        <w:t>Exhibit 10.15</w:t>
      </w:r>
    </w:p>
    <w:p>
      <w:pPr>
        <w:spacing w:after="0" w:line="289" w:lineRule="exact"/>
        <w:rPr>
          <w:sz w:val="20"/>
          <w:szCs w:val="20"/>
          <w:color w:val="auto"/>
        </w:rPr>
      </w:pPr>
    </w:p>
    <w:p>
      <w:pPr>
        <w:ind w:left="200" w:right="239"/>
        <w:spacing w:after="0" w:line="223" w:lineRule="auto"/>
        <w:rPr>
          <w:sz w:val="20"/>
          <w:szCs w:val="20"/>
          <w:color w:val="auto"/>
        </w:rPr>
      </w:pPr>
      <w:r>
        <w:rPr>
          <w:rFonts w:ascii="Arial" w:cs="Arial" w:eastAsia="Arial" w:hAnsi="Arial"/>
          <w:sz w:val="22"/>
          <w:szCs w:val="22"/>
          <w:i w:val="1"/>
          <w:iCs w:val="1"/>
          <w:u w:val="single" w:color="auto"/>
          <w:color w:val="auto"/>
        </w:rPr>
        <w:t>Portions of this Exhibit have been redacted because they are both (i) not material and (ii) would be competitively harmful if publicly disclosed. Information that was omitted has been noted in this document with a placeholder identified by the mark “[***]”.</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LICENSE AGREEMENT</w:t>
      </w:r>
    </w:p>
    <w:p>
      <w:pPr>
        <w:spacing w:after="0" w:line="287" w:lineRule="exact"/>
        <w:rPr>
          <w:sz w:val="20"/>
          <w:szCs w:val="20"/>
          <w:color w:val="auto"/>
        </w:rPr>
      </w:pPr>
    </w:p>
    <w:p>
      <w:pPr>
        <w:jc w:val="both"/>
        <w:ind w:left="200" w:right="219"/>
        <w:spacing w:after="0" w:line="212" w:lineRule="auto"/>
        <w:rPr>
          <w:sz w:val="20"/>
          <w:szCs w:val="20"/>
          <w:color w:val="auto"/>
        </w:rPr>
      </w:pPr>
      <w:r>
        <w:rPr>
          <w:rFonts w:ascii="Arial" w:cs="Arial" w:eastAsia="Arial" w:hAnsi="Arial"/>
          <w:sz w:val="22"/>
          <w:szCs w:val="22"/>
          <w:color w:val="auto"/>
        </w:rPr>
        <w:t>THIS LICENSE AGREEMENT (this “AGREEMENT”) is made effective as of the 10th of January 2020 (the “EFFECTIVE DATE”), by and among Axsome Therapeutics, Inc., a corporation organized and existing under the laws of Delaware with offices at 200 Broadway, 3rd Floor, New York, NY 10038 (“AXSOME”) and Pfizer Inc., a corporation organized and existing under the laws of Delaware with offices at 235 East 42</w:t>
      </w:r>
      <w:r>
        <w:rPr>
          <w:rFonts w:ascii="Arial" w:cs="Arial" w:eastAsia="Arial" w:hAnsi="Arial"/>
          <w:sz w:val="10"/>
          <w:szCs w:val="10"/>
          <w:color w:val="auto"/>
        </w:rPr>
        <w:t>nd</w:t>
      </w:r>
      <w:r>
        <w:rPr>
          <w:rFonts w:ascii="Arial" w:cs="Arial" w:eastAsia="Arial" w:hAnsi="Arial"/>
          <w:sz w:val="22"/>
          <w:szCs w:val="22"/>
          <w:color w:val="auto"/>
        </w:rPr>
        <w:t xml:space="preserve"> Street, New York, NY 10017 (“PFIZER”). AXSOME and PFIZER may, from time-to-time, be individually referred to as a “PARTY” and collectively referred to as the “PARTIES”.</w:t>
      </w:r>
    </w:p>
    <w:p>
      <w:pPr>
        <w:spacing w:after="0" w:line="164" w:lineRule="exact"/>
        <w:rPr>
          <w:sz w:val="20"/>
          <w:szCs w:val="20"/>
          <w:color w:val="auto"/>
        </w:rPr>
      </w:pPr>
    </w:p>
    <w:p>
      <w:pPr>
        <w:jc w:val="both"/>
        <w:ind w:left="200" w:right="239"/>
        <w:spacing w:after="0" w:line="223" w:lineRule="auto"/>
        <w:rPr>
          <w:sz w:val="20"/>
          <w:szCs w:val="20"/>
          <w:color w:val="auto"/>
        </w:rPr>
      </w:pPr>
      <w:r>
        <w:rPr>
          <w:rFonts w:ascii="Arial" w:cs="Arial" w:eastAsia="Arial" w:hAnsi="Arial"/>
          <w:sz w:val="22"/>
          <w:szCs w:val="22"/>
          <w:color w:val="auto"/>
        </w:rPr>
        <w:t>WHEREAS, AXSOME wishes to receive and PFIZER wishes to grant certain licenses to certain rights to intellectual property related to the compound reboxetine and its enantiomeric form, esreboxetine on the terms and conditions set forth herein; and</w:t>
      </w:r>
    </w:p>
    <w:p>
      <w:pPr>
        <w:spacing w:after="0" w:line="159" w:lineRule="exact"/>
        <w:rPr>
          <w:sz w:val="20"/>
          <w:szCs w:val="20"/>
          <w:color w:val="auto"/>
        </w:rPr>
      </w:pPr>
    </w:p>
    <w:p>
      <w:pPr>
        <w:jc w:val="both"/>
        <w:ind w:left="200" w:right="219"/>
        <w:spacing w:after="0" w:line="223" w:lineRule="auto"/>
        <w:rPr>
          <w:sz w:val="20"/>
          <w:szCs w:val="20"/>
          <w:color w:val="auto"/>
        </w:rPr>
      </w:pPr>
      <w:r>
        <w:rPr>
          <w:rFonts w:ascii="Arial" w:cs="Arial" w:eastAsia="Arial" w:hAnsi="Arial"/>
          <w:sz w:val="22"/>
          <w:szCs w:val="22"/>
          <w:color w:val="auto"/>
        </w:rPr>
        <w:t>NOW, THEREFORE, in consideration of the mutual agreements and covenants set forth herein and other good and valuable consideration, the receipt and sufficiency of which the PARTIES hereby acknowledge, the PARTIES hereby agree as follows:</w:t>
      </w:r>
    </w:p>
    <w:p>
      <w:pPr>
        <w:spacing w:after="0" w:line="159" w:lineRule="exact"/>
        <w:rPr>
          <w:sz w:val="20"/>
          <w:szCs w:val="20"/>
          <w:color w:val="auto"/>
        </w:rPr>
      </w:pPr>
    </w:p>
    <w:p>
      <w:pPr>
        <w:jc w:val="both"/>
        <w:ind w:left="860" w:right="219" w:hanging="651"/>
        <w:spacing w:after="0" w:line="243" w:lineRule="auto"/>
        <w:tabs>
          <w:tab w:leader="none" w:pos="92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Definitions; Interpretation</w:t>
      </w:r>
      <w:r>
        <w:rPr>
          <w:rFonts w:ascii="Arial" w:cs="Arial" w:eastAsia="Arial" w:hAnsi="Arial"/>
          <w:sz w:val="19"/>
          <w:szCs w:val="19"/>
          <w:color w:val="auto"/>
        </w:rPr>
        <w:t>. Except where the context expressly requires otherwise, (a) the use of any gender herein shall be deemed to encompass references to either or both genders, and the use of the singular shall be deemed to include the plural (and vice versa),</w:t>
      </w:r>
    </w:p>
    <w:p>
      <w:pPr>
        <w:spacing w:after="0" w:line="2" w:lineRule="exact"/>
        <w:rPr>
          <w:rFonts w:ascii="Arial" w:cs="Arial" w:eastAsia="Arial" w:hAnsi="Arial"/>
          <w:sz w:val="19"/>
          <w:szCs w:val="19"/>
          <w:color w:val="auto"/>
        </w:rPr>
      </w:pPr>
    </w:p>
    <w:p>
      <w:pPr>
        <w:jc w:val="both"/>
        <w:ind w:left="860" w:right="219"/>
        <w:spacing w:after="0" w:line="239" w:lineRule="auto"/>
        <w:rPr>
          <w:rFonts w:ascii="Arial" w:cs="Arial" w:eastAsia="Arial" w:hAnsi="Arial"/>
          <w:sz w:val="19"/>
          <w:szCs w:val="19"/>
          <w:color w:val="auto"/>
        </w:rPr>
      </w:pPr>
      <w:r>
        <w:rPr>
          <w:rFonts w:ascii="Arial" w:cs="Arial" w:eastAsia="Arial" w:hAnsi="Arial"/>
          <w:sz w:val="19"/>
          <w:szCs w:val="19"/>
          <w:color w:val="auto"/>
        </w:rPr>
        <w:t>(b)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all references herein to Sections, Exhibits or Schedules shall be construed to refer to Sections, Exhibits or Schedules of this AGREEMENT, and references to this AGREEMENT include all Exhibits and Schedules hereto, (h) the word "notice" means notice in writing (whether or not specifically stated) and shall include notices, consents, approvals and other written communications contemplated under this AGREEMENT, (i) provisions that require that a PARTIES, the PARTIES or any committee hereunder "agree", "consent" or "approve" or the like shall require that such agreement, consent or approval be specific and in writing, whether by written agreement, letter, approved minutes or otherwise (but excluding e-mail and instant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9" w:name="page170"/>
    <w:bookmarkEnd w:id="169"/>
    <w:p>
      <w:pPr>
        <w:jc w:val="both"/>
        <w:ind w:left="860" w:right="219"/>
        <w:spacing w:after="0" w:line="226" w:lineRule="auto"/>
        <w:rPr>
          <w:sz w:val="20"/>
          <w:szCs w:val="20"/>
          <w:color w:val="auto"/>
        </w:rPr>
      </w:pPr>
      <w:r>
        <w:rPr>
          <w:rFonts w:ascii="Arial" w:cs="Arial" w:eastAsia="Arial" w:hAnsi="Arial"/>
          <w:sz w:val="21"/>
          <w:szCs w:val="21"/>
          <w:color w:val="auto"/>
        </w:rPr>
        <w:t>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"and/or". The following definitions shall have the meanings set forth below:</w:t>
      </w:r>
    </w:p>
    <w:p>
      <w:pPr>
        <w:spacing w:after="0" w:line="51" w:lineRule="exact"/>
        <w:rPr>
          <w:sz w:val="20"/>
          <w:szCs w:val="20"/>
          <w:color w:val="auto"/>
        </w:rPr>
      </w:pPr>
    </w:p>
    <w:p>
      <w:pPr>
        <w:jc w:val="both"/>
        <w:ind w:left="860" w:right="219"/>
        <w:spacing w:after="0" w:line="241" w:lineRule="auto"/>
        <w:rPr>
          <w:sz w:val="20"/>
          <w:szCs w:val="20"/>
          <w:color w:val="auto"/>
        </w:rPr>
      </w:pPr>
      <w:r>
        <w:rPr>
          <w:rFonts w:ascii="Arial" w:cs="Arial" w:eastAsia="Arial" w:hAnsi="Arial"/>
          <w:sz w:val="19"/>
          <w:szCs w:val="19"/>
          <w:color w:val="auto"/>
        </w:rPr>
        <w:t>1.1 “AFFILIATE” means, with respect to a PARTY, any PERSON that controls, is controlled by, or is under common control with that PARTY. For the purpose of this definition only, “control” shall mean: (a) the possession, directly or indirectly, of the power to direct or cause the direction of the management or policies of an entity, whether through the ownership of voting securities or other ownership interest, by contract or otherwise, or</w:t>
      </w:r>
    </w:p>
    <w:p>
      <w:pPr>
        <w:spacing w:after="0" w:line="1" w:lineRule="exact"/>
        <w:rPr>
          <w:sz w:val="20"/>
          <w:szCs w:val="20"/>
          <w:color w:val="auto"/>
        </w:rPr>
      </w:pPr>
    </w:p>
    <w:p>
      <w:pPr>
        <w:ind w:left="860" w:right="219" w:hanging="3"/>
        <w:spacing w:after="0" w:line="224" w:lineRule="auto"/>
        <w:tabs>
          <w:tab w:leader="none" w:pos="1213"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ownership, directly or indirectly, of fifty percent (50%) or more of the voting securities or other ownership interest of such entity.</w:t>
      </w:r>
    </w:p>
    <w:p>
      <w:pPr>
        <w:spacing w:after="0" w:line="50"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“AGREEMENT” has the meaning set forth in the PREAMBLE.</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“API” means an active pharmaceutical ingredient.</w:t>
      </w:r>
    </w:p>
    <w:p>
      <w:pPr>
        <w:spacing w:after="0" w:line="71" w:lineRule="exact"/>
        <w:rPr>
          <w:sz w:val="20"/>
          <w:szCs w:val="20"/>
          <w:color w:val="auto"/>
        </w:rPr>
      </w:pPr>
    </w:p>
    <w:p>
      <w:pPr>
        <w:jc w:val="both"/>
        <w:ind w:left="860" w:right="219"/>
        <w:spacing w:after="0" w:line="247" w:lineRule="auto"/>
        <w:rPr>
          <w:sz w:val="20"/>
          <w:szCs w:val="20"/>
          <w:color w:val="auto"/>
        </w:rPr>
      </w:pPr>
      <w:r>
        <w:rPr>
          <w:rFonts w:ascii="Arial" w:cs="Arial" w:eastAsia="Arial" w:hAnsi="Arial"/>
          <w:sz w:val="21"/>
          <w:szCs w:val="21"/>
          <w:color w:val="auto"/>
        </w:rPr>
        <w:t>1.4 “APPLICABLE LAW” means any applicable law, statute, rule, regulation, order, judgment or ordinance of, if applicable, any GOVERNMENTAL AUTHORITY.</w:t>
      </w:r>
    </w:p>
    <w:p>
      <w:pPr>
        <w:spacing w:after="0" w:line="43"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“AXSOME INDEMNITEES” has the meaning set forth in Section 12.2.</w:t>
      </w:r>
    </w:p>
    <w:p>
      <w:pPr>
        <w:spacing w:after="0" w:line="71" w:lineRule="exact"/>
        <w:rPr>
          <w:sz w:val="20"/>
          <w:szCs w:val="20"/>
          <w:color w:val="auto"/>
        </w:rPr>
      </w:pPr>
    </w:p>
    <w:p>
      <w:pPr>
        <w:jc w:val="both"/>
        <w:ind w:left="860" w:right="219"/>
        <w:spacing w:after="0" w:line="247" w:lineRule="auto"/>
        <w:rPr>
          <w:sz w:val="20"/>
          <w:szCs w:val="20"/>
          <w:color w:val="auto"/>
        </w:rPr>
      </w:pPr>
      <w:r>
        <w:rPr>
          <w:rFonts w:ascii="Arial" w:cs="Arial" w:eastAsia="Arial" w:hAnsi="Arial"/>
          <w:sz w:val="21"/>
          <w:szCs w:val="21"/>
          <w:color w:val="auto"/>
        </w:rPr>
        <w:t>1.6 “BANKRUPTCY CODE” means the United States Bankruptcy Code, as amended or under any similar laws or statutes of the United States or any state thereof.</w:t>
      </w:r>
    </w:p>
    <w:p>
      <w:pPr>
        <w:spacing w:after="0" w:line="43" w:lineRule="exact"/>
        <w:rPr>
          <w:sz w:val="20"/>
          <w:szCs w:val="20"/>
          <w:color w:val="auto"/>
        </w:rPr>
      </w:pPr>
    </w:p>
    <w:p>
      <w:pPr>
        <w:jc w:val="both"/>
        <w:ind w:left="860" w:right="219"/>
        <w:spacing w:after="0" w:line="239" w:lineRule="auto"/>
        <w:rPr>
          <w:sz w:val="20"/>
          <w:szCs w:val="20"/>
          <w:color w:val="auto"/>
        </w:rPr>
      </w:pPr>
      <w:r>
        <w:rPr>
          <w:rFonts w:ascii="Arial" w:cs="Arial" w:eastAsia="Arial" w:hAnsi="Arial"/>
          <w:sz w:val="19"/>
          <w:szCs w:val="19"/>
          <w:color w:val="auto"/>
        </w:rPr>
        <w:t>1.7 “BANKRUPTCY EVENT” means the occurrence of any of the following: (a) the institution of any bankruptcy, receivership, insolvency, reorganization or other similar proceedings by or against a PARTY under any bankruptcy, insolvency, or other similar law now or hereinafter in effect, including any section or chapter of the BANKRUPTCY CODE, where in the case of involuntary proceedings such proceedings have not been dismissed or discharged within ninety (90) days after they are instituted, (b) the insolvency or making of an assignment for the benefit of creditors or the admittance by a PARTY of any involuntary debts as they mature, (c) the institution of any reorganization, arrangement or other readjustment of debt plan of a PARTY not involving the BANKRUPTCY CODE,</w:t>
      </w:r>
    </w:p>
    <w:p>
      <w:pPr>
        <w:spacing w:after="0" w:line="4" w:lineRule="exact"/>
        <w:rPr>
          <w:sz w:val="20"/>
          <w:szCs w:val="20"/>
          <w:color w:val="auto"/>
        </w:rPr>
      </w:pPr>
    </w:p>
    <w:p>
      <w:pPr>
        <w:ind w:left="4460" w:right="659" w:hanging="3603"/>
        <w:spacing w:after="0" w:line="413" w:lineRule="auto"/>
        <w:tabs>
          <w:tab w:leader="none" w:pos="1173" w:val="left"/>
        </w:tabs>
        <w:numPr>
          <w:ilvl w:val="0"/>
          <w:numId w:val="61"/>
        </w:numPr>
        <w:rPr>
          <w:rFonts w:ascii="Arial" w:cs="Arial" w:eastAsia="Arial" w:hAnsi="Arial"/>
          <w:sz w:val="22"/>
          <w:szCs w:val="22"/>
          <w:color w:val="auto"/>
        </w:rPr>
      </w:pPr>
      <w:r>
        <w:rPr>
          <w:rFonts w:ascii="Arial" w:cs="Arial" w:eastAsia="Arial" w:hAnsi="Arial"/>
          <w:sz w:val="22"/>
          <w:szCs w:val="22"/>
          <w:color w:val="auto"/>
        </w:rPr>
        <w:t>appointment of a receiver for all or substantially all of a PARTY’s assets, or (e) any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461010</wp:posOffset>
            </wp:positionV>
            <wp:extent cx="545211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70" w:name="page171"/>
    <w:bookmarkEnd w:id="170"/>
    <w:p>
      <w:pPr>
        <w:jc w:val="both"/>
        <w:ind w:left="860" w:right="239"/>
        <w:spacing w:after="0" w:line="232" w:lineRule="auto"/>
        <w:rPr>
          <w:sz w:val="20"/>
          <w:szCs w:val="20"/>
          <w:color w:val="auto"/>
        </w:rPr>
      </w:pPr>
      <w:r>
        <w:rPr>
          <w:rFonts w:ascii="Arial" w:cs="Arial" w:eastAsia="Arial" w:hAnsi="Arial"/>
          <w:sz w:val="22"/>
          <w:szCs w:val="22"/>
          <w:color w:val="auto"/>
        </w:rPr>
        <w:t>corporate action taken by the board of directors of a PARTY in furtherance of any of the foregoing actions.</w:t>
      </w:r>
    </w:p>
    <w:p>
      <w:pPr>
        <w:spacing w:after="0" w:line="51"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1.8 “BUSINESS DAY” means any day other than a Saturday, a Sunday or a day on which commercial banks located in New York, New York are authorized or required by APPLICABLE LAW to remain closed.</w:t>
      </w:r>
    </w:p>
    <w:p>
      <w:pPr>
        <w:spacing w:after="0" w:line="51"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1.9 “CALENDAR QUARTER” means any of the respective periods of three (3) consecutive calendar months ending on March 31, June 30, September 30 and December 31.</w:t>
      </w:r>
    </w:p>
    <w:p>
      <w:pPr>
        <w:spacing w:after="0" w:line="51" w:lineRule="exact"/>
        <w:rPr>
          <w:sz w:val="20"/>
          <w:szCs w:val="20"/>
          <w:color w:val="auto"/>
        </w:rPr>
      </w:pPr>
    </w:p>
    <w:p>
      <w:pPr>
        <w:jc w:val="both"/>
        <w:ind w:left="860" w:right="239"/>
        <w:spacing w:after="0" w:line="232" w:lineRule="auto"/>
        <w:rPr>
          <w:sz w:val="20"/>
          <w:szCs w:val="20"/>
          <w:color w:val="auto"/>
        </w:rPr>
      </w:pPr>
      <w:r>
        <w:rPr>
          <w:rFonts w:ascii="Arial" w:cs="Arial" w:eastAsia="Arial" w:hAnsi="Arial"/>
          <w:sz w:val="22"/>
          <w:szCs w:val="22"/>
          <w:color w:val="auto"/>
        </w:rPr>
        <w:t>1.10 “CALENDAR YEAR” means each calendar year from the first day of the month of January until the last day of the month of December.</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“CAP” has the meaning set forth in Section 13.2.</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“CDA” has the meaning set forth in Section 18.11.</w:t>
      </w:r>
    </w:p>
    <w:p>
      <w:pPr>
        <w:spacing w:after="0" w:line="71" w:lineRule="exact"/>
        <w:rPr>
          <w:sz w:val="20"/>
          <w:szCs w:val="20"/>
          <w:color w:val="auto"/>
        </w:rPr>
      </w:pPr>
    </w:p>
    <w:p>
      <w:pPr>
        <w:jc w:val="both"/>
        <w:ind w:left="860" w:right="219"/>
        <w:spacing w:after="0" w:line="218" w:lineRule="auto"/>
        <w:rPr>
          <w:sz w:val="20"/>
          <w:szCs w:val="20"/>
          <w:color w:val="auto"/>
        </w:rPr>
      </w:pPr>
      <w:r>
        <w:rPr>
          <w:rFonts w:ascii="Arial" w:cs="Arial" w:eastAsia="Arial" w:hAnsi="Arial"/>
          <w:sz w:val="22"/>
          <w:szCs w:val="22"/>
          <w:color w:val="auto"/>
        </w:rPr>
        <w:t>1.13 “CLAIM” means any demand, claim, action or proceeding (whether criminal or civil, in contract, tort or otherwise) for losses, damages (including for consequential damages, lost profits or punitive damages), liabilities, costs and expenses (including for attorneys’ fees).</w:t>
      </w:r>
    </w:p>
    <w:p>
      <w:pPr>
        <w:spacing w:after="0" w:line="53" w:lineRule="exact"/>
        <w:rPr>
          <w:sz w:val="20"/>
          <w:szCs w:val="20"/>
          <w:color w:val="auto"/>
        </w:rPr>
      </w:pPr>
    </w:p>
    <w:p>
      <w:pPr>
        <w:jc w:val="both"/>
        <w:ind w:left="860" w:right="219"/>
        <w:spacing w:after="0" w:line="220" w:lineRule="auto"/>
        <w:rPr>
          <w:sz w:val="20"/>
          <w:szCs w:val="20"/>
          <w:color w:val="auto"/>
        </w:rPr>
      </w:pPr>
      <w:r>
        <w:rPr>
          <w:rFonts w:ascii="Arial" w:cs="Arial" w:eastAsia="Arial" w:hAnsi="Arial"/>
          <w:sz w:val="21"/>
          <w:szCs w:val="21"/>
          <w:color w:val="auto"/>
        </w:rPr>
        <w:t>1.14 “CLINICAL TRIAL” means a human clinical study conducted on human subjects that is designed to (a) investigate whether or establish that a pharmaceutical product is reasonably safe for continued testing, (b) investigate the safety and efficacy of the pharmaceutical product for its intended use, and to define warnings, precautions and adverse reactions that may be associated with the pharmaceutical product in the dosage range to be prescribed or (c) support REGULATORY APPROVAL of such pharmaceutical product or label expansion of such pharmaceutical product. Without limiting the foregoing, CLINICAL TRIAL includes phase 1, phase 2 and phase 3 clinical investigations as such terms are defined in Section 312.21 of Title 21 of the Code of Federal Regulations in the United States of America.</w:t>
      </w:r>
    </w:p>
    <w:p>
      <w:pPr>
        <w:spacing w:after="0" w:line="54" w:lineRule="exact"/>
        <w:rPr>
          <w:sz w:val="20"/>
          <w:szCs w:val="20"/>
          <w:color w:val="auto"/>
        </w:rPr>
      </w:pPr>
    </w:p>
    <w:p>
      <w:pPr>
        <w:jc w:val="both"/>
        <w:ind w:left="860" w:right="239"/>
        <w:spacing w:after="0" w:line="232" w:lineRule="auto"/>
        <w:rPr>
          <w:sz w:val="20"/>
          <w:szCs w:val="20"/>
          <w:color w:val="auto"/>
        </w:rPr>
      </w:pPr>
      <w:r>
        <w:rPr>
          <w:rFonts w:ascii="Arial" w:cs="Arial" w:eastAsia="Arial" w:hAnsi="Arial"/>
          <w:sz w:val="22"/>
          <w:szCs w:val="22"/>
          <w:color w:val="auto"/>
        </w:rPr>
        <w:t>1.15 “COMBINATION PRODUCT” means a PRODUCT that contains a COMPOUND and at least one other NON-COMPOUND API.</w:t>
      </w:r>
    </w:p>
    <w:p>
      <w:pPr>
        <w:spacing w:after="0" w:line="51" w:lineRule="exact"/>
        <w:rPr>
          <w:sz w:val="20"/>
          <w:szCs w:val="20"/>
          <w:color w:val="auto"/>
        </w:rPr>
      </w:pPr>
    </w:p>
    <w:p>
      <w:pPr>
        <w:jc w:val="both"/>
        <w:ind w:left="860" w:right="219"/>
        <w:spacing w:after="0" w:line="218" w:lineRule="auto"/>
        <w:rPr>
          <w:sz w:val="20"/>
          <w:szCs w:val="20"/>
          <w:color w:val="auto"/>
        </w:rPr>
      </w:pPr>
      <w:r>
        <w:rPr>
          <w:rFonts w:ascii="Arial" w:cs="Arial" w:eastAsia="Arial" w:hAnsi="Arial"/>
          <w:sz w:val="22"/>
          <w:szCs w:val="22"/>
          <w:color w:val="auto"/>
        </w:rPr>
        <w:t>1.16 “COMMERCIALIZE” means with respect to subject matter that is a COMPOUND or a PRODUCT, to market, promote, distribute, offer for sale, sell or otherwise commercialize such subject matter. COMMERCIALIZED and COMMERCIALIZATION has the corresponding meaning.</w:t>
      </w:r>
    </w:p>
    <w:p>
      <w:pPr>
        <w:spacing w:after="0" w:line="53" w:lineRule="exact"/>
        <w:rPr>
          <w:sz w:val="20"/>
          <w:szCs w:val="20"/>
          <w:color w:val="auto"/>
        </w:rPr>
      </w:pPr>
    </w:p>
    <w:p>
      <w:pPr>
        <w:jc w:val="both"/>
        <w:ind w:left="860" w:right="219"/>
        <w:spacing w:after="0" w:line="244" w:lineRule="auto"/>
        <w:rPr>
          <w:sz w:val="20"/>
          <w:szCs w:val="20"/>
          <w:color w:val="auto"/>
        </w:rPr>
      </w:pPr>
      <w:r>
        <w:rPr>
          <w:rFonts w:ascii="Arial" w:cs="Arial" w:eastAsia="Arial" w:hAnsi="Arial"/>
          <w:sz w:val="19"/>
          <w:szCs w:val="19"/>
          <w:color w:val="auto"/>
        </w:rPr>
        <w:t>1.17 “COMMERCIALLY REASONABLE EFFORTS” means, with respect to the efforts and resources to be expended by a PARTY and with respect to any objective, those reasonable, good faith efforts and resources expended to accomplish such objective, including relating to the DEVELOPMENT, MANUFACTURING or COMMERCIALIZATION of a COMPOUND or PRODUCT, as commonly dedicated by a company of similar size and resources in the research-based pharmaceutical industry in performing applicable activities with respect to a product of similar commercial potential at a similar stage in its lifecycle, in each case taking into account issues of safety and efficacy, product profile, the proprietary position, the then-current competitive environment for such product and the likely timing of such product’s entry into the market,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71" w:name="page172"/>
    <w:bookmarkEnd w:id="171"/>
    <w:p>
      <w:pPr>
        <w:jc w:val="both"/>
        <w:ind w:left="860" w:right="219"/>
        <w:spacing w:after="0" w:line="223" w:lineRule="auto"/>
        <w:rPr>
          <w:sz w:val="20"/>
          <w:szCs w:val="20"/>
          <w:color w:val="auto"/>
        </w:rPr>
      </w:pPr>
      <w:r>
        <w:rPr>
          <w:rFonts w:ascii="Arial" w:cs="Arial" w:eastAsia="Arial" w:hAnsi="Arial"/>
          <w:sz w:val="22"/>
          <w:szCs w:val="22"/>
          <w:color w:val="auto"/>
        </w:rPr>
        <w:t>the regulatory environment and the status of such product, profitability (including pricing and reimbursement) and other relevant scientific, technical, regulatory and commercial factors.</w:t>
      </w:r>
    </w:p>
    <w:p>
      <w:pPr>
        <w:spacing w:after="0" w:line="51"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1.18 “COMPOUND” means reboxetine and or esreboxetine and any salt, solvate, hydrate, stereoisomer, prodrug, metabolite, isomer, enantiomer, tautomer or polymorph of any of the foregoing compounds described in clauses (a), (b) or (c).</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“CONFIDENTIAL INFORMATION” has the meaning set forth in Section 9.1.</w:t>
      </w:r>
    </w:p>
    <w:p>
      <w:pPr>
        <w:spacing w:after="0" w:line="71" w:lineRule="exact"/>
        <w:rPr>
          <w:sz w:val="20"/>
          <w:szCs w:val="20"/>
          <w:color w:val="auto"/>
        </w:rPr>
      </w:pPr>
    </w:p>
    <w:p>
      <w:pPr>
        <w:jc w:val="both"/>
        <w:ind w:left="860" w:right="219"/>
        <w:spacing w:after="0" w:line="222" w:lineRule="auto"/>
        <w:rPr>
          <w:sz w:val="20"/>
          <w:szCs w:val="20"/>
          <w:color w:val="auto"/>
        </w:rPr>
      </w:pPr>
      <w:r>
        <w:rPr>
          <w:rFonts w:ascii="Arial" w:cs="Arial" w:eastAsia="Arial" w:hAnsi="Arial"/>
          <w:sz w:val="21"/>
          <w:szCs w:val="21"/>
          <w:color w:val="auto"/>
        </w:rPr>
        <w:t>1.20 “CONTROL” means, with respect to any INTELLECTUAL PROPERTY RIGHTS or other rights to provide data or other information, the legal authority or right (whether by ownership, license or otherwise) of a PARTY to grant a license or a sublicense of or under such INTELLECTUAL PROPERTY RIGHTS to the other PARTY or provide such data or other information to such other PARTY as set forth in this AGREEMENT without breaching the terms of any agreement with a THIRD PARTY. “CONTROLLED” and “CONTROLLING” have the corresponding meanings.</w:t>
      </w:r>
    </w:p>
    <w:p>
      <w:pPr>
        <w:spacing w:after="0" w:line="56" w:lineRule="exact"/>
        <w:rPr>
          <w:sz w:val="20"/>
          <w:szCs w:val="20"/>
          <w:color w:val="auto"/>
        </w:rPr>
      </w:pPr>
    </w:p>
    <w:p>
      <w:pPr>
        <w:jc w:val="both"/>
        <w:ind w:left="860" w:right="219"/>
        <w:spacing w:after="0" w:line="247" w:lineRule="auto"/>
        <w:rPr>
          <w:sz w:val="20"/>
          <w:szCs w:val="20"/>
          <w:color w:val="auto"/>
        </w:rPr>
      </w:pPr>
      <w:r>
        <w:rPr>
          <w:rFonts w:ascii="Arial" w:cs="Arial" w:eastAsia="Arial" w:hAnsi="Arial"/>
          <w:sz w:val="19"/>
          <w:szCs w:val="19"/>
          <w:color w:val="auto"/>
        </w:rPr>
        <w:t>1.21 “DEVELOP” means with respect to subject matter that is a COMPOUND or a PRODUCT, to conduct any and all research and development activities necessary to obtain</w:t>
      </w:r>
    </w:p>
    <w:p>
      <w:pPr>
        <w:jc w:val="both"/>
        <w:ind w:left="920" w:right="239" w:hanging="53"/>
        <w:spacing w:after="0" w:line="224" w:lineRule="auto"/>
        <w:rPr>
          <w:sz w:val="20"/>
          <w:szCs w:val="20"/>
          <w:color w:val="auto"/>
        </w:rPr>
      </w:pPr>
      <w:r>
        <w:rPr>
          <w:rFonts w:ascii="Arial" w:cs="Arial" w:eastAsia="Arial" w:hAnsi="Arial"/>
          <w:sz w:val="22"/>
          <w:szCs w:val="22"/>
          <w:color w:val="auto"/>
        </w:rPr>
        <w:t>REGULATORY</w:t>
      </w:r>
      <w:r>
        <w:rPr>
          <w:sz w:val="20"/>
          <w:szCs w:val="20"/>
          <w:color w:val="auto"/>
        </w:rPr>
        <w:t xml:space="preserve"> </w:t>
      </w:r>
      <w:r>
        <w:rPr>
          <w:rFonts w:ascii="Arial" w:cs="Arial" w:eastAsia="Arial" w:hAnsi="Arial"/>
          <w:sz w:val="22"/>
          <w:szCs w:val="22"/>
          <w:color w:val="auto"/>
        </w:rPr>
        <w:t>APPROVAL of such subject matter. “DEVELOPED”, “DEVELOPING” and DEVELOPMENT have corresponding meanings.</w:t>
      </w:r>
    </w:p>
    <w:p>
      <w:pPr>
        <w:spacing w:after="0" w:line="50"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“DISPUTE” has the meaning set forth in Section 17.1.</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“EFFECTIVE DATE” has the meaning set forth in the PREAMBLE.</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“ELECTION NOTICE” has the meaning set forth in Section 8.3.7.</w:t>
      </w:r>
    </w:p>
    <w:p>
      <w:pPr>
        <w:spacing w:after="0" w:line="71" w:lineRule="exact"/>
        <w:rPr>
          <w:sz w:val="20"/>
          <w:szCs w:val="20"/>
          <w:color w:val="auto"/>
        </w:rPr>
      </w:pPr>
    </w:p>
    <w:p>
      <w:pPr>
        <w:jc w:val="right"/>
        <w:ind w:left="860" w:right="219"/>
        <w:spacing w:after="0" w:line="257" w:lineRule="auto"/>
        <w:rPr>
          <w:sz w:val="20"/>
          <w:szCs w:val="20"/>
          <w:color w:val="auto"/>
        </w:rPr>
      </w:pPr>
      <w:r>
        <w:rPr>
          <w:rFonts w:ascii="Arial" w:cs="Arial" w:eastAsia="Arial" w:hAnsi="Arial"/>
          <w:sz w:val="19"/>
          <w:szCs w:val="19"/>
          <w:color w:val="auto"/>
        </w:rPr>
        <w:t>1.25    “EXPLOIT” means with respect to subject matter that is a  COMPOUND or a PRODUCT,  any one or more of the following: to DEVELOP, to MANUFACTURE, to use,  to  COMMERCIALIZE  or  to  otherwise  to  exploit  the  subject  matter. “EXPLOITATION”, “EXPLOITING” and “EXPLOITED” has the corresponding meaning.</w:t>
      </w:r>
    </w:p>
    <w:p>
      <w:pPr>
        <w:spacing w:after="0" w:line="36" w:lineRule="exact"/>
        <w:rPr>
          <w:sz w:val="20"/>
          <w:szCs w:val="20"/>
          <w:color w:val="auto"/>
        </w:rPr>
      </w:pPr>
    </w:p>
    <w:p>
      <w:pPr>
        <w:jc w:val="both"/>
        <w:ind w:left="860" w:right="219"/>
        <w:spacing w:after="0" w:line="232" w:lineRule="auto"/>
        <w:rPr>
          <w:sz w:val="20"/>
          <w:szCs w:val="20"/>
          <w:color w:val="auto"/>
        </w:rPr>
      </w:pPr>
      <w:r>
        <w:rPr>
          <w:rFonts w:ascii="Arial" w:cs="Arial" w:eastAsia="Arial" w:hAnsi="Arial"/>
          <w:sz w:val="22"/>
          <w:szCs w:val="22"/>
          <w:color w:val="auto"/>
        </w:rPr>
        <w:t>1.26 “FDA” means the United States Food and Drug Administration, or a successor federal agency thereto.</w:t>
      </w:r>
    </w:p>
    <w:p>
      <w:pPr>
        <w:spacing w:after="0" w:line="51" w:lineRule="exact"/>
        <w:rPr>
          <w:sz w:val="20"/>
          <w:szCs w:val="20"/>
          <w:color w:val="auto"/>
        </w:rPr>
      </w:pPr>
    </w:p>
    <w:p>
      <w:pPr>
        <w:jc w:val="both"/>
        <w:ind w:left="860" w:right="219"/>
        <w:spacing w:after="0" w:line="232" w:lineRule="auto"/>
        <w:rPr>
          <w:sz w:val="20"/>
          <w:szCs w:val="20"/>
          <w:color w:val="auto"/>
        </w:rPr>
      </w:pPr>
      <w:r>
        <w:rPr>
          <w:rFonts w:ascii="Arial" w:cs="Arial" w:eastAsia="Arial" w:hAnsi="Arial"/>
          <w:sz w:val="22"/>
          <w:szCs w:val="22"/>
          <w:color w:val="auto"/>
        </w:rPr>
        <w:t>1.27 “FIELD” means the treatment, diagnosis or prevention of any disease or condition in humans.</w:t>
      </w:r>
    </w:p>
    <w:p>
      <w:pPr>
        <w:spacing w:after="0" w:line="51"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1.28 “FIRST COMMERCIAL SALE” means, with respect to a PRODUCT, the first sale of such PRODUCT to a THIRD PARTY by AXSOME, AXSOME’s AFFILIATE or a PRODUCT TRANSFEREE in the TERRITORY.</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color w:val="auto"/>
        </w:rPr>
        <w:t>“FORCE MAJEURE EVENT” has the meaning set forth in Section 18.4.</w:t>
      </w:r>
    </w:p>
    <w:p>
      <w:pPr>
        <w:spacing w:after="0" w:line="71" w:lineRule="exact"/>
        <w:rPr>
          <w:sz w:val="20"/>
          <w:szCs w:val="20"/>
          <w:color w:val="auto"/>
        </w:rPr>
      </w:pPr>
    </w:p>
    <w:p>
      <w:pPr>
        <w:jc w:val="both"/>
        <w:ind w:left="860" w:right="219"/>
        <w:spacing w:after="0" w:line="232" w:lineRule="auto"/>
        <w:rPr>
          <w:sz w:val="20"/>
          <w:szCs w:val="20"/>
          <w:color w:val="auto"/>
        </w:rPr>
      </w:pPr>
      <w:r>
        <w:rPr>
          <w:rFonts w:ascii="Arial" w:cs="Arial" w:eastAsia="Arial" w:hAnsi="Arial"/>
          <w:sz w:val="22"/>
          <w:szCs w:val="22"/>
          <w:color w:val="auto"/>
        </w:rPr>
        <w:t>1.30 “GAAP” means United States generally accepted accounting principles, consistently applied.</w:t>
      </w:r>
    </w:p>
    <w:p>
      <w:pPr>
        <w:spacing w:after="0" w:line="51" w:lineRule="exact"/>
        <w:rPr>
          <w:sz w:val="20"/>
          <w:szCs w:val="20"/>
          <w:color w:val="auto"/>
        </w:rPr>
      </w:pPr>
    </w:p>
    <w:p>
      <w:pPr>
        <w:jc w:val="both"/>
        <w:ind w:left="860" w:right="219"/>
        <w:spacing w:after="0" w:line="257" w:lineRule="auto"/>
        <w:rPr>
          <w:sz w:val="20"/>
          <w:szCs w:val="20"/>
          <w:color w:val="auto"/>
        </w:rPr>
      </w:pPr>
      <w:r>
        <w:rPr>
          <w:rFonts w:ascii="Arial" w:cs="Arial" w:eastAsia="Arial" w:hAnsi="Arial"/>
          <w:sz w:val="19"/>
          <w:szCs w:val="19"/>
          <w:color w:val="auto"/>
        </w:rPr>
        <w:t>1.31 “GENERIC COMPETITION” means, with respect to a PRODUCT, the condition in which the aggregate market share in the TERRITORY during a CALENDAR QUARTER of a GENERIC PRODUCT is [***] percent ([***]%) or more by unit volume (based on data provided by a reliable THIRD PARTY data source mutually agreed to by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72" w:name="page173"/>
    <w:bookmarkEnd w:id="172"/>
    <w:p>
      <w:pPr>
        <w:jc w:val="both"/>
        <w:ind w:left="860" w:right="239"/>
        <w:spacing w:after="0" w:line="232" w:lineRule="auto"/>
        <w:rPr>
          <w:sz w:val="20"/>
          <w:szCs w:val="20"/>
          <w:color w:val="auto"/>
        </w:rPr>
      </w:pPr>
      <w:r>
        <w:rPr>
          <w:rFonts w:ascii="Arial" w:cs="Arial" w:eastAsia="Arial" w:hAnsi="Arial"/>
          <w:sz w:val="22"/>
          <w:szCs w:val="22"/>
          <w:color w:val="auto"/>
        </w:rPr>
        <w:t>the PARTIES) of combined unit sales of the PRODUCT and all applicable GENERIC PRODUCTS.</w:t>
      </w:r>
    </w:p>
    <w:p>
      <w:pPr>
        <w:spacing w:after="0" w:line="51" w:lineRule="exact"/>
        <w:rPr>
          <w:sz w:val="20"/>
          <w:szCs w:val="20"/>
          <w:color w:val="auto"/>
        </w:rPr>
      </w:pPr>
    </w:p>
    <w:p>
      <w:pPr>
        <w:jc w:val="both"/>
        <w:ind w:left="860" w:right="219"/>
        <w:spacing w:after="0" w:line="243" w:lineRule="auto"/>
        <w:rPr>
          <w:sz w:val="20"/>
          <w:szCs w:val="20"/>
          <w:color w:val="auto"/>
        </w:rPr>
      </w:pPr>
      <w:r>
        <w:rPr>
          <w:rFonts w:ascii="Arial" w:cs="Arial" w:eastAsia="Arial" w:hAnsi="Arial"/>
          <w:sz w:val="19"/>
          <w:szCs w:val="19"/>
          <w:color w:val="auto"/>
        </w:rPr>
        <w:t>1.32 “GENERIC PRODUCT” means, with respect to a PRODUCT, any pharmaceutical product that (a) is sold by a THIRD PARTY in the TERRITORY without the prior authorization of AXSOME, an AFFILIATE of AXSOME or a PRODUCT TRANSFEREE,</w:t>
      </w:r>
    </w:p>
    <w:p>
      <w:pPr>
        <w:spacing w:after="0" w:line="2" w:lineRule="exact"/>
        <w:rPr>
          <w:sz w:val="20"/>
          <w:szCs w:val="20"/>
          <w:color w:val="auto"/>
        </w:rPr>
      </w:pPr>
    </w:p>
    <w:p>
      <w:pPr>
        <w:jc w:val="both"/>
        <w:ind w:left="860" w:right="219" w:hanging="3"/>
        <w:spacing w:after="0" w:line="208" w:lineRule="auto"/>
        <w:tabs>
          <w:tab w:leader="none" w:pos="1216"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receives approval, registration, license or authorization to sell such product in the TERRITORY in full or partial reliance on the REGULATORY APPROVAL of the PRODUCT and (c) is determined by a REGULATORY AUTHORITY to be therapeutically equivalent to and substitutable with the PRODUCT, it being acknowledged that the foregoing standard is intended to be generally consistent with the standard set forth in the preface to the Approved Drug Products with Therapeutic Equivalence Evaluations (commonly known as the Orange Book, as amended from time to time) published by the U.S. Food and Drug Administration. For avoidance of doubt, GENERIC PRODUCT includes a product approved under Section 505(j) of the United States Federal Food, Drug, and Cosmetic Act.</w:t>
      </w:r>
    </w:p>
    <w:p>
      <w:pPr>
        <w:spacing w:after="0" w:line="58"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1.33 “GOVERNMENTAL AUTHORITY” means any court, agency, department, authority or other instrumentality of national, state, country, city or other political subdivision.</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“INDEMNITEE” is defined in Section 12.3.</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“INDEMNITOR” is defined in Section 12.3.</w:t>
      </w:r>
    </w:p>
    <w:p>
      <w:pPr>
        <w:spacing w:after="0" w:line="71" w:lineRule="exact"/>
        <w:rPr>
          <w:sz w:val="20"/>
          <w:szCs w:val="20"/>
          <w:color w:val="auto"/>
        </w:rPr>
      </w:pPr>
    </w:p>
    <w:p>
      <w:pPr>
        <w:jc w:val="both"/>
        <w:ind w:left="860" w:right="219"/>
        <w:spacing w:after="0" w:line="218" w:lineRule="auto"/>
        <w:rPr>
          <w:sz w:val="20"/>
          <w:szCs w:val="20"/>
          <w:color w:val="auto"/>
        </w:rPr>
      </w:pPr>
      <w:r>
        <w:rPr>
          <w:rFonts w:ascii="Arial" w:cs="Arial" w:eastAsia="Arial" w:hAnsi="Arial"/>
          <w:sz w:val="22"/>
          <w:szCs w:val="22"/>
          <w:color w:val="auto"/>
        </w:rPr>
        <w:t>1.36 “INTELLECTUAL PROPERTY RIGHTS” means any and all trade secrets, copyrights, PATENT RIGHTS, trademarks, moral rights, KNOW-HOW and any and all other intellectual property or proprietary rights now known or hereafter recognized in any jurisdiction.</w:t>
      </w:r>
    </w:p>
    <w:p>
      <w:pPr>
        <w:spacing w:after="0" w:line="53" w:lineRule="exact"/>
        <w:rPr>
          <w:sz w:val="20"/>
          <w:szCs w:val="20"/>
          <w:color w:val="auto"/>
        </w:rPr>
      </w:pPr>
    </w:p>
    <w:p>
      <w:pPr>
        <w:jc w:val="both"/>
        <w:ind w:left="860" w:right="239"/>
        <w:spacing w:after="0" w:line="296" w:lineRule="auto"/>
        <w:rPr>
          <w:sz w:val="20"/>
          <w:szCs w:val="20"/>
          <w:color w:val="auto"/>
        </w:rPr>
      </w:pPr>
      <w:r>
        <w:rPr>
          <w:rFonts w:ascii="Arial" w:cs="Arial" w:eastAsia="Arial" w:hAnsi="Arial"/>
          <w:sz w:val="19"/>
          <w:szCs w:val="19"/>
          <w:color w:val="auto"/>
        </w:rPr>
        <w:t>1.37 “KNOW-HOW” means any proprietary invention, discovery, development, data, information, process, method, technique or other know-how, whether or not patentable.</w:t>
      </w:r>
    </w:p>
    <w:p>
      <w:pPr>
        <w:spacing w:after="0" w:line="1" w:lineRule="exact"/>
        <w:rPr>
          <w:sz w:val="20"/>
          <w:szCs w:val="20"/>
          <w:color w:val="auto"/>
        </w:rPr>
      </w:pPr>
    </w:p>
    <w:p>
      <w:pPr>
        <w:jc w:val="both"/>
        <w:ind w:left="860" w:right="239"/>
        <w:spacing w:after="0" w:line="268" w:lineRule="auto"/>
        <w:rPr>
          <w:sz w:val="20"/>
          <w:szCs w:val="20"/>
          <w:color w:val="auto"/>
        </w:rPr>
      </w:pPr>
      <w:r>
        <w:rPr>
          <w:rFonts w:ascii="Arial" w:cs="Arial" w:eastAsia="Arial" w:hAnsi="Arial"/>
          <w:sz w:val="19"/>
          <w:szCs w:val="19"/>
          <w:color w:val="auto"/>
        </w:rPr>
        <w:t>1.38 “KNOWLEDGE” means, with respect to a PARTY, the actual knowledge of the PARTY’s in-house patent counsel employed by the PARTY whose area of responsibility relates to the representation or warranty that the PARTY makes under this AGREEMENT.</w:t>
      </w:r>
    </w:p>
    <w:p>
      <w:pPr>
        <w:spacing w:after="0" w:line="5" w:lineRule="exact"/>
        <w:rPr>
          <w:sz w:val="20"/>
          <w:szCs w:val="20"/>
          <w:color w:val="auto"/>
        </w:rPr>
      </w:pPr>
    </w:p>
    <w:p>
      <w:pPr>
        <w:ind w:left="860"/>
        <w:spacing w:after="0"/>
        <w:tabs>
          <w:tab w:leader="none" w:pos="172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21"/>
          <w:szCs w:val="21"/>
          <w:color w:val="auto"/>
        </w:rPr>
        <w:t>“LICENSED IP” means, collectively, the LICENSED PATENT RIGHTS and</w:t>
      </w:r>
    </w:p>
    <w:p>
      <w:pPr>
        <w:ind w:left="860"/>
        <w:spacing w:after="0"/>
        <w:rPr>
          <w:sz w:val="20"/>
          <w:szCs w:val="20"/>
          <w:color w:val="auto"/>
        </w:rPr>
      </w:pPr>
      <w:r>
        <w:rPr>
          <w:rFonts w:ascii="Arial" w:cs="Arial" w:eastAsia="Arial" w:hAnsi="Arial"/>
          <w:sz w:val="22"/>
          <w:szCs w:val="22"/>
          <w:color w:val="auto"/>
        </w:rPr>
        <w:t>LICENSED KNOW-HOW.</w:t>
      </w:r>
    </w:p>
    <w:p>
      <w:pPr>
        <w:spacing w:after="0" w:line="34"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22"/>
          <w:szCs w:val="22"/>
          <w:color w:val="auto"/>
        </w:rPr>
        <w:t>1.40</w:t>
      </w:r>
      <w:r>
        <w:rPr>
          <w:sz w:val="20"/>
          <w:szCs w:val="20"/>
          <w:color w:val="auto"/>
        </w:rPr>
        <w:tab/>
      </w:r>
      <w:r>
        <w:rPr>
          <w:rFonts w:ascii="Arial" w:cs="Arial" w:eastAsia="Arial" w:hAnsi="Arial"/>
          <w:sz w:val="22"/>
          <w:szCs w:val="22"/>
          <w:color w:val="auto"/>
        </w:rPr>
        <w:t>“LICENSED KNOW-HOW” means all KNOW-HOW that is listed in the</w:t>
      </w:r>
    </w:p>
    <w:p>
      <w:pPr>
        <w:ind w:left="860"/>
        <w:spacing w:after="0"/>
        <w:rPr>
          <w:sz w:val="20"/>
          <w:szCs w:val="20"/>
          <w:color w:val="auto"/>
        </w:rPr>
      </w:pPr>
      <w:r>
        <w:rPr>
          <w:rFonts w:ascii="Arial" w:cs="Arial" w:eastAsia="Arial" w:hAnsi="Arial"/>
          <w:sz w:val="22"/>
          <w:szCs w:val="22"/>
          <w:color w:val="auto"/>
        </w:rPr>
        <w:t>TRANSFER SCHEDULE.</w:t>
      </w:r>
    </w:p>
    <w:p>
      <w:pPr>
        <w:spacing w:after="0" w:line="34" w:lineRule="exact"/>
        <w:rPr>
          <w:sz w:val="20"/>
          <w:szCs w:val="20"/>
          <w:color w:val="auto"/>
        </w:rPr>
      </w:pPr>
    </w:p>
    <w:p>
      <w:pPr>
        <w:ind w:left="860"/>
        <w:spacing w:after="0"/>
        <w:tabs>
          <w:tab w:leader="none" w:pos="156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“LICENSED PATENT RIGHTS” means all PATENT RIGHTS listed in Schedule</w:t>
      </w:r>
    </w:p>
    <w:p>
      <w:pPr>
        <w:jc w:val="both"/>
        <w:ind w:left="860" w:right="219"/>
        <w:spacing w:after="0" w:line="222" w:lineRule="auto"/>
        <w:rPr>
          <w:sz w:val="20"/>
          <w:szCs w:val="20"/>
          <w:color w:val="auto"/>
        </w:rPr>
      </w:pPr>
      <w:r>
        <w:rPr>
          <w:rFonts w:ascii="Arial" w:cs="Arial" w:eastAsia="Arial" w:hAnsi="Arial"/>
          <w:sz w:val="21"/>
          <w:szCs w:val="21"/>
          <w:color w:val="auto"/>
        </w:rPr>
        <w:t xml:space="preserve">1.40; and all PATENT RIGHTS resulting from any interference, </w:t>
      </w:r>
      <w:r>
        <w:rPr>
          <w:rFonts w:ascii="Arial" w:cs="Arial" w:eastAsia="Arial" w:hAnsi="Arial"/>
          <w:sz w:val="21"/>
          <w:szCs w:val="21"/>
          <w:i w:val="1"/>
          <w:iCs w:val="1"/>
          <w:color w:val="auto"/>
        </w:rPr>
        <w:t>inter partes</w:t>
      </w:r>
      <w:r>
        <w:rPr>
          <w:rFonts w:ascii="Arial" w:cs="Arial" w:eastAsia="Arial" w:hAnsi="Arial"/>
          <w:sz w:val="21"/>
          <w:szCs w:val="21"/>
          <w:color w:val="auto"/>
        </w:rPr>
        <w:t xml:space="preserve"> review, reexamination, reissue or revival of any of the foregoing PATENT RIGHTS; and extensions or restorations of any of the foregoing, by existing or future extension or restoration mechanisms, including patent term adjustments, patent term extensions, supplementary protection certificates and the equivalent thereof.</w:t>
      </w:r>
    </w:p>
    <w:p>
      <w:pPr>
        <w:spacing w:after="0" w:line="53" w:lineRule="exact"/>
        <w:rPr>
          <w:sz w:val="20"/>
          <w:szCs w:val="20"/>
          <w:color w:val="auto"/>
        </w:rPr>
      </w:pPr>
    </w:p>
    <w:p>
      <w:pPr>
        <w:jc w:val="both"/>
        <w:ind w:left="860" w:right="239"/>
        <w:spacing w:after="0" w:line="298" w:lineRule="auto"/>
        <w:rPr>
          <w:sz w:val="20"/>
          <w:szCs w:val="20"/>
          <w:color w:val="auto"/>
        </w:rPr>
      </w:pPr>
      <w:r>
        <w:rPr>
          <w:rFonts w:ascii="Arial" w:cs="Arial" w:eastAsia="Arial" w:hAnsi="Arial"/>
          <w:sz w:val="19"/>
          <w:szCs w:val="19"/>
          <w:color w:val="auto"/>
        </w:rPr>
        <w:t>1.42 “MANUFACTURE” means with respect to subject matter that is a COMPOUND, a PRODUCT or a component thereof, to make, produce, manufacture, process, fill, finish,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73" w:name="page174"/>
    <w:bookmarkEnd w:id="173"/>
    <w:p>
      <w:pPr>
        <w:ind w:left="860"/>
        <w:spacing w:after="0"/>
        <w:rPr>
          <w:sz w:val="20"/>
          <w:szCs w:val="20"/>
          <w:color w:val="auto"/>
        </w:rPr>
      </w:pPr>
      <w:r>
        <w:rPr>
          <w:rFonts w:ascii="Arial" w:cs="Arial" w:eastAsia="Arial" w:hAnsi="Arial"/>
          <w:sz w:val="19"/>
          <w:szCs w:val="19"/>
          <w:color w:val="auto"/>
        </w:rPr>
        <w:t>package, label, perform quality assurance testing, release, ship or store such subject matter.</w:t>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“MANUFACTURING” and “MANUFACTURED” has the corresponding meaning.</w:t>
      </w:r>
    </w:p>
    <w:p>
      <w:pPr>
        <w:spacing w:after="0" w:line="53"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1.43 “MARGINAL ROYALTY” means for each MARGINAL SALES RANGE an amount equal to the applicable NET SALES within the MARGINAL SALES RANGE multiplied by the corresponding MARGINAL ROYALTY RATE.</w:t>
      </w:r>
    </w:p>
    <w:p>
      <w:pPr>
        <w:spacing w:after="0" w:line="32" w:lineRule="exact"/>
        <w:rPr>
          <w:sz w:val="20"/>
          <w:szCs w:val="20"/>
          <w:color w:val="auto"/>
        </w:rPr>
      </w:pPr>
    </w:p>
    <w:p>
      <w:pPr>
        <w:ind w:left="860"/>
        <w:spacing w:after="0"/>
        <w:tabs>
          <w:tab w:leader="none" w:pos="158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“MARGINAL ROYALTY RATES” means the royalty rates set forth in Schedule</w:t>
      </w:r>
    </w:p>
    <w:p>
      <w:pPr>
        <w:ind w:left="860"/>
        <w:spacing w:after="0"/>
        <w:rPr>
          <w:sz w:val="20"/>
          <w:szCs w:val="20"/>
          <w:color w:val="auto"/>
        </w:rPr>
      </w:pPr>
      <w:r>
        <w:rPr>
          <w:rFonts w:ascii="Arial" w:cs="Arial" w:eastAsia="Arial" w:hAnsi="Arial"/>
          <w:sz w:val="22"/>
          <w:szCs w:val="22"/>
          <w:color w:val="auto"/>
        </w:rPr>
        <w:t>5.5 that correspond to each of the MARGINAL SALES RANGES.</w:t>
      </w:r>
    </w:p>
    <w:p>
      <w:pPr>
        <w:spacing w:after="0" w:line="53"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1.45 “MARGINAL SALES RANGES” means for each PRODUCT the ranges as set forth in Schedule 5.5 of NET SALES in a CALENDAR YEAR of the PRODUCT that are made during the ROYALTY TERM.</w:t>
      </w:r>
    </w:p>
    <w:p>
      <w:pPr>
        <w:spacing w:after="0" w:line="51" w:lineRule="exact"/>
        <w:rPr>
          <w:sz w:val="20"/>
          <w:szCs w:val="20"/>
          <w:color w:val="auto"/>
        </w:rPr>
      </w:pPr>
    </w:p>
    <w:p>
      <w:pPr>
        <w:jc w:val="both"/>
        <w:ind w:left="860" w:right="239"/>
        <w:spacing w:after="0" w:line="247" w:lineRule="auto"/>
        <w:rPr>
          <w:sz w:val="20"/>
          <w:szCs w:val="20"/>
          <w:color w:val="auto"/>
        </w:rPr>
      </w:pPr>
      <w:r>
        <w:rPr>
          <w:rFonts w:ascii="Arial" w:cs="Arial" w:eastAsia="Arial" w:hAnsi="Arial"/>
          <w:sz w:val="21"/>
          <w:szCs w:val="21"/>
          <w:color w:val="auto"/>
        </w:rPr>
        <w:t>1.46 “MILESTONE PAYMENTS” means, collectively, the REGULATORY APPROVAL MILESTONE PAYMENTS and the SALES MILESTONE PAYMENTS.</w:t>
      </w:r>
    </w:p>
    <w:p>
      <w:pPr>
        <w:spacing w:after="0" w:line="43" w:lineRule="exact"/>
        <w:rPr>
          <w:sz w:val="20"/>
          <w:szCs w:val="20"/>
          <w:color w:val="auto"/>
        </w:rPr>
      </w:pPr>
    </w:p>
    <w:p>
      <w:pPr>
        <w:jc w:val="both"/>
        <w:ind w:left="860" w:right="219"/>
        <w:spacing w:after="0"/>
        <w:rPr>
          <w:sz w:val="20"/>
          <w:szCs w:val="20"/>
          <w:color w:val="auto"/>
        </w:rPr>
      </w:pPr>
      <w:r>
        <w:rPr>
          <w:rFonts w:ascii="Arial" w:cs="Arial" w:eastAsia="Arial" w:hAnsi="Arial"/>
          <w:sz w:val="19"/>
          <w:szCs w:val="19"/>
          <w:color w:val="auto"/>
        </w:rPr>
        <w:t>1.47 “NET SALES” means, with respect to a PRODUCT distributed or sold in the TERRITORY to THIRD PARTIES by AXSOME, AXSOME’s AFFILIATES or any PRODUCT TRANSFEREE, gross receipts from sales of such PRODUCTS in the TERRITORY, less in each case (a) sales returns and allowances actually paid, granted or accrued, including trade, quantity and cash discounts and other adjustments, including those granted on account of price adjustments, billing errors, rejected goods, damaged or defective goods, recalls, returns, rebates, chargebacks, reimbursements or similar payments granted or given to wholesalers, distributors, buying groups or other institutions, (b) customs or excise duties, valued-added taxes, sales taxes, consumption taxes and other taxes (except income taxes) or duties relating to sales, any payment in respect of sales to the United States government, any state government or any foreign government, or to any other governmental authority, or with respect to any government-subsidized program or managed care organization, (c) freight and insurance (to the extent that such costs are included in the amount invoiced to customers and included in gross sales) up to but not more than [***] percent ([***]%) of the gross receipts from sales in the TERRITORY of the applicable PRODUCTS, and (d) reasonable distributors’ and inventory management fees, including fees for services provided by wholesalers and warehousing chains, in connection with the sale and distribution of PRODUCTS. NET SALES shall be determined from AXSOME’s books and records maintained in accordance with GAAP consistently applied. NET SALES of a PRODUCT that is a COMBINATION PRODUCT shall be calculated as set forth in Schedule 1.46. For clarity, sales of a PRODUCT between any of AXSOME, an AFFILIATE of AXSOME, and a PRODUCT TRANSFEREE shall be disregarded for purposes of calculating NET SALES. Any sale made for academic research or clinical purposes or for a bona fide charitable purpose at an invoice price equal</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74" w:name="page175"/>
    <w:bookmarkEnd w:id="174"/>
    <w:p>
      <w:pPr>
        <w:jc w:val="both"/>
        <w:ind w:left="860" w:right="239"/>
        <w:spacing w:after="0" w:line="232" w:lineRule="auto"/>
        <w:rPr>
          <w:sz w:val="20"/>
          <w:szCs w:val="20"/>
          <w:color w:val="auto"/>
        </w:rPr>
      </w:pPr>
      <w:r>
        <w:rPr>
          <w:rFonts w:ascii="Arial" w:cs="Arial" w:eastAsia="Arial" w:hAnsi="Arial"/>
          <w:sz w:val="22"/>
          <w:szCs w:val="22"/>
          <w:color w:val="auto"/>
        </w:rPr>
        <w:t>to or less than the costs of goods sold plus freight for the units sold shall not be considered a “NET SALE”.</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“NON-COMPOUND API” has the meaning set forth in Schedule 1.16.</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color w:val="auto"/>
        </w:rPr>
        <w:t>"OTHER PRODUCT" has the meaning set forth in Schedule 1.16.</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1.50</w:t>
      </w:r>
      <w:r>
        <w:rPr>
          <w:sz w:val="20"/>
          <w:szCs w:val="20"/>
          <w:color w:val="auto"/>
        </w:rPr>
        <w:tab/>
      </w:r>
      <w:r>
        <w:rPr>
          <w:rFonts w:ascii="Arial" w:cs="Arial" w:eastAsia="Arial" w:hAnsi="Arial"/>
          <w:sz w:val="19"/>
          <w:szCs w:val="19"/>
          <w:color w:val="auto"/>
        </w:rPr>
        <w:t>“PARTY” and “PARTIES” has the meaning set forth in the PREAMBLE.</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“PATENT MAINTENANCE” has the meaning set forth in Section 8.3.</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“PATENT PROSECUTION” has the meaning set forth in Section 8.3.</w:t>
      </w:r>
    </w:p>
    <w:p>
      <w:pPr>
        <w:spacing w:after="0" w:line="71" w:lineRule="exact"/>
        <w:rPr>
          <w:sz w:val="20"/>
          <w:szCs w:val="20"/>
          <w:color w:val="auto"/>
        </w:rPr>
      </w:pPr>
    </w:p>
    <w:p>
      <w:pPr>
        <w:jc w:val="both"/>
        <w:ind w:left="860" w:right="219"/>
        <w:spacing w:after="0"/>
        <w:rPr>
          <w:sz w:val="20"/>
          <w:szCs w:val="20"/>
          <w:color w:val="auto"/>
        </w:rPr>
      </w:pPr>
      <w:r>
        <w:rPr>
          <w:rFonts w:ascii="Arial" w:cs="Arial" w:eastAsia="Arial" w:hAnsi="Arial"/>
          <w:sz w:val="19"/>
          <w:szCs w:val="19"/>
          <w:color w:val="auto"/>
        </w:rPr>
        <w:t>1.53 “PATENT RIGHTS” means any and all (a) issued patents, (b) pending patent applications, including all provisional applications, divisions, continuations, substitutions, continuations-in-part and renewals, and all patents granted thereon, (c) patents-of-addition, re-examinations, reissues and extensions or restorations by existing or future extension or restoration mechanisms, including patent term adjustments, patent term extensions, supplementary protection certificates or the equivalent thereof, (d) inventor’s certificates,</w:t>
      </w:r>
    </w:p>
    <w:p>
      <w:pPr>
        <w:spacing w:after="0" w:line="3" w:lineRule="exact"/>
        <w:rPr>
          <w:sz w:val="20"/>
          <w:szCs w:val="20"/>
          <w:color w:val="auto"/>
        </w:rPr>
      </w:pPr>
    </w:p>
    <w:p>
      <w:pPr>
        <w:ind w:left="860" w:right="239" w:hanging="3"/>
        <w:spacing w:after="0" w:line="224" w:lineRule="auto"/>
        <w:tabs>
          <w:tab w:leader="none" w:pos="1181" w:val="left"/>
        </w:tabs>
        <w:numPr>
          <w:ilvl w:val="0"/>
          <w:numId w:val="63"/>
        </w:numPr>
        <w:rPr>
          <w:rFonts w:ascii="Arial" w:cs="Arial" w:eastAsia="Arial" w:hAnsi="Arial"/>
          <w:sz w:val="22"/>
          <w:szCs w:val="22"/>
          <w:color w:val="auto"/>
        </w:rPr>
      </w:pPr>
      <w:r>
        <w:rPr>
          <w:rFonts w:ascii="Arial" w:cs="Arial" w:eastAsia="Arial" w:hAnsi="Arial"/>
          <w:sz w:val="22"/>
          <w:szCs w:val="22"/>
          <w:color w:val="auto"/>
        </w:rPr>
        <w:t>other forms of government-issued rights substantially similar to any of the foregoing and (f) United States and foreign counterparts of any of the foregoing.</w:t>
      </w:r>
    </w:p>
    <w:p>
      <w:pPr>
        <w:spacing w:after="0" w:line="50" w:lineRule="exact"/>
        <w:rPr>
          <w:sz w:val="20"/>
          <w:szCs w:val="20"/>
          <w:color w:val="auto"/>
        </w:rPr>
      </w:pPr>
    </w:p>
    <w:p>
      <w:pPr>
        <w:jc w:val="both"/>
        <w:ind w:left="860" w:right="219"/>
        <w:spacing w:after="0" w:line="218" w:lineRule="auto"/>
        <w:rPr>
          <w:sz w:val="20"/>
          <w:szCs w:val="20"/>
          <w:color w:val="auto"/>
        </w:rPr>
      </w:pPr>
      <w:r>
        <w:rPr>
          <w:rFonts w:ascii="Arial" w:cs="Arial" w:eastAsia="Arial" w:hAnsi="Arial"/>
          <w:sz w:val="22"/>
          <w:szCs w:val="22"/>
          <w:color w:val="auto"/>
        </w:rPr>
        <w:t>1.54 “PERSON” means an individual, corporation, partnership, limited liability company, trust, business trust, association, joint stock company, joint venture, pool, syndicate, sole proprietorship, unincorporated organization, governmental authority or any other form of entity not specifically listed herein.</w:t>
      </w:r>
    </w:p>
    <w:p>
      <w:pPr>
        <w:spacing w:after="0" w:line="53"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“PFIZER INDEMNITEES” has the meaning set forth in Section 12.1.</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“PREAMBLE” means the first full paragraph of this AGREEMENT.</w:t>
      </w:r>
    </w:p>
    <w:p>
      <w:pPr>
        <w:spacing w:after="0" w:line="71"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1.57 “PRODUCT” means a pharmaceutical product that contains or incorporates one or more COMPOUNDs, and which may also contain or incorporate one or more NON-COMPOUND APIs.</w:t>
      </w:r>
    </w:p>
    <w:p>
      <w:pPr>
        <w:spacing w:after="0" w:line="51" w:lineRule="exact"/>
        <w:rPr>
          <w:sz w:val="20"/>
          <w:szCs w:val="20"/>
          <w:color w:val="auto"/>
        </w:rPr>
      </w:pPr>
    </w:p>
    <w:p>
      <w:pPr>
        <w:jc w:val="both"/>
        <w:ind w:left="860" w:right="219"/>
        <w:spacing w:after="0" w:line="247" w:lineRule="auto"/>
        <w:rPr>
          <w:sz w:val="20"/>
          <w:szCs w:val="20"/>
          <w:color w:val="auto"/>
        </w:rPr>
      </w:pPr>
      <w:r>
        <w:rPr>
          <w:rFonts w:ascii="Arial" w:cs="Arial" w:eastAsia="Arial" w:hAnsi="Arial"/>
          <w:sz w:val="21"/>
          <w:szCs w:val="21"/>
          <w:color w:val="auto"/>
        </w:rPr>
        <w:t>1.58 “PRODUCT TRANSFEREE” means with respect to a PRODUCT a THIRD PARTY that either: (a) directly receives from AXSOME or an AFFILIATE of AXSOME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75" w:name="page176"/>
    <w:bookmarkEnd w:id="175"/>
    <w:p>
      <w:pPr>
        <w:jc w:val="both"/>
        <w:ind w:left="860" w:right="219"/>
        <w:spacing w:after="0" w:line="232" w:lineRule="auto"/>
        <w:rPr>
          <w:sz w:val="20"/>
          <w:szCs w:val="20"/>
          <w:color w:val="auto"/>
        </w:rPr>
      </w:pPr>
      <w:r>
        <w:rPr>
          <w:rFonts w:ascii="Arial" w:cs="Arial" w:eastAsia="Arial" w:hAnsi="Arial"/>
          <w:sz w:val="22"/>
          <w:szCs w:val="22"/>
          <w:color w:val="auto"/>
        </w:rPr>
        <w:t>rights to COMMERCIALIZE the PRODUCT; or (b) receives from another PRODUCT TRANSFEREE rights to COMMERCIALIZE the PRODUCT.</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1.59</w:t>
      </w:r>
      <w:r>
        <w:rPr>
          <w:sz w:val="20"/>
          <w:szCs w:val="20"/>
          <w:color w:val="auto"/>
        </w:rPr>
        <w:tab/>
      </w:r>
      <w:r>
        <w:rPr>
          <w:rFonts w:ascii="Arial" w:cs="Arial" w:eastAsia="Arial" w:hAnsi="Arial"/>
          <w:sz w:val="19"/>
          <w:szCs w:val="19"/>
          <w:color w:val="auto"/>
        </w:rPr>
        <w:t>“RECIPIENTS” has the meaning set forth in Section 9.2.</w:t>
      </w:r>
    </w:p>
    <w:p>
      <w:pPr>
        <w:spacing w:after="0" w:line="71"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1.60 “REGULATORY APPROVAL” means, with respect to a PRODUCT, any approval, registration, license or authorization that is necessary to COMMERCIALIZE such PRODUCT in the TERRITORY.</w:t>
      </w:r>
    </w:p>
    <w:p>
      <w:pPr>
        <w:spacing w:after="0" w:line="51" w:lineRule="exact"/>
        <w:rPr>
          <w:sz w:val="20"/>
          <w:szCs w:val="20"/>
          <w:color w:val="auto"/>
        </w:rPr>
      </w:pPr>
    </w:p>
    <w:p>
      <w:pPr>
        <w:jc w:val="both"/>
        <w:ind w:left="860" w:right="239"/>
        <w:spacing w:after="0" w:line="232" w:lineRule="auto"/>
        <w:rPr>
          <w:sz w:val="20"/>
          <w:szCs w:val="20"/>
          <w:color w:val="auto"/>
        </w:rPr>
      </w:pPr>
      <w:r>
        <w:rPr>
          <w:rFonts w:ascii="Arial" w:cs="Arial" w:eastAsia="Arial" w:hAnsi="Arial"/>
          <w:sz w:val="22"/>
          <w:szCs w:val="22"/>
          <w:color w:val="auto"/>
        </w:rPr>
        <w:t>1.61 “REGULATORY APPROVAL MILESTONES” means the milestones set forth in Schedule 5.3.</w:t>
      </w:r>
    </w:p>
    <w:p>
      <w:pPr>
        <w:spacing w:after="0" w:line="51" w:lineRule="exact"/>
        <w:rPr>
          <w:sz w:val="20"/>
          <w:szCs w:val="20"/>
          <w:color w:val="auto"/>
        </w:rPr>
      </w:pPr>
    </w:p>
    <w:p>
      <w:pPr>
        <w:jc w:val="both"/>
        <w:ind w:left="860" w:right="239"/>
        <w:spacing w:after="0" w:line="223" w:lineRule="auto"/>
        <w:rPr>
          <w:sz w:val="20"/>
          <w:szCs w:val="20"/>
          <w:color w:val="auto"/>
        </w:rPr>
      </w:pPr>
      <w:r>
        <w:rPr>
          <w:rFonts w:ascii="Arial" w:cs="Arial" w:eastAsia="Arial" w:hAnsi="Arial"/>
          <w:sz w:val="22"/>
          <w:szCs w:val="22"/>
          <w:color w:val="auto"/>
        </w:rPr>
        <w:t>1.62 “REGULATORY APPROVAL MILESTONE PAYMENTS” means the payments set forth in Schedule 5.3 that correspond to each of the REGULATORY APPROVAL MILESTONES.</w:t>
      </w:r>
    </w:p>
    <w:p>
      <w:pPr>
        <w:spacing w:after="0" w:line="51" w:lineRule="exact"/>
        <w:rPr>
          <w:sz w:val="20"/>
          <w:szCs w:val="20"/>
          <w:color w:val="auto"/>
        </w:rPr>
      </w:pPr>
    </w:p>
    <w:p>
      <w:pPr>
        <w:jc w:val="both"/>
        <w:ind w:left="860" w:right="239"/>
        <w:spacing w:after="0" w:line="232" w:lineRule="auto"/>
        <w:rPr>
          <w:sz w:val="20"/>
          <w:szCs w:val="20"/>
          <w:color w:val="auto"/>
        </w:rPr>
      </w:pPr>
      <w:r>
        <w:rPr>
          <w:rFonts w:ascii="Arial" w:cs="Arial" w:eastAsia="Arial" w:hAnsi="Arial"/>
          <w:sz w:val="22"/>
          <w:szCs w:val="22"/>
          <w:color w:val="auto"/>
        </w:rPr>
        <w:t>1.63 “REGULATORY AUTHORITY” means any GOVERNMENTAL AUTHORITY responsible for granting a REGULATORY APPROVAL.</w:t>
      </w:r>
    </w:p>
    <w:p>
      <w:pPr>
        <w:spacing w:after="0" w:line="51" w:lineRule="exact"/>
        <w:rPr>
          <w:sz w:val="20"/>
          <w:szCs w:val="20"/>
          <w:color w:val="auto"/>
        </w:rPr>
      </w:pPr>
    </w:p>
    <w:p>
      <w:pPr>
        <w:jc w:val="both"/>
        <w:ind w:left="860" w:right="219"/>
        <w:spacing w:after="0" w:line="226" w:lineRule="auto"/>
        <w:rPr>
          <w:sz w:val="20"/>
          <w:szCs w:val="20"/>
          <w:color w:val="auto"/>
        </w:rPr>
      </w:pPr>
      <w:r>
        <w:rPr>
          <w:rFonts w:ascii="Arial" w:cs="Arial" w:eastAsia="Arial" w:hAnsi="Arial"/>
          <w:sz w:val="21"/>
          <w:szCs w:val="21"/>
          <w:color w:val="auto"/>
        </w:rPr>
        <w:t>1.64 “REGULATORY FILING” means, with respect to a PRODUCT, any submission to a REGULATORY AUTHORITY of any appropriate application related to REGULATORY APPROVAL, including, without limitation, any an investigational new drug application, new drug application, submission to a regulatory advisory board, marketing authorization application and any supplement or amendment thereto.</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color w:val="auto"/>
        </w:rPr>
        <w:t>“RELEVANT RECORDS” has the meaning set forth in in Section 7.1.</w:t>
      </w:r>
    </w:p>
    <w:p>
      <w:pPr>
        <w:spacing w:after="0" w:line="71" w:lineRule="exact"/>
        <w:rPr>
          <w:sz w:val="20"/>
          <w:szCs w:val="20"/>
          <w:color w:val="auto"/>
        </w:rPr>
      </w:pPr>
    </w:p>
    <w:p>
      <w:pPr>
        <w:jc w:val="both"/>
        <w:ind w:left="860" w:right="219"/>
        <w:spacing w:after="0" w:line="234" w:lineRule="auto"/>
        <w:rPr>
          <w:sz w:val="20"/>
          <w:szCs w:val="20"/>
          <w:color w:val="auto"/>
        </w:rPr>
      </w:pPr>
      <w:r>
        <w:rPr>
          <w:rFonts w:ascii="Arial" w:cs="Arial" w:eastAsia="Arial" w:hAnsi="Arial"/>
          <w:sz w:val="21"/>
          <w:szCs w:val="21"/>
          <w:color w:val="auto"/>
        </w:rPr>
        <w:t>1.66 “RESIDUALS” means, with respect to a PARTY, information in non-tangible form which is retained in the unaided memory of individuals employed or retained by such PARTY including ideas, concepts, know-how or techniques contained therein.</w:t>
      </w:r>
    </w:p>
    <w:p>
      <w:pPr>
        <w:spacing w:after="0" w:line="50"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19"/>
          <w:szCs w:val="19"/>
          <w:color w:val="auto"/>
        </w:rPr>
        <w:t>“REVIEW PERIOD” has the meaning set forth in Section 15.3.</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19"/>
          <w:szCs w:val="19"/>
          <w:color w:val="auto"/>
        </w:rPr>
        <w:t>“ROFN” has the meaning set forth in Section 10.2.</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1.69</w:t>
      </w:r>
      <w:r>
        <w:rPr>
          <w:sz w:val="20"/>
          <w:szCs w:val="20"/>
          <w:color w:val="auto"/>
        </w:rPr>
        <w:tab/>
      </w:r>
      <w:r>
        <w:rPr>
          <w:rFonts w:ascii="Arial" w:cs="Arial" w:eastAsia="Arial" w:hAnsi="Arial"/>
          <w:sz w:val="19"/>
          <w:szCs w:val="19"/>
          <w:color w:val="auto"/>
        </w:rPr>
        <w:t>“ROFN EXERCISE NOTICE” has the meaning set forth in Section 10.4.</w:t>
      </w:r>
    </w:p>
    <w:p>
      <w:pPr>
        <w:spacing w:after="0" w:line="71"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1.70 “ROFN MILESTONE” means, with respect to a PRODUCT, the occurrence of any of the following: (a) [***]; (b) [***]; (c) receipt by AXSOME, its AFFILIATE or SUBLICENESEE (if applicable) of top-line data from a [***] of the [***]; or (d) [***].</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“ROFN NEGOTIATION PERIOD” has the meaning set forth in Section 10.1.</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“ROFN NOTICE PERIOD” has the meaning set forth in Section 10.1.</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“ROFN OFFER NOTICE” has the meaning set forth in Section 10.3.</w:t>
      </w:r>
    </w:p>
    <w:p>
      <w:pPr>
        <w:spacing w:after="0" w:line="71" w:lineRule="exact"/>
        <w:rPr>
          <w:sz w:val="20"/>
          <w:szCs w:val="20"/>
          <w:color w:val="auto"/>
        </w:rPr>
      </w:pPr>
    </w:p>
    <w:p>
      <w:pPr>
        <w:jc w:val="both"/>
        <w:ind w:left="860" w:right="239"/>
        <w:spacing w:after="0" w:line="247" w:lineRule="auto"/>
        <w:rPr>
          <w:sz w:val="20"/>
          <w:szCs w:val="20"/>
          <w:color w:val="auto"/>
        </w:rPr>
      </w:pPr>
      <w:r>
        <w:rPr>
          <w:rFonts w:ascii="Arial" w:cs="Arial" w:eastAsia="Arial" w:hAnsi="Arial"/>
          <w:sz w:val="21"/>
          <w:szCs w:val="21"/>
          <w:color w:val="auto"/>
        </w:rPr>
        <w:t>1.74 “ROYALTY PAYMENTS” means for each PRODUCT and for each CALENDAR YEAR, the sum of MARGINAL ROYALTIES paid in accordance with Section 5.5.</w:t>
      </w:r>
    </w:p>
    <w:p>
      <w:pPr>
        <w:spacing w:after="0" w:line="43" w:lineRule="exact"/>
        <w:rPr>
          <w:sz w:val="20"/>
          <w:szCs w:val="20"/>
          <w:color w:val="auto"/>
        </w:rPr>
      </w:pPr>
    </w:p>
    <w:p>
      <w:pPr>
        <w:jc w:val="both"/>
        <w:ind w:left="860" w:right="219"/>
        <w:spacing w:after="0" w:line="249" w:lineRule="auto"/>
        <w:rPr>
          <w:sz w:val="20"/>
          <w:szCs w:val="20"/>
          <w:color w:val="auto"/>
        </w:rPr>
      </w:pPr>
      <w:r>
        <w:rPr>
          <w:rFonts w:ascii="Arial" w:cs="Arial" w:eastAsia="Arial" w:hAnsi="Arial"/>
          <w:sz w:val="19"/>
          <w:szCs w:val="19"/>
          <w:color w:val="auto"/>
        </w:rPr>
        <w:t>1.75 “ROYALTY TERM” means, with respect to each PRODUCT the period commencing on the FIRST COMMERCIAL SALE of such PRODUCT and expiring upon the later of: (a) [***] following the date of FIRST COMMERCIAL SALE of the PRODUCT, (b) the expiration of all regulatory or data exclusivity for such PRODUCT in the TERRITORY or (c) the date upon which the manufacture, use or sale of such PRODUCT in such country would no longer infringe, but for the license granted herein, 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76" w:name="page177"/>
    <w:bookmarkEnd w:id="176"/>
    <w:p>
      <w:pPr>
        <w:ind w:left="860" w:right="219"/>
        <w:spacing w:after="0" w:line="232" w:lineRule="auto"/>
        <w:rPr>
          <w:sz w:val="20"/>
          <w:szCs w:val="20"/>
          <w:color w:val="auto"/>
        </w:rPr>
      </w:pPr>
      <w:r>
        <w:rPr>
          <w:rFonts w:ascii="Arial" w:cs="Arial" w:eastAsia="Arial" w:hAnsi="Arial"/>
          <w:sz w:val="22"/>
          <w:szCs w:val="22"/>
          <w:color w:val="auto"/>
        </w:rPr>
        <w:t>VALID CLAIM of a LICENSED PATENT RIGHT covering such PRODUCT in the TERRITORY.</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color w:val="auto"/>
        </w:rPr>
        <w:t>“SALES MILESTONES” means the milestones set forth in Schedule 5.4.</w:t>
      </w:r>
    </w:p>
    <w:p>
      <w:pPr>
        <w:spacing w:after="0" w:line="71" w:lineRule="exact"/>
        <w:rPr>
          <w:sz w:val="20"/>
          <w:szCs w:val="20"/>
          <w:color w:val="auto"/>
        </w:rPr>
      </w:pPr>
    </w:p>
    <w:p>
      <w:pPr>
        <w:jc w:val="both"/>
        <w:ind w:left="860" w:right="239"/>
        <w:spacing w:after="0" w:line="232" w:lineRule="auto"/>
        <w:rPr>
          <w:sz w:val="20"/>
          <w:szCs w:val="20"/>
          <w:color w:val="auto"/>
        </w:rPr>
      </w:pPr>
      <w:r>
        <w:rPr>
          <w:rFonts w:ascii="Arial" w:cs="Arial" w:eastAsia="Arial" w:hAnsi="Arial"/>
          <w:sz w:val="22"/>
          <w:szCs w:val="22"/>
          <w:color w:val="auto"/>
        </w:rPr>
        <w:t>1.77 “SALES MILESTONE PAYMENTS” means the payments set forth in Schedule 5.4 that correspond to each of the SALES MILESTONES.</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19"/>
          <w:szCs w:val="19"/>
          <w:color w:val="auto"/>
        </w:rPr>
        <w:t>“SHARES” has the meaning set forth in Section 5.1.</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color w:val="auto"/>
        </w:rPr>
        <w:t>“SHARE TRANSFER” has the meaning set forth in Section 5.1.</w:t>
      </w:r>
    </w:p>
    <w:p>
      <w:pPr>
        <w:spacing w:after="0" w:line="71" w:lineRule="exact"/>
        <w:rPr>
          <w:sz w:val="20"/>
          <w:szCs w:val="20"/>
          <w:color w:val="auto"/>
        </w:rPr>
      </w:pPr>
    </w:p>
    <w:p>
      <w:pPr>
        <w:jc w:val="both"/>
        <w:ind w:left="860" w:right="239"/>
        <w:spacing w:after="0" w:line="232" w:lineRule="auto"/>
        <w:rPr>
          <w:sz w:val="20"/>
          <w:szCs w:val="20"/>
          <w:color w:val="auto"/>
        </w:rPr>
      </w:pPr>
      <w:r>
        <w:rPr>
          <w:rFonts w:ascii="Arial" w:cs="Arial" w:eastAsia="Arial" w:hAnsi="Arial"/>
          <w:sz w:val="22"/>
          <w:szCs w:val="22"/>
          <w:color w:val="auto"/>
        </w:rPr>
        <w:t>1.80 “SHARE TRANSFER AGREEMENT” means an agreement having the terms, conditions and covenants set forth in Schedule 1.79.</w:t>
      </w:r>
    </w:p>
    <w:p>
      <w:pPr>
        <w:spacing w:after="0" w:line="51"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1.81 “SHARE TRANSFER DATE” means the date which is the earlier of: (a) the Date of the SHARE TRANSFER AGREEMENT; and (b) the date upon which the SHARE TRANSFER occurs.</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“SIGNIFICANT TRANSACTION” means with respect to a PRODUCT [***].</w:t>
      </w:r>
    </w:p>
    <w:p>
      <w:pPr>
        <w:spacing w:after="0" w:line="71" w:lineRule="exact"/>
        <w:rPr>
          <w:sz w:val="20"/>
          <w:szCs w:val="20"/>
          <w:color w:val="auto"/>
        </w:rPr>
      </w:pPr>
    </w:p>
    <w:p>
      <w:pPr>
        <w:jc w:val="both"/>
        <w:ind w:left="860" w:right="219"/>
        <w:spacing w:after="0" w:line="232" w:lineRule="auto"/>
        <w:rPr>
          <w:sz w:val="20"/>
          <w:szCs w:val="20"/>
          <w:color w:val="auto"/>
        </w:rPr>
      </w:pPr>
      <w:r>
        <w:rPr>
          <w:rFonts w:ascii="Arial" w:cs="Arial" w:eastAsia="Arial" w:hAnsi="Arial"/>
          <w:sz w:val="22"/>
          <w:szCs w:val="22"/>
          <w:color w:val="auto"/>
        </w:rPr>
        <w:t>1.83 “SIGNIFICANT TRANSACTION PAYMENT” has the meaning set forth in Section 5.6.</w:t>
      </w:r>
    </w:p>
    <w:p>
      <w:pPr>
        <w:spacing w:after="0" w:line="51" w:lineRule="exact"/>
        <w:rPr>
          <w:sz w:val="20"/>
          <w:szCs w:val="20"/>
          <w:color w:val="auto"/>
        </w:rPr>
      </w:pPr>
    </w:p>
    <w:p>
      <w:pPr>
        <w:jc w:val="both"/>
        <w:ind w:left="860" w:right="219"/>
        <w:spacing w:after="0" w:line="229" w:lineRule="auto"/>
        <w:rPr>
          <w:sz w:val="20"/>
          <w:szCs w:val="20"/>
          <w:color w:val="auto"/>
        </w:rPr>
      </w:pPr>
      <w:r>
        <w:rPr>
          <w:rFonts w:ascii="Arial" w:cs="Arial" w:eastAsia="Arial" w:hAnsi="Arial"/>
          <w:sz w:val="21"/>
          <w:szCs w:val="21"/>
          <w:color w:val="auto"/>
        </w:rPr>
        <w:t>1.84 “SIGNIFICANT TRANSACTION VALUE” means all compensation received by AXSOME other than reimbursement of costs and expenses incurred by AXSOME, including but not limited to patent costs, withholding taxes and other amounts actually withheld from or deducted against the amounts paid to AXSOME.</w:t>
      </w:r>
    </w:p>
    <w:p>
      <w:pPr>
        <w:spacing w:after="0" w:line="50"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19"/>
          <w:szCs w:val="19"/>
          <w:color w:val="auto"/>
        </w:rPr>
        <w:t>“SUBLICENSE” has the meaning set forth in Section 2.2.</w:t>
      </w:r>
    </w:p>
    <w:p>
      <w:pPr>
        <w:spacing w:after="0" w:line="71" w:lineRule="exact"/>
        <w:rPr>
          <w:sz w:val="20"/>
          <w:szCs w:val="20"/>
          <w:color w:val="auto"/>
        </w:rPr>
      </w:pPr>
    </w:p>
    <w:p>
      <w:pPr>
        <w:jc w:val="both"/>
        <w:ind w:left="860" w:right="219"/>
        <w:spacing w:after="0" w:line="232" w:lineRule="auto"/>
        <w:rPr>
          <w:sz w:val="20"/>
          <w:szCs w:val="20"/>
          <w:color w:val="auto"/>
        </w:rPr>
      </w:pPr>
      <w:r>
        <w:rPr>
          <w:rFonts w:ascii="Arial" w:cs="Arial" w:eastAsia="Arial" w:hAnsi="Arial"/>
          <w:sz w:val="22"/>
          <w:szCs w:val="22"/>
          <w:color w:val="auto"/>
        </w:rPr>
        <w:t>1.86 “SUBLICENSEE” means a THIRD PARTY that has been granted a SUBLICENSE pursuant to Section 2.2.</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19"/>
          <w:szCs w:val="19"/>
          <w:color w:val="auto"/>
        </w:rPr>
        <w:t>“TAX ACTION” has the meaning set forth in Section 6.9.2.</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1.88</w:t>
      </w:r>
      <w:r>
        <w:rPr>
          <w:sz w:val="20"/>
          <w:szCs w:val="20"/>
          <w:color w:val="auto"/>
        </w:rPr>
        <w:tab/>
      </w:r>
      <w:r>
        <w:rPr>
          <w:rFonts w:ascii="Arial" w:cs="Arial" w:eastAsia="Arial" w:hAnsi="Arial"/>
          <w:sz w:val="19"/>
          <w:szCs w:val="19"/>
          <w:color w:val="auto"/>
        </w:rPr>
        <w:t>“TERM” has the meaning set forth in Section 14.1.</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1.89</w:t>
      </w:r>
      <w:r>
        <w:rPr>
          <w:sz w:val="20"/>
          <w:szCs w:val="20"/>
          <w:color w:val="auto"/>
        </w:rPr>
        <w:tab/>
      </w:r>
      <w:r>
        <w:rPr>
          <w:rFonts w:ascii="Arial" w:cs="Arial" w:eastAsia="Arial" w:hAnsi="Arial"/>
          <w:sz w:val="19"/>
          <w:szCs w:val="19"/>
          <w:color w:val="auto"/>
        </w:rPr>
        <w:t>“TERRITORY” means the territory of the United States of America.</w:t>
      </w:r>
    </w:p>
    <w:p>
      <w:pPr>
        <w:spacing w:after="0" w:line="52" w:lineRule="exact"/>
        <w:rPr>
          <w:sz w:val="20"/>
          <w:szCs w:val="20"/>
          <w:color w:val="auto"/>
        </w:rPr>
      </w:pPr>
    </w:p>
    <w:p>
      <w:pPr>
        <w:ind w:left="860"/>
        <w:spacing w:after="0"/>
        <w:tabs>
          <w:tab w:leader="none" w:pos="1500" w:val="left"/>
        </w:tabs>
        <w:rPr>
          <w:sz w:val="20"/>
          <w:szCs w:val="20"/>
          <w:color w:val="auto"/>
        </w:rPr>
      </w:pPr>
      <w:r>
        <w:rPr>
          <w:rFonts w:ascii="Arial" w:cs="Arial" w:eastAsia="Arial" w:hAnsi="Arial"/>
          <w:sz w:val="22"/>
          <w:szCs w:val="22"/>
          <w:color w:val="auto"/>
        </w:rPr>
        <w:t>1.90</w:t>
      </w:r>
      <w:r>
        <w:rPr>
          <w:sz w:val="20"/>
          <w:szCs w:val="20"/>
          <w:color w:val="auto"/>
        </w:rPr>
        <w:tab/>
      </w:r>
      <w:r>
        <w:rPr>
          <w:rFonts w:ascii="Arial" w:cs="Arial" w:eastAsia="Arial" w:hAnsi="Arial"/>
          <w:sz w:val="19"/>
          <w:szCs w:val="19"/>
          <w:color w:val="auto"/>
        </w:rPr>
        <w:t>“THIRD PARTY” means any PERSON other than a PARTY or an AFFILIATE of a</w:t>
      </w:r>
    </w:p>
    <w:p>
      <w:pPr>
        <w:ind w:left="860"/>
        <w:spacing w:after="0"/>
        <w:rPr>
          <w:sz w:val="20"/>
          <w:szCs w:val="20"/>
          <w:color w:val="auto"/>
        </w:rPr>
      </w:pPr>
      <w:r>
        <w:rPr>
          <w:rFonts w:ascii="Arial" w:cs="Arial" w:eastAsia="Arial" w:hAnsi="Arial"/>
          <w:sz w:val="22"/>
          <w:szCs w:val="22"/>
          <w:color w:val="auto"/>
        </w:rPr>
        <w:t>PARTY.</w:t>
      </w:r>
    </w:p>
    <w:p>
      <w:pPr>
        <w:spacing w:after="0" w:line="53"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color w:val="auto"/>
        </w:rPr>
        <w:t>“THIRD PARTY INFRINGEMENT” has the meaning set forth in Section 8.4.1.</w:t>
      </w:r>
    </w:p>
    <w:p>
      <w:pPr>
        <w:spacing w:after="0" w:line="71" w:lineRule="exact"/>
        <w:rPr>
          <w:sz w:val="20"/>
          <w:szCs w:val="20"/>
          <w:color w:val="auto"/>
        </w:rPr>
      </w:pPr>
    </w:p>
    <w:p>
      <w:pPr>
        <w:jc w:val="both"/>
        <w:ind w:left="860" w:right="219"/>
        <w:spacing w:after="0" w:line="252" w:lineRule="auto"/>
        <w:rPr>
          <w:sz w:val="20"/>
          <w:szCs w:val="20"/>
          <w:color w:val="auto"/>
        </w:rPr>
      </w:pPr>
      <w:r>
        <w:rPr>
          <w:rFonts w:ascii="Arial" w:cs="Arial" w:eastAsia="Arial" w:hAnsi="Arial"/>
          <w:sz w:val="19"/>
          <w:szCs w:val="19"/>
          <w:color w:val="auto"/>
        </w:rPr>
        <w:t>1.92 “THIRD PARTY ROYALTIES” means with respect to a PRODUCT any royalties on the NET SALES of the PRODUCT that are NECESSARY to be paid for a license that is granted under a PATENT RIGHT of a THIRD PARTY. “NECESSARY” as used in this Section 1.91 means with respect to a PATENT RIGHT, that the PATENT RIGHT would be infringed, if not for the grant of such license, by activity that has actually occurred 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77" w:name="page178"/>
    <w:bookmarkEnd w:id="177"/>
    <w:p>
      <w:pPr>
        <w:ind w:left="860"/>
        <w:spacing w:after="0"/>
        <w:rPr>
          <w:sz w:val="20"/>
          <w:szCs w:val="20"/>
          <w:color w:val="auto"/>
        </w:rPr>
      </w:pPr>
      <w:r>
        <w:rPr>
          <w:rFonts w:ascii="Arial" w:cs="Arial" w:eastAsia="Arial" w:hAnsi="Arial"/>
          <w:sz w:val="19"/>
          <w:szCs w:val="19"/>
          <w:color w:val="auto"/>
        </w:rPr>
        <w:t>the DEVELOPMENT, MANUFACTURE or COMMERCIALIZATION of the PRODUCT.</w:t>
      </w:r>
    </w:p>
    <w:p>
      <w:pPr>
        <w:spacing w:after="0" w:line="87"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9"/>
          <w:szCs w:val="19"/>
          <w:color w:val="auto"/>
        </w:rPr>
        <w:t>“TRANSFER SCHEDULE” means the schedule of documents set forth in Schedule</w:t>
      </w:r>
    </w:p>
    <w:p>
      <w:pPr>
        <w:ind w:left="860"/>
        <w:spacing w:after="0"/>
        <w:rPr>
          <w:sz w:val="20"/>
          <w:szCs w:val="20"/>
          <w:color w:val="auto"/>
        </w:rPr>
      </w:pPr>
      <w:r>
        <w:rPr>
          <w:rFonts w:ascii="Arial" w:cs="Arial" w:eastAsia="Arial" w:hAnsi="Arial"/>
          <w:sz w:val="22"/>
          <w:szCs w:val="22"/>
          <w:color w:val="auto"/>
        </w:rPr>
        <w:t>1.92 relating to the LICENSED KNOW-HOW.</w:t>
      </w:r>
    </w:p>
    <w:p>
      <w:pPr>
        <w:spacing w:after="0" w:line="53"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19"/>
          <w:szCs w:val="19"/>
          <w:color w:val="auto"/>
        </w:rPr>
        <w:t>“UPFRONT PAYMENT” has the meaning set forth in Section 5.2.</w:t>
      </w:r>
    </w:p>
    <w:p>
      <w:pPr>
        <w:spacing w:after="0" w:line="71" w:lineRule="exact"/>
        <w:rPr>
          <w:sz w:val="20"/>
          <w:szCs w:val="20"/>
          <w:color w:val="auto"/>
        </w:rPr>
      </w:pPr>
    </w:p>
    <w:p>
      <w:pPr>
        <w:jc w:val="both"/>
        <w:ind w:left="860" w:right="219"/>
        <w:spacing w:after="0" w:line="244" w:lineRule="auto"/>
        <w:rPr>
          <w:sz w:val="20"/>
          <w:szCs w:val="20"/>
          <w:color w:val="auto"/>
        </w:rPr>
      </w:pPr>
      <w:r>
        <w:rPr>
          <w:rFonts w:ascii="Arial" w:cs="Arial" w:eastAsia="Arial" w:hAnsi="Arial"/>
          <w:sz w:val="19"/>
          <w:szCs w:val="19"/>
          <w:color w:val="auto"/>
        </w:rPr>
        <w:t>1.95 “VALID CLAIM” means with respect to a particular country, a claim of a PATENT RIGHT within the LICENSED PATENT RIGHTS that: (a) with respect to an issued and unexpired patent, (i) has not been held permanently revoked, unenforceable or invalid by a decision of a court or other governmental authority of competent jurisdiction, which decision is unappealed or unappealable within the time allowed for appeal and (ii) has not expired or been cancelled, withdrawn, abandoned, disclaimed or admitted to be invalid or unenforceable through reissue, disclaimer or otherwise and (b) with respect to a pending patent application, has been prosecuted in good faith, has not been abandoned or finally disallowed without the possibility of appeal or refiling of such application.</w:t>
      </w:r>
    </w:p>
    <w:p>
      <w:pPr>
        <w:spacing w:after="0" w:line="53"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19"/>
          <w:szCs w:val="19"/>
          <w:color w:val="auto"/>
        </w:rPr>
        <w:t>“VAT” has the meaning set forth in Section 6.9.1.</w:t>
      </w:r>
    </w:p>
    <w:p>
      <w:pPr>
        <w:spacing w:after="0" w:line="71" w:lineRule="exact"/>
        <w:rPr>
          <w:sz w:val="20"/>
          <w:szCs w:val="20"/>
          <w:color w:val="auto"/>
        </w:rPr>
      </w:pPr>
    </w:p>
    <w:p>
      <w:pPr>
        <w:ind w:left="860" w:hanging="651"/>
        <w:spacing w:after="0"/>
        <w:tabs>
          <w:tab w:leader="none" w:pos="86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License Grant</w:t>
      </w:r>
    </w:p>
    <w:p>
      <w:pPr>
        <w:spacing w:after="0" w:line="71" w:lineRule="exact"/>
        <w:rPr>
          <w:rFonts w:ascii="Arial" w:cs="Arial" w:eastAsia="Arial" w:hAnsi="Arial"/>
          <w:sz w:val="22"/>
          <w:szCs w:val="22"/>
          <w:color w:val="auto"/>
        </w:rPr>
      </w:pPr>
    </w:p>
    <w:p>
      <w:pPr>
        <w:jc w:val="both"/>
        <w:ind w:left="860" w:right="219"/>
        <w:spacing w:after="0" w:line="229" w:lineRule="auto"/>
        <w:rPr>
          <w:rFonts w:ascii="Arial" w:cs="Arial" w:eastAsia="Arial" w:hAnsi="Arial"/>
          <w:sz w:val="22"/>
          <w:szCs w:val="22"/>
          <w:color w:val="auto"/>
        </w:rPr>
      </w:pPr>
      <w:r>
        <w:rPr>
          <w:rFonts w:ascii="Arial" w:cs="Arial" w:eastAsia="Arial" w:hAnsi="Arial"/>
          <w:sz w:val="21"/>
          <w:szCs w:val="21"/>
          <w:color w:val="auto"/>
        </w:rPr>
        <w:t>2.1 Subject to the terms and conditions of this AGREEMENT, PFIZER hereby grants to AXSOME an exclusive (even as to PFIZER), sublicensable (subject to Section 2.2), royalty-bearing right and license under the LICENSED IP to EXPLOIT the COMPOUNDS and the PRODUCTS in the FIELD within the TERRITORY.</w:t>
      </w:r>
    </w:p>
    <w:p>
      <w:pPr>
        <w:spacing w:after="0" w:line="50" w:lineRule="exact"/>
        <w:rPr>
          <w:rFonts w:ascii="Arial" w:cs="Arial" w:eastAsia="Arial" w:hAnsi="Arial"/>
          <w:sz w:val="22"/>
          <w:szCs w:val="22"/>
          <w:color w:val="auto"/>
        </w:rPr>
      </w:pPr>
    </w:p>
    <w:p>
      <w:pPr>
        <w:jc w:val="both"/>
        <w:ind w:left="860" w:right="219"/>
        <w:spacing w:after="0" w:line="220" w:lineRule="auto"/>
        <w:rPr>
          <w:rFonts w:ascii="Arial" w:cs="Arial" w:eastAsia="Arial" w:hAnsi="Arial"/>
          <w:sz w:val="22"/>
          <w:szCs w:val="22"/>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Sublicense Rights</w:t>
      </w:r>
      <w:r>
        <w:rPr>
          <w:rFonts w:ascii="Arial" w:cs="Arial" w:eastAsia="Arial" w:hAnsi="Arial"/>
          <w:sz w:val="21"/>
          <w:szCs w:val="21"/>
          <w:color w:val="auto"/>
        </w:rPr>
        <w:t>. Subject to the provisions of Section 2.2.1, AXSOME shall be entitled to sublicense the rights granted to it by PFIZER under this AGREEMENT to: (a) an AFFILIATE of AXSOME; (b) THIRD PARTIES; and (c) pursuant to an applicable SIGNIFICANT TRANSACTION provided that all of the provisions of Section 10 relating to the ROFNs have been complied with, (each such sublicense, a “SUBLICENSE”). Notwithstanding the foregoing, the requirements set forth in Subsection 2.2.1 and 2.2.3 do not apply to SUBLICENSES granted by AXSOME to THIRD PARTIES to the extent necessary for conducting DEVELOPMENT or MANUFACTURING activities on behalf of AXSOME pursuant to this AGREEMENT only (e.g., contract manufacturing organizations, clinical research organizations).</w:t>
      </w:r>
    </w:p>
    <w:p>
      <w:pPr>
        <w:spacing w:after="0" w:line="54" w:lineRule="exact"/>
        <w:rPr>
          <w:sz w:val="20"/>
          <w:szCs w:val="20"/>
          <w:color w:val="auto"/>
        </w:rPr>
      </w:pPr>
    </w:p>
    <w:p>
      <w:pPr>
        <w:jc w:val="both"/>
        <w:ind w:left="1500" w:right="219"/>
        <w:spacing w:after="0" w:line="241" w:lineRule="auto"/>
        <w:rPr>
          <w:sz w:val="20"/>
          <w:szCs w:val="20"/>
          <w:color w:val="auto"/>
        </w:rPr>
      </w:pPr>
      <w:r>
        <w:rPr>
          <w:rFonts w:ascii="Arial" w:cs="Arial" w:eastAsia="Arial" w:hAnsi="Arial"/>
          <w:sz w:val="19"/>
          <w:szCs w:val="19"/>
          <w:color w:val="auto"/>
        </w:rPr>
        <w:t>2.2.1 All SUBLICENSES granted to THIRD PARTIES (except for those granted for purposes of DEVELOPMENT or MANUFACTURING on behalf of AXSOME or an AFFILIATE of AXSOME) shall: (a) be in writing duly executed by AXSOME and the applicable THIRD PARTY; (b) not include any term, condition or covenant that is inconsistent or contrary to those set forth in this AGREEMENT;</w:t>
      </w:r>
    </w:p>
    <w:p>
      <w:pPr>
        <w:spacing w:after="0" w:line="1" w:lineRule="exact"/>
        <w:rPr>
          <w:sz w:val="20"/>
          <w:szCs w:val="20"/>
          <w:color w:val="auto"/>
        </w:rPr>
      </w:pPr>
    </w:p>
    <w:p>
      <w:pPr>
        <w:jc w:val="both"/>
        <w:ind w:left="1620" w:right="219" w:hanging="115"/>
        <w:spacing w:after="0" w:line="237" w:lineRule="auto"/>
        <w:tabs>
          <w:tab w:leader="none" w:pos="1872"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include PFIZER as a third party beneficiary with the right to enforce the terms, conditions and covenants thereunder to the extent related to PFIZER’s rights</w:t>
      </w:r>
    </w:p>
    <w:p>
      <w:pPr>
        <w:jc w:val="both"/>
        <w:ind w:left="1500" w:right="219"/>
        <w:spacing w:after="0" w:line="214" w:lineRule="auto"/>
        <w:rPr>
          <w:sz w:val="20"/>
          <w:szCs w:val="20"/>
          <w:color w:val="auto"/>
        </w:rPr>
      </w:pPr>
      <w:r>
        <w:rPr>
          <w:rFonts w:ascii="Arial" w:cs="Arial" w:eastAsia="Arial" w:hAnsi="Arial"/>
          <w:sz w:val="22"/>
          <w:szCs w:val="22"/>
          <w:color w:val="auto"/>
        </w:rPr>
        <w:t>granted under this AGREEMENT; (d) prohibit the SUBLICENSEE from granting further SUBLICENSES; (e) not include any term, condition or provision that restricts or adversely impacts the ROFN; and (f) include provisions consistent with Section 14.5.2.</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78" w:name="page179"/>
    <w:bookmarkEnd w:id="178"/>
    <w:p>
      <w:pPr>
        <w:jc w:val="both"/>
        <w:ind w:left="1500" w:right="219"/>
        <w:spacing w:after="0" w:line="232" w:lineRule="auto"/>
        <w:rPr>
          <w:sz w:val="20"/>
          <w:szCs w:val="20"/>
          <w:color w:val="auto"/>
        </w:rPr>
      </w:pPr>
      <w:r>
        <w:rPr>
          <w:rFonts w:ascii="Arial" w:cs="Arial" w:eastAsia="Arial" w:hAnsi="Arial"/>
          <w:sz w:val="22"/>
          <w:szCs w:val="22"/>
          <w:color w:val="auto"/>
        </w:rPr>
        <w:t>2.2.2 In no event shall any SUBLICENSE relieve AXSOME of any of its obligations under this AGREEMENT.</w:t>
      </w:r>
    </w:p>
    <w:p>
      <w:pPr>
        <w:spacing w:after="0" w:line="51" w:lineRule="exact"/>
        <w:rPr>
          <w:sz w:val="20"/>
          <w:szCs w:val="20"/>
          <w:color w:val="auto"/>
        </w:rPr>
      </w:pPr>
    </w:p>
    <w:p>
      <w:pPr>
        <w:jc w:val="both"/>
        <w:ind w:left="1500" w:right="219"/>
        <w:spacing w:after="0" w:line="212" w:lineRule="auto"/>
        <w:rPr>
          <w:sz w:val="20"/>
          <w:szCs w:val="20"/>
          <w:color w:val="auto"/>
        </w:rPr>
      </w:pPr>
      <w:r>
        <w:rPr>
          <w:rFonts w:ascii="Arial" w:cs="Arial" w:eastAsia="Arial" w:hAnsi="Arial"/>
          <w:sz w:val="22"/>
          <w:szCs w:val="22"/>
          <w:color w:val="auto"/>
        </w:rPr>
        <w:t>2.2.3 AXSOME shall furnish to PFIZER a true and complete copy of each SUBLICENSE granted to THIRD PARTIES (except for those granted for purposes of DEVELOPMENT or MANUFACTURING on behalf of AXSOME or an AFFILIATE of AXSOME) and each amendment thereto, within thirty (30) days after such SUBLICENSE or amendment having been executed; provided that AXSOME may redact any terms not necessary to confirm compliance with the terms of this AGREEMENT.</w:t>
      </w:r>
    </w:p>
    <w:p>
      <w:pPr>
        <w:spacing w:after="0" w:line="56" w:lineRule="exact"/>
        <w:rPr>
          <w:sz w:val="20"/>
          <w:szCs w:val="20"/>
          <w:color w:val="auto"/>
        </w:rPr>
      </w:pPr>
    </w:p>
    <w:p>
      <w:pPr>
        <w:jc w:val="both"/>
        <w:ind w:left="860" w:right="219"/>
        <w:spacing w:after="0" w:line="241"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Retained Rights</w:t>
      </w:r>
      <w:r>
        <w:rPr>
          <w:rFonts w:ascii="Arial" w:cs="Arial" w:eastAsia="Arial" w:hAnsi="Arial"/>
          <w:sz w:val="19"/>
          <w:szCs w:val="19"/>
          <w:color w:val="auto"/>
        </w:rPr>
        <w:t>. AXSOME acknowledges and agrees that PFIZER shall retain the following rights under the LICENSED IP: (a) to conduct (or have conducted) directly or by contractors or collaborators in the TERRITORY any research and development activities solely on behalf of PFIZER or its AFFILIATES solely for use outside the Territory; (b) to supply in the TERRITORY through [***] small quantities of the COMPOUNDS to suppliers of research reagents solely as research reagents; (c) to supply small quantities of the COMPOUNDS to THIRD PARTIES in the TERRITORY for academic, educational or other non-commercial research purposes (provided no such use of the COMPOUNDS is for human or veterinary clinical purposes); and (d) to MANUFACTURE or have MANUFACTURED the COMPOUNDS and PRODUCTS in the TERRITORY, but solely for the purposes of MANUFACTURING, DEVELOPMENT, COMMERCIALIZATION or other EXPLOITATION (or having MANUFACTURED, DEVELOPED, COMMERCIALIZED or otherwise EXPLOITED) outside of the TERRITORY. For clarity, no provision of this AGREEMENT shall be deemed to restrict either PARTY’s rights to perform activities permitted under APPLICABLE LAW of the TERRITORY related to safe harbor, research exemptions, executive declarations of urgent public health needs or the like (e.g., exemptions under 35 USC 271(e)(1)).</w:t>
      </w:r>
    </w:p>
    <w:p>
      <w:pPr>
        <w:spacing w:after="0" w:line="270" w:lineRule="exact"/>
        <w:rPr>
          <w:sz w:val="20"/>
          <w:szCs w:val="20"/>
          <w:color w:val="auto"/>
        </w:rPr>
      </w:pPr>
    </w:p>
    <w:p>
      <w:pPr>
        <w:jc w:val="both"/>
        <w:ind w:left="860" w:right="219"/>
        <w:spacing w:after="0" w:line="296"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Residuals</w:t>
      </w:r>
      <w:r>
        <w:rPr>
          <w:rFonts w:ascii="Arial" w:cs="Arial" w:eastAsia="Arial" w:hAnsi="Arial"/>
          <w:sz w:val="19"/>
          <w:szCs w:val="19"/>
          <w:color w:val="auto"/>
        </w:rPr>
        <w:t>. PFIZER shall be permitted to use for any purpose the RESIDUALS resulting from its access to or work with any COMPOUND, PRODUCT or LICENSED IP.</w:t>
      </w:r>
    </w:p>
    <w:p>
      <w:pPr>
        <w:spacing w:after="0" w:line="1" w:lineRule="exact"/>
        <w:rPr>
          <w:sz w:val="20"/>
          <w:szCs w:val="20"/>
          <w:color w:val="auto"/>
        </w:rPr>
      </w:pPr>
    </w:p>
    <w:p>
      <w:pPr>
        <w:jc w:val="both"/>
        <w:ind w:left="860" w:right="219"/>
        <w:spacing w:after="0" w:line="214"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No Additional Rights</w:t>
      </w:r>
      <w:r>
        <w:rPr>
          <w:rFonts w:ascii="Arial" w:cs="Arial" w:eastAsia="Arial" w:hAnsi="Arial"/>
          <w:sz w:val="22"/>
          <w:szCs w:val="22"/>
          <w:color w:val="auto"/>
        </w:rPr>
        <w:t>. Nothing in this AGREEMENT shall be construed to confer any rights upon AXSOME or PFIZER by implication, estoppel, or otherwise as to any technology or INTELLECTUAL PROPERTY RIGHTS of the other PARTY or its AFFILIATES other than the rights in LICENSED IP expressly granted herein, regardless of whether such technology or INTELLECTUAL PROPERTY RIGHTS shall be dominant or subordinate to any LICENSED IP.</w:t>
      </w:r>
    </w:p>
    <w:p>
      <w:pPr>
        <w:spacing w:after="0" w:line="51" w:lineRule="exact"/>
        <w:rPr>
          <w:sz w:val="20"/>
          <w:szCs w:val="20"/>
          <w:color w:val="auto"/>
        </w:rPr>
      </w:pPr>
    </w:p>
    <w:p>
      <w:pPr>
        <w:ind w:left="860" w:right="339" w:hanging="651"/>
        <w:spacing w:after="0" w:line="223" w:lineRule="auto"/>
        <w:tabs>
          <w:tab w:leader="none" w:pos="86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Transfer of Know-How</w:t>
      </w:r>
      <w:r>
        <w:rPr>
          <w:rFonts w:ascii="Arial" w:cs="Arial" w:eastAsia="Arial" w:hAnsi="Arial"/>
          <w:sz w:val="22"/>
          <w:szCs w:val="22"/>
          <w:color w:val="auto"/>
        </w:rPr>
        <w:t>. Within thirty (30) days of the EFFECTIVE DATE, PFIZER shall transfer to AXSOME the documentation and materials set forth in the TRANSFER SCHEDULE.</w:t>
      </w:r>
    </w:p>
    <w:p>
      <w:pPr>
        <w:spacing w:after="0" w:line="158" w:lineRule="exact"/>
        <w:rPr>
          <w:rFonts w:ascii="Arial" w:cs="Arial" w:eastAsia="Arial" w:hAnsi="Arial"/>
          <w:sz w:val="22"/>
          <w:szCs w:val="22"/>
          <w:color w:val="auto"/>
        </w:rPr>
      </w:pPr>
    </w:p>
    <w:p>
      <w:pPr>
        <w:ind w:left="860" w:hanging="651"/>
        <w:spacing w:after="0"/>
        <w:tabs>
          <w:tab w:leader="none" w:pos="86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Development; Manufacturing; Commercialization</w:t>
      </w:r>
    </w:p>
    <w:p>
      <w:pPr>
        <w:spacing w:after="0" w:line="71" w:lineRule="exact"/>
        <w:rPr>
          <w:rFonts w:ascii="Arial" w:cs="Arial" w:eastAsia="Arial" w:hAnsi="Arial"/>
          <w:sz w:val="22"/>
          <w:szCs w:val="22"/>
          <w:color w:val="auto"/>
        </w:rPr>
      </w:pPr>
    </w:p>
    <w:p>
      <w:pPr>
        <w:jc w:val="both"/>
        <w:ind w:left="860" w:right="219"/>
        <w:spacing w:after="0" w:line="229" w:lineRule="auto"/>
        <w:rPr>
          <w:rFonts w:ascii="Arial" w:cs="Arial" w:eastAsia="Arial" w:hAnsi="Arial"/>
          <w:sz w:val="22"/>
          <w:szCs w:val="22"/>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Sole Responsibility, Authority and Control</w:t>
      </w:r>
      <w:r>
        <w:rPr>
          <w:rFonts w:ascii="Arial" w:cs="Arial" w:eastAsia="Arial" w:hAnsi="Arial"/>
          <w:sz w:val="21"/>
          <w:szCs w:val="21"/>
          <w:color w:val="auto"/>
        </w:rPr>
        <w:t>. As between the PARTIES and subject to the provisions of Section 2.3 (retained rights), AXSOME shall have sole responsibility for the cost and expenses of, and the sole authority over and control of the DEVELOPMENT, MANUFACTURE, seeking and maintaining REGULATORY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79" w:name="page180"/>
    <w:bookmarkEnd w:id="179"/>
    <w:p>
      <w:pPr>
        <w:jc w:val="both"/>
        <w:ind w:left="860" w:right="239"/>
        <w:spacing w:after="0" w:line="232" w:lineRule="auto"/>
        <w:rPr>
          <w:sz w:val="20"/>
          <w:szCs w:val="20"/>
          <w:color w:val="auto"/>
        </w:rPr>
      </w:pPr>
      <w:r>
        <w:rPr>
          <w:rFonts w:ascii="Arial" w:cs="Arial" w:eastAsia="Arial" w:hAnsi="Arial"/>
          <w:sz w:val="22"/>
          <w:szCs w:val="22"/>
          <w:color w:val="auto"/>
        </w:rPr>
        <w:t>APPROVALS and COMMERCIALIZATION of COMPOUNDS and PRODUCTS in the TERRITORY for the FIELD.</w:t>
      </w:r>
    </w:p>
    <w:p>
      <w:pPr>
        <w:spacing w:after="0" w:line="51" w:lineRule="exact"/>
        <w:rPr>
          <w:sz w:val="20"/>
          <w:szCs w:val="20"/>
          <w:color w:val="auto"/>
        </w:rPr>
      </w:pPr>
    </w:p>
    <w:p>
      <w:pPr>
        <w:jc w:val="both"/>
        <w:ind w:left="860" w:right="219"/>
        <w:spacing w:after="0" w:line="21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Diligence</w:t>
      </w:r>
      <w:r>
        <w:rPr>
          <w:rFonts w:ascii="Arial" w:cs="Arial" w:eastAsia="Arial" w:hAnsi="Arial"/>
          <w:sz w:val="22"/>
          <w:szCs w:val="22"/>
          <w:color w:val="auto"/>
        </w:rPr>
        <w:t>. AXSOME shall use COMMERCIALLY REASONABLE EFFORTS and, if applicable, shall ensure that its AFFILIATES and SUBLICENSEES use COMMERCIALLY REASONABLE EFFORTS to DEVELOP, MANUFACTURE, seek and maintain REGULATORY APPROVALS and COMMERCIALIZE the COMPOUNDS and PRODUCTS in the TERRITORY for the FIELD.</w:t>
      </w:r>
    </w:p>
    <w:p>
      <w:pPr>
        <w:spacing w:after="0" w:line="50" w:lineRule="exact"/>
        <w:rPr>
          <w:sz w:val="20"/>
          <w:szCs w:val="20"/>
          <w:color w:val="auto"/>
        </w:rPr>
      </w:pPr>
    </w:p>
    <w:p>
      <w:pPr>
        <w:jc w:val="both"/>
        <w:ind w:left="860" w:right="219"/>
        <w:spacing w:after="0"/>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Progress Reporting</w:t>
      </w:r>
      <w:r>
        <w:rPr>
          <w:rFonts w:ascii="Arial" w:cs="Arial" w:eastAsia="Arial" w:hAnsi="Arial"/>
          <w:sz w:val="19"/>
          <w:szCs w:val="19"/>
          <w:color w:val="auto"/>
        </w:rPr>
        <w:t>. At least ninety (90) days prior to the start of each CALENDAR YEAR, AXSOME shall provide to PFIZER a report including (a) an update on the progress of AXSOME’s DEVELOPMENT and COMMERCIALIZATION activities, including studies completed or in progress, studies planned, and key achievements to date in the CALENDAR YEAR, (b) a summary of the planned DEVELOPMENT and COMMERCIALIZATION activities for the upcoming CALENDAR YEAR, including studies completed or in progress, studies planned, and key achievements and milestones that are expected and (c) a non-binding three (3) year forecast of payments that are anticipated to be made to PFIZER pursuant to Section 5, on a CALENDAR QUARTER basis for the first year and on a CALENDAR YEAR basis for the second and third years, provided however that AXSOME shall not be required to provide a forecast of ROYALTY PAYMENTS until after the first report of ROYALTY PAYMENT pursuant to Section 5.5.4 is provided to PFIZER. With respect to the foregoing, AXSOME shall be obligated to use no more than COMMERCIALLY REASONABLE EFFORTS to provide the key achievements and milestones that are expected and the non-binding forecast of payments under Subsection (c) of this Section 4.3. AXSOME would make available on a quarterly basis for a reasonable period of time, knowledgeable personnel to respond to questions from PFIZER or its AFFILIATES pertaining to the development and commercialization of the PRODUCT in order to assist PFIZER or its AFFILIATES with fulfilling any of PFIZER’s or its AFFILIATES revenue recognition procedures as they pertain to payments owed or potentially owed to PFIZER under this AGREEMENT.</w:t>
      </w:r>
    </w:p>
    <w:p>
      <w:pPr>
        <w:spacing w:after="0" w:line="200" w:lineRule="exact"/>
        <w:rPr>
          <w:sz w:val="20"/>
          <w:szCs w:val="20"/>
          <w:color w:val="auto"/>
        </w:rPr>
      </w:pPr>
    </w:p>
    <w:p>
      <w:pPr>
        <w:spacing w:after="0" w:line="398" w:lineRule="exact"/>
        <w:rPr>
          <w:sz w:val="20"/>
          <w:szCs w:val="20"/>
          <w:color w:val="auto"/>
        </w:rPr>
      </w:pPr>
    </w:p>
    <w:p>
      <w:pPr>
        <w:ind w:left="860" w:hanging="651"/>
        <w:spacing w:after="0"/>
        <w:tabs>
          <w:tab w:leader="none" w:pos="8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Consideration</w:t>
      </w:r>
    </w:p>
    <w:p>
      <w:pPr>
        <w:spacing w:after="0" w:line="71" w:lineRule="exact"/>
        <w:rPr>
          <w:rFonts w:ascii="Arial" w:cs="Arial" w:eastAsia="Arial" w:hAnsi="Arial"/>
          <w:sz w:val="22"/>
          <w:szCs w:val="22"/>
          <w:color w:val="auto"/>
        </w:rPr>
      </w:pPr>
    </w:p>
    <w:p>
      <w:pPr>
        <w:jc w:val="both"/>
        <w:ind w:left="860" w:right="219"/>
        <w:spacing w:after="0" w:line="244" w:lineRule="auto"/>
        <w:rPr>
          <w:rFonts w:ascii="Arial" w:cs="Arial" w:eastAsia="Arial" w:hAnsi="Arial"/>
          <w:sz w:val="22"/>
          <w:szCs w:val="22"/>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Equity</w:t>
      </w:r>
      <w:r>
        <w:rPr>
          <w:rFonts w:ascii="Arial" w:cs="Arial" w:eastAsia="Arial" w:hAnsi="Arial"/>
          <w:sz w:val="19"/>
          <w:szCs w:val="19"/>
          <w:color w:val="auto"/>
        </w:rPr>
        <w:t>. In consideration of the licenses and rights granted to AXSOME hereunder, AXSOME shall on the SHARE TRANSFER DATE issue to PFIZER, that number of shares of AXSOME's common stock (the “SHARES”) having a value in the amount set forth in Schedule 5.1 based on the average closing price of the AXSOME’s common stock on the U.S. public market or exchange in which AXSOME shares are listed or traded for the ten (10) consecutive trading days immediately preceding the date of this AGREEMENT (the “SHARE TRANSFER”). On the EFFECTIVE DATE the PARTIES shall enter into the SHARE TRANSFER AGREEMENT setting forth the terms and conditions of the SHARE TRANSFER, which shall include a restriction on the sale by PFIZER of the SHARES prior to the first anniversary of the EFFECTIVE DATE.</w:t>
      </w:r>
    </w:p>
    <w:p>
      <w:pPr>
        <w:spacing w:after="0" w:line="46"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2"/>
          <w:szCs w:val="22"/>
          <w:u w:val="single" w:color="auto"/>
          <w:color w:val="auto"/>
        </w:rPr>
        <w:t>Upfront Payment</w:t>
      </w:r>
      <w:r>
        <w:rPr>
          <w:rFonts w:ascii="Arial" w:cs="Arial" w:eastAsia="Arial" w:hAnsi="Arial"/>
          <w:sz w:val="22"/>
          <w:szCs w:val="22"/>
          <w:color w:val="auto"/>
        </w:rPr>
        <w:t>.</w:t>
      </w:r>
    </w:p>
    <w:p>
      <w:pPr>
        <w:spacing w:after="0" w:line="179" w:lineRule="exact"/>
        <w:rPr>
          <w:sz w:val="20"/>
          <w:szCs w:val="20"/>
          <w:color w:val="auto"/>
        </w:rPr>
      </w:pPr>
    </w:p>
    <w:p>
      <w:pPr>
        <w:ind w:left="1500" w:right="219"/>
        <w:spacing w:after="0" w:line="298" w:lineRule="auto"/>
        <w:rPr>
          <w:sz w:val="20"/>
          <w:szCs w:val="20"/>
          <w:color w:val="auto"/>
        </w:rPr>
      </w:pPr>
      <w:r>
        <w:rPr>
          <w:rFonts w:ascii="Arial" w:cs="Arial" w:eastAsia="Arial" w:hAnsi="Arial"/>
          <w:sz w:val="19"/>
          <w:szCs w:val="19"/>
          <w:color w:val="auto"/>
        </w:rPr>
        <w:t>5.2.1 As additional consideration of the licenses and rights granted to AXSOME hereunder, AXSOME shall pay to PFIZER a one-time, upfront, non-refundable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80" w:name="page181"/>
    <w:bookmarkEnd w:id="180"/>
    <w:p>
      <w:pPr>
        <w:jc w:val="both"/>
        <w:ind w:left="1500" w:right="239"/>
        <w:spacing w:after="0" w:line="232" w:lineRule="auto"/>
        <w:rPr>
          <w:sz w:val="20"/>
          <w:szCs w:val="20"/>
          <w:color w:val="auto"/>
        </w:rPr>
      </w:pPr>
      <w:r>
        <w:rPr>
          <w:rFonts w:ascii="Arial" w:cs="Arial" w:eastAsia="Arial" w:hAnsi="Arial"/>
          <w:sz w:val="22"/>
          <w:szCs w:val="22"/>
          <w:color w:val="auto"/>
        </w:rPr>
        <w:t>non-creditable payment in the amount set forth in Schedule 5.2 (the “UPFRONT PAYMENT”).</w:t>
      </w:r>
    </w:p>
    <w:p>
      <w:pPr>
        <w:spacing w:after="0" w:line="51" w:lineRule="exact"/>
        <w:rPr>
          <w:sz w:val="20"/>
          <w:szCs w:val="20"/>
          <w:color w:val="auto"/>
        </w:rPr>
      </w:pPr>
    </w:p>
    <w:p>
      <w:pPr>
        <w:ind w:left="1500"/>
        <w:spacing w:after="0"/>
        <w:tabs>
          <w:tab w:leader="none" w:pos="2120" w:val="left"/>
        </w:tabs>
        <w:rPr>
          <w:sz w:val="20"/>
          <w:szCs w:val="20"/>
          <w:color w:val="auto"/>
        </w:rPr>
      </w:pPr>
      <w:r>
        <w:rPr>
          <w:rFonts w:ascii="Arial" w:cs="Arial" w:eastAsia="Arial" w:hAnsi="Arial"/>
          <w:sz w:val="22"/>
          <w:szCs w:val="22"/>
          <w:color w:val="auto"/>
        </w:rPr>
        <w:t>5.2.2</w:t>
      </w:r>
      <w:r>
        <w:rPr>
          <w:sz w:val="20"/>
          <w:szCs w:val="20"/>
          <w:color w:val="auto"/>
        </w:rPr>
        <w:tab/>
      </w:r>
      <w:r>
        <w:rPr>
          <w:rFonts w:ascii="Arial" w:cs="Arial" w:eastAsia="Arial" w:hAnsi="Arial"/>
          <w:sz w:val="19"/>
          <w:szCs w:val="19"/>
          <w:color w:val="auto"/>
        </w:rPr>
        <w:t>The UPFRONT PAYMENT shall be paid as set forth in Section 6.1.</w:t>
      </w:r>
    </w:p>
    <w:p>
      <w:pPr>
        <w:spacing w:after="0" w:line="7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Regulatory Approval Milestone Payments</w:t>
      </w:r>
    </w:p>
    <w:p>
      <w:pPr>
        <w:spacing w:after="0" w:line="179" w:lineRule="exact"/>
        <w:rPr>
          <w:sz w:val="20"/>
          <w:szCs w:val="20"/>
          <w:color w:val="auto"/>
        </w:rPr>
      </w:pPr>
    </w:p>
    <w:p>
      <w:pPr>
        <w:jc w:val="both"/>
        <w:ind w:left="1500" w:right="219"/>
        <w:spacing w:after="0" w:line="257" w:lineRule="auto"/>
        <w:rPr>
          <w:sz w:val="20"/>
          <w:szCs w:val="20"/>
          <w:color w:val="auto"/>
        </w:rPr>
      </w:pPr>
      <w:r>
        <w:rPr>
          <w:rFonts w:ascii="Arial" w:cs="Arial" w:eastAsia="Arial" w:hAnsi="Arial"/>
          <w:sz w:val="19"/>
          <w:szCs w:val="19"/>
          <w:color w:val="auto"/>
        </w:rPr>
        <w:t>5.3.1 As additional consideration of the licenses and rights granted to AXSOME hereunder, AXSOME shall pay to PFIZER the REGULATORY APPROVAL MILESTONE PAYMENTS after achievement of the corresponding REGULATORY APPROVAL MILESTONE set forth in Schedule 5.3 is achieved.</w:t>
      </w:r>
    </w:p>
    <w:p>
      <w:pPr>
        <w:spacing w:after="0" w:line="36" w:lineRule="exact"/>
        <w:rPr>
          <w:sz w:val="20"/>
          <w:szCs w:val="20"/>
          <w:color w:val="auto"/>
        </w:rPr>
      </w:pPr>
    </w:p>
    <w:p>
      <w:pPr>
        <w:jc w:val="both"/>
        <w:ind w:left="1500" w:right="219"/>
        <w:spacing w:after="0" w:line="232" w:lineRule="auto"/>
        <w:rPr>
          <w:sz w:val="20"/>
          <w:szCs w:val="20"/>
          <w:color w:val="auto"/>
        </w:rPr>
      </w:pPr>
      <w:r>
        <w:rPr>
          <w:rFonts w:ascii="Arial" w:cs="Arial" w:eastAsia="Arial" w:hAnsi="Arial"/>
          <w:sz w:val="22"/>
          <w:szCs w:val="22"/>
          <w:color w:val="auto"/>
        </w:rPr>
        <w:t>5.3.2 The REGULATORY APPROVAL MILESTONE PAYMENTS shall be paid as set forth in Section 6.2.</w:t>
      </w:r>
    </w:p>
    <w:p>
      <w:pPr>
        <w:spacing w:after="0" w:line="51"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Sales Milestone Payments</w:t>
      </w:r>
      <w:r>
        <w:rPr>
          <w:rFonts w:ascii="Arial" w:cs="Arial" w:eastAsia="Arial" w:hAnsi="Arial"/>
          <w:sz w:val="22"/>
          <w:szCs w:val="22"/>
          <w:color w:val="auto"/>
        </w:rPr>
        <w:t>. As additional consideration of the licenses and rights granted to AXSOME hereunder, AXSOME shall pay to PFIZER the SALES MILESTONE PAYMENTS set forth in Schedule 5.4 as follows:</w:t>
      </w:r>
    </w:p>
    <w:p>
      <w:pPr>
        <w:spacing w:after="0" w:line="51" w:lineRule="exact"/>
        <w:rPr>
          <w:sz w:val="20"/>
          <w:szCs w:val="20"/>
          <w:color w:val="auto"/>
        </w:rPr>
      </w:pPr>
    </w:p>
    <w:p>
      <w:pPr>
        <w:jc w:val="both"/>
        <w:ind w:left="1500" w:right="239"/>
        <w:spacing w:after="0" w:line="232" w:lineRule="auto"/>
        <w:rPr>
          <w:sz w:val="20"/>
          <w:szCs w:val="20"/>
          <w:color w:val="auto"/>
        </w:rPr>
      </w:pPr>
      <w:r>
        <w:rPr>
          <w:rFonts w:ascii="Arial" w:cs="Arial" w:eastAsia="Arial" w:hAnsi="Arial"/>
          <w:sz w:val="22"/>
          <w:szCs w:val="22"/>
          <w:color w:val="auto"/>
        </w:rPr>
        <w:t>5.4.1 SALES MILESTONE PAYMENTS shall be paid after achievement of the corresponding SALES MILESTONES 1 to 3;</w:t>
      </w:r>
    </w:p>
    <w:p>
      <w:pPr>
        <w:spacing w:after="0" w:line="51" w:lineRule="exact"/>
        <w:rPr>
          <w:sz w:val="20"/>
          <w:szCs w:val="20"/>
          <w:color w:val="auto"/>
        </w:rPr>
      </w:pPr>
    </w:p>
    <w:p>
      <w:pPr>
        <w:jc w:val="both"/>
        <w:ind w:left="1500" w:right="219"/>
        <w:spacing w:after="0" w:line="211" w:lineRule="auto"/>
        <w:rPr>
          <w:sz w:val="20"/>
          <w:szCs w:val="20"/>
          <w:color w:val="auto"/>
        </w:rPr>
      </w:pPr>
      <w:r>
        <w:rPr>
          <w:rFonts w:ascii="Arial" w:cs="Arial" w:eastAsia="Arial" w:hAnsi="Arial"/>
          <w:sz w:val="22"/>
          <w:szCs w:val="22"/>
          <w:color w:val="auto"/>
        </w:rPr>
        <w:t>5.4.2 On or after [***] from the FIRST COMMERCIAL SALE of any PRODUCT and after SALES MILESTONE 4 has been achieved, AXSOME shall pay PFIZER the SALES MILESTONE PAYMENT that corresponds to SALES MILESTONE 4, provided that: (a) the SALES MILESTONE PAYMENT corresponding to SALES MILESTONE 1 has not yet been paid; and (b) upon the subsequent achievement of SALES MILESTONE 1, the SALES MILESTONE PAYMENT that corresponds to SALES MILESTONE 1 shall be reduced by the amount paid for SALES MILESTONE 4;</w:t>
      </w:r>
    </w:p>
    <w:p>
      <w:pPr>
        <w:spacing w:after="0" w:line="57" w:lineRule="exact"/>
        <w:rPr>
          <w:sz w:val="20"/>
          <w:szCs w:val="20"/>
          <w:color w:val="auto"/>
        </w:rPr>
      </w:pPr>
    </w:p>
    <w:p>
      <w:pPr>
        <w:jc w:val="both"/>
        <w:ind w:left="1500" w:right="219"/>
        <w:spacing w:after="0" w:line="223" w:lineRule="auto"/>
        <w:rPr>
          <w:sz w:val="20"/>
          <w:szCs w:val="20"/>
          <w:color w:val="auto"/>
        </w:rPr>
      </w:pPr>
      <w:r>
        <w:rPr>
          <w:rFonts w:ascii="Arial" w:cs="Arial" w:eastAsia="Arial" w:hAnsi="Arial"/>
          <w:sz w:val="22"/>
          <w:szCs w:val="22"/>
          <w:color w:val="auto"/>
        </w:rPr>
        <w:t>5.4.3 For clarity, in the event that more than one SALES MILESTONE is attained in a CALENDAR YEAR, all applicable SALES MILESTONE PAYMENTS shall be paid for the applicable CALENDAR YEAR; and</w:t>
      </w:r>
    </w:p>
    <w:p>
      <w:pPr>
        <w:spacing w:after="0" w:line="32"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5.4.4</w:t>
      </w:r>
      <w:r>
        <w:rPr>
          <w:sz w:val="20"/>
          <w:szCs w:val="20"/>
          <w:color w:val="auto"/>
        </w:rPr>
        <w:tab/>
      </w:r>
      <w:r>
        <w:rPr>
          <w:rFonts w:ascii="Arial" w:cs="Arial" w:eastAsia="Arial" w:hAnsi="Arial"/>
          <w:sz w:val="19"/>
          <w:szCs w:val="19"/>
          <w:color w:val="auto"/>
        </w:rPr>
        <w:t>The SALES MILESTONE PAYMENTS shall be paid as set forth in Section</w:t>
      </w:r>
    </w:p>
    <w:p>
      <w:pPr>
        <w:ind w:left="1500"/>
        <w:spacing w:after="0"/>
        <w:rPr>
          <w:sz w:val="20"/>
          <w:szCs w:val="20"/>
          <w:color w:val="auto"/>
        </w:rPr>
      </w:pPr>
      <w:r>
        <w:rPr>
          <w:rFonts w:ascii="Arial" w:cs="Arial" w:eastAsia="Arial" w:hAnsi="Arial"/>
          <w:sz w:val="22"/>
          <w:szCs w:val="22"/>
          <w:color w:val="auto"/>
        </w:rPr>
        <w:t>6.3.</w:t>
      </w:r>
    </w:p>
    <w:p>
      <w:pPr>
        <w:spacing w:after="0" w:line="53"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Royalty Payments</w:t>
      </w:r>
    </w:p>
    <w:p>
      <w:pPr>
        <w:spacing w:after="0" w:line="71" w:lineRule="exact"/>
        <w:rPr>
          <w:sz w:val="20"/>
          <w:szCs w:val="20"/>
          <w:color w:val="auto"/>
        </w:rPr>
      </w:pPr>
    </w:p>
    <w:p>
      <w:pPr>
        <w:jc w:val="both"/>
        <w:ind w:left="1500" w:right="219"/>
        <w:spacing w:after="0" w:line="222" w:lineRule="auto"/>
        <w:rPr>
          <w:sz w:val="20"/>
          <w:szCs w:val="20"/>
          <w:color w:val="auto"/>
        </w:rPr>
      </w:pPr>
      <w:r>
        <w:rPr>
          <w:rFonts w:ascii="Arial" w:cs="Arial" w:eastAsia="Arial" w:hAnsi="Arial"/>
          <w:sz w:val="21"/>
          <w:szCs w:val="21"/>
          <w:color w:val="auto"/>
        </w:rPr>
        <w:t xml:space="preserve">5.5.1 </w:t>
      </w:r>
      <w:r>
        <w:rPr>
          <w:rFonts w:ascii="Arial" w:cs="Arial" w:eastAsia="Arial" w:hAnsi="Arial"/>
          <w:sz w:val="21"/>
          <w:szCs w:val="21"/>
          <w:u w:val="single" w:color="auto"/>
          <w:color w:val="auto"/>
        </w:rPr>
        <w:t>Generally</w:t>
      </w:r>
      <w:r>
        <w:rPr>
          <w:rFonts w:ascii="Arial" w:cs="Arial" w:eastAsia="Arial" w:hAnsi="Arial"/>
          <w:sz w:val="21"/>
          <w:szCs w:val="21"/>
          <w:color w:val="auto"/>
        </w:rPr>
        <w:t>. As additional consideration of the licenses and rights granted to AXSOME hereunder, AXSOME shall pay to PFIZER for each PRODUCT the ROYALTY PAYMENTS based on the corresponding MARGINAL ROYALTIES calculated on a CALENDAR QUARTER basis beginning in the CALENDAR QUARTER of the FIRST COMMERCIAL SALE of the PRODUCT until termination of the ROYALTY TERM for such PRODUCT, subject to any applicable adjustments as set forth in Section 5.5.3.</w:t>
      </w:r>
    </w:p>
    <w:p>
      <w:pPr>
        <w:spacing w:after="0" w:line="56" w:lineRule="exact"/>
        <w:rPr>
          <w:sz w:val="20"/>
          <w:szCs w:val="20"/>
          <w:color w:val="auto"/>
        </w:rPr>
      </w:pPr>
    </w:p>
    <w:p>
      <w:pPr>
        <w:jc w:val="both"/>
        <w:ind w:left="1500" w:right="219"/>
        <w:spacing w:after="0" w:line="232" w:lineRule="auto"/>
        <w:rPr>
          <w:sz w:val="20"/>
          <w:szCs w:val="20"/>
          <w:color w:val="auto"/>
        </w:rPr>
      </w:pPr>
      <w:r>
        <w:rPr>
          <w:rFonts w:ascii="Arial" w:cs="Arial" w:eastAsia="Arial" w:hAnsi="Arial"/>
          <w:sz w:val="22"/>
          <w:szCs w:val="22"/>
          <w:color w:val="auto"/>
        </w:rPr>
        <w:t xml:space="preserve">5.5.2 </w:t>
      </w:r>
      <w:r>
        <w:rPr>
          <w:rFonts w:ascii="Arial" w:cs="Arial" w:eastAsia="Arial" w:hAnsi="Arial"/>
          <w:sz w:val="22"/>
          <w:szCs w:val="22"/>
          <w:u w:val="single" w:color="auto"/>
          <w:color w:val="auto"/>
        </w:rPr>
        <w:t>Timing of Payments</w:t>
      </w:r>
      <w:r>
        <w:rPr>
          <w:rFonts w:ascii="Arial" w:cs="Arial" w:eastAsia="Arial" w:hAnsi="Arial"/>
          <w:sz w:val="22"/>
          <w:szCs w:val="22"/>
          <w:color w:val="auto"/>
        </w:rPr>
        <w:t>. The ROYALTY PAYMENTS shall be paid as set forth in Section 6.4.</w:t>
      </w:r>
    </w:p>
    <w:p>
      <w:pPr>
        <w:spacing w:after="0" w:line="51"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5.5.3</w:t>
      </w:r>
      <w:r>
        <w:rPr>
          <w:sz w:val="20"/>
          <w:szCs w:val="20"/>
          <w:color w:val="auto"/>
        </w:rPr>
        <w:tab/>
      </w:r>
      <w:r>
        <w:rPr>
          <w:rFonts w:ascii="Arial" w:cs="Arial" w:eastAsia="Arial" w:hAnsi="Arial"/>
          <w:sz w:val="19"/>
          <w:szCs w:val="19"/>
          <w:u w:val="single" w:color="auto"/>
          <w:color w:val="auto"/>
        </w:rPr>
        <w:t>Adjustments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81" w:name="page182"/>
    <w:bookmarkEnd w:id="181"/>
    <w:p>
      <w:pPr>
        <w:jc w:val="both"/>
        <w:ind w:left="2160" w:right="219" w:hanging="7"/>
        <w:spacing w:after="0" w:line="249" w:lineRule="auto"/>
        <w:tabs>
          <w:tab w:leader="none" w:pos="3092" w:val="left"/>
        </w:tabs>
        <w:numPr>
          <w:ilvl w:val="0"/>
          <w:numId w:val="68"/>
        </w:numPr>
        <w:rPr>
          <w:rFonts w:ascii="Arial" w:cs="Arial" w:eastAsia="Arial" w:hAnsi="Arial"/>
          <w:sz w:val="19"/>
          <w:szCs w:val="19"/>
          <w:color w:val="auto"/>
        </w:rPr>
      </w:pPr>
      <w:r>
        <w:rPr>
          <w:rFonts w:ascii="Arial" w:cs="Arial" w:eastAsia="Arial" w:hAnsi="Arial"/>
          <w:sz w:val="19"/>
          <w:szCs w:val="19"/>
          <w:color w:val="auto"/>
        </w:rPr>
        <w:t>For each PRODUCT, AXSOME shall be entitled to reduce the ROYALTY PAYMENTS by [***] percent ([***]%) of any THIRD PARTY ROYALTIES actually paid to a THIRD PARTY for the NET SALES corresponding to the ROYALTY PAYMENTS, provided that such reduction shall be no more than that which reduces the ROYALTY PAYMENT for the applicable NET SALES to [***]percent ([***]</w:t>
      </w:r>
    </w:p>
    <w:p>
      <w:pPr>
        <w:spacing w:after="0" w:line="43" w:lineRule="exact"/>
        <w:rPr>
          <w:rFonts w:ascii="Arial" w:cs="Arial" w:eastAsia="Arial" w:hAnsi="Arial"/>
          <w:sz w:val="19"/>
          <w:szCs w:val="19"/>
          <w:color w:val="auto"/>
        </w:rPr>
      </w:pPr>
    </w:p>
    <w:p>
      <w:pPr>
        <w:jc w:val="both"/>
        <w:ind w:left="2160" w:right="219" w:hanging="7"/>
        <w:spacing w:after="0" w:line="214" w:lineRule="auto"/>
        <w:tabs>
          <w:tab w:leader="none" w:pos="3104" w:val="left"/>
        </w:tabs>
        <w:numPr>
          <w:ilvl w:val="0"/>
          <w:numId w:val="68"/>
        </w:numPr>
        <w:rPr>
          <w:rFonts w:ascii="Arial" w:cs="Arial" w:eastAsia="Arial" w:hAnsi="Arial"/>
          <w:sz w:val="22"/>
          <w:szCs w:val="22"/>
          <w:color w:val="auto"/>
        </w:rPr>
      </w:pPr>
      <w:r>
        <w:rPr>
          <w:rFonts w:ascii="Arial" w:cs="Arial" w:eastAsia="Arial" w:hAnsi="Arial"/>
          <w:sz w:val="22"/>
          <w:szCs w:val="22"/>
          <w:color w:val="auto"/>
        </w:rPr>
        <w:t>For each PRODUCT, AXSOME shall be entitled to reduce the ROYALTY PAYMENTS by [***] percent ([***]%) for any CALENDAR QUARTER in which GENERIC COMPETITION exists in the TERRITORY, provided that such reduction shall be no more than that which reduces the ROYALTY PAYMENT for the applicable NET SALES to [***] percent ([***]).</w:t>
      </w:r>
    </w:p>
    <w:p>
      <w:pPr>
        <w:spacing w:after="0" w:line="50" w:lineRule="exact"/>
        <w:rPr>
          <w:rFonts w:ascii="Arial" w:cs="Arial" w:eastAsia="Arial" w:hAnsi="Arial"/>
          <w:sz w:val="22"/>
          <w:szCs w:val="22"/>
          <w:color w:val="auto"/>
        </w:rPr>
      </w:pPr>
    </w:p>
    <w:p>
      <w:pPr>
        <w:jc w:val="both"/>
        <w:ind w:left="2160" w:right="219" w:hanging="7"/>
        <w:spacing w:after="0" w:line="220" w:lineRule="auto"/>
        <w:tabs>
          <w:tab w:leader="none" w:pos="3281"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total reduction of ROYALTY PAYMENTS pursuant to Subsections (a) and (b) of this Section 5.5.3 shall be no more than that which reduces the ROYALTY PAYMENT for the applicable NET SALES to [***] percent ([***]). Notwithstanding the foregoing, if the reduction of ROYALTY PAYMENTS pursuant to Subsections (a) and (b) of this Section 5.5.3 would result in a ROYALTY PAYMENT for the applicable NET SALES of less than [***] percent ([***]), the amount of the excess shall be carried forward and treated as a royalty reduction under this Section 5.5.3 in the following CALENDAR QUARTERS until all such amounts are deducted.</w:t>
      </w:r>
    </w:p>
    <w:p>
      <w:pPr>
        <w:spacing w:after="0" w:line="54" w:lineRule="exact"/>
        <w:rPr>
          <w:sz w:val="20"/>
          <w:szCs w:val="20"/>
          <w:color w:val="auto"/>
        </w:rPr>
      </w:pPr>
    </w:p>
    <w:p>
      <w:pPr>
        <w:jc w:val="both"/>
        <w:ind w:left="1500" w:right="219"/>
        <w:spacing w:after="0" w:line="224" w:lineRule="auto"/>
        <w:rPr>
          <w:sz w:val="20"/>
          <w:szCs w:val="20"/>
          <w:color w:val="auto"/>
        </w:rPr>
      </w:pPr>
      <w:r>
        <w:rPr>
          <w:rFonts w:ascii="Arial" w:cs="Arial" w:eastAsia="Arial" w:hAnsi="Arial"/>
          <w:sz w:val="21"/>
          <w:szCs w:val="21"/>
          <w:color w:val="auto"/>
        </w:rPr>
        <w:t xml:space="preserve">5.5.4 </w:t>
      </w:r>
      <w:r>
        <w:rPr>
          <w:rFonts w:ascii="Arial" w:cs="Arial" w:eastAsia="Arial" w:hAnsi="Arial"/>
          <w:sz w:val="21"/>
          <w:szCs w:val="21"/>
          <w:u w:val="single" w:color="auto"/>
          <w:color w:val="auto"/>
        </w:rPr>
        <w:t>Reporting</w:t>
      </w:r>
      <w:r>
        <w:rPr>
          <w:rFonts w:ascii="Arial" w:cs="Arial" w:eastAsia="Arial" w:hAnsi="Arial"/>
          <w:sz w:val="21"/>
          <w:szCs w:val="21"/>
          <w:color w:val="auto"/>
        </w:rPr>
        <w:t>. On or before [***] ([***]) days after each CALENDAR QUARTER of the ROYALTY TERM, AXSOME shall provide PFIZER with a report for each applicable PRODUCT that includes detailed information regarding applicable NET SALES calculations (including any deductions that may be applicable) and applicable ROYALTY PAYMENTS calculations. All reports shall be the CONFIDENTIAL INFORMATION of AXSOME.</w:t>
      </w:r>
    </w:p>
    <w:p>
      <w:pPr>
        <w:spacing w:after="0" w:line="52" w:lineRule="exact"/>
        <w:rPr>
          <w:sz w:val="20"/>
          <w:szCs w:val="20"/>
          <w:color w:val="auto"/>
        </w:rPr>
      </w:pPr>
    </w:p>
    <w:p>
      <w:pPr>
        <w:jc w:val="both"/>
        <w:ind w:left="1500" w:right="219"/>
        <w:spacing w:after="0" w:line="216" w:lineRule="auto"/>
        <w:rPr>
          <w:sz w:val="20"/>
          <w:szCs w:val="20"/>
          <w:color w:val="auto"/>
        </w:rPr>
      </w:pPr>
      <w:r>
        <w:rPr>
          <w:rFonts w:ascii="Arial" w:cs="Arial" w:eastAsia="Arial" w:hAnsi="Arial"/>
          <w:sz w:val="22"/>
          <w:szCs w:val="22"/>
          <w:color w:val="auto"/>
        </w:rPr>
        <w:t xml:space="preserve">5.5.5 </w:t>
      </w:r>
      <w:r>
        <w:rPr>
          <w:rFonts w:ascii="Arial" w:cs="Arial" w:eastAsia="Arial" w:hAnsi="Arial"/>
          <w:sz w:val="22"/>
          <w:szCs w:val="22"/>
          <w:u w:val="single" w:color="auto"/>
          <w:color w:val="auto"/>
        </w:rPr>
        <w:t>Acknowledgement</w:t>
      </w:r>
      <w:r>
        <w:rPr>
          <w:rFonts w:ascii="Arial" w:cs="Arial" w:eastAsia="Arial" w:hAnsi="Arial"/>
          <w:sz w:val="22"/>
          <w:szCs w:val="22"/>
          <w:color w:val="auto"/>
        </w:rPr>
        <w:t>. The PARTIES acknowledge that ROYALTY PAYMENTS for NET SALES made in the absence of a VALID CLAIM covering a PRODUCT are paid as partial consideration for the rights granted under this AGREEMENT that are other than PATENT RIGHTS, including rights in the LICENSED KNOW-HOW.</w:t>
      </w:r>
    </w:p>
    <w:p>
      <w:pPr>
        <w:spacing w:after="0" w:line="50" w:lineRule="exact"/>
        <w:rPr>
          <w:sz w:val="20"/>
          <w:szCs w:val="20"/>
          <w:color w:val="auto"/>
        </w:rPr>
      </w:pPr>
    </w:p>
    <w:p>
      <w:pPr>
        <w:jc w:val="both"/>
        <w:ind w:left="860" w:right="219"/>
        <w:spacing w:after="0" w:line="213"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Significant Transaction Payment</w:t>
      </w:r>
      <w:r>
        <w:rPr>
          <w:rFonts w:ascii="Arial" w:cs="Arial" w:eastAsia="Arial" w:hAnsi="Arial"/>
          <w:sz w:val="22"/>
          <w:szCs w:val="22"/>
          <w:color w:val="auto"/>
        </w:rPr>
        <w:t>. In the event that AXSOME consummates a SIGNIFICANT TRANSACTION with a THIRD PARTY on or before [***] ([***])</w:t>
      </w:r>
    </w:p>
    <w:p>
      <w:pPr>
        <w:spacing w:after="0" w:line="1" w:lineRule="exact"/>
        <w:rPr>
          <w:sz w:val="20"/>
          <w:szCs w:val="20"/>
          <w:color w:val="auto"/>
        </w:rPr>
      </w:pPr>
    </w:p>
    <w:p>
      <w:pPr>
        <w:jc w:val="both"/>
        <w:ind w:left="860" w:right="219" w:firstLine="148"/>
        <w:spacing w:after="0" w:line="217" w:lineRule="auto"/>
        <w:rPr>
          <w:sz w:val="20"/>
          <w:szCs w:val="20"/>
          <w:color w:val="auto"/>
        </w:rPr>
      </w:pPr>
      <w:r>
        <w:rPr>
          <w:rFonts w:ascii="Arial" w:cs="Arial" w:eastAsia="Arial" w:hAnsi="Arial"/>
          <w:sz w:val="22"/>
          <w:szCs w:val="22"/>
          <w:color w:val="auto"/>
        </w:rPr>
        <w:t>[***]after the EFFECTIVE DATE, AXSOME shall pay PFIZER a payment of [***]percent ([***]) of the SIGNIFICANT TRANSACTION VALUE actually received from such THIRD PARTY pursuant to the SIGNIFICANT TRANSACTION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82" w:name="page183"/>
    <w:bookmarkEnd w:id="182"/>
    <w:p>
      <w:pPr>
        <w:ind w:left="860" w:right="219"/>
        <w:spacing w:after="0" w:line="232" w:lineRule="auto"/>
        <w:rPr>
          <w:sz w:val="20"/>
          <w:szCs w:val="20"/>
          <w:color w:val="auto"/>
        </w:rPr>
      </w:pPr>
      <w:r>
        <w:rPr>
          <w:rFonts w:ascii="Arial" w:cs="Arial" w:eastAsia="Arial" w:hAnsi="Arial"/>
          <w:sz w:val="22"/>
          <w:szCs w:val="22"/>
          <w:color w:val="auto"/>
        </w:rPr>
        <w:t>“SIGNIFICANT TRANSACTION PAYMENT”). All SIGNIFICANT TRANSACTION PAYMENTS shall be paid in accordance with Section 6.5.</w:t>
      </w:r>
    </w:p>
    <w:p>
      <w:pPr>
        <w:spacing w:after="0" w:line="51" w:lineRule="exact"/>
        <w:rPr>
          <w:sz w:val="20"/>
          <w:szCs w:val="20"/>
          <w:color w:val="auto"/>
        </w:rPr>
      </w:pPr>
    </w:p>
    <w:p>
      <w:pPr>
        <w:ind w:left="860" w:hanging="651"/>
        <w:spacing w:after="0"/>
        <w:tabs>
          <w:tab w:leader="none" w:pos="86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Payments</w:t>
      </w:r>
    </w:p>
    <w:p>
      <w:pPr>
        <w:spacing w:after="0" w:line="71" w:lineRule="exact"/>
        <w:rPr>
          <w:rFonts w:ascii="Arial" w:cs="Arial" w:eastAsia="Arial" w:hAnsi="Arial"/>
          <w:sz w:val="22"/>
          <w:szCs w:val="22"/>
          <w:color w:val="auto"/>
        </w:rPr>
      </w:pPr>
    </w:p>
    <w:p>
      <w:pPr>
        <w:ind w:left="860" w:right="239"/>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Upfront Payment</w:t>
      </w:r>
      <w:r>
        <w:rPr>
          <w:rFonts w:ascii="Arial" w:cs="Arial" w:eastAsia="Arial" w:hAnsi="Arial"/>
          <w:sz w:val="22"/>
          <w:szCs w:val="22"/>
          <w:color w:val="auto"/>
        </w:rPr>
        <w:t>. AXSOME shall pay to PFIZER the UPFRONT PAYMENT on the EFFECTIVE DATE.</w:t>
      </w:r>
    </w:p>
    <w:p>
      <w:pPr>
        <w:spacing w:after="0" w:line="50" w:lineRule="exact"/>
        <w:rPr>
          <w:rFonts w:ascii="Arial" w:cs="Arial" w:eastAsia="Arial" w:hAnsi="Arial"/>
          <w:sz w:val="22"/>
          <w:szCs w:val="22"/>
          <w:color w:val="auto"/>
        </w:rPr>
      </w:pPr>
    </w:p>
    <w:p>
      <w:pPr>
        <w:jc w:val="both"/>
        <w:ind w:left="860" w:right="219"/>
        <w:spacing w:after="0" w:line="223" w:lineRule="auto"/>
        <w:rPr>
          <w:rFonts w:ascii="Arial" w:cs="Arial" w:eastAsia="Arial" w:hAnsi="Arial"/>
          <w:sz w:val="22"/>
          <w:szCs w:val="22"/>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Regulatory Approval Milestone Payments</w:t>
      </w:r>
      <w:r>
        <w:rPr>
          <w:rFonts w:ascii="Arial" w:cs="Arial" w:eastAsia="Arial" w:hAnsi="Arial"/>
          <w:sz w:val="21"/>
          <w:szCs w:val="21"/>
          <w:color w:val="auto"/>
        </w:rPr>
        <w:t>. AXSOME shall pay to PFIZER each REGULATORY APPROVAL MILESTONE PAYMENTS no later than [***] ([***])</w:t>
      </w:r>
    </w:p>
    <w:p>
      <w:pPr>
        <w:spacing w:after="0" w:line="1" w:lineRule="exact"/>
        <w:rPr>
          <w:rFonts w:ascii="Arial" w:cs="Arial" w:eastAsia="Arial" w:hAnsi="Arial"/>
          <w:sz w:val="22"/>
          <w:szCs w:val="22"/>
          <w:color w:val="auto"/>
        </w:rPr>
      </w:pPr>
    </w:p>
    <w:p>
      <w:pPr>
        <w:ind w:left="860" w:right="219" w:firstLine="119"/>
        <w:spacing w:after="0" w:line="224" w:lineRule="auto"/>
        <w:tabs>
          <w:tab w:leader="none" w:pos="1584" w:val="left"/>
        </w:tabs>
        <w:numPr>
          <w:ilvl w:val="1"/>
          <w:numId w:val="69"/>
        </w:numPr>
        <w:rPr>
          <w:rFonts w:ascii="Arial" w:cs="Arial" w:eastAsia="Arial" w:hAnsi="Arial"/>
          <w:sz w:val="22"/>
          <w:szCs w:val="22"/>
          <w:color w:val="auto"/>
        </w:rPr>
      </w:pPr>
      <w:r>
        <w:rPr>
          <w:rFonts w:ascii="Arial" w:cs="Arial" w:eastAsia="Arial" w:hAnsi="Arial"/>
          <w:sz w:val="22"/>
          <w:szCs w:val="22"/>
          <w:color w:val="auto"/>
        </w:rPr>
        <w:t>following the occurrence of the corresponding REGULATORY APPROVAL MILESTONE.</w:t>
      </w:r>
    </w:p>
    <w:p>
      <w:pPr>
        <w:spacing w:after="0" w:line="50"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Sales Milestone Payments</w:t>
      </w:r>
      <w:r>
        <w:rPr>
          <w:rFonts w:ascii="Arial" w:cs="Arial" w:eastAsia="Arial" w:hAnsi="Arial"/>
          <w:sz w:val="22"/>
          <w:szCs w:val="22"/>
          <w:color w:val="auto"/>
        </w:rPr>
        <w:t>. AXSOME shall pay to PFIZER the SALES MILESTONE PAYMENTS within [***] ([***]) [***] after the end of the CALENDAR QUARTER in which the applicable SALES MILESTONE is achieved.</w:t>
      </w:r>
    </w:p>
    <w:p>
      <w:pPr>
        <w:spacing w:after="0" w:line="51" w:lineRule="exact"/>
        <w:rPr>
          <w:sz w:val="20"/>
          <w:szCs w:val="20"/>
          <w:color w:val="auto"/>
        </w:rPr>
      </w:pPr>
    </w:p>
    <w:p>
      <w:pPr>
        <w:jc w:val="both"/>
        <w:ind w:left="860" w:right="219"/>
        <w:spacing w:after="0" w:line="247"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Royalty Payments</w:t>
      </w:r>
      <w:r>
        <w:rPr>
          <w:rFonts w:ascii="Arial" w:cs="Arial" w:eastAsia="Arial" w:hAnsi="Arial"/>
          <w:sz w:val="21"/>
          <w:szCs w:val="21"/>
          <w:color w:val="auto"/>
        </w:rPr>
        <w:t>. AXSOME shall pay to PFIZER the ROYALTY PAYMENTS within [***] ([***]) [***] after the end of the applicable CALENDAR QUARTER.</w:t>
      </w:r>
    </w:p>
    <w:p>
      <w:pPr>
        <w:spacing w:after="0" w:line="43" w:lineRule="exact"/>
        <w:rPr>
          <w:sz w:val="20"/>
          <w:szCs w:val="20"/>
          <w:color w:val="auto"/>
        </w:rPr>
      </w:pPr>
    </w:p>
    <w:p>
      <w:pPr>
        <w:jc w:val="both"/>
        <w:ind w:left="860" w:right="219"/>
        <w:spacing w:after="0" w:line="218"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Significant Transaction Payments</w:t>
      </w:r>
      <w:r>
        <w:rPr>
          <w:rFonts w:ascii="Arial" w:cs="Arial" w:eastAsia="Arial" w:hAnsi="Arial"/>
          <w:sz w:val="22"/>
          <w:szCs w:val="22"/>
          <w:color w:val="auto"/>
        </w:rPr>
        <w:t>. AXSOME shall pay all SIGNIFICANT TRANSACTION PAYMENTS within [***] ([***]) [***] of receipt by AXSOME of each payment of consideration that corresponds to the applicable SIGNIFICANT TRANSACTION.</w:t>
      </w:r>
    </w:p>
    <w:p>
      <w:pPr>
        <w:spacing w:after="0" w:line="53" w:lineRule="exact"/>
        <w:rPr>
          <w:sz w:val="20"/>
          <w:szCs w:val="20"/>
          <w:color w:val="auto"/>
        </w:rPr>
      </w:pPr>
    </w:p>
    <w:p>
      <w:pPr>
        <w:jc w:val="both"/>
        <w:ind w:left="860" w:right="219"/>
        <w:spacing w:after="0" w:line="218"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Other Payments</w:t>
      </w:r>
      <w:r>
        <w:rPr>
          <w:rFonts w:ascii="Arial" w:cs="Arial" w:eastAsia="Arial" w:hAnsi="Arial"/>
          <w:sz w:val="22"/>
          <w:szCs w:val="22"/>
          <w:color w:val="auto"/>
        </w:rPr>
        <w:t>. All other payments under this AGREEMENT that are not otherwise set forth in this Section 6 shall, unless otherwise specified, be paid by AXSOME to PFIZER within [***] ([***]) [***] following receipt of an invoice thereof from PFIZER.</w:t>
      </w:r>
    </w:p>
    <w:p>
      <w:pPr>
        <w:spacing w:after="0" w:line="53" w:lineRule="exact"/>
        <w:rPr>
          <w:sz w:val="20"/>
          <w:szCs w:val="20"/>
          <w:color w:val="auto"/>
        </w:rPr>
      </w:pPr>
    </w:p>
    <w:p>
      <w:pPr>
        <w:jc w:val="both"/>
        <w:ind w:left="860" w:right="219"/>
        <w:spacing w:after="0" w:line="224"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u w:val="single" w:color="auto"/>
          <w:color w:val="auto"/>
        </w:rPr>
        <w:t>Late Payments</w:t>
      </w:r>
      <w:r>
        <w:rPr>
          <w:rFonts w:ascii="Arial" w:cs="Arial" w:eastAsia="Arial" w:hAnsi="Arial"/>
          <w:sz w:val="21"/>
          <w:szCs w:val="21"/>
          <w:color w:val="auto"/>
        </w:rPr>
        <w:t>. Any amount required to be paid by a PARTY hereunder which is not paid on the date due shall bear interest at the highest rate permitted by APPLICABLE LAW, but no more than at [***] percent ([***]) above the thirty (30) day U.S. prime rate effective for the date such payment was due, as reported in the Wall Street Journal. Such interest shall be computed on the basis of a year of three hundred sixty (360) days for the actual number of days payment is delinquent.</w:t>
      </w:r>
    </w:p>
    <w:p>
      <w:pPr>
        <w:spacing w:after="0" w:line="52" w:lineRule="exact"/>
        <w:rPr>
          <w:sz w:val="20"/>
          <w:szCs w:val="20"/>
          <w:color w:val="auto"/>
        </w:rPr>
      </w:pPr>
    </w:p>
    <w:p>
      <w:pPr>
        <w:jc w:val="both"/>
        <w:ind w:left="860" w:right="219"/>
        <w:spacing w:after="0" w:line="252" w:lineRule="auto"/>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u w:val="single" w:color="auto"/>
          <w:color w:val="auto"/>
        </w:rPr>
        <w:t>Method of Payment</w:t>
      </w:r>
      <w:r>
        <w:rPr>
          <w:rFonts w:ascii="Arial" w:cs="Arial" w:eastAsia="Arial" w:hAnsi="Arial"/>
          <w:sz w:val="19"/>
          <w:szCs w:val="19"/>
          <w:color w:val="auto"/>
        </w:rPr>
        <w:t>s. All payments by AXSOME to PFIZER shall be made by wire transfer via immediately available funds in U.S. Dollars to credit the bank account set forth below or such other bank account as designated by PFIZER in writing to AXSOME at least thirty (30) days before payment is due. Any payment which falls due on a date which is not a BUSINESS DAY may be made on the next succeeding BUSINESS DAY.</w:t>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291"/>
        </w:trPr>
        <w:tc>
          <w:tcPr>
            <w:tcW w:w="1520" w:type="dxa"/>
            <w:vAlign w:val="bottom"/>
            <w:tcBorders>
              <w:right w:val="single" w:sz="8" w:color="auto"/>
            </w:tcBorders>
          </w:tcPr>
          <w:p>
            <w:pPr>
              <w:spacing w:after="0"/>
              <w:rPr>
                <w:sz w:val="24"/>
                <w:szCs w:val="24"/>
                <w:color w:val="auto"/>
              </w:rPr>
            </w:pPr>
          </w:p>
        </w:tc>
        <w:tc>
          <w:tcPr>
            <w:tcW w:w="2420" w:type="dxa"/>
            <w:vAlign w:val="bottom"/>
            <w:tcBorders>
              <w:top w:val="single" w:sz="8" w:color="auto"/>
            </w:tcBorders>
          </w:tcPr>
          <w:p>
            <w:pPr>
              <w:ind w:left="120"/>
              <w:spacing w:after="0"/>
              <w:rPr>
                <w:sz w:val="20"/>
                <w:szCs w:val="20"/>
                <w:color w:val="auto"/>
              </w:rPr>
            </w:pPr>
            <w:r>
              <w:rPr>
                <w:rFonts w:ascii="Arial" w:cs="Arial" w:eastAsia="Arial" w:hAnsi="Arial"/>
                <w:sz w:val="22"/>
                <w:szCs w:val="22"/>
                <w:color w:val="auto"/>
              </w:rPr>
              <w:t>Bank Name:</w:t>
            </w:r>
          </w:p>
        </w:tc>
        <w:tc>
          <w:tcPr>
            <w:tcW w:w="260" w:type="dxa"/>
            <w:vAlign w:val="bottom"/>
            <w:tcBorders>
              <w:top w:val="single" w:sz="8" w:color="auto"/>
              <w:right w:val="single" w:sz="8" w:color="auto"/>
            </w:tcBorders>
          </w:tcPr>
          <w:p>
            <w:pPr>
              <w:spacing w:after="0"/>
              <w:rPr>
                <w:sz w:val="24"/>
                <w:szCs w:val="24"/>
                <w:color w:val="auto"/>
              </w:rPr>
            </w:pPr>
          </w:p>
        </w:tc>
        <w:tc>
          <w:tcPr>
            <w:tcW w:w="2880" w:type="dxa"/>
            <w:vAlign w:val="bottom"/>
            <w:tcBorders>
              <w:top w:val="single" w:sz="8" w:color="auto"/>
              <w:right w:val="single" w:sz="8" w:color="auto"/>
            </w:tcBorders>
          </w:tcPr>
          <w:p>
            <w:pPr>
              <w:jc w:val="right"/>
              <w:ind w:right="2192"/>
              <w:spacing w:after="0"/>
              <w:rPr>
                <w:sz w:val="20"/>
                <w:szCs w:val="20"/>
                <w:color w:val="auto"/>
              </w:rPr>
            </w:pPr>
            <w:r>
              <w:rPr>
                <w:rFonts w:ascii="Arial" w:cs="Arial" w:eastAsia="Arial" w:hAnsi="Arial"/>
                <w:sz w:val="22"/>
                <w:szCs w:val="22"/>
                <w:color w:val="auto"/>
              </w:rPr>
              <w:t>[***]</w:t>
            </w:r>
          </w:p>
        </w:tc>
        <w:tc>
          <w:tcPr>
            <w:tcW w:w="1500" w:type="dxa"/>
            <w:vAlign w:val="bottom"/>
          </w:tcPr>
          <w:p>
            <w:pPr>
              <w:spacing w:after="0"/>
              <w:rPr>
                <w:sz w:val="24"/>
                <w:szCs w:val="24"/>
                <w:color w:val="auto"/>
              </w:rPr>
            </w:pPr>
          </w:p>
        </w:tc>
      </w:tr>
      <w:tr>
        <w:trPr>
          <w:trHeight w:val="50"/>
        </w:trPr>
        <w:tc>
          <w:tcPr>
            <w:tcW w:w="1520" w:type="dxa"/>
            <w:vAlign w:val="bottom"/>
            <w:tcBorders>
              <w:right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1500" w:type="dxa"/>
            <w:vAlign w:val="bottom"/>
          </w:tcPr>
          <w:p>
            <w:pPr>
              <w:spacing w:after="0"/>
              <w:rPr>
                <w:sz w:val="4"/>
                <w:szCs w:val="4"/>
                <w:color w:val="auto"/>
              </w:rPr>
            </w:pPr>
          </w:p>
        </w:tc>
      </w:tr>
      <w:tr>
        <w:trPr>
          <w:trHeight w:val="268"/>
        </w:trPr>
        <w:tc>
          <w:tcPr>
            <w:tcW w:w="1520" w:type="dxa"/>
            <w:vAlign w:val="bottom"/>
            <w:tcBorders>
              <w:right w:val="single" w:sz="8" w:color="auto"/>
            </w:tcBorders>
          </w:tcPr>
          <w:p>
            <w:pPr>
              <w:spacing w:after="0"/>
              <w:rPr>
                <w:sz w:val="23"/>
                <w:szCs w:val="23"/>
                <w:color w:val="auto"/>
              </w:rPr>
            </w:pPr>
          </w:p>
        </w:tc>
        <w:tc>
          <w:tcPr>
            <w:tcW w:w="2420" w:type="dxa"/>
            <w:vAlign w:val="bottom"/>
          </w:tcPr>
          <w:p>
            <w:pPr>
              <w:ind w:left="120"/>
              <w:spacing w:after="0"/>
              <w:rPr>
                <w:sz w:val="20"/>
                <w:szCs w:val="20"/>
                <w:color w:val="auto"/>
              </w:rPr>
            </w:pPr>
            <w:r>
              <w:rPr>
                <w:rFonts w:ascii="Arial" w:cs="Arial" w:eastAsia="Arial" w:hAnsi="Arial"/>
                <w:sz w:val="22"/>
                <w:szCs w:val="22"/>
                <w:color w:val="auto"/>
              </w:rPr>
              <w:t>Bank Country:</w:t>
            </w:r>
          </w:p>
        </w:tc>
        <w:tc>
          <w:tcPr>
            <w:tcW w:w="260" w:type="dxa"/>
            <w:vAlign w:val="bottom"/>
            <w:tcBorders>
              <w:right w:val="single" w:sz="8" w:color="auto"/>
            </w:tcBorders>
          </w:tcPr>
          <w:p>
            <w:pPr>
              <w:spacing w:after="0"/>
              <w:rPr>
                <w:sz w:val="23"/>
                <w:szCs w:val="23"/>
                <w:color w:val="auto"/>
              </w:rPr>
            </w:pPr>
          </w:p>
        </w:tc>
        <w:tc>
          <w:tcPr>
            <w:tcW w:w="2880" w:type="dxa"/>
            <w:vAlign w:val="bottom"/>
            <w:tcBorders>
              <w:right w:val="single" w:sz="8" w:color="auto"/>
            </w:tcBorders>
          </w:tcPr>
          <w:p>
            <w:pPr>
              <w:jc w:val="right"/>
              <w:ind w:right="2192"/>
              <w:spacing w:after="0"/>
              <w:rPr>
                <w:sz w:val="20"/>
                <w:szCs w:val="20"/>
                <w:color w:val="auto"/>
              </w:rPr>
            </w:pPr>
            <w:r>
              <w:rPr>
                <w:rFonts w:ascii="Arial" w:cs="Arial" w:eastAsia="Arial" w:hAnsi="Arial"/>
                <w:sz w:val="22"/>
                <w:szCs w:val="22"/>
                <w:color w:val="auto"/>
              </w:rPr>
              <w:t>[***]</w:t>
            </w:r>
          </w:p>
        </w:tc>
        <w:tc>
          <w:tcPr>
            <w:tcW w:w="1500" w:type="dxa"/>
            <w:vAlign w:val="bottom"/>
          </w:tcPr>
          <w:p>
            <w:pPr>
              <w:spacing w:after="0"/>
              <w:rPr>
                <w:sz w:val="23"/>
                <w:szCs w:val="23"/>
                <w:color w:val="auto"/>
              </w:rPr>
            </w:pPr>
          </w:p>
        </w:tc>
      </w:tr>
      <w:tr>
        <w:trPr>
          <w:trHeight w:val="50"/>
        </w:trPr>
        <w:tc>
          <w:tcPr>
            <w:tcW w:w="1520" w:type="dxa"/>
            <w:vAlign w:val="bottom"/>
            <w:tcBorders>
              <w:right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1500" w:type="dxa"/>
            <w:vAlign w:val="bottom"/>
          </w:tcPr>
          <w:p>
            <w:pPr>
              <w:spacing w:after="0"/>
              <w:rPr>
                <w:sz w:val="4"/>
                <w:szCs w:val="4"/>
                <w:color w:val="auto"/>
              </w:rPr>
            </w:pPr>
          </w:p>
        </w:tc>
      </w:tr>
      <w:tr>
        <w:trPr>
          <w:trHeight w:val="268"/>
        </w:trPr>
        <w:tc>
          <w:tcPr>
            <w:tcW w:w="1520" w:type="dxa"/>
            <w:vAlign w:val="bottom"/>
            <w:tcBorders>
              <w:right w:val="single" w:sz="8" w:color="auto"/>
            </w:tcBorders>
          </w:tcPr>
          <w:p>
            <w:pPr>
              <w:spacing w:after="0"/>
              <w:rPr>
                <w:sz w:val="23"/>
                <w:szCs w:val="23"/>
                <w:color w:val="auto"/>
              </w:rPr>
            </w:pPr>
          </w:p>
        </w:tc>
        <w:tc>
          <w:tcPr>
            <w:tcW w:w="2420" w:type="dxa"/>
            <w:vAlign w:val="bottom"/>
          </w:tcPr>
          <w:p>
            <w:pPr>
              <w:ind w:left="120"/>
              <w:spacing w:after="0"/>
              <w:rPr>
                <w:sz w:val="20"/>
                <w:szCs w:val="20"/>
                <w:color w:val="auto"/>
              </w:rPr>
            </w:pPr>
            <w:r>
              <w:rPr>
                <w:rFonts w:ascii="Arial" w:cs="Arial" w:eastAsia="Arial" w:hAnsi="Arial"/>
                <w:sz w:val="22"/>
                <w:szCs w:val="22"/>
                <w:color w:val="auto"/>
              </w:rPr>
              <w:t>Bank Address:</w:t>
            </w:r>
          </w:p>
        </w:tc>
        <w:tc>
          <w:tcPr>
            <w:tcW w:w="260" w:type="dxa"/>
            <w:vAlign w:val="bottom"/>
            <w:tcBorders>
              <w:right w:val="single" w:sz="8" w:color="auto"/>
            </w:tcBorders>
          </w:tcPr>
          <w:p>
            <w:pPr>
              <w:spacing w:after="0"/>
              <w:rPr>
                <w:sz w:val="23"/>
                <w:szCs w:val="23"/>
                <w:color w:val="auto"/>
              </w:rPr>
            </w:pPr>
          </w:p>
        </w:tc>
        <w:tc>
          <w:tcPr>
            <w:tcW w:w="2880" w:type="dxa"/>
            <w:vAlign w:val="bottom"/>
            <w:tcBorders>
              <w:right w:val="single" w:sz="8" w:color="auto"/>
            </w:tcBorders>
          </w:tcPr>
          <w:p>
            <w:pPr>
              <w:jc w:val="right"/>
              <w:ind w:right="2192"/>
              <w:spacing w:after="0"/>
              <w:rPr>
                <w:sz w:val="20"/>
                <w:szCs w:val="20"/>
                <w:color w:val="auto"/>
              </w:rPr>
            </w:pPr>
            <w:r>
              <w:rPr>
                <w:rFonts w:ascii="Arial" w:cs="Arial" w:eastAsia="Arial" w:hAnsi="Arial"/>
                <w:sz w:val="22"/>
                <w:szCs w:val="22"/>
                <w:color w:val="auto"/>
              </w:rPr>
              <w:t>[***]</w:t>
            </w:r>
          </w:p>
        </w:tc>
        <w:tc>
          <w:tcPr>
            <w:tcW w:w="1500" w:type="dxa"/>
            <w:vAlign w:val="bottom"/>
          </w:tcPr>
          <w:p>
            <w:pPr>
              <w:spacing w:after="0"/>
              <w:rPr>
                <w:sz w:val="23"/>
                <w:szCs w:val="23"/>
                <w:color w:val="auto"/>
              </w:rPr>
            </w:pPr>
          </w:p>
        </w:tc>
      </w:tr>
      <w:tr>
        <w:trPr>
          <w:trHeight w:val="50"/>
        </w:trPr>
        <w:tc>
          <w:tcPr>
            <w:tcW w:w="1520" w:type="dxa"/>
            <w:vAlign w:val="bottom"/>
            <w:tcBorders>
              <w:right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1500" w:type="dxa"/>
            <w:vAlign w:val="bottom"/>
          </w:tcPr>
          <w:p>
            <w:pPr>
              <w:spacing w:after="0"/>
              <w:rPr>
                <w:sz w:val="4"/>
                <w:szCs w:val="4"/>
                <w:color w:val="auto"/>
              </w:rPr>
            </w:pPr>
          </w:p>
        </w:tc>
      </w:tr>
      <w:tr>
        <w:trPr>
          <w:trHeight w:val="268"/>
        </w:trPr>
        <w:tc>
          <w:tcPr>
            <w:tcW w:w="1520" w:type="dxa"/>
            <w:vAlign w:val="bottom"/>
            <w:tcBorders>
              <w:right w:val="single" w:sz="8" w:color="auto"/>
            </w:tcBorders>
          </w:tcPr>
          <w:p>
            <w:pPr>
              <w:spacing w:after="0"/>
              <w:rPr>
                <w:sz w:val="23"/>
                <w:szCs w:val="23"/>
                <w:color w:val="auto"/>
              </w:rPr>
            </w:pPr>
          </w:p>
        </w:tc>
        <w:tc>
          <w:tcPr>
            <w:tcW w:w="2420" w:type="dxa"/>
            <w:vAlign w:val="bottom"/>
          </w:tcPr>
          <w:p>
            <w:pPr>
              <w:ind w:left="120"/>
              <w:spacing w:after="0"/>
              <w:rPr>
                <w:sz w:val="20"/>
                <w:szCs w:val="20"/>
                <w:color w:val="auto"/>
              </w:rPr>
            </w:pPr>
            <w:r>
              <w:rPr>
                <w:rFonts w:ascii="Arial" w:cs="Arial" w:eastAsia="Arial" w:hAnsi="Arial"/>
                <w:sz w:val="22"/>
                <w:szCs w:val="22"/>
                <w:color w:val="auto"/>
              </w:rPr>
              <w:t>Bank Account Number:</w:t>
            </w:r>
          </w:p>
        </w:tc>
        <w:tc>
          <w:tcPr>
            <w:tcW w:w="260" w:type="dxa"/>
            <w:vAlign w:val="bottom"/>
            <w:tcBorders>
              <w:right w:val="single" w:sz="8" w:color="auto"/>
            </w:tcBorders>
          </w:tcPr>
          <w:p>
            <w:pPr>
              <w:spacing w:after="0"/>
              <w:rPr>
                <w:sz w:val="23"/>
                <w:szCs w:val="23"/>
                <w:color w:val="auto"/>
              </w:rPr>
            </w:pPr>
          </w:p>
        </w:tc>
        <w:tc>
          <w:tcPr>
            <w:tcW w:w="2880" w:type="dxa"/>
            <w:vAlign w:val="bottom"/>
            <w:tcBorders>
              <w:right w:val="single" w:sz="8" w:color="auto"/>
            </w:tcBorders>
          </w:tcPr>
          <w:p>
            <w:pPr>
              <w:jc w:val="right"/>
              <w:ind w:right="2192"/>
              <w:spacing w:after="0"/>
              <w:rPr>
                <w:sz w:val="20"/>
                <w:szCs w:val="20"/>
                <w:color w:val="auto"/>
              </w:rPr>
            </w:pPr>
            <w:r>
              <w:rPr>
                <w:rFonts w:ascii="Arial" w:cs="Arial" w:eastAsia="Arial" w:hAnsi="Arial"/>
                <w:sz w:val="22"/>
                <w:szCs w:val="22"/>
                <w:color w:val="auto"/>
              </w:rPr>
              <w:t>[***]</w:t>
            </w:r>
          </w:p>
        </w:tc>
        <w:tc>
          <w:tcPr>
            <w:tcW w:w="1500" w:type="dxa"/>
            <w:vAlign w:val="bottom"/>
          </w:tcPr>
          <w:p>
            <w:pPr>
              <w:spacing w:after="0"/>
              <w:rPr>
                <w:sz w:val="23"/>
                <w:szCs w:val="23"/>
                <w:color w:val="auto"/>
              </w:rPr>
            </w:pPr>
          </w:p>
        </w:tc>
      </w:tr>
      <w:tr>
        <w:trPr>
          <w:trHeight w:val="50"/>
        </w:trPr>
        <w:tc>
          <w:tcPr>
            <w:tcW w:w="1520" w:type="dxa"/>
            <w:vAlign w:val="bottom"/>
            <w:tcBorders>
              <w:right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1500" w:type="dxa"/>
            <w:vAlign w:val="bottom"/>
          </w:tcPr>
          <w:p>
            <w:pPr>
              <w:spacing w:after="0"/>
              <w:rPr>
                <w:sz w:val="4"/>
                <w:szCs w:val="4"/>
                <w:color w:val="auto"/>
              </w:rPr>
            </w:pPr>
          </w:p>
        </w:tc>
      </w:tr>
      <w:tr>
        <w:trPr>
          <w:trHeight w:val="268"/>
        </w:trPr>
        <w:tc>
          <w:tcPr>
            <w:tcW w:w="1520" w:type="dxa"/>
            <w:vAlign w:val="bottom"/>
            <w:tcBorders>
              <w:right w:val="single" w:sz="8" w:color="auto"/>
            </w:tcBorders>
          </w:tcPr>
          <w:p>
            <w:pPr>
              <w:spacing w:after="0"/>
              <w:rPr>
                <w:sz w:val="23"/>
                <w:szCs w:val="23"/>
                <w:color w:val="auto"/>
              </w:rPr>
            </w:pPr>
          </w:p>
        </w:tc>
        <w:tc>
          <w:tcPr>
            <w:tcW w:w="2420" w:type="dxa"/>
            <w:vAlign w:val="bottom"/>
          </w:tcPr>
          <w:p>
            <w:pPr>
              <w:ind w:left="120"/>
              <w:spacing w:after="0"/>
              <w:rPr>
                <w:sz w:val="20"/>
                <w:szCs w:val="20"/>
                <w:color w:val="auto"/>
              </w:rPr>
            </w:pPr>
            <w:r>
              <w:rPr>
                <w:rFonts w:ascii="Arial" w:cs="Arial" w:eastAsia="Arial" w:hAnsi="Arial"/>
                <w:sz w:val="22"/>
                <w:szCs w:val="22"/>
                <w:color w:val="auto"/>
              </w:rPr>
              <w:t>Routing / ABA Number</w:t>
            </w:r>
          </w:p>
        </w:tc>
        <w:tc>
          <w:tcPr>
            <w:tcW w:w="260" w:type="dxa"/>
            <w:vAlign w:val="bottom"/>
            <w:tcBorders>
              <w:right w:val="single" w:sz="8" w:color="auto"/>
            </w:tcBorders>
          </w:tcPr>
          <w:p>
            <w:pPr>
              <w:spacing w:after="0"/>
              <w:rPr>
                <w:sz w:val="23"/>
                <w:szCs w:val="23"/>
                <w:color w:val="auto"/>
              </w:rPr>
            </w:pPr>
          </w:p>
        </w:tc>
        <w:tc>
          <w:tcPr>
            <w:tcW w:w="2880" w:type="dxa"/>
            <w:vAlign w:val="bottom"/>
            <w:tcBorders>
              <w:right w:val="single" w:sz="8" w:color="auto"/>
            </w:tcBorders>
          </w:tcPr>
          <w:p>
            <w:pPr>
              <w:jc w:val="right"/>
              <w:ind w:right="2192"/>
              <w:spacing w:after="0"/>
              <w:rPr>
                <w:sz w:val="20"/>
                <w:szCs w:val="20"/>
                <w:color w:val="auto"/>
              </w:rPr>
            </w:pPr>
            <w:r>
              <w:rPr>
                <w:rFonts w:ascii="Arial" w:cs="Arial" w:eastAsia="Arial" w:hAnsi="Arial"/>
                <w:sz w:val="22"/>
                <w:szCs w:val="22"/>
                <w:color w:val="auto"/>
              </w:rPr>
              <w:t>[***]</w:t>
            </w:r>
          </w:p>
        </w:tc>
        <w:tc>
          <w:tcPr>
            <w:tcW w:w="1500" w:type="dxa"/>
            <w:vAlign w:val="bottom"/>
          </w:tcPr>
          <w:p>
            <w:pPr>
              <w:spacing w:after="0"/>
              <w:rPr>
                <w:sz w:val="23"/>
                <w:szCs w:val="23"/>
                <w:color w:val="auto"/>
              </w:rPr>
            </w:pPr>
          </w:p>
        </w:tc>
      </w:tr>
      <w:tr>
        <w:trPr>
          <w:trHeight w:val="50"/>
        </w:trPr>
        <w:tc>
          <w:tcPr>
            <w:tcW w:w="1520" w:type="dxa"/>
            <w:vAlign w:val="bottom"/>
            <w:tcBorders>
              <w:right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c>
          <w:tcPr>
            <w:tcW w:w="2880" w:type="dxa"/>
            <w:vAlign w:val="bottom"/>
            <w:tcBorders>
              <w:bottom w:val="single" w:sz="8" w:color="auto"/>
              <w:right w:val="single" w:sz="8" w:color="auto"/>
            </w:tcBorders>
          </w:tcPr>
          <w:p>
            <w:pPr>
              <w:spacing w:after="0"/>
              <w:rPr>
                <w:sz w:val="4"/>
                <w:szCs w:val="4"/>
                <w:color w:val="auto"/>
              </w:rPr>
            </w:pPr>
          </w:p>
        </w:tc>
        <w:tc>
          <w:tcPr>
            <w:tcW w:w="1500" w:type="dxa"/>
            <w:vAlign w:val="bottom"/>
          </w:tcPr>
          <w:p>
            <w:pPr>
              <w:spacing w:after="0"/>
              <w:rPr>
                <w:sz w:val="4"/>
                <w:szCs w:val="4"/>
                <w:color w:val="auto"/>
              </w:rPr>
            </w:pPr>
          </w:p>
        </w:tc>
      </w:tr>
      <w:tr>
        <w:trPr>
          <w:trHeight w:val="449"/>
        </w:trPr>
        <w:tc>
          <w:tcPr>
            <w:tcW w:w="1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40" w:type="dxa"/>
            <w:vAlign w:val="bottom"/>
            <w:gridSpan w:val="2"/>
          </w:tcPr>
          <w:p>
            <w:pPr>
              <w:jc w:val="right"/>
              <w:ind w:right="2572"/>
              <w:spacing w:after="0"/>
              <w:rPr>
                <w:sz w:val="20"/>
                <w:szCs w:val="20"/>
                <w:color w:val="auto"/>
              </w:rPr>
            </w:pPr>
            <w:r>
              <w:rPr>
                <w:rFonts w:ascii="Arial" w:cs="Arial" w:eastAsia="Arial" w:hAnsi="Arial"/>
                <w:sz w:val="22"/>
                <w:szCs w:val="22"/>
                <w:color w:val="auto"/>
              </w:rPr>
              <w:t>15</w:t>
            </w:r>
          </w:p>
        </w:tc>
        <w:tc>
          <w:tcPr>
            <w:tcW w:w="1500" w:type="dxa"/>
            <w:vAlign w:val="bottom"/>
          </w:tcPr>
          <w:p>
            <w:pPr>
              <w:spacing w:after="0"/>
              <w:rPr>
                <w:sz w:val="24"/>
                <w:szCs w:val="24"/>
                <w:color w:val="auto"/>
              </w:rPr>
            </w:pPr>
          </w:p>
        </w:tc>
      </w:tr>
      <w:tr>
        <w:trPr>
          <w:trHeight w:val="928"/>
        </w:trPr>
        <w:tc>
          <w:tcPr>
            <w:tcW w:w="15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21" w:right="1440" w:bottom="1440" w:gutter="0" w:footer="0" w:header="0"/>
        </w:sectPr>
      </w:pPr>
    </w:p>
    <w:bookmarkStart w:id="183" w:name="page184"/>
    <w:bookmarkEnd w:id="183"/>
    <w:p>
      <w:pPr>
        <w:ind w:left="860" w:right="219"/>
        <w:spacing w:after="0"/>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6.9.1 </w:t>
      </w:r>
      <w:r>
        <w:rPr>
          <w:rFonts w:ascii="Arial" w:cs="Arial" w:eastAsia="Arial" w:hAnsi="Arial"/>
          <w:sz w:val="19"/>
          <w:szCs w:val="19"/>
          <w:u w:val="single" w:color="auto"/>
          <w:color w:val="auto"/>
        </w:rPr>
        <w:t>General</w:t>
      </w:r>
      <w:r>
        <w:rPr>
          <w:rFonts w:ascii="Arial" w:cs="Arial" w:eastAsia="Arial" w:hAnsi="Arial"/>
          <w:sz w:val="19"/>
          <w:szCs w:val="19"/>
          <w:color w:val="auto"/>
        </w:rPr>
        <w:t>. It is understood and agreed between the PARTIES that any payments made under this AGREEMENT are exclusive of any value added or similar tax (“VAT”), which shall be added thereon as applicable. In the event any payments made by AXSOME to PFIZER pursuant to this AGREEMENT become subject to withholding taxes under the APPLICABLE LAWS of any jurisdiction, AXSOME shall deduct and withhold the amount of such taxes for the account of PFIZER to the extent required by APPLICABLE LAW and such amounts payable to PFIZER shall be reduced by the amount of taxes deducted and withheld, which shall be treated as paid to PFIZER in accordance with this AGREEMENT. To the extent that AXSOME is required to deduct and withhold taxes on any payments under this AGREEMENT, AXSOME shall pay the amounts of such taxes to the proper GOVERNMENTAL AUTHORITY in a timely manner and promptly transmit to the payee an official tax certificate or other evidence of such withholding sufficient to enable PFIZER to claim such payments of taxes. PFIZER shall provide any tax forms to AXSOME that may be reasonably necessary in order for AXSOME not to withhold tax or to withhold tax at a reduced rate under an applicable bilateral income tax treaty. Each PARTY shall provide the other with reasonable assistance to enable the recovery, as permitted by APPLICABLE LAW, of withholding taxes, VAT, or similar obligations resulting from payments made under this AGREEMENT, such recovery to be for the benefit of the PARTY bearing such withholding tax or VAT.</w:t>
      </w:r>
    </w:p>
    <w:p>
      <w:pPr>
        <w:spacing w:after="0" w:line="277" w:lineRule="exact"/>
        <w:rPr>
          <w:sz w:val="20"/>
          <w:szCs w:val="20"/>
          <w:color w:val="auto"/>
        </w:rPr>
      </w:pPr>
    </w:p>
    <w:p>
      <w:pPr>
        <w:jc w:val="both"/>
        <w:ind w:left="1500" w:right="219"/>
        <w:spacing w:after="0"/>
        <w:rPr>
          <w:sz w:val="20"/>
          <w:szCs w:val="20"/>
          <w:color w:val="auto"/>
        </w:rPr>
      </w:pPr>
      <w:r>
        <w:rPr>
          <w:rFonts w:ascii="Arial" w:cs="Arial" w:eastAsia="Arial" w:hAnsi="Arial"/>
          <w:sz w:val="19"/>
          <w:szCs w:val="19"/>
          <w:color w:val="auto"/>
        </w:rPr>
        <w:t xml:space="preserve">6.9.2 </w:t>
      </w:r>
      <w:r>
        <w:rPr>
          <w:rFonts w:ascii="Arial" w:cs="Arial" w:eastAsia="Arial" w:hAnsi="Arial"/>
          <w:sz w:val="19"/>
          <w:szCs w:val="19"/>
          <w:u w:val="single" w:color="auto"/>
          <w:color w:val="auto"/>
        </w:rPr>
        <w:t>Tax Actions</w:t>
      </w:r>
      <w:r>
        <w:rPr>
          <w:rFonts w:ascii="Arial" w:cs="Arial" w:eastAsia="Arial" w:hAnsi="Arial"/>
          <w:sz w:val="19"/>
          <w:szCs w:val="19"/>
          <w:color w:val="auto"/>
        </w:rPr>
        <w:t>. Notwithstanding anything in this Agreement to the contrary, if an action, including but not limited to any assignment or sublicense of its rights or obligations under this AGREEMENT, or any failure to comply with APPLICABLE LAWS or filing or record retention requirements (each a “TAX ACTION”) by a PARTY leads to the imposition of withholding tax liability or VAT on the other Party that would not have been imposed in the absence of a TAX ACTION or in an increase in such liability above the liability that would have been imposed in the absence of such TAX ACTION, then (i) the sum payable by the PARTY that caused the TAX ACTION (in respect of which such deduction or withholding is required to be made) shall be increased to the extent necessary to ensure that the other PARTY receives a sum equal to the sum which it would have received had no TAX ACTION occurred and (ii) the sum payable by the PARTY that caused a TAX ACTION (in respect of which such deduction or withholding is required to be made) shall be made to the other PARTY after deduction of the amount required to be so deducted or withheld, which deducted or withheld amount shall be remitted in accordance with APPLICABLE LAW. For the avoidance of doubt, a PARTY shall only be liable for increased payments pursuant to this Section 6.9.2 to the extent such PARTY engaged in a TAX ACTION that created or increased a withholding tax or VAT on the other PARTY.</w:t>
      </w:r>
    </w:p>
    <w:p>
      <w:pPr>
        <w:spacing w:after="0" w:line="279" w:lineRule="exact"/>
        <w:rPr>
          <w:sz w:val="20"/>
          <w:szCs w:val="20"/>
          <w:color w:val="auto"/>
        </w:rPr>
      </w:pPr>
    </w:p>
    <w:p>
      <w:pPr>
        <w:jc w:val="both"/>
        <w:ind w:left="1500" w:right="219"/>
        <w:spacing w:after="0" w:line="218" w:lineRule="auto"/>
        <w:rPr>
          <w:sz w:val="20"/>
          <w:szCs w:val="20"/>
          <w:color w:val="auto"/>
        </w:rPr>
      </w:pPr>
      <w:r>
        <w:rPr>
          <w:rFonts w:ascii="Arial" w:cs="Arial" w:eastAsia="Arial" w:hAnsi="Arial"/>
          <w:sz w:val="22"/>
          <w:szCs w:val="22"/>
          <w:color w:val="auto"/>
        </w:rPr>
        <w:t xml:space="preserve">6.9.3 </w:t>
      </w:r>
      <w:r>
        <w:rPr>
          <w:rFonts w:ascii="Arial" w:cs="Arial" w:eastAsia="Arial" w:hAnsi="Arial"/>
          <w:sz w:val="22"/>
          <w:szCs w:val="22"/>
          <w:u w:val="single" w:color="auto"/>
          <w:color w:val="auto"/>
        </w:rPr>
        <w:t>Cooperation</w:t>
      </w:r>
      <w:r>
        <w:rPr>
          <w:rFonts w:ascii="Arial" w:cs="Arial" w:eastAsia="Arial" w:hAnsi="Arial"/>
          <w:sz w:val="22"/>
          <w:szCs w:val="22"/>
          <w:color w:val="auto"/>
        </w:rPr>
        <w:t>. The PARTIES agree to cooperate and produce on a timely basis any tax forms or reports, including an IRS Form W-8BEN, reasonably requested by the other PARTY in connection with any payment made by AXSOME to PFIZER under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37" w:right="1440" w:bottom="1440" w:gutter="0" w:footer="0" w:header="0"/>
        </w:sectPr>
      </w:pPr>
    </w:p>
    <w:bookmarkStart w:id="184" w:name="page185"/>
    <w:bookmarkEnd w:id="184"/>
    <w:p>
      <w:pPr>
        <w:ind w:left="860" w:hanging="651"/>
        <w:spacing w:after="0"/>
        <w:tabs>
          <w:tab w:leader="none" w:pos="86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Records; Audit Rights</w:t>
      </w:r>
    </w:p>
    <w:p>
      <w:pPr>
        <w:spacing w:after="0" w:line="287" w:lineRule="exact"/>
        <w:rPr>
          <w:rFonts w:ascii="Arial" w:cs="Arial" w:eastAsia="Arial" w:hAnsi="Arial"/>
          <w:sz w:val="22"/>
          <w:szCs w:val="22"/>
          <w:color w:val="auto"/>
        </w:rPr>
      </w:pPr>
    </w:p>
    <w:p>
      <w:pPr>
        <w:ind w:left="860" w:right="239"/>
        <w:spacing w:after="0"/>
        <w:rPr>
          <w:rFonts w:ascii="Arial" w:cs="Arial" w:eastAsia="Arial" w:hAnsi="Arial"/>
          <w:sz w:val="22"/>
          <w:szCs w:val="22"/>
          <w:color w:val="auto"/>
        </w:rPr>
      </w:pPr>
      <w:r>
        <w:rPr>
          <w:rFonts w:ascii="Arial" w:cs="Arial" w:eastAsia="Arial" w:hAnsi="Arial"/>
          <w:sz w:val="19"/>
          <w:szCs w:val="19"/>
          <w:u w:val="single" w:color="auto"/>
          <w:color w:val="auto"/>
        </w:rPr>
        <w:t>Relevant Records</w:t>
      </w:r>
      <w:r>
        <w:rPr>
          <w:rFonts w:ascii="Arial" w:cs="Arial" w:eastAsia="Arial" w:hAnsi="Arial"/>
          <w:sz w:val="19"/>
          <w:szCs w:val="19"/>
          <w:color w:val="auto"/>
        </w:rPr>
        <w:t>. AXSOME shall maintain and if applicable, ensure that its AFFILIATES and SUBLICENSEES maintain accurate financial books and records pertaining to COMMERCIALIZATION of the PRODUCTS by AXSOME, its AFFILIATES or the applicable SUBLICENSEES, including any and all calculations of the payments under this AGREEMENT (collectively, “RELEVANT RECORDS”). AXSOME shall maintain the RELEVANT RECORDS for the longer of: (a) the period of time required by APPLICABLE LAW, or (b) three (3) years following expiration or termination of this</w:t>
      </w:r>
    </w:p>
    <w:p>
      <w:pPr>
        <w:ind w:left="860"/>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161" w:lineRule="exact"/>
        <w:rPr>
          <w:rFonts w:ascii="Arial" w:cs="Arial" w:eastAsia="Arial" w:hAnsi="Arial"/>
          <w:sz w:val="22"/>
          <w:szCs w:val="22"/>
          <w:color w:val="auto"/>
        </w:rPr>
      </w:pPr>
    </w:p>
    <w:p>
      <w:pPr>
        <w:jc w:val="both"/>
        <w:ind w:left="860" w:right="219"/>
        <w:spacing w:after="0" w:line="241" w:lineRule="auto"/>
        <w:rPr>
          <w:rFonts w:ascii="Arial" w:cs="Arial" w:eastAsia="Arial" w:hAnsi="Arial"/>
          <w:sz w:val="22"/>
          <w:szCs w:val="22"/>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Audit Request</w:t>
      </w:r>
      <w:r>
        <w:rPr>
          <w:rFonts w:ascii="Arial" w:cs="Arial" w:eastAsia="Arial" w:hAnsi="Arial"/>
          <w:sz w:val="19"/>
          <w:szCs w:val="19"/>
          <w:color w:val="auto"/>
        </w:rPr>
        <w:t>. PFIZER shall have the right during the term of this AGREEMENT and for twelve (12) months thereafter to engage, at its own expense, an independent auditor reasonably acceptable to AXSOME and subject to obligations of confidentiality imposed by AXSOME, which shall be in accordance with industry standards, to examine the RELEVANT RECORDS from time-to-time but no more frequently than once every twelve</w:t>
      </w:r>
    </w:p>
    <w:p>
      <w:pPr>
        <w:spacing w:after="0" w:line="1" w:lineRule="exact"/>
        <w:rPr>
          <w:rFonts w:ascii="Arial" w:cs="Arial" w:eastAsia="Arial" w:hAnsi="Arial"/>
          <w:sz w:val="22"/>
          <w:szCs w:val="22"/>
          <w:color w:val="auto"/>
        </w:rPr>
      </w:pPr>
    </w:p>
    <w:p>
      <w:pPr>
        <w:jc w:val="both"/>
        <w:ind w:left="860" w:right="219" w:hanging="3"/>
        <w:spacing w:after="0" w:line="212" w:lineRule="auto"/>
        <w:tabs>
          <w:tab w:leader="none" w:pos="1348" w:val="left"/>
        </w:tabs>
        <w:numPr>
          <w:ilvl w:val="1"/>
          <w:numId w:val="70"/>
        </w:numPr>
        <w:rPr>
          <w:rFonts w:ascii="Arial" w:cs="Arial" w:eastAsia="Arial" w:hAnsi="Arial"/>
          <w:sz w:val="22"/>
          <w:szCs w:val="22"/>
          <w:color w:val="auto"/>
        </w:rPr>
      </w:pPr>
      <w:r>
        <w:rPr>
          <w:rFonts w:ascii="Arial" w:cs="Arial" w:eastAsia="Arial" w:hAnsi="Arial"/>
          <w:sz w:val="22"/>
          <w:szCs w:val="22"/>
          <w:color w:val="auto"/>
        </w:rPr>
        <w:t>months, as may be necessary to verify compliance of the payments made by AXSOME with the terms of this AGREEMENT. Such audit shall be requested in writing at least seven (7) days in advance and shall be conducted during AXSOME’s normal business hours and otherwise in a manner that minimizes any interference to AXSOME’s business operations.</w:t>
      </w:r>
    </w:p>
    <w:p>
      <w:pPr>
        <w:spacing w:after="0" w:line="53" w:lineRule="exact"/>
        <w:rPr>
          <w:sz w:val="20"/>
          <w:szCs w:val="20"/>
          <w:color w:val="auto"/>
        </w:rPr>
      </w:pPr>
    </w:p>
    <w:p>
      <w:pPr>
        <w:jc w:val="right"/>
        <w:ind w:left="860" w:right="219"/>
        <w:spacing w:after="0" w:line="243"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Audit Fees and Expenses</w:t>
      </w:r>
      <w:r>
        <w:rPr>
          <w:rFonts w:ascii="Arial" w:cs="Arial" w:eastAsia="Arial" w:hAnsi="Arial"/>
          <w:sz w:val="19"/>
          <w:szCs w:val="19"/>
          <w:color w:val="auto"/>
        </w:rPr>
        <w:t>. PFIZER shall bear any and all fees and expenses it may incur in connection with any such audit of the RELEVANT RECORDS;  provided, however, in the event an audit reveals an underpayment by AXSOME of more than</w:t>
      </w:r>
    </w:p>
    <w:p>
      <w:pPr>
        <w:spacing w:after="0" w:line="2" w:lineRule="exact"/>
        <w:rPr>
          <w:sz w:val="20"/>
          <w:szCs w:val="20"/>
          <w:color w:val="auto"/>
        </w:rPr>
      </w:pPr>
    </w:p>
    <w:p>
      <w:pPr>
        <w:jc w:val="both"/>
        <w:ind w:left="860" w:right="219" w:hanging="3"/>
        <w:spacing w:after="0" w:line="222" w:lineRule="auto"/>
        <w:tabs>
          <w:tab w:leader="none" w:pos="1416" w:val="left"/>
        </w:tabs>
        <w:numPr>
          <w:ilvl w:val="0"/>
          <w:numId w:val="71"/>
        </w:numPr>
        <w:rPr>
          <w:rFonts w:ascii="Arial" w:cs="Arial" w:eastAsia="Arial" w:hAnsi="Arial"/>
          <w:sz w:val="21"/>
          <w:szCs w:val="21"/>
          <w:color w:val="auto"/>
        </w:rPr>
      </w:pPr>
      <w:r>
        <w:rPr>
          <w:rFonts w:ascii="Arial" w:cs="Arial" w:eastAsia="Arial" w:hAnsi="Arial"/>
          <w:sz w:val="21"/>
          <w:szCs w:val="21"/>
          <w:color w:val="auto"/>
        </w:rPr>
        <w:t>percent ([***]%) as to the period subject to the audit, AXSOME shall reimburse PFIZER for any reasonable and documented out-of-pocket costs and expenses of the audit within thirty (30) days after receiving invoices thereof, PFIZER shall have the right to examine the RELEVANT RECORDS of AXSOME up to once every six (6) months for the two (2) year period following the audit revealing such underpayment.</w:t>
      </w:r>
    </w:p>
    <w:p>
      <w:pPr>
        <w:spacing w:after="0" w:line="53" w:lineRule="exact"/>
        <w:rPr>
          <w:sz w:val="20"/>
          <w:szCs w:val="20"/>
          <w:color w:val="auto"/>
        </w:rPr>
      </w:pPr>
    </w:p>
    <w:p>
      <w:pPr>
        <w:jc w:val="both"/>
        <w:ind w:left="860" w:right="219"/>
        <w:spacing w:after="0" w:line="241"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Payment of Deficiency; Overpayment</w:t>
      </w:r>
      <w:r>
        <w:rPr>
          <w:rFonts w:ascii="Arial" w:cs="Arial" w:eastAsia="Arial" w:hAnsi="Arial"/>
          <w:sz w:val="19"/>
          <w:szCs w:val="19"/>
          <w:color w:val="auto"/>
        </w:rPr>
        <w:t>. If any audit establishes that AXSOME underpaid any amounts due to PFIZER under this AGREEMENT, then AXSOME shall pay PFIZER any such deficiency within thirty (30) days after receipt of written notice thereof. For the avoidance of doubt, such payment will be considered a late payment pursuant to Section 6.7. If any audit establishes that AXSOME overpaid any amounts, then PFIZER</w:t>
      </w:r>
    </w:p>
    <w:p>
      <w:pPr>
        <w:spacing w:after="0" w:line="1" w:lineRule="exact"/>
        <w:rPr>
          <w:sz w:val="20"/>
          <w:szCs w:val="20"/>
          <w:color w:val="auto"/>
        </w:rPr>
      </w:pPr>
    </w:p>
    <w:p>
      <w:pPr>
        <w:jc w:val="both"/>
        <w:ind w:left="860" w:right="219" w:firstLine="121"/>
        <w:spacing w:after="0" w:line="237" w:lineRule="auto"/>
        <w:rPr>
          <w:sz w:val="20"/>
          <w:szCs w:val="20"/>
          <w:color w:val="auto"/>
        </w:rPr>
      </w:pPr>
      <w:r>
        <w:rPr>
          <w:rFonts w:ascii="Arial" w:cs="Arial" w:eastAsia="Arial" w:hAnsi="Arial"/>
          <w:sz w:val="19"/>
          <w:szCs w:val="19"/>
          <w:color w:val="auto"/>
        </w:rPr>
        <w:t>shall credit the amount of such overpayment against future amount due under the AGREEMENT less the cost of the audit or refund such overpayment less the cost of the audit to AXSOME if no further amounts are due under the AGREEMENT within forty-five</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(45) days after receipt of written notice thereof.</w:t>
      </w:r>
    </w:p>
    <w:p>
      <w:pPr>
        <w:spacing w:after="0" w:line="53" w:lineRule="exact"/>
        <w:rPr>
          <w:sz w:val="20"/>
          <w:szCs w:val="20"/>
          <w:color w:val="auto"/>
        </w:rPr>
      </w:pPr>
    </w:p>
    <w:p>
      <w:pPr>
        <w:ind w:left="860" w:hanging="651"/>
        <w:spacing w:after="0"/>
        <w:tabs>
          <w:tab w:leader="none" w:pos="86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p>
    <w:p>
      <w:pPr>
        <w:spacing w:after="0" w:line="287" w:lineRule="exact"/>
        <w:rPr>
          <w:rFonts w:ascii="Arial" w:cs="Arial" w:eastAsia="Arial" w:hAnsi="Arial"/>
          <w:sz w:val="22"/>
          <w:szCs w:val="22"/>
          <w:color w:val="auto"/>
        </w:rPr>
      </w:pPr>
    </w:p>
    <w:p>
      <w:pPr>
        <w:jc w:val="both"/>
        <w:ind w:left="860" w:right="219"/>
        <w:spacing w:after="0" w:line="229" w:lineRule="auto"/>
        <w:rPr>
          <w:rFonts w:ascii="Arial" w:cs="Arial" w:eastAsia="Arial" w:hAnsi="Arial"/>
          <w:sz w:val="22"/>
          <w:szCs w:val="22"/>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Pre-Existing IP</w:t>
      </w:r>
      <w:r>
        <w:rPr>
          <w:rFonts w:ascii="Arial" w:cs="Arial" w:eastAsia="Arial" w:hAnsi="Arial"/>
          <w:sz w:val="21"/>
          <w:szCs w:val="21"/>
          <w:color w:val="auto"/>
        </w:rPr>
        <w:t>. Subject only to the rights expressly granted to the other PARTY under this AGREEMENT, each PARTY shall retain all rights, title and interests in and to any INTELLECTUAL PROPERTY RIGHTS that are owned, licensed or sublicensed by such PARTY prior to or independent of this AGREEMENT.</w:t>
      </w:r>
    </w:p>
    <w:p>
      <w:pPr>
        <w:spacing w:after="0" w:line="50" w:lineRule="exact"/>
        <w:rPr>
          <w:rFonts w:ascii="Arial" w:cs="Arial" w:eastAsia="Arial" w:hAnsi="Arial"/>
          <w:sz w:val="22"/>
          <w:szCs w:val="22"/>
          <w:color w:val="auto"/>
        </w:rPr>
      </w:pPr>
    </w:p>
    <w:p>
      <w:pPr>
        <w:ind w:left="860" w:right="239"/>
        <w:spacing w:after="0" w:line="232" w:lineRule="auto"/>
        <w:rPr>
          <w:rFonts w:ascii="Arial" w:cs="Arial" w:eastAsia="Arial" w:hAnsi="Arial"/>
          <w:sz w:val="22"/>
          <w:szCs w:val="22"/>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Ownership of Patents; Assignment of Patents</w:t>
      </w:r>
      <w:r>
        <w:rPr>
          <w:rFonts w:ascii="Arial" w:cs="Arial" w:eastAsia="Arial" w:hAnsi="Arial"/>
          <w:sz w:val="22"/>
          <w:szCs w:val="22"/>
          <w:color w:val="auto"/>
        </w:rPr>
        <w:t>. During the TERM, title and ownership of the LICENSED PATENT RIGHTS shall remain with PFIZER or its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85" w:name="page186"/>
    <w:bookmarkEnd w:id="185"/>
    <w:p>
      <w:pPr>
        <w:jc w:val="both"/>
        <w:ind w:left="860" w:right="219"/>
        <w:spacing w:after="0" w:line="226" w:lineRule="auto"/>
        <w:rPr>
          <w:sz w:val="20"/>
          <w:szCs w:val="20"/>
          <w:color w:val="auto"/>
        </w:rPr>
      </w:pPr>
      <w:r>
        <w:rPr>
          <w:rFonts w:ascii="Arial" w:cs="Arial" w:eastAsia="Arial" w:hAnsi="Arial"/>
          <w:sz w:val="21"/>
          <w:szCs w:val="21"/>
          <w:color w:val="auto"/>
        </w:rPr>
        <w:t>AFFILIATES as determined by PFIZER in its sole discretion. PFIZER shall be entitled to transfer or have transferred ownership and title of the LICENSED PATENT RIGHTS to any of its AFFILIATES or to itself, as it deems necessary or desirable in its sole discretion, without the need to obtain prior approval from AXSOME; provided, however that such AFFILIATE is bound to the provisions of this AGREEMENT.</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Patent Prosecution and Maintenance</w:t>
      </w:r>
    </w:p>
    <w:p>
      <w:pPr>
        <w:spacing w:after="0" w:line="71" w:lineRule="exact"/>
        <w:rPr>
          <w:sz w:val="20"/>
          <w:szCs w:val="20"/>
          <w:color w:val="auto"/>
        </w:rPr>
      </w:pPr>
    </w:p>
    <w:p>
      <w:pPr>
        <w:jc w:val="both"/>
        <w:ind w:left="1500" w:right="219"/>
        <w:spacing w:after="0" w:line="234" w:lineRule="auto"/>
        <w:rPr>
          <w:sz w:val="20"/>
          <w:szCs w:val="20"/>
          <w:color w:val="auto"/>
        </w:rPr>
      </w:pPr>
      <w:r>
        <w:rPr>
          <w:rFonts w:ascii="Arial" w:cs="Arial" w:eastAsia="Arial" w:hAnsi="Arial"/>
          <w:sz w:val="21"/>
          <w:szCs w:val="21"/>
          <w:color w:val="auto"/>
        </w:rPr>
        <w:t xml:space="preserve">8.3.1 </w:t>
      </w:r>
      <w:r>
        <w:rPr>
          <w:rFonts w:ascii="Arial" w:cs="Arial" w:eastAsia="Arial" w:hAnsi="Arial"/>
          <w:sz w:val="21"/>
          <w:szCs w:val="21"/>
          <w:u w:val="single" w:color="auto"/>
          <w:color w:val="auto"/>
        </w:rPr>
        <w:t>Axsome Responsibility</w:t>
      </w:r>
      <w:r>
        <w:rPr>
          <w:rFonts w:ascii="Arial" w:cs="Arial" w:eastAsia="Arial" w:hAnsi="Arial"/>
          <w:sz w:val="21"/>
          <w:szCs w:val="21"/>
          <w:color w:val="auto"/>
        </w:rPr>
        <w:t>. Upon the EFFECTIVE DATE, AXSOME shall be solely responsible for (subject to the provisions of Section 8.3.7 relating to the failure to prosecute or maintain) at its sole cost and expense and shall:</w:t>
      </w:r>
    </w:p>
    <w:p>
      <w:pPr>
        <w:spacing w:after="0" w:line="50" w:lineRule="exact"/>
        <w:rPr>
          <w:sz w:val="20"/>
          <w:szCs w:val="20"/>
          <w:color w:val="auto"/>
        </w:rPr>
      </w:pPr>
    </w:p>
    <w:p>
      <w:pPr>
        <w:jc w:val="both"/>
        <w:ind w:left="2160" w:right="219" w:hanging="7"/>
        <w:spacing w:after="0" w:line="243" w:lineRule="auto"/>
        <w:tabs>
          <w:tab w:leader="none" w:pos="3019" w:val="left"/>
        </w:tabs>
        <w:numPr>
          <w:ilvl w:val="0"/>
          <w:numId w:val="73"/>
        </w:numPr>
        <w:rPr>
          <w:rFonts w:ascii="Arial" w:cs="Arial" w:eastAsia="Arial" w:hAnsi="Arial"/>
          <w:sz w:val="19"/>
          <w:szCs w:val="19"/>
          <w:color w:val="auto"/>
        </w:rPr>
      </w:pPr>
      <w:r>
        <w:rPr>
          <w:rFonts w:ascii="Arial" w:cs="Arial" w:eastAsia="Arial" w:hAnsi="Arial"/>
          <w:sz w:val="19"/>
          <w:szCs w:val="19"/>
          <w:color w:val="auto"/>
        </w:rPr>
        <w:t>Prosecute on behalf of and in the name of PFIZER or PFIZER’s AFFILIATES, as applicable, the LICENSED PATENT RIGHTS, including performance of all actions necessary and related to reexaminations, reissues,</w:t>
      </w:r>
    </w:p>
    <w:p>
      <w:pPr>
        <w:spacing w:after="0" w:line="2" w:lineRule="exact"/>
        <w:rPr>
          <w:sz w:val="20"/>
          <w:szCs w:val="20"/>
          <w:color w:val="auto"/>
        </w:rPr>
      </w:pPr>
    </w:p>
    <w:p>
      <w:pPr>
        <w:jc w:val="both"/>
        <w:ind w:left="2160" w:right="219"/>
        <w:spacing w:after="0" w:line="258" w:lineRule="auto"/>
        <w:rPr>
          <w:sz w:val="20"/>
          <w:szCs w:val="20"/>
          <w:color w:val="auto"/>
        </w:rPr>
      </w:pPr>
      <w:r>
        <w:rPr>
          <w:rFonts w:ascii="Arial" w:cs="Arial" w:eastAsia="Arial" w:hAnsi="Arial"/>
          <w:sz w:val="19"/>
          <w:szCs w:val="19"/>
          <w:color w:val="auto"/>
        </w:rPr>
        <w:t>interferences, inter partes review, oppositions, pre and post grant proceedings, patent term extensions, patent term restorations, patent term adjustments and the like thereof (the “PATENT PROSECUTION”); and</w:t>
      </w:r>
    </w:p>
    <w:p>
      <w:pPr>
        <w:spacing w:after="0" w:line="33" w:lineRule="exact"/>
        <w:rPr>
          <w:sz w:val="20"/>
          <w:szCs w:val="20"/>
          <w:color w:val="auto"/>
        </w:rPr>
      </w:pPr>
    </w:p>
    <w:p>
      <w:pPr>
        <w:jc w:val="both"/>
        <w:ind w:left="2160" w:right="219" w:hanging="7"/>
        <w:spacing w:after="0" w:line="223" w:lineRule="auto"/>
        <w:tabs>
          <w:tab w:leader="none" w:pos="2994" w:val="left"/>
        </w:tabs>
        <w:numPr>
          <w:ilvl w:val="0"/>
          <w:numId w:val="74"/>
        </w:numPr>
        <w:rPr>
          <w:rFonts w:ascii="Arial" w:cs="Arial" w:eastAsia="Arial" w:hAnsi="Arial"/>
          <w:sz w:val="22"/>
          <w:szCs w:val="22"/>
          <w:color w:val="auto"/>
        </w:rPr>
      </w:pPr>
      <w:r>
        <w:rPr>
          <w:rFonts w:ascii="Arial" w:cs="Arial" w:eastAsia="Arial" w:hAnsi="Arial"/>
          <w:sz w:val="22"/>
          <w:szCs w:val="22"/>
          <w:color w:val="auto"/>
        </w:rPr>
        <w:t>Pay annuities and take all other actions necessary to maintain the LICENSED PATENT RIGHTS in force and effect (the “PATENT MAINTENANCE”).</w:t>
      </w:r>
    </w:p>
    <w:p>
      <w:pPr>
        <w:spacing w:after="0" w:line="51" w:lineRule="exact"/>
        <w:rPr>
          <w:sz w:val="20"/>
          <w:szCs w:val="20"/>
          <w:color w:val="auto"/>
        </w:rPr>
      </w:pPr>
    </w:p>
    <w:p>
      <w:pPr>
        <w:jc w:val="both"/>
        <w:ind w:left="1500" w:right="219"/>
        <w:spacing w:after="0" w:line="221" w:lineRule="auto"/>
        <w:rPr>
          <w:sz w:val="20"/>
          <w:szCs w:val="20"/>
          <w:color w:val="auto"/>
        </w:rPr>
      </w:pPr>
      <w:r>
        <w:rPr>
          <w:rFonts w:ascii="Arial" w:cs="Arial" w:eastAsia="Arial" w:hAnsi="Arial"/>
          <w:sz w:val="21"/>
          <w:szCs w:val="21"/>
          <w:color w:val="auto"/>
        </w:rPr>
        <w:t xml:space="preserve">8.3.2 </w:t>
      </w:r>
      <w:r>
        <w:rPr>
          <w:rFonts w:ascii="Arial" w:cs="Arial" w:eastAsia="Arial" w:hAnsi="Arial"/>
          <w:sz w:val="21"/>
          <w:szCs w:val="21"/>
          <w:u w:val="single" w:color="auto"/>
          <w:color w:val="auto"/>
        </w:rPr>
        <w:t>External Patent Counsel</w:t>
      </w:r>
      <w:r>
        <w:rPr>
          <w:rFonts w:ascii="Arial" w:cs="Arial" w:eastAsia="Arial" w:hAnsi="Arial"/>
          <w:sz w:val="21"/>
          <w:szCs w:val="21"/>
          <w:color w:val="auto"/>
        </w:rPr>
        <w:t>. Within thirty (30) days of the EFFECTIVE DATE, PFIZER shall, if applicable, authorize and instruct any of its external patent counsel and agents managing any of PATENT PROSECUTION and PATENT MAINTENANCE to communicate with and act on the instructions of AXSOME regarding the further PATENT PROSECUTION and PATENT MAINTENANCE. The costs and expenses of any activities relating to such instructions shall be billed solely and directly to AXSOME and AXSOME shall be solely responsible for such costs and expenses.</w:t>
      </w:r>
    </w:p>
    <w:p>
      <w:pPr>
        <w:spacing w:after="0" w:line="57" w:lineRule="exact"/>
        <w:rPr>
          <w:sz w:val="20"/>
          <w:szCs w:val="20"/>
          <w:color w:val="auto"/>
        </w:rPr>
      </w:pPr>
    </w:p>
    <w:p>
      <w:pPr>
        <w:jc w:val="both"/>
        <w:ind w:left="1500" w:right="219"/>
        <w:spacing w:after="0" w:line="268" w:lineRule="auto"/>
        <w:rPr>
          <w:sz w:val="20"/>
          <w:szCs w:val="20"/>
          <w:color w:val="auto"/>
        </w:rPr>
      </w:pPr>
      <w:r>
        <w:rPr>
          <w:rFonts w:ascii="Arial" w:cs="Arial" w:eastAsia="Arial" w:hAnsi="Arial"/>
          <w:sz w:val="19"/>
          <w:szCs w:val="19"/>
          <w:color w:val="auto"/>
        </w:rPr>
        <w:t xml:space="preserve">8.3.3 </w:t>
      </w:r>
      <w:r>
        <w:rPr>
          <w:rFonts w:ascii="Arial" w:cs="Arial" w:eastAsia="Arial" w:hAnsi="Arial"/>
          <w:sz w:val="19"/>
          <w:szCs w:val="19"/>
          <w:u w:val="single" w:color="auto"/>
          <w:color w:val="auto"/>
        </w:rPr>
        <w:t>Powers of Attorney</w:t>
      </w:r>
      <w:r>
        <w:rPr>
          <w:rFonts w:ascii="Arial" w:cs="Arial" w:eastAsia="Arial" w:hAnsi="Arial"/>
          <w:sz w:val="19"/>
          <w:szCs w:val="19"/>
          <w:color w:val="auto"/>
        </w:rPr>
        <w:t>. Within thirty (30) days of the EFFECTIVE DATE, PFIZER shall execute and have its AFFILIATES, if applicable, execute all powers of attorney and the like needed to effectuate the purposes of this Section 8.3.</w:t>
      </w:r>
    </w:p>
    <w:p>
      <w:pPr>
        <w:spacing w:after="0" w:line="24" w:lineRule="exact"/>
        <w:rPr>
          <w:sz w:val="20"/>
          <w:szCs w:val="20"/>
          <w:color w:val="auto"/>
        </w:rPr>
      </w:pPr>
    </w:p>
    <w:p>
      <w:pPr>
        <w:jc w:val="both"/>
        <w:ind w:left="1500" w:right="219"/>
        <w:spacing w:after="0" w:line="218" w:lineRule="auto"/>
        <w:rPr>
          <w:sz w:val="20"/>
          <w:szCs w:val="20"/>
          <w:color w:val="auto"/>
        </w:rPr>
      </w:pPr>
      <w:r>
        <w:rPr>
          <w:rFonts w:ascii="Arial" w:cs="Arial" w:eastAsia="Arial" w:hAnsi="Arial"/>
          <w:sz w:val="22"/>
          <w:szCs w:val="22"/>
          <w:color w:val="auto"/>
        </w:rPr>
        <w:t xml:space="preserve">8.3.4 </w:t>
      </w:r>
      <w:r>
        <w:rPr>
          <w:rFonts w:ascii="Arial" w:cs="Arial" w:eastAsia="Arial" w:hAnsi="Arial"/>
          <w:sz w:val="22"/>
          <w:szCs w:val="22"/>
          <w:u w:val="single" w:color="auto"/>
          <w:color w:val="auto"/>
        </w:rPr>
        <w:t>Documents</w:t>
      </w:r>
      <w:r>
        <w:rPr>
          <w:rFonts w:ascii="Arial" w:cs="Arial" w:eastAsia="Arial" w:hAnsi="Arial"/>
          <w:sz w:val="22"/>
          <w:szCs w:val="22"/>
          <w:color w:val="auto"/>
        </w:rPr>
        <w:t>. Within sixty (60) days of the EFFECTIVE DATE, PFIZER shall make COMMERCIALLY REASONABLE EFFORTS to provide to AXSOME all documents in its possession relating to the PATENT PROSECUTION and the PATENT MAINTENANCE.</w:t>
      </w:r>
    </w:p>
    <w:p>
      <w:pPr>
        <w:spacing w:after="0" w:line="53" w:lineRule="exact"/>
        <w:rPr>
          <w:sz w:val="20"/>
          <w:szCs w:val="20"/>
          <w:color w:val="auto"/>
        </w:rPr>
      </w:pPr>
    </w:p>
    <w:p>
      <w:pPr>
        <w:jc w:val="both"/>
        <w:ind w:left="1500" w:right="219"/>
        <w:spacing w:after="0" w:line="244" w:lineRule="auto"/>
        <w:rPr>
          <w:sz w:val="20"/>
          <w:szCs w:val="20"/>
          <w:color w:val="auto"/>
        </w:rPr>
      </w:pPr>
      <w:r>
        <w:rPr>
          <w:rFonts w:ascii="Arial" w:cs="Arial" w:eastAsia="Arial" w:hAnsi="Arial"/>
          <w:sz w:val="19"/>
          <w:szCs w:val="19"/>
          <w:color w:val="auto"/>
        </w:rPr>
        <w:t xml:space="preserve">8.3.5 </w:t>
      </w:r>
      <w:r>
        <w:rPr>
          <w:rFonts w:ascii="Arial" w:cs="Arial" w:eastAsia="Arial" w:hAnsi="Arial"/>
          <w:sz w:val="19"/>
          <w:szCs w:val="19"/>
          <w:u w:val="single" w:color="auto"/>
          <w:color w:val="auto"/>
        </w:rPr>
        <w:t>Pfizer Right to Comment; Providing Information</w:t>
      </w:r>
      <w:r>
        <w:rPr>
          <w:rFonts w:ascii="Arial" w:cs="Arial" w:eastAsia="Arial" w:hAnsi="Arial"/>
          <w:sz w:val="19"/>
          <w:szCs w:val="19"/>
          <w:color w:val="auto"/>
        </w:rPr>
        <w:t>. AXSOME shall provide PFIZER with copies of applicable documents and a reasonable opportunity (at least thirty (30) days) to review and provide comments to AXSOME with respect to any office actions or other communications of any applicable GOVERNMENTAL AUTHORITY, responses to such office actions or communications and the like relating to the PATENT PROSECUTION and the PATENT MAINTENANCE. Upon request from PFIZER, AXSOME shall promptly provide PFIZER with full and complete details of all reasonably requested information relating to the PATENT PROSECUTION and the PATENT MAINTENANCE.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86" w:name="page187"/>
    <w:bookmarkEnd w:id="186"/>
    <w:p>
      <w:pPr>
        <w:jc w:val="both"/>
        <w:ind w:left="1500" w:right="219"/>
        <w:spacing w:after="0" w:line="218" w:lineRule="auto"/>
        <w:rPr>
          <w:sz w:val="20"/>
          <w:szCs w:val="20"/>
          <w:color w:val="auto"/>
        </w:rPr>
      </w:pPr>
      <w:r>
        <w:rPr>
          <w:rFonts w:ascii="Arial" w:cs="Arial" w:eastAsia="Arial" w:hAnsi="Arial"/>
          <w:sz w:val="22"/>
          <w:szCs w:val="22"/>
          <w:color w:val="auto"/>
        </w:rPr>
        <w:t xml:space="preserve">8.3.6 </w:t>
      </w:r>
      <w:r>
        <w:rPr>
          <w:rFonts w:ascii="Arial" w:cs="Arial" w:eastAsia="Arial" w:hAnsi="Arial"/>
          <w:sz w:val="22"/>
          <w:szCs w:val="22"/>
          <w:u w:val="single" w:color="auto"/>
          <w:color w:val="auto"/>
        </w:rPr>
        <w:t>Assistance</w:t>
      </w:r>
      <w:r>
        <w:rPr>
          <w:rFonts w:ascii="Arial" w:cs="Arial" w:eastAsia="Arial" w:hAnsi="Arial"/>
          <w:sz w:val="22"/>
          <w:szCs w:val="22"/>
          <w:color w:val="auto"/>
        </w:rPr>
        <w:t>. PFIZER shall use COMMERCIALLY REASONABLE EFFORTS to provide assistance to AXSOME with respect to the PATENT PROSECUTION or PATENT MAINTENANCE, subject to the following terms and conditions:</w:t>
      </w:r>
    </w:p>
    <w:p>
      <w:pPr>
        <w:spacing w:after="0" w:line="53" w:lineRule="exact"/>
        <w:rPr>
          <w:sz w:val="20"/>
          <w:szCs w:val="20"/>
          <w:color w:val="auto"/>
        </w:rPr>
      </w:pPr>
    </w:p>
    <w:p>
      <w:pPr>
        <w:ind w:left="2820" w:hanging="667"/>
        <w:spacing w:after="0"/>
        <w:tabs>
          <w:tab w:leader="none" w:pos="28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AXSOME shall make reasonable requests for such assistance; and</w:t>
      </w:r>
    </w:p>
    <w:p>
      <w:pPr>
        <w:spacing w:after="0" w:line="105" w:lineRule="exact"/>
        <w:rPr>
          <w:rFonts w:ascii="Arial" w:cs="Arial" w:eastAsia="Arial" w:hAnsi="Arial"/>
          <w:sz w:val="19"/>
          <w:szCs w:val="19"/>
          <w:color w:val="auto"/>
        </w:rPr>
      </w:pPr>
    </w:p>
    <w:p>
      <w:pPr>
        <w:ind w:left="2160" w:right="239" w:hanging="7"/>
        <w:spacing w:after="0" w:line="232" w:lineRule="auto"/>
        <w:tabs>
          <w:tab w:leader="none" w:pos="3003"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assistance provided by PFIZER shall be at AXSOME’s sole cost and expense.</w:t>
      </w:r>
    </w:p>
    <w:p>
      <w:pPr>
        <w:spacing w:after="0" w:line="51" w:lineRule="exact"/>
        <w:rPr>
          <w:sz w:val="20"/>
          <w:szCs w:val="20"/>
          <w:color w:val="auto"/>
        </w:rPr>
      </w:pPr>
    </w:p>
    <w:p>
      <w:pPr>
        <w:jc w:val="both"/>
        <w:ind w:left="1500" w:right="219"/>
        <w:spacing w:after="0" w:line="242" w:lineRule="auto"/>
        <w:rPr>
          <w:sz w:val="20"/>
          <w:szCs w:val="20"/>
          <w:color w:val="auto"/>
        </w:rPr>
      </w:pPr>
      <w:r>
        <w:rPr>
          <w:rFonts w:ascii="Arial" w:cs="Arial" w:eastAsia="Arial" w:hAnsi="Arial"/>
          <w:sz w:val="19"/>
          <w:szCs w:val="19"/>
          <w:color w:val="auto"/>
        </w:rPr>
        <w:t xml:space="preserve">8.3.7 </w:t>
      </w:r>
      <w:r>
        <w:rPr>
          <w:rFonts w:ascii="Arial" w:cs="Arial" w:eastAsia="Arial" w:hAnsi="Arial"/>
          <w:sz w:val="19"/>
          <w:szCs w:val="19"/>
          <w:u w:val="single" w:color="auto"/>
          <w:color w:val="auto"/>
        </w:rPr>
        <w:t>Failure to Prosecute or Maintain</w:t>
      </w:r>
      <w:r>
        <w:rPr>
          <w:rFonts w:ascii="Arial" w:cs="Arial" w:eastAsia="Arial" w:hAnsi="Arial"/>
          <w:sz w:val="19"/>
          <w:szCs w:val="19"/>
          <w:color w:val="auto"/>
        </w:rPr>
        <w:t>. With respect to any LICENSED PATENT RIGHT, in the event AXSOME elects to forgo the applicable PATENT PROSECUTION or the PATENT MAINTENANCE, or otherwise elects to terminate its license to any LICENSED PATENT RIGHTS, AXSOME shall notify PFIZER in writing of such election (“ELECTION NOTICE”). Each ELECTION NOTICE shall be provided at least forty-five (45) days prior to any applicable filing or payment due date. Upon receipt of an ELECTION NOTICE, PFIZER shall be entitled, upon written notice to AXSOME, at its sole discretion and expense, to undertake the applicable PATENT PROSECUTION or PATENT MAINTENANCE, in which case, as of the date of the applicable ELECTION NOTICE, the license granted in Section 2.1 with respect to such LICENSED PATENT RIGHT shall become non-exclusive and AXSOME will have no further rights and PFIZER will have no further obligations to LICENSEE, in respect of the PATENT PROSECUTION and PATENT MAINTENANCE thereto.</w:t>
      </w:r>
    </w:p>
    <w:p>
      <w:pPr>
        <w:spacing w:after="0" w:line="268"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Infringement; Misappropriation</w:t>
      </w:r>
    </w:p>
    <w:p>
      <w:pPr>
        <w:spacing w:after="0" w:line="287" w:lineRule="exact"/>
        <w:rPr>
          <w:sz w:val="20"/>
          <w:szCs w:val="20"/>
          <w:color w:val="auto"/>
        </w:rPr>
      </w:pPr>
    </w:p>
    <w:p>
      <w:pPr>
        <w:jc w:val="both"/>
        <w:ind w:left="1500" w:right="219"/>
        <w:spacing w:after="0" w:line="220" w:lineRule="auto"/>
        <w:rPr>
          <w:sz w:val="20"/>
          <w:szCs w:val="20"/>
          <w:color w:val="auto"/>
        </w:rPr>
      </w:pPr>
      <w:r>
        <w:rPr>
          <w:rFonts w:ascii="Arial" w:cs="Arial" w:eastAsia="Arial" w:hAnsi="Arial"/>
          <w:sz w:val="21"/>
          <w:szCs w:val="21"/>
          <w:color w:val="auto"/>
        </w:rPr>
        <w:t xml:space="preserve">8.4.1 </w:t>
      </w:r>
      <w:r>
        <w:rPr>
          <w:rFonts w:ascii="Arial" w:cs="Arial" w:eastAsia="Arial" w:hAnsi="Arial"/>
          <w:sz w:val="21"/>
          <w:szCs w:val="21"/>
          <w:u w:val="single" w:color="auto"/>
          <w:color w:val="auto"/>
        </w:rPr>
        <w:t>Notification</w:t>
      </w:r>
      <w:r>
        <w:rPr>
          <w:rFonts w:ascii="Arial" w:cs="Arial" w:eastAsia="Arial" w:hAnsi="Arial"/>
          <w:sz w:val="21"/>
          <w:szCs w:val="21"/>
          <w:color w:val="auto"/>
        </w:rPr>
        <w:t>. Each PARTY will promptly notify the other PARTY in writing of any (i) actual or threatened infringement, misappropriation or other violation by a THIRD PARTY of any LICENSED IP in the FIELD and in the TERRITORY of which it becomes aware, including if such involves the filing of an ANDA under Section 505(j) of the FD&amp;C Act or an application under Section 505(b)(2) of the FD&amp;C Act naming a PRODUCT as a reference listed drug and including a certification under Section 505(j)(2)(A)(vii)(IV) or 505(b)(2)(A)(IV), respectively or (ii) initiation of an action for declaratory judgment against any LICENSED PATENT RIGHT in the TERRITORY (any of (i) or (ii) constituting a “THIRD PARTY INFRINGEMENT”).</w:t>
      </w:r>
    </w:p>
    <w:p>
      <w:pPr>
        <w:spacing w:after="0" w:line="54"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22"/>
          <w:szCs w:val="22"/>
          <w:color w:val="auto"/>
        </w:rPr>
        <w:t>8.4.2</w:t>
      </w:r>
      <w:r>
        <w:rPr>
          <w:sz w:val="20"/>
          <w:szCs w:val="20"/>
          <w:color w:val="auto"/>
        </w:rPr>
        <w:tab/>
      </w:r>
      <w:r>
        <w:rPr>
          <w:rFonts w:ascii="Arial" w:cs="Arial" w:eastAsia="Arial" w:hAnsi="Arial"/>
          <w:sz w:val="19"/>
          <w:szCs w:val="19"/>
          <w:u w:val="single" w:color="auto"/>
          <w:color w:val="auto"/>
        </w:rPr>
        <w:t>Right of First Enforcement</w:t>
      </w:r>
    </w:p>
    <w:p>
      <w:pPr>
        <w:spacing w:after="0" w:line="71" w:lineRule="exact"/>
        <w:rPr>
          <w:sz w:val="20"/>
          <w:szCs w:val="20"/>
          <w:color w:val="auto"/>
        </w:rPr>
      </w:pPr>
    </w:p>
    <w:p>
      <w:pPr>
        <w:jc w:val="both"/>
        <w:ind w:left="2160" w:right="219" w:hanging="7"/>
        <w:spacing w:after="0" w:line="244" w:lineRule="auto"/>
        <w:tabs>
          <w:tab w:leader="none" w:pos="2985" w:val="left"/>
        </w:tabs>
        <w:numPr>
          <w:ilvl w:val="0"/>
          <w:numId w:val="76"/>
        </w:numPr>
        <w:rPr>
          <w:rFonts w:ascii="Arial" w:cs="Arial" w:eastAsia="Arial" w:hAnsi="Arial"/>
          <w:sz w:val="19"/>
          <w:szCs w:val="19"/>
          <w:color w:val="auto"/>
        </w:rPr>
      </w:pPr>
      <w:r>
        <w:rPr>
          <w:rFonts w:ascii="Arial" w:cs="Arial" w:eastAsia="Arial" w:hAnsi="Arial"/>
          <w:sz w:val="19"/>
          <w:szCs w:val="19"/>
          <w:color w:val="auto"/>
        </w:rPr>
        <w:t>AXSOME shall have the first right (but not the obligation), at its sole cost and expense, to control enforcement of the LICENSED IP against any THIRD PARTY INFRINGEMENT. AXSOME shall be entitled to name PFIZER as an additional party in applicable actions or proceedings if necessary in order to enable AXSOME to exercise its right to control enforcement against such THIRD PARTY INFRINGEMENT. Prior to commencing any such action, AXSOME shall consult with PFIZER and shall give due consideration to PFIZER’s recommendations regarding the proposed action. AXSOME shall give PFIZER timely notice of any proposed settlement of any such action or proceedings related to a THIRD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87" w:name="page188"/>
    <w:bookmarkEnd w:id="187"/>
    <w:p>
      <w:pPr>
        <w:jc w:val="both"/>
        <w:ind w:left="2160" w:right="219"/>
        <w:spacing w:after="0" w:line="244" w:lineRule="auto"/>
        <w:rPr>
          <w:sz w:val="20"/>
          <w:szCs w:val="20"/>
          <w:color w:val="auto"/>
        </w:rPr>
      </w:pPr>
      <w:r>
        <w:rPr>
          <w:rFonts w:ascii="Arial" w:cs="Arial" w:eastAsia="Arial" w:hAnsi="Arial"/>
          <w:sz w:val="19"/>
          <w:szCs w:val="19"/>
          <w:color w:val="auto"/>
        </w:rPr>
        <w:t>PARTY INFRINGEMENT. AXSOME shall not, without the prior written consent of PFIZER, which consent shall not be unreasonably withheld or delayed, enter into any settlement that would: (i) adversely affect the validity, enforceability or scope of any of the LICENSED PATENT RIGHTS, or (ii) admits non-infringement of any LICENSED PATENT RIGHTS. AXSOME shall not, without the prior written consent of PFIZER, which PFIZER shall have sole discretion in granting, enter into any settlement that (i) gives rise to liability of PFIZER or its AFFILIATES, or (ii) impairs PFIZER’s rights in any LICENSED IP or this AGREEMENT.</w:t>
      </w:r>
    </w:p>
    <w:p>
      <w:pPr>
        <w:spacing w:after="0" w:line="53" w:lineRule="exact"/>
        <w:rPr>
          <w:sz w:val="20"/>
          <w:szCs w:val="20"/>
          <w:color w:val="auto"/>
        </w:rPr>
      </w:pPr>
    </w:p>
    <w:p>
      <w:pPr>
        <w:jc w:val="both"/>
        <w:ind w:left="2160" w:right="219" w:hanging="7"/>
        <w:spacing w:after="0" w:line="242" w:lineRule="auto"/>
        <w:tabs>
          <w:tab w:leader="none" w:pos="2929" w:val="left"/>
        </w:tabs>
        <w:numPr>
          <w:ilvl w:val="0"/>
          <w:numId w:val="77"/>
        </w:numPr>
        <w:rPr>
          <w:rFonts w:ascii="Arial" w:cs="Arial" w:eastAsia="Arial" w:hAnsi="Arial"/>
          <w:sz w:val="19"/>
          <w:szCs w:val="19"/>
          <w:color w:val="auto"/>
        </w:rPr>
      </w:pPr>
      <w:r>
        <w:rPr>
          <w:rFonts w:ascii="Arial" w:cs="Arial" w:eastAsia="Arial" w:hAnsi="Arial"/>
          <w:sz w:val="19"/>
          <w:szCs w:val="19"/>
          <w:color w:val="auto"/>
        </w:rPr>
        <w:t>If AXSOME does not, with respect to its first right of enforcement under Section 8.4.2(a), obtain agreement from the alleged infringer to desist, or fails or refuses to initiate an infringement action by the earlier of (i) one hundred-twenty (120) days following AXSOME’s receipt of notice of the alleged infringement or (ii) fifteen (15) days before the expiration date for filing such actions, then PFIZER shall have the right, at its sole discretion, to control such enforcement of the LICENSED IP at its sole expense, and notwithstanding the provisions of Section 8.4.3, shall be entitled to retain any and all applicable recoveries; provided, however PFIZER shall not, without the prior written consent of AXSOME, which AXSOME consent shall not be unreasonably withheld, enter into any settlement that (i) gives rise to liability of AXSOME or its AFFILIATES, or (ii) impairs AXSOME’s rights in any LICENSED IP or this AGREEMENT.</w:t>
      </w:r>
    </w:p>
    <w:p>
      <w:pPr>
        <w:spacing w:after="0" w:line="52" w:lineRule="exact"/>
        <w:rPr>
          <w:sz w:val="20"/>
          <w:szCs w:val="20"/>
          <w:color w:val="auto"/>
        </w:rPr>
      </w:pPr>
    </w:p>
    <w:p>
      <w:pPr>
        <w:jc w:val="both"/>
        <w:ind w:left="1500" w:right="219"/>
        <w:spacing w:after="0" w:line="222" w:lineRule="auto"/>
        <w:rPr>
          <w:sz w:val="20"/>
          <w:szCs w:val="20"/>
          <w:color w:val="auto"/>
        </w:rPr>
      </w:pPr>
      <w:r>
        <w:rPr>
          <w:rFonts w:ascii="Arial" w:cs="Arial" w:eastAsia="Arial" w:hAnsi="Arial"/>
          <w:sz w:val="21"/>
          <w:szCs w:val="21"/>
          <w:color w:val="auto"/>
        </w:rPr>
        <w:t xml:space="preserve">8.4.3 </w:t>
      </w:r>
      <w:r>
        <w:rPr>
          <w:rFonts w:ascii="Arial" w:cs="Arial" w:eastAsia="Arial" w:hAnsi="Arial"/>
          <w:sz w:val="21"/>
          <w:szCs w:val="21"/>
          <w:u w:val="single" w:color="auto"/>
          <w:color w:val="auto"/>
        </w:rPr>
        <w:t>Recoveries</w:t>
      </w:r>
      <w:r>
        <w:rPr>
          <w:rFonts w:ascii="Arial" w:cs="Arial" w:eastAsia="Arial" w:hAnsi="Arial"/>
          <w:sz w:val="21"/>
          <w:szCs w:val="21"/>
          <w:color w:val="auto"/>
        </w:rPr>
        <w:t>. Subject to Subsection (b) of Section 8.4.2, any recoveries resulting from an action relating to a claim of THIRD PARTY INFRINGEMENT shall first be applied to reimburse each PARTY’s costs and expenses incurred in connection therewith. If AXSOME institutes an action or proceeding, any remaining recoveries shall be retained by (or if received by PFIZER, paid to) AXSOME; provided, however, PFIZER shall be entitled to ROYALTY PAYMENTS on such remaining recoveries of [***] percent ([***]%).</w:t>
      </w:r>
    </w:p>
    <w:p>
      <w:pPr>
        <w:spacing w:after="0" w:line="56" w:lineRule="exact"/>
        <w:rPr>
          <w:sz w:val="20"/>
          <w:szCs w:val="20"/>
          <w:color w:val="auto"/>
        </w:rPr>
      </w:pPr>
    </w:p>
    <w:p>
      <w:pPr>
        <w:ind w:left="860" w:hanging="651"/>
        <w:spacing w:after="0"/>
        <w:tabs>
          <w:tab w:leader="none" w:pos="86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Confidentiality</w:t>
      </w:r>
    </w:p>
    <w:p>
      <w:pPr>
        <w:spacing w:after="0" w:line="71" w:lineRule="exact"/>
        <w:rPr>
          <w:rFonts w:ascii="Arial" w:cs="Arial" w:eastAsia="Arial" w:hAnsi="Arial"/>
          <w:sz w:val="22"/>
          <w:szCs w:val="22"/>
          <w:color w:val="auto"/>
        </w:rPr>
      </w:pPr>
    </w:p>
    <w:p>
      <w:pPr>
        <w:ind w:left="860" w:right="259"/>
        <w:spacing w:after="0" w:line="242" w:lineRule="auto"/>
        <w:rPr>
          <w:rFonts w:ascii="Arial" w:cs="Arial" w:eastAsia="Arial" w:hAnsi="Arial"/>
          <w:sz w:val="22"/>
          <w:szCs w:val="22"/>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Definition</w:t>
      </w:r>
      <w:r>
        <w:rPr>
          <w:rFonts w:ascii="Arial" w:cs="Arial" w:eastAsia="Arial" w:hAnsi="Arial"/>
          <w:sz w:val="19"/>
          <w:szCs w:val="19"/>
          <w:color w:val="auto"/>
        </w:rPr>
        <w:t>. “CONFIDENTIAL INFORMATION” of a PARTY means (i) this AGREEMENT including its terms and conditions and, subject to disclosure pursuant to the provisions of Section 15.2, the existence thereof; and (ii) all other proprietary information and data of a financial, commercial or technical nature that such PARTY or any of its AFFILIATES has supplied or otherwise made available to the other PARTY, any of its AFFILIATES or any of their RECIPIENTS, in written, visual, or electronic form or if disclosed orally, summarized in writing and provided to the other PARTY within thirty (30) days after such disclosure. Subject to the terms of this AGREEMENT, all LICENSED KNOW-HOW shall be considered the CONFIDENTIAL INFORMATION of PFIZER. Confidential Information shall not include information that: (a) is, at the time of disclosure or becomes, after the time of disclosure, known to the public or part of the public domain through no breach of this AGREEMENT by the receiving PARTY; (b) was known to, or was otherwise in the possession of, the receiving PARTY prior to the time of</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88" w:name="page189"/>
    <w:bookmarkEnd w:id="188"/>
    <w:p>
      <w:pPr>
        <w:ind w:left="860" w:right="279"/>
        <w:spacing w:after="0" w:line="216" w:lineRule="auto"/>
        <w:rPr>
          <w:sz w:val="20"/>
          <w:szCs w:val="20"/>
          <w:color w:val="auto"/>
        </w:rPr>
      </w:pPr>
      <w:r>
        <w:rPr>
          <w:rFonts w:ascii="Arial" w:cs="Arial" w:eastAsia="Arial" w:hAnsi="Arial"/>
          <w:sz w:val="22"/>
          <w:szCs w:val="22"/>
          <w:color w:val="auto"/>
        </w:rPr>
        <w:t>disclosure by the disclosing PARTY; (c) is disclosed to the receiving PARTY on a non-confidential basis by a THIRD PARTY who is entitled to disclose it without breaching any confidentiality obligation to the disclosing PARTY; or (d) is independently developed by or on behalf of the receiving PARTY or any of its AFFILIATES, as evidenced by its written records.</w:t>
      </w:r>
    </w:p>
    <w:p>
      <w:pPr>
        <w:spacing w:after="0" w:line="158" w:lineRule="exact"/>
        <w:rPr>
          <w:sz w:val="20"/>
          <w:szCs w:val="20"/>
          <w:color w:val="auto"/>
        </w:rPr>
      </w:pPr>
    </w:p>
    <w:p>
      <w:pPr>
        <w:ind w:left="860" w:right="259"/>
        <w:spacing w:after="0" w:line="238"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Obligations</w:t>
      </w:r>
      <w:r>
        <w:rPr>
          <w:rFonts w:ascii="Arial" w:cs="Arial" w:eastAsia="Arial" w:hAnsi="Arial"/>
          <w:sz w:val="19"/>
          <w:szCs w:val="19"/>
          <w:color w:val="auto"/>
        </w:rPr>
        <w:t>. The receiving PARTY shall protect all CONFIDENTIAL INFORMATION against unauthorized disclosure to THIRD PARTIES with the same degree of care as the receiving PARTY uses for its own similar information, but in no event less than a reasonable degree of care. The receiving PARTY shall not use the CONFIDENTIAL INFORMATION of the other PARTY for any purpose other than as provided for in this AGREEMENT (which includes the exercise of any rights or the performance of any obligations hereunder). The receiving PARTY may disclose the CONFIDENTIAL INFORMATION to its AFFILIATES and to their respective directors, officers, employees, subcontractors, current and prospective sublicensees, consultants, attorneys, accountants, banks, acquirers and investors (collectively, “RECIPIENTS”) who have a need to know such information for purposes related to this AGREEMENT, provided that the receiving PARTY shall hold such RECIPIENTS to written obligations of confidentiality and non-use with terms and conditions at least as restrictive as those set forth in this AGREEMENT. All obligations of confidentiality and non-use under this Agreement shall survive expiration or termination of this Agreement for a period of seven</w:t>
      </w:r>
    </w:p>
    <w:p>
      <w:pPr>
        <w:spacing w:after="0" w:line="8" w:lineRule="exact"/>
        <w:rPr>
          <w:sz w:val="20"/>
          <w:szCs w:val="20"/>
          <w:color w:val="auto"/>
        </w:rPr>
      </w:pPr>
    </w:p>
    <w:p>
      <w:pPr>
        <w:ind w:left="860" w:right="539" w:firstLine="51"/>
        <w:spacing w:after="0" w:line="217" w:lineRule="auto"/>
        <w:tabs>
          <w:tab w:leader="none" w:pos="12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years, except that with respect to trade secrets, the obligations of confidentiality and non-use shall survive for so long as the applicable CONFIDENTIAL INFORMATION remains a trade secret.</w:t>
      </w:r>
    </w:p>
    <w:p>
      <w:pPr>
        <w:spacing w:after="0" w:line="160"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Exceptions</w:t>
      </w:r>
    </w:p>
    <w:p>
      <w:pPr>
        <w:spacing w:after="0" w:line="179" w:lineRule="exact"/>
        <w:rPr>
          <w:sz w:val="20"/>
          <w:szCs w:val="20"/>
          <w:color w:val="auto"/>
        </w:rPr>
      </w:pPr>
    </w:p>
    <w:p>
      <w:pPr>
        <w:jc w:val="both"/>
        <w:ind w:left="1500" w:right="219"/>
        <w:spacing w:after="0" w:line="242" w:lineRule="auto"/>
        <w:rPr>
          <w:sz w:val="20"/>
          <w:szCs w:val="20"/>
          <w:color w:val="auto"/>
        </w:rPr>
      </w:pPr>
      <w:r>
        <w:rPr>
          <w:rFonts w:ascii="Arial" w:cs="Arial" w:eastAsia="Arial" w:hAnsi="Arial"/>
          <w:sz w:val="19"/>
          <w:szCs w:val="19"/>
          <w:color w:val="auto"/>
        </w:rPr>
        <w:t xml:space="preserve">9.3.1 </w:t>
      </w:r>
      <w:r>
        <w:rPr>
          <w:rFonts w:ascii="Arial" w:cs="Arial" w:eastAsia="Arial" w:hAnsi="Arial"/>
          <w:sz w:val="19"/>
          <w:szCs w:val="19"/>
          <w:u w:val="single" w:color="auto"/>
          <w:color w:val="auto"/>
        </w:rPr>
        <w:t>Disclosure Required by Law</w:t>
      </w:r>
      <w:r>
        <w:rPr>
          <w:rFonts w:ascii="Arial" w:cs="Arial" w:eastAsia="Arial" w:hAnsi="Arial"/>
          <w:sz w:val="19"/>
          <w:szCs w:val="19"/>
          <w:color w:val="auto"/>
        </w:rPr>
        <w:t>. Notwithstanding the restrictions set forth in this Section 9, the receiving PARTY shall have the right to disclose CONFIDENTIAL INFORMATION of the disclosing PARTY to the extent required under APPLICABLE LAWS or a court order or other governmental order, including regulations applicable to the public sale of securities, provided that in the receiving PARTY: (i) provides the disclosing PARTY with prompt notice of such disclosure requirement if legally permitted, (ii) affords the disclosing PARTY an opportunity to oppose, limit or secure confidential treatment for such required disclosure, to the extent practicable, and (iii) if the disclosing PARTY is unsuccessful in its efforts pursuant to subsection (ii), discloses only that portion of the CONFIDENTIAL INFORMATION that the receiving PARTY is legally required to disclose as advised by the receiving PARTY’s legal counsel.</w:t>
      </w:r>
    </w:p>
    <w:p>
      <w:pPr>
        <w:spacing w:after="0" w:line="56" w:lineRule="exact"/>
        <w:rPr>
          <w:sz w:val="20"/>
          <w:szCs w:val="20"/>
          <w:color w:val="auto"/>
        </w:rPr>
      </w:pPr>
    </w:p>
    <w:p>
      <w:pPr>
        <w:jc w:val="both"/>
        <w:ind w:left="1500" w:right="219"/>
        <w:spacing w:after="0" w:line="221" w:lineRule="auto"/>
        <w:rPr>
          <w:sz w:val="20"/>
          <w:szCs w:val="20"/>
          <w:color w:val="auto"/>
        </w:rPr>
      </w:pPr>
      <w:r>
        <w:rPr>
          <w:rFonts w:ascii="Arial" w:cs="Arial" w:eastAsia="Arial" w:hAnsi="Arial"/>
          <w:sz w:val="21"/>
          <w:szCs w:val="21"/>
          <w:color w:val="auto"/>
        </w:rPr>
        <w:t xml:space="preserve">9.3.2 </w:t>
      </w:r>
      <w:r>
        <w:rPr>
          <w:rFonts w:ascii="Arial" w:cs="Arial" w:eastAsia="Arial" w:hAnsi="Arial"/>
          <w:sz w:val="21"/>
          <w:szCs w:val="21"/>
          <w:u w:val="single" w:color="auto"/>
          <w:color w:val="auto"/>
        </w:rPr>
        <w:t>Disclosure to Assignee of Payments</w:t>
      </w:r>
      <w:r>
        <w:rPr>
          <w:rFonts w:ascii="Arial" w:cs="Arial" w:eastAsia="Arial" w:hAnsi="Arial"/>
          <w:sz w:val="21"/>
          <w:szCs w:val="21"/>
          <w:color w:val="auto"/>
        </w:rPr>
        <w:t>. PFIZER shall be entitled to disclose to a THIRD PARTY the CONFIDENTIAL INFORMATION of AXSOME for the purposes for discussing, negotiating and consummating a transaction with a THIRD PARTY to assign, pledge or otherwise transfer its rights to receive some or all of the MILESTONE PAYMENTS or the ROYALTIES PAYMENTS payable hereunder, provided that such THIRD PARTIES owes the obligation to PFIZER of confidentiality and non-use with terms and conditions at least as restrictive as those set forth in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89" w:name="page190"/>
    <w:bookmarkEnd w:id="189"/>
    <w:p>
      <w:pPr>
        <w:jc w:val="both"/>
        <w:ind w:left="1500" w:right="219"/>
        <w:spacing w:after="0" w:line="244" w:lineRule="auto"/>
        <w:rPr>
          <w:sz w:val="20"/>
          <w:szCs w:val="20"/>
          <w:color w:val="auto"/>
        </w:rPr>
      </w:pPr>
      <w:r>
        <w:rPr>
          <w:rFonts w:ascii="Arial" w:cs="Arial" w:eastAsia="Arial" w:hAnsi="Arial"/>
          <w:sz w:val="19"/>
          <w:szCs w:val="19"/>
          <w:color w:val="auto"/>
        </w:rPr>
        <w:t xml:space="preserve">9.3.3 </w:t>
      </w:r>
      <w:r>
        <w:rPr>
          <w:rFonts w:ascii="Arial" w:cs="Arial" w:eastAsia="Arial" w:hAnsi="Arial"/>
          <w:sz w:val="19"/>
          <w:szCs w:val="19"/>
          <w:u w:val="single" w:color="auto"/>
          <w:color w:val="auto"/>
        </w:rPr>
        <w:t>Disclosure for Regulatory Filings, Patent Filings, or Investment</w:t>
      </w:r>
      <w:r>
        <w:rPr>
          <w:rFonts w:ascii="Arial" w:cs="Arial" w:eastAsia="Arial" w:hAnsi="Arial"/>
          <w:sz w:val="19"/>
          <w:szCs w:val="19"/>
          <w:color w:val="auto"/>
        </w:rPr>
        <w:t>. Notwithstanding anything herein, in addition to other disclosures allowed under this Article 9, AXSOME shall be entitled to also disclose the LICENSED KNOW-HOW to REGULATORY AUTHORITIES as reasonably needed to file and maintain REGULATORY APPROVALS FOR COMPOUNDS or PRODUCTS, in connection with any patent filing or to potential acquirors of AXSOME or of the PRODUCTS and their respective professional advisors, provided that any such disclosure shall be subject to a written confidentiality agreement with terms of non-disclosure no less restrictive than those set forth in this AGREEMENT.</w:t>
      </w:r>
    </w:p>
    <w:p>
      <w:pPr>
        <w:spacing w:after="0" w:line="53" w:lineRule="exact"/>
        <w:rPr>
          <w:sz w:val="20"/>
          <w:szCs w:val="20"/>
          <w:color w:val="auto"/>
        </w:rPr>
      </w:pPr>
    </w:p>
    <w:p>
      <w:pPr>
        <w:jc w:val="both"/>
        <w:ind w:left="860" w:right="219"/>
        <w:spacing w:after="0" w:line="218"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Right to Injunctive Relief</w:t>
      </w:r>
      <w:r>
        <w:rPr>
          <w:rFonts w:ascii="Arial" w:cs="Arial" w:eastAsia="Arial" w:hAnsi="Arial"/>
          <w:sz w:val="22"/>
          <w:szCs w:val="22"/>
          <w:color w:val="auto"/>
        </w:rPr>
        <w:t>. Each PARTY agrees that any breach of this Section 9 may cause irreparable harm to the other PARTY and shall entitle such other PARTY, in addition to any other remedies available to it (subject to the terms of this AGREEMENT), the right to seek injunctive relief enjoining such action.</w:t>
      </w:r>
    </w:p>
    <w:p>
      <w:pPr>
        <w:spacing w:after="0" w:line="53" w:lineRule="exact"/>
        <w:rPr>
          <w:sz w:val="20"/>
          <w:szCs w:val="20"/>
          <w:color w:val="auto"/>
        </w:rPr>
      </w:pPr>
    </w:p>
    <w:p>
      <w:pPr>
        <w:jc w:val="both"/>
        <w:ind w:left="860" w:right="219"/>
        <w:spacing w:after="0" w:line="211"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Ongoing Obligation of Confidentiality</w:t>
      </w:r>
      <w:r>
        <w:rPr>
          <w:rFonts w:ascii="Arial" w:cs="Arial" w:eastAsia="Arial" w:hAnsi="Arial"/>
          <w:sz w:val="22"/>
          <w:szCs w:val="22"/>
          <w:color w:val="auto"/>
        </w:rPr>
        <w:t>. Upon expiration or termination of this AGREEMENT, the receiving PARTY shall, and shall cause its RECIPIENTS to, destroy or return (as requested by the disclosing PARTY) any CONFIDENTIAL INFORMATION of the disclosing PARTY, except that the receiving PARTY (a) may retain a single copy of CONFIDENTIAL INFORMATION for the sole purpose of ascertaining its rights and responsibilities in respect of such information and (b) shall not be required to destroy any computer files stored securely by the receiving PARTY that are created by automatic system back up.</w:t>
      </w:r>
    </w:p>
    <w:p>
      <w:pPr>
        <w:spacing w:after="0" w:line="57" w:lineRule="exact"/>
        <w:rPr>
          <w:sz w:val="20"/>
          <w:szCs w:val="20"/>
          <w:color w:val="auto"/>
        </w:rPr>
      </w:pPr>
    </w:p>
    <w:p>
      <w:pPr>
        <w:ind w:left="860" w:hanging="651"/>
        <w:spacing w:after="0"/>
        <w:tabs>
          <w:tab w:leader="none" w:pos="86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Right of First Negotiation; Significant Transactions</w:t>
      </w:r>
    </w:p>
    <w:p>
      <w:pPr>
        <w:spacing w:after="0" w:line="71"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2"/>
          <w:szCs w:val="22"/>
          <w:color w:val="auto"/>
        </w:rPr>
        <w:t>10.1   The following definitions shall apply to this Section 10:</w:t>
      </w:r>
    </w:p>
    <w:p>
      <w:pPr>
        <w:spacing w:after="0" w:line="71" w:lineRule="exact"/>
        <w:rPr>
          <w:sz w:val="20"/>
          <w:szCs w:val="20"/>
          <w:color w:val="auto"/>
        </w:rPr>
      </w:pPr>
    </w:p>
    <w:p>
      <w:pPr>
        <w:jc w:val="both"/>
        <w:ind w:left="1500" w:right="219"/>
        <w:spacing w:after="0" w:line="223" w:lineRule="auto"/>
        <w:rPr>
          <w:sz w:val="20"/>
          <w:szCs w:val="20"/>
          <w:color w:val="auto"/>
        </w:rPr>
      </w:pPr>
      <w:r>
        <w:rPr>
          <w:rFonts w:ascii="Arial" w:cs="Arial" w:eastAsia="Arial" w:hAnsi="Arial"/>
          <w:sz w:val="22"/>
          <w:szCs w:val="22"/>
          <w:color w:val="auto"/>
        </w:rPr>
        <w:t>10.1.1 “ROFN NEGOTIATION PERIOD” means a period beginning on the date of the ROFN EXERCISE NOTICE and ending on the date that is [***] ([***]) [***] thereafter.</w:t>
      </w:r>
    </w:p>
    <w:p>
      <w:pPr>
        <w:spacing w:after="0" w:line="51" w:lineRule="exact"/>
        <w:rPr>
          <w:sz w:val="20"/>
          <w:szCs w:val="20"/>
          <w:color w:val="auto"/>
        </w:rPr>
      </w:pPr>
    </w:p>
    <w:p>
      <w:pPr>
        <w:jc w:val="both"/>
        <w:ind w:left="1500" w:right="219"/>
        <w:spacing w:after="0" w:line="223" w:lineRule="auto"/>
        <w:rPr>
          <w:sz w:val="20"/>
          <w:szCs w:val="20"/>
          <w:color w:val="auto"/>
        </w:rPr>
      </w:pPr>
      <w:r>
        <w:rPr>
          <w:rFonts w:ascii="Arial" w:cs="Arial" w:eastAsia="Arial" w:hAnsi="Arial"/>
          <w:sz w:val="22"/>
          <w:szCs w:val="22"/>
          <w:color w:val="auto"/>
        </w:rPr>
        <w:t>10.1.2 “ROFN NOTICE PERIOD” means a period beginning on the date of the ROFN OFFER NOTICE and ending on the date that is [***] ([***]) [***] thereafter.</w:t>
      </w:r>
    </w:p>
    <w:p>
      <w:pPr>
        <w:spacing w:after="0" w:line="51"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10.2 AXSOME hereby grants to PFIZER an exclusive right of first negotiation with respect to any newly proposed SIGNIFICANT TRANSACTION, in accordance with the terms and conditions set forth in this Section 10 (the “ROFN”).</w:t>
      </w:r>
    </w:p>
    <w:p>
      <w:pPr>
        <w:spacing w:after="0" w:line="51" w:lineRule="exact"/>
        <w:rPr>
          <w:sz w:val="20"/>
          <w:szCs w:val="20"/>
          <w:color w:val="auto"/>
        </w:rPr>
      </w:pPr>
    </w:p>
    <w:p>
      <w:pPr>
        <w:jc w:val="both"/>
        <w:ind w:left="860" w:right="219"/>
        <w:spacing w:after="0" w:line="252" w:lineRule="auto"/>
        <w:rPr>
          <w:sz w:val="20"/>
          <w:szCs w:val="20"/>
          <w:color w:val="auto"/>
        </w:rPr>
      </w:pPr>
      <w:r>
        <w:rPr>
          <w:rFonts w:ascii="Arial" w:cs="Arial" w:eastAsia="Arial" w:hAnsi="Arial"/>
          <w:sz w:val="19"/>
          <w:szCs w:val="19"/>
          <w:color w:val="auto"/>
        </w:rPr>
        <w:t>10.3 Prior to entering into a negotiation with a THIRD PARTY for a proposed SIGNIFICANT TRANSACTION, AXSOME shall provide PFIZER with (a) written notice of the nature of the proposed SIGNIFICANT TRANSACTION and (b) a summary of the most recent material clinical data for the PRODUCT within AXSOME’s possession and control (such notice together with the related information (the “ROFN OFFER NOTICE”).</w:t>
      </w:r>
    </w:p>
    <w:p>
      <w:pPr>
        <w:spacing w:after="0" w:line="41" w:lineRule="exact"/>
        <w:rPr>
          <w:sz w:val="20"/>
          <w:szCs w:val="20"/>
          <w:color w:val="auto"/>
        </w:rPr>
      </w:pPr>
    </w:p>
    <w:p>
      <w:pPr>
        <w:jc w:val="both"/>
        <w:ind w:left="860" w:right="219"/>
        <w:spacing w:after="0" w:line="252" w:lineRule="auto"/>
        <w:rPr>
          <w:sz w:val="20"/>
          <w:szCs w:val="20"/>
          <w:color w:val="auto"/>
        </w:rPr>
      </w:pPr>
      <w:r>
        <w:rPr>
          <w:rFonts w:ascii="Arial" w:cs="Arial" w:eastAsia="Arial" w:hAnsi="Arial"/>
          <w:sz w:val="19"/>
          <w:szCs w:val="19"/>
          <w:color w:val="auto"/>
        </w:rPr>
        <w:t>10.4 PFIZER shall have the right to enter into exclusive negotiations with AXSOME for the newly proposed SIGNIFICANT TRANSACTION by giving AXSOME written notice thereof (the “ROFN EXERCISE NOTICE”), provided that PFIZER has given the ROFN EXERCISE NOTICE on or before the end of the applicable ROFN NOTICE PERIOD. In the event PFIZER does not provide a ROFN EXERCISE NOTICE within the ROFN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90" w:name="page191"/>
    <w:bookmarkEnd w:id="190"/>
    <w:p>
      <w:pPr>
        <w:jc w:val="both"/>
        <w:ind w:left="860" w:right="219"/>
        <w:spacing w:after="0" w:line="232" w:lineRule="auto"/>
        <w:rPr>
          <w:sz w:val="20"/>
          <w:szCs w:val="20"/>
          <w:color w:val="auto"/>
        </w:rPr>
      </w:pPr>
      <w:r>
        <w:rPr>
          <w:rFonts w:ascii="Arial" w:cs="Arial" w:eastAsia="Arial" w:hAnsi="Arial"/>
          <w:sz w:val="22"/>
          <w:szCs w:val="22"/>
          <w:color w:val="auto"/>
        </w:rPr>
        <w:t>NOTICE PERIOD, the ROFN shall expire and shall be of no further force and effect, subject to provisions set forth in this Article 10.</w:t>
      </w:r>
    </w:p>
    <w:p>
      <w:pPr>
        <w:spacing w:after="0" w:line="51" w:lineRule="exact"/>
        <w:rPr>
          <w:sz w:val="20"/>
          <w:szCs w:val="20"/>
          <w:color w:val="auto"/>
        </w:rPr>
      </w:pPr>
    </w:p>
    <w:p>
      <w:pPr>
        <w:jc w:val="both"/>
        <w:ind w:left="860" w:right="219"/>
        <w:spacing w:after="0" w:line="214" w:lineRule="auto"/>
        <w:rPr>
          <w:sz w:val="20"/>
          <w:szCs w:val="20"/>
          <w:color w:val="auto"/>
        </w:rPr>
      </w:pPr>
      <w:r>
        <w:rPr>
          <w:rFonts w:ascii="Arial" w:cs="Arial" w:eastAsia="Arial" w:hAnsi="Arial"/>
          <w:sz w:val="22"/>
          <w:szCs w:val="22"/>
          <w:color w:val="auto"/>
        </w:rPr>
        <w:t>10.5 During the ROFN NEGOTIATION PERIOD, the PARTIES shall engage in good faith negotiations for the proposed SIGNIFICANT TRANSACTION and shall endeavor to consummate the SIGNIFICANT TRANSACTION prior to the end of the ROFN NEGOTIATION PERIOD. The information communicated between the PARTIES during such negotiations shall be considered CONFIDENTIAL INFORMATION of both PARTIES.</w:t>
      </w:r>
    </w:p>
    <w:p>
      <w:pPr>
        <w:spacing w:after="0" w:line="51"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10.6 During the ROFN NOTICE PERIOD and the ROFN NEGOTIATION PERIOD, AXSOME shall not engage in negotiations of the proposed SIGNIFICANT TRANSACTION with any THIRD PARTY.</w:t>
      </w:r>
    </w:p>
    <w:p>
      <w:pPr>
        <w:spacing w:after="0" w:line="51" w:lineRule="exact"/>
        <w:rPr>
          <w:sz w:val="20"/>
          <w:szCs w:val="20"/>
          <w:color w:val="auto"/>
        </w:rPr>
      </w:pPr>
    </w:p>
    <w:p>
      <w:pPr>
        <w:jc w:val="both"/>
        <w:ind w:left="860" w:right="219"/>
        <w:spacing w:after="0" w:line="221" w:lineRule="auto"/>
        <w:rPr>
          <w:sz w:val="20"/>
          <w:szCs w:val="20"/>
          <w:color w:val="auto"/>
        </w:rPr>
      </w:pPr>
      <w:r>
        <w:rPr>
          <w:rFonts w:ascii="Arial" w:cs="Arial" w:eastAsia="Arial" w:hAnsi="Arial"/>
          <w:sz w:val="21"/>
          <w:szCs w:val="21"/>
          <w:color w:val="auto"/>
        </w:rPr>
        <w:t>10.7 In the event that a proposed SIGNIFICANT TRANSACTION has not been consummated between the PARTIES by the end of the of the ROFN NEGOTIATION PERIOD, AXSOME shall be entitled after such time to engage in negotiations with a THIRD PARTY for the proposed SIGNIFICANT TRANSACTION, provided that for a period of [***] ([***]) [***] following the end of the ROFN NEGOTIATION PERIOD, AXSOME shall not enter into such SIGNIFICANT TRANSACTION with a THIRD PARTY wherein the material terms and conditions thereof are less favorable to AXSOME as compared to the applicable terms and conditions proposed by PFIZER to AXSOME during the ROFN NEGOTIATION PERIOD.</w:t>
      </w:r>
    </w:p>
    <w:p>
      <w:pPr>
        <w:spacing w:after="0" w:line="51" w:lineRule="exact"/>
        <w:rPr>
          <w:sz w:val="20"/>
          <w:szCs w:val="20"/>
          <w:color w:val="auto"/>
        </w:rPr>
      </w:pPr>
    </w:p>
    <w:p>
      <w:pPr>
        <w:jc w:val="both"/>
        <w:ind w:left="860" w:right="219"/>
        <w:spacing w:after="0" w:line="229" w:lineRule="auto"/>
        <w:rPr>
          <w:sz w:val="20"/>
          <w:szCs w:val="20"/>
          <w:color w:val="auto"/>
        </w:rPr>
      </w:pPr>
      <w:r>
        <w:rPr>
          <w:rFonts w:ascii="Arial" w:cs="Arial" w:eastAsia="Arial" w:hAnsi="Arial"/>
          <w:sz w:val="21"/>
          <w:szCs w:val="21"/>
          <w:color w:val="auto"/>
        </w:rPr>
        <w:t>10.8 If at any time between [***] and [***] any [***], then such proposed SIGNIFICANT TRANSACTION shall be deemed a newly proposed SIGNIFICANT TRANSACTION subject to a new ROFN and to all other rights as set forth in this Section 10, including the right to notice and to exclusive negotiation.</w:t>
      </w:r>
    </w:p>
    <w:p>
      <w:pPr>
        <w:spacing w:after="0" w:line="50" w:lineRule="exact"/>
        <w:rPr>
          <w:sz w:val="20"/>
          <w:szCs w:val="20"/>
          <w:color w:val="auto"/>
        </w:rPr>
      </w:pPr>
    </w:p>
    <w:p>
      <w:pPr>
        <w:jc w:val="both"/>
        <w:ind w:left="860" w:right="219"/>
        <w:spacing w:after="0" w:line="257" w:lineRule="auto"/>
        <w:rPr>
          <w:sz w:val="20"/>
          <w:szCs w:val="20"/>
          <w:color w:val="auto"/>
        </w:rPr>
      </w:pPr>
      <w:r>
        <w:rPr>
          <w:rFonts w:ascii="Arial" w:cs="Arial" w:eastAsia="Arial" w:hAnsi="Arial"/>
          <w:sz w:val="19"/>
          <w:szCs w:val="19"/>
          <w:color w:val="auto"/>
        </w:rPr>
        <w:t>10.9 Within five (5) BUSINESS DAYS of the final execution, closing or otherwise consummation of a SIGNIFICANT TRANSACTION, AXSOME shall provide PFIZER with written notification including details regarding the material terms and conditions of the SIGNIFICANT TRANSACTION, subject to redactions for confidential information.</w:t>
      </w:r>
    </w:p>
    <w:p>
      <w:pPr>
        <w:spacing w:after="0" w:line="36" w:lineRule="exact"/>
        <w:rPr>
          <w:sz w:val="20"/>
          <w:szCs w:val="20"/>
          <w:color w:val="auto"/>
        </w:rPr>
      </w:pPr>
    </w:p>
    <w:p>
      <w:pPr>
        <w:ind w:left="840" w:hanging="631"/>
        <w:spacing w:after="0"/>
        <w:tabs>
          <w:tab w:leader="none" w:pos="84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Representations, Warranties and Covenants</w:t>
      </w:r>
    </w:p>
    <w:p>
      <w:pPr>
        <w:spacing w:after="0" w:line="287" w:lineRule="exact"/>
        <w:rPr>
          <w:sz w:val="20"/>
          <w:szCs w:val="20"/>
          <w:color w:val="auto"/>
        </w:rPr>
      </w:pPr>
    </w:p>
    <w:p>
      <w:pPr>
        <w:ind w:left="860" w:right="959"/>
        <w:spacing w:after="0" w:line="298"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Representations and Warranties by Each Party</w:t>
      </w:r>
      <w:r>
        <w:rPr>
          <w:rFonts w:ascii="Arial" w:cs="Arial" w:eastAsia="Arial" w:hAnsi="Arial"/>
          <w:sz w:val="19"/>
          <w:szCs w:val="19"/>
          <w:color w:val="auto"/>
        </w:rPr>
        <w:t>. Each PARTY represents and warrants to the other PARTY that as of the EFFECTIVE DATE:</w:t>
      </w:r>
    </w:p>
    <w:p>
      <w:pPr>
        <w:spacing w:after="0" w:line="105" w:lineRule="exact"/>
        <w:rPr>
          <w:sz w:val="20"/>
          <w:szCs w:val="20"/>
          <w:color w:val="auto"/>
        </w:rPr>
      </w:pPr>
    </w:p>
    <w:p>
      <w:pPr>
        <w:jc w:val="both"/>
        <w:ind w:left="1500" w:right="239"/>
        <w:spacing w:after="0" w:line="247" w:lineRule="auto"/>
        <w:rPr>
          <w:sz w:val="20"/>
          <w:szCs w:val="20"/>
          <w:color w:val="auto"/>
        </w:rPr>
      </w:pPr>
      <w:r>
        <w:rPr>
          <w:rFonts w:ascii="Arial" w:cs="Arial" w:eastAsia="Arial" w:hAnsi="Arial"/>
          <w:sz w:val="21"/>
          <w:szCs w:val="21"/>
          <w:color w:val="auto"/>
        </w:rPr>
        <w:t>11.1.1 it is a corporation or company, as applicable, duly organized, validly existing, and in good standing under the laws of its jurisdiction of formation;</w:t>
      </w:r>
    </w:p>
    <w:p>
      <w:pPr>
        <w:spacing w:after="0" w:line="43" w:lineRule="exact"/>
        <w:rPr>
          <w:sz w:val="20"/>
          <w:szCs w:val="20"/>
          <w:color w:val="auto"/>
        </w:rPr>
      </w:pPr>
    </w:p>
    <w:p>
      <w:pPr>
        <w:jc w:val="both"/>
        <w:ind w:left="1500" w:right="219"/>
        <w:spacing w:after="0" w:line="216" w:lineRule="auto"/>
        <w:rPr>
          <w:sz w:val="20"/>
          <w:szCs w:val="20"/>
          <w:color w:val="auto"/>
        </w:rPr>
      </w:pPr>
      <w:r>
        <w:rPr>
          <w:rFonts w:ascii="Arial" w:cs="Arial" w:eastAsia="Arial" w:hAnsi="Arial"/>
          <w:sz w:val="22"/>
          <w:szCs w:val="22"/>
          <w:color w:val="auto"/>
        </w:rPr>
        <w:t>11.1.2 it has full corporate power and authority to execute, deliver, and perform under this Agreement, and has taken all corporate action required by APPLICABLE LAW and its organizational documents to authorize the execution and delivery of this AGREEMENT and the consummation of the transactions contemplated by this AGREEMENT;</w:t>
      </w:r>
    </w:p>
    <w:p>
      <w:pPr>
        <w:spacing w:after="0" w:line="50" w:lineRule="exact"/>
        <w:rPr>
          <w:sz w:val="20"/>
          <w:szCs w:val="20"/>
          <w:color w:val="auto"/>
        </w:rPr>
      </w:pPr>
    </w:p>
    <w:p>
      <w:pPr>
        <w:jc w:val="both"/>
        <w:ind w:left="1500" w:right="219"/>
        <w:spacing w:after="0" w:line="232" w:lineRule="auto"/>
        <w:rPr>
          <w:sz w:val="20"/>
          <w:szCs w:val="20"/>
          <w:color w:val="auto"/>
        </w:rPr>
      </w:pPr>
      <w:r>
        <w:rPr>
          <w:rFonts w:ascii="Arial" w:cs="Arial" w:eastAsia="Arial" w:hAnsi="Arial"/>
          <w:sz w:val="22"/>
          <w:szCs w:val="22"/>
          <w:color w:val="auto"/>
        </w:rPr>
        <w:t>11.1.3 this AGREEMENT constitutes a valid and binding agreement enforceable against it in accordance with its terms; and</w:t>
      </w:r>
    </w:p>
    <w:p>
      <w:pPr>
        <w:spacing w:after="0" w:line="51" w:lineRule="exact"/>
        <w:rPr>
          <w:sz w:val="20"/>
          <w:szCs w:val="20"/>
          <w:color w:val="auto"/>
        </w:rPr>
      </w:pPr>
    </w:p>
    <w:p>
      <w:pPr>
        <w:jc w:val="both"/>
        <w:ind w:left="1500" w:right="239"/>
        <w:spacing w:after="0" w:line="298" w:lineRule="auto"/>
        <w:rPr>
          <w:sz w:val="20"/>
          <w:szCs w:val="20"/>
          <w:color w:val="auto"/>
        </w:rPr>
      </w:pPr>
      <w:r>
        <w:rPr>
          <w:rFonts w:ascii="Arial" w:cs="Arial" w:eastAsia="Arial" w:hAnsi="Arial"/>
          <w:sz w:val="19"/>
          <w:szCs w:val="19"/>
          <w:color w:val="auto"/>
        </w:rPr>
        <w:t>11.1.4 the execution and delivery of this AGREEMENT and all other instruments and documents required to be executed pursuant to this AGREEMENT, and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91" w:name="page192"/>
    <w:bookmarkEnd w:id="191"/>
    <w:p>
      <w:pPr>
        <w:jc w:val="both"/>
        <w:ind w:left="1500" w:right="219"/>
        <w:spacing w:after="0" w:line="247" w:lineRule="auto"/>
        <w:rPr>
          <w:sz w:val="20"/>
          <w:szCs w:val="20"/>
          <w:color w:val="auto"/>
        </w:rPr>
      </w:pPr>
      <w:r>
        <w:rPr>
          <w:rFonts w:ascii="Arial" w:cs="Arial" w:eastAsia="Arial" w:hAnsi="Arial"/>
          <w:sz w:val="19"/>
          <w:szCs w:val="19"/>
          <w:color w:val="auto"/>
        </w:rPr>
        <w:t>consummation of the transactions contemplated hereby do not and shall not: (i) conflict with or result in a breach of any provision of its organizational documents,</w:t>
      </w:r>
    </w:p>
    <w:p>
      <w:pPr>
        <w:jc w:val="both"/>
        <w:ind w:left="1500" w:right="219" w:firstLine="5"/>
        <w:spacing w:after="0" w:line="214" w:lineRule="auto"/>
        <w:tabs>
          <w:tab w:leader="none" w:pos="1830" w:val="left"/>
        </w:tabs>
        <w:numPr>
          <w:ilvl w:val="0"/>
          <w:numId w:val="82"/>
        </w:numPr>
        <w:rPr>
          <w:rFonts w:ascii="Arial" w:cs="Arial" w:eastAsia="Arial" w:hAnsi="Arial"/>
          <w:sz w:val="21"/>
          <w:szCs w:val="21"/>
          <w:color w:val="auto"/>
        </w:rPr>
      </w:pPr>
      <w:r>
        <w:rPr>
          <w:rFonts w:ascii="Arial" w:cs="Arial" w:eastAsia="Arial" w:hAnsi="Arial"/>
          <w:sz w:val="21"/>
          <w:szCs w:val="21"/>
          <w:color w:val="auto"/>
        </w:rPr>
        <w:t>result in a breach of any agreement to which it is a party that would impair the performance of its obligations hereunder; or (iii) cause it to violate any</w:t>
      </w:r>
    </w:p>
    <w:p>
      <w:pPr>
        <w:spacing w:after="0" w:line="1" w:lineRule="exact"/>
        <w:rPr>
          <w:rFonts w:ascii="Arial" w:cs="Arial" w:eastAsia="Arial" w:hAnsi="Arial"/>
          <w:sz w:val="21"/>
          <w:szCs w:val="21"/>
          <w:color w:val="auto"/>
        </w:rPr>
      </w:pPr>
    </w:p>
    <w:p>
      <w:pPr>
        <w:ind w:left="1500"/>
        <w:spacing w:after="0"/>
        <w:rPr>
          <w:rFonts w:ascii="Arial" w:cs="Arial" w:eastAsia="Arial" w:hAnsi="Arial"/>
          <w:sz w:val="21"/>
          <w:szCs w:val="21"/>
          <w:color w:val="auto"/>
        </w:rPr>
      </w:pPr>
      <w:r>
        <w:rPr>
          <w:rFonts w:ascii="Arial" w:cs="Arial" w:eastAsia="Arial" w:hAnsi="Arial"/>
          <w:sz w:val="22"/>
          <w:szCs w:val="22"/>
          <w:color w:val="auto"/>
        </w:rPr>
        <w:t>APPLICABLE LAW.</w:t>
      </w:r>
    </w:p>
    <w:p>
      <w:pPr>
        <w:spacing w:after="0" w:line="34" w:lineRule="exact"/>
        <w:rPr>
          <w:sz w:val="20"/>
          <w:szCs w:val="20"/>
          <w:color w:val="auto"/>
        </w:rPr>
      </w:pPr>
    </w:p>
    <w:p>
      <w:pPr>
        <w:ind w:left="860"/>
        <w:spacing w:after="0"/>
        <w:tabs>
          <w:tab w:leader="none" w:pos="1600" w:val="left"/>
          <w:tab w:leader="none" w:pos="5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2"/>
          <w:szCs w:val="22"/>
          <w:u w:val="single" w:color="auto"/>
          <w:color w:val="auto"/>
        </w:rPr>
        <w:t>Representations and Warranties by Pfizer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PFIZER represents and warrants to</w:t>
      </w:r>
    </w:p>
    <w:p>
      <w:pPr>
        <w:ind w:left="860"/>
        <w:spacing w:after="0"/>
        <w:rPr>
          <w:sz w:val="20"/>
          <w:szCs w:val="20"/>
          <w:color w:val="auto"/>
        </w:rPr>
      </w:pPr>
      <w:r>
        <w:rPr>
          <w:rFonts w:ascii="Arial" w:cs="Arial" w:eastAsia="Arial" w:hAnsi="Arial"/>
          <w:sz w:val="22"/>
          <w:szCs w:val="22"/>
          <w:color w:val="auto"/>
        </w:rPr>
        <w:t>AXSOME that as of the EFFECTIVE DATE:</w:t>
      </w:r>
    </w:p>
    <w:p>
      <w:pPr>
        <w:spacing w:after="0" w:line="53" w:lineRule="exact"/>
        <w:rPr>
          <w:sz w:val="20"/>
          <w:szCs w:val="20"/>
          <w:color w:val="auto"/>
        </w:rPr>
      </w:pPr>
    </w:p>
    <w:p>
      <w:pPr>
        <w:jc w:val="both"/>
        <w:ind w:left="1500" w:right="219"/>
        <w:spacing w:after="0" w:line="223" w:lineRule="auto"/>
        <w:rPr>
          <w:sz w:val="20"/>
          <w:szCs w:val="20"/>
          <w:color w:val="auto"/>
        </w:rPr>
      </w:pPr>
      <w:r>
        <w:rPr>
          <w:rFonts w:ascii="Arial" w:cs="Arial" w:eastAsia="Arial" w:hAnsi="Arial"/>
          <w:sz w:val="22"/>
          <w:szCs w:val="22"/>
          <w:color w:val="auto"/>
        </w:rPr>
        <w:t>11.2.1 PFIZER (or one or more of its AFFILIATES) is or are the sole owner of the entire right, title and interest in and to the LICENSED IP free and clear from any liens, mortgages, security interests or other encumbrances;</w:t>
      </w:r>
    </w:p>
    <w:p>
      <w:pPr>
        <w:spacing w:after="0" w:line="51" w:lineRule="exact"/>
        <w:rPr>
          <w:sz w:val="20"/>
          <w:szCs w:val="20"/>
          <w:color w:val="auto"/>
        </w:rPr>
      </w:pPr>
    </w:p>
    <w:p>
      <w:pPr>
        <w:jc w:val="both"/>
        <w:ind w:left="1500" w:right="239"/>
        <w:spacing w:after="0" w:line="232" w:lineRule="auto"/>
        <w:rPr>
          <w:sz w:val="20"/>
          <w:szCs w:val="20"/>
          <w:color w:val="auto"/>
        </w:rPr>
      </w:pPr>
      <w:r>
        <w:rPr>
          <w:rFonts w:ascii="Arial" w:cs="Arial" w:eastAsia="Arial" w:hAnsi="Arial"/>
          <w:sz w:val="22"/>
          <w:szCs w:val="22"/>
          <w:color w:val="auto"/>
        </w:rPr>
        <w:t>11.2.2 PFIZER has the right to grant the licenses and other rights purported to be granted to AXSOME under this AGREEMENT; and</w:t>
      </w:r>
    </w:p>
    <w:p>
      <w:pPr>
        <w:spacing w:after="0" w:line="51" w:lineRule="exact"/>
        <w:rPr>
          <w:sz w:val="20"/>
          <w:szCs w:val="20"/>
          <w:color w:val="auto"/>
        </w:rPr>
      </w:pPr>
    </w:p>
    <w:p>
      <w:pPr>
        <w:jc w:val="both"/>
        <w:ind w:left="1500" w:right="219"/>
        <w:spacing w:after="0" w:line="268" w:lineRule="auto"/>
        <w:rPr>
          <w:sz w:val="20"/>
          <w:szCs w:val="20"/>
          <w:color w:val="auto"/>
        </w:rPr>
      </w:pPr>
      <w:r>
        <w:rPr>
          <w:rFonts w:ascii="Arial" w:cs="Arial" w:eastAsia="Arial" w:hAnsi="Arial"/>
          <w:sz w:val="19"/>
          <w:szCs w:val="19"/>
          <w:color w:val="auto"/>
        </w:rPr>
        <w:t>11.2.3 PFIZER has no KNOWLEDGE of having received any written notice from any THIRD PARTY claiming a right, title, interest, ownership, misappropriation or other proprietary rights to the LICENSED IP of such THIRD PARTY.</w:t>
      </w:r>
    </w:p>
    <w:p>
      <w:pPr>
        <w:spacing w:after="0" w:line="24"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Representations, Warranties and Covenants by AXSOME</w:t>
      </w:r>
    </w:p>
    <w:p>
      <w:pPr>
        <w:spacing w:after="0" w:line="71" w:lineRule="exact"/>
        <w:rPr>
          <w:sz w:val="20"/>
          <w:szCs w:val="20"/>
          <w:color w:val="auto"/>
        </w:rPr>
      </w:pPr>
    </w:p>
    <w:p>
      <w:pPr>
        <w:jc w:val="both"/>
        <w:ind w:left="1500" w:right="239"/>
        <w:spacing w:after="0" w:line="296" w:lineRule="auto"/>
        <w:rPr>
          <w:sz w:val="20"/>
          <w:szCs w:val="20"/>
          <w:color w:val="auto"/>
        </w:rPr>
      </w:pPr>
      <w:r>
        <w:rPr>
          <w:rFonts w:ascii="Arial" w:cs="Arial" w:eastAsia="Arial" w:hAnsi="Arial"/>
          <w:sz w:val="19"/>
          <w:szCs w:val="19"/>
          <w:color w:val="auto"/>
        </w:rPr>
        <w:t>11.3.1 AXSOME covenants to PFIZER that it shall comply with all APPLICABLE LAW with respect to the performance of its rights and obligations hereunder; and</w:t>
      </w:r>
    </w:p>
    <w:p>
      <w:pPr>
        <w:spacing w:after="0" w:line="1" w:lineRule="exact"/>
        <w:rPr>
          <w:sz w:val="20"/>
          <w:szCs w:val="20"/>
          <w:color w:val="auto"/>
        </w:rPr>
      </w:pPr>
    </w:p>
    <w:p>
      <w:pPr>
        <w:jc w:val="both"/>
        <w:ind w:left="1500" w:right="219"/>
        <w:spacing w:after="0" w:line="257" w:lineRule="auto"/>
        <w:rPr>
          <w:sz w:val="20"/>
          <w:szCs w:val="20"/>
          <w:color w:val="auto"/>
        </w:rPr>
      </w:pPr>
      <w:r>
        <w:rPr>
          <w:rFonts w:ascii="Arial" w:cs="Arial" w:eastAsia="Arial" w:hAnsi="Arial"/>
          <w:sz w:val="19"/>
          <w:szCs w:val="19"/>
          <w:color w:val="auto"/>
        </w:rPr>
        <w:t>11.3.2 AXSOME represents and warrants that it is not prohibited by contractual obligation or by APPLICABLE LAW from DEVELOPING, MANUFACTURING, COMMERCIALIZING or otherwise EXPLOITING the COMPOUNDS or the PRODUCTS in the TERRITORY pursuant to this AGREEMENT.</w:t>
      </w:r>
    </w:p>
    <w:p>
      <w:pPr>
        <w:spacing w:after="0" w:line="36" w:lineRule="exact"/>
        <w:rPr>
          <w:sz w:val="20"/>
          <w:szCs w:val="20"/>
          <w:color w:val="auto"/>
        </w:rPr>
      </w:pPr>
    </w:p>
    <w:p>
      <w:pPr>
        <w:ind w:left="860" w:right="219"/>
        <w:spacing w:after="0" w:line="218" w:lineRule="auto"/>
        <w:rPr>
          <w:sz w:val="20"/>
          <w:szCs w:val="20"/>
          <w:color w:val="auto"/>
        </w:rPr>
      </w:pPr>
      <w:r>
        <w:rPr>
          <w:rFonts w:ascii="Arial" w:cs="Arial" w:eastAsia="Arial" w:hAnsi="Arial"/>
          <w:sz w:val="22"/>
          <w:szCs w:val="22"/>
          <w:color w:val="auto"/>
        </w:rPr>
        <w:t xml:space="preserve">11.4 </w:t>
      </w:r>
      <w:r>
        <w:rPr>
          <w:rFonts w:ascii="Arial" w:cs="Arial" w:eastAsia="Arial" w:hAnsi="Arial"/>
          <w:sz w:val="22"/>
          <w:szCs w:val="22"/>
          <w:u w:val="single" w:color="auto"/>
          <w:color w:val="auto"/>
        </w:rPr>
        <w:t>No Action Required Which Would Violate Law</w:t>
      </w:r>
      <w:r>
        <w:rPr>
          <w:rFonts w:ascii="Arial" w:cs="Arial" w:eastAsia="Arial" w:hAnsi="Arial"/>
          <w:sz w:val="22"/>
          <w:szCs w:val="22"/>
          <w:color w:val="auto"/>
        </w:rPr>
        <w:t>11.5 . In no event shall either PARTY be obligated under this AGREEMENT to take any action or omit to take any action that such PARTY believes, in good faith, would cause it to violate any APPLICABLE LAW.</w:t>
      </w:r>
    </w:p>
    <w:p>
      <w:pPr>
        <w:spacing w:after="0" w:line="161" w:lineRule="exact"/>
        <w:rPr>
          <w:sz w:val="20"/>
          <w:szCs w:val="20"/>
          <w:color w:val="auto"/>
        </w:rPr>
      </w:pPr>
    </w:p>
    <w:p>
      <w:pPr>
        <w:ind w:left="860" w:right="319"/>
        <w:spacing w:after="0" w:line="219" w:lineRule="auto"/>
        <w:rPr>
          <w:sz w:val="20"/>
          <w:szCs w:val="20"/>
          <w:color w:val="auto"/>
        </w:rPr>
      </w:pPr>
      <w:r>
        <w:rPr>
          <w:rFonts w:ascii="Arial" w:cs="Arial" w:eastAsia="Arial" w:hAnsi="Arial"/>
          <w:sz w:val="21"/>
          <w:szCs w:val="21"/>
          <w:color w:val="auto"/>
        </w:rPr>
        <w:t xml:space="preserve">11.6 </w:t>
      </w:r>
      <w:r>
        <w:rPr>
          <w:rFonts w:ascii="Arial" w:cs="Arial" w:eastAsia="Arial" w:hAnsi="Arial"/>
          <w:sz w:val="21"/>
          <w:szCs w:val="21"/>
          <w:u w:val="single" w:color="auto"/>
          <w:color w:val="auto"/>
        </w:rPr>
        <w:t>No Other Warranties</w:t>
      </w:r>
      <w:r>
        <w:rPr>
          <w:rFonts w:ascii="Arial" w:cs="Arial" w:eastAsia="Arial" w:hAnsi="Arial"/>
          <w:sz w:val="21"/>
          <w:szCs w:val="21"/>
          <w:color w:val="auto"/>
        </w:rPr>
        <w:t>11.7 . EXCEPT AS EXPRESSLY STATED IN THIS SECTION 11, NEITHER PARTY MAKES ANY REPRESENTATIONS OR EXTENDS ANY WARRANTIES OF ANY KIND, EITHER EXPRESS OR IMPLIED, STATUTORY OR OTHERWISE, INCLUDING BUT NOT LIMITED TO WARRANTIES OF TITLE, NON-INFRINGEMENT, VALIDITY, ENFORCEABILITY, MERCHANTABILITY AND FITNESS FOR A PARTICULAR PURPOSE, AND ANY INFORMATION OR MATERIALS PROVIDED BY PFIZER OR ITS AFFILIATES IS MADE AVAILABLE ON AN “AS IS” BASIS WITHOUT WARRANTY WITH RESPECT TO COMPLETENESS, COMPLIANCE WITH REGULATORY STANDARDS OR REGULATIONS OR FITNESS FOR A PARTICULAR PURPOSE OR ANY OTHER KIND OF WARRANTY WHETHER EXPRESS OR IMPLIED.</w:t>
      </w:r>
    </w:p>
    <w:p>
      <w:pPr>
        <w:spacing w:after="0" w:line="168" w:lineRule="exact"/>
        <w:rPr>
          <w:sz w:val="20"/>
          <w:szCs w:val="20"/>
          <w:color w:val="auto"/>
        </w:rPr>
      </w:pPr>
    </w:p>
    <w:p>
      <w:pPr>
        <w:ind w:left="860" w:hanging="651"/>
        <w:spacing w:after="0"/>
        <w:tabs>
          <w:tab w:leader="none" w:pos="86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Indemnification</w:t>
      </w:r>
    </w:p>
    <w:p>
      <w:pPr>
        <w:spacing w:after="0" w:line="395" w:lineRule="exact"/>
        <w:rPr>
          <w:sz w:val="20"/>
          <w:szCs w:val="20"/>
          <w:color w:val="auto"/>
        </w:rPr>
      </w:pPr>
    </w:p>
    <w:p>
      <w:pPr>
        <w:ind w:left="860" w:right="239"/>
        <w:spacing w:after="0" w:line="298" w:lineRule="auto"/>
        <w:rPr>
          <w:sz w:val="20"/>
          <w:szCs w:val="20"/>
          <w:color w:val="auto"/>
        </w:rPr>
      </w:pPr>
      <w:r>
        <w:rPr>
          <w:rFonts w:ascii="Arial" w:cs="Arial" w:eastAsia="Arial" w:hAnsi="Arial"/>
          <w:sz w:val="19"/>
          <w:szCs w:val="19"/>
          <w:color w:val="auto"/>
        </w:rPr>
        <w:t xml:space="preserve">12.1 </w:t>
      </w:r>
      <w:r>
        <w:rPr>
          <w:rFonts w:ascii="Arial" w:cs="Arial" w:eastAsia="Arial" w:hAnsi="Arial"/>
          <w:sz w:val="19"/>
          <w:szCs w:val="19"/>
          <w:u w:val="single" w:color="auto"/>
          <w:color w:val="auto"/>
        </w:rPr>
        <w:t>Indemnification by Axsome</w:t>
      </w:r>
      <w:r>
        <w:rPr>
          <w:rFonts w:ascii="Arial" w:cs="Arial" w:eastAsia="Arial" w:hAnsi="Arial"/>
          <w:sz w:val="19"/>
          <w:szCs w:val="19"/>
          <w:color w:val="auto"/>
        </w:rPr>
        <w:t>. AXSOME agrees to indemnify, hold harmless and defend PFIZER and its AFFILIATES, and their respective officers, directors, employees,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92" w:name="page193"/>
    <w:bookmarkEnd w:id="192"/>
    <w:p>
      <w:pPr>
        <w:jc w:val="both"/>
        <w:ind w:left="860" w:right="219"/>
        <w:spacing w:after="0" w:line="218" w:lineRule="auto"/>
        <w:rPr>
          <w:sz w:val="20"/>
          <w:szCs w:val="20"/>
          <w:color w:val="auto"/>
        </w:rPr>
      </w:pPr>
      <w:r>
        <w:rPr>
          <w:rFonts w:ascii="Arial" w:cs="Arial" w:eastAsia="Arial" w:hAnsi="Arial"/>
          <w:sz w:val="21"/>
          <w:szCs w:val="21"/>
          <w:color w:val="auto"/>
        </w:rPr>
        <w:t>contractors, agents and assigns (collectively, “PFIZER INDEMNITEES”), from and against any CLAIMS by a THIRD PARTY against a PFIZER INDEMNITEE (including reasonable costs of defense) arising or resulting from: (a) defects in the manufacture of any COMPOUND or any PRODUCT and defects in any PRODUCT; (b) AXSOME’s, its AFFILIATES’, contractors or the SUBLICENSEES’ (if applicable) use of any COMPOUND or any PRODUCT; (c) the DEVELOPMENT of a COMPOUND or PRODUCT by AXSOME, its AFFILIATES, contractors or the SUBLICENSEES (if applicable), (d) the COMMERCIALIZATION of a COMPOUND or PRODUCT by AXSOME, its AFFILIATES, contractors or SUBLICENSEES (if applicable), (e) the negligence, recklessness or wrongful intentional acts or omissions of AXSOME, its AFFILIATES, contractors or the SUBLICENSEES (if applicable) in performing any activities under this AGREEMENT, (f) breach by AXSOME of any representation, warranty or covenant as set forth in this AGREEMENT or (g) breach by AXSOME of the scope of the license set forth in Section 2.1, except in each case (a)-(g) to the extent such CLAIM arises or results from the negligence, recklessness or wrongful intentional acts or omissions of any PFIZER INDEMNITEE or a breach by PFIZER of any representation, warranty or covenant as set forth in this AGREEMENT.</w:t>
      </w:r>
    </w:p>
    <w:p>
      <w:pPr>
        <w:spacing w:after="0" w:line="51" w:lineRule="exact"/>
        <w:rPr>
          <w:sz w:val="20"/>
          <w:szCs w:val="20"/>
          <w:color w:val="auto"/>
        </w:rPr>
      </w:pPr>
    </w:p>
    <w:p>
      <w:pPr>
        <w:jc w:val="both"/>
        <w:ind w:left="860" w:right="219"/>
        <w:spacing w:after="0" w:line="242" w:lineRule="auto"/>
        <w:rPr>
          <w:sz w:val="20"/>
          <w:szCs w:val="20"/>
          <w:color w:val="auto"/>
        </w:rPr>
      </w:pPr>
      <w:r>
        <w:rPr>
          <w:rFonts w:ascii="Arial" w:cs="Arial" w:eastAsia="Arial" w:hAnsi="Arial"/>
          <w:sz w:val="19"/>
          <w:szCs w:val="19"/>
          <w:color w:val="auto"/>
        </w:rPr>
        <w:t xml:space="preserve">12.2 </w:t>
      </w:r>
      <w:r>
        <w:rPr>
          <w:rFonts w:ascii="Arial" w:cs="Arial" w:eastAsia="Arial" w:hAnsi="Arial"/>
          <w:sz w:val="19"/>
          <w:szCs w:val="19"/>
          <w:u w:val="single" w:color="auto"/>
          <w:color w:val="auto"/>
        </w:rPr>
        <w:t>Indemnification by Pfizer</w:t>
      </w:r>
      <w:r>
        <w:rPr>
          <w:rFonts w:ascii="Arial" w:cs="Arial" w:eastAsia="Arial" w:hAnsi="Arial"/>
          <w:sz w:val="19"/>
          <w:szCs w:val="19"/>
          <w:color w:val="auto"/>
        </w:rPr>
        <w:t>. PFIZER agrees to indemnify, hold harmless and defend AXSOME and its AFFILIATES, and their respective officers, directors, employees, sublicensees, agents and assigns (collectively, “AXSOME INDEMNITEES”), from and against any CLAIMS by a THIRD PARTY against an AXSOME INDEMNITEE to the extent arising or resulting from (a) the negligence, recklessness or wrongful intentional acts or omissions of PFIZER or its AFFILIATES; (b) the breach by PFIZER of any representation, warranty or covenant as set forth in this AGREEMENT, (c) acts or omissions of PFIZER or its AFFILIATES in the MANUFACTURE or COMMERCIALIZING of the COMPOUNDS and products containing the COMPOUNDS that occur prior to the EFFECTIVE DATE, except in each case (a), (b) or (c) to the extent such CLAIM arises or results from (i) the negligence, recklessness or wrongful intentional acts or omissions of any AXSOME INDEMNITEE or (ii) breach by AXSOME of any representation, warranty or covenant as set forth in this AGREEMENT.</w:t>
      </w:r>
    </w:p>
    <w:p>
      <w:pPr>
        <w:spacing w:after="0" w:line="52" w:lineRule="exact"/>
        <w:rPr>
          <w:sz w:val="20"/>
          <w:szCs w:val="20"/>
          <w:color w:val="auto"/>
        </w:rPr>
      </w:pPr>
    </w:p>
    <w:p>
      <w:pPr>
        <w:jc w:val="both"/>
        <w:ind w:left="860" w:right="219"/>
        <w:spacing w:after="0"/>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Indemnification Procedure</w:t>
      </w:r>
      <w:r>
        <w:rPr>
          <w:rFonts w:ascii="Arial" w:cs="Arial" w:eastAsia="Arial" w:hAnsi="Arial"/>
          <w:sz w:val="19"/>
          <w:szCs w:val="19"/>
          <w:color w:val="auto"/>
        </w:rPr>
        <w:t>. In connection with any CLAIM for which a PARTY (the “INDEMNITEE”) seeks indemnification from the other PARTY (the “INDEMNITOR”) pursuant to this AGREEMENT, the INDEMNITEE shall: (a) give the INDEMNITOR prompt written notice of the CLAIM; provided, however, that failure to provide such notice shall not relieve the INDEMNITOR from its liability or obligation hereunder, except to the extent of any material prejudice as a direct result of such failure;</w:t>
      </w:r>
    </w:p>
    <w:p>
      <w:pPr>
        <w:spacing w:after="0" w:line="3" w:lineRule="exact"/>
        <w:rPr>
          <w:sz w:val="20"/>
          <w:szCs w:val="20"/>
          <w:color w:val="auto"/>
        </w:rPr>
      </w:pPr>
    </w:p>
    <w:p>
      <w:pPr>
        <w:jc w:val="both"/>
        <w:ind w:left="860" w:right="219" w:hanging="3"/>
        <w:spacing w:after="0" w:line="221" w:lineRule="auto"/>
        <w:tabs>
          <w:tab w:leader="none" w:pos="1166" w:val="left"/>
        </w:tabs>
        <w:numPr>
          <w:ilvl w:val="0"/>
          <w:numId w:val="84"/>
        </w:numPr>
        <w:rPr>
          <w:rFonts w:ascii="Arial" w:cs="Arial" w:eastAsia="Arial" w:hAnsi="Arial"/>
          <w:sz w:val="21"/>
          <w:szCs w:val="21"/>
          <w:color w:val="auto"/>
        </w:rPr>
      </w:pPr>
      <w:r>
        <w:rPr>
          <w:rFonts w:ascii="Arial" w:cs="Arial" w:eastAsia="Arial" w:hAnsi="Arial"/>
          <w:sz w:val="21"/>
          <w:szCs w:val="21"/>
          <w:color w:val="auto"/>
        </w:rPr>
        <w:t>cooperate with the INDEMNITOR, at the INDEMNITOR’s expense, in connection with the defense and settlement of the CLAIM; and (c) permit the INDEMNITOR to control the defense and settlement of the CLAIM; provided, however, that the INDEMNITOR may not settle the CLAIM without the INDEMNITEE’s prior written consent, which shall not be unreasonably withheld or delayed, in the event that such settlement materially adversely impacts the INDEMNITEE’s rights or obligations.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93" w:name="page194"/>
    <w:bookmarkEnd w:id="193"/>
    <w:p>
      <w:pPr>
        <w:ind w:left="860" w:right="219"/>
        <w:spacing w:after="0" w:line="296" w:lineRule="auto"/>
        <w:rPr>
          <w:sz w:val="20"/>
          <w:szCs w:val="20"/>
          <w:color w:val="auto"/>
        </w:rPr>
      </w:pPr>
      <w:r>
        <w:rPr>
          <w:rFonts w:ascii="Arial" w:cs="Arial" w:eastAsia="Arial" w:hAnsi="Arial"/>
          <w:sz w:val="19"/>
          <w:szCs w:val="19"/>
          <w:color w:val="auto"/>
        </w:rPr>
        <w:t>Further, the INDEMNITEE shall have the right to participate (but not control) and be represented in any suit or action by legal counsel of its selection and at its own expense.</w:t>
      </w:r>
    </w:p>
    <w:p>
      <w:pPr>
        <w:spacing w:after="0" w:line="1" w:lineRule="exact"/>
        <w:rPr>
          <w:sz w:val="20"/>
          <w:szCs w:val="20"/>
          <w:color w:val="auto"/>
        </w:rPr>
      </w:pPr>
    </w:p>
    <w:p>
      <w:pPr>
        <w:ind w:left="860" w:hanging="651"/>
        <w:spacing w:after="0"/>
        <w:tabs>
          <w:tab w:leader="none" w:pos="86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Limitation of Liability; Consequential Damages Waiver</w:t>
      </w:r>
      <w:r>
        <w:rPr>
          <w:rFonts w:ascii="Arial" w:cs="Arial" w:eastAsia="Arial" w:hAnsi="Arial"/>
          <w:sz w:val="22"/>
          <w:szCs w:val="22"/>
          <w:color w:val="auto"/>
        </w:rPr>
        <w:t>.</w:t>
      </w:r>
    </w:p>
    <w:p>
      <w:pPr>
        <w:spacing w:after="0" w:line="71" w:lineRule="exact"/>
        <w:rPr>
          <w:rFonts w:ascii="Arial" w:cs="Arial" w:eastAsia="Arial" w:hAnsi="Arial"/>
          <w:sz w:val="22"/>
          <w:szCs w:val="22"/>
          <w:color w:val="auto"/>
        </w:rPr>
      </w:pPr>
    </w:p>
    <w:p>
      <w:pPr>
        <w:jc w:val="both"/>
        <w:ind w:left="860" w:right="219"/>
        <w:spacing w:after="0" w:line="222" w:lineRule="auto"/>
        <w:rPr>
          <w:rFonts w:ascii="Arial" w:cs="Arial" w:eastAsia="Arial" w:hAnsi="Arial"/>
          <w:sz w:val="22"/>
          <w:szCs w:val="22"/>
          <w:color w:val="auto"/>
        </w:rPr>
      </w:pPr>
      <w:r>
        <w:rPr>
          <w:rFonts w:ascii="Arial" w:cs="Arial" w:eastAsia="Arial" w:hAnsi="Arial"/>
          <w:sz w:val="21"/>
          <w:szCs w:val="21"/>
          <w:color w:val="auto"/>
        </w:rPr>
        <w:t>13.1 EXCEPT FOR A BREACH OF SECTION 9 (confidentiality) OR OBLIGATIONS ARISING UNDER SECTION 12 (indemnification), NEITHER PARTY SHALL BE LIABLE TO THE OTHER PARTY FOR ANY INDIRECT, CONSEQUENTIAL, SPECIAL, EXEMPLARY OR PUNITIVE DAMAGES, INCLUDING DAMAGES FOR LOST PROFITS OR LOST REVENUES, REGARDLESS OF WHETHER IT HAS BEEN INFORMED OF THE POSSIBILITY OR LIKELIHOOD OF SUCH DAMAGES OR THE TYPE OF CLAIM, CONTRACT OR TORT (INCLUDING NEGLIGENCE).</w:t>
      </w:r>
    </w:p>
    <w:p>
      <w:pPr>
        <w:spacing w:after="0" w:line="56"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21"/>
          <w:szCs w:val="21"/>
          <w:u w:val="single" w:color="auto"/>
          <w:color w:val="auto"/>
        </w:rPr>
        <w:t>Liability Cap</w:t>
      </w:r>
    </w:p>
    <w:p>
      <w:pPr>
        <w:spacing w:after="0" w:line="71" w:lineRule="exact"/>
        <w:rPr>
          <w:sz w:val="20"/>
          <w:szCs w:val="20"/>
          <w:color w:val="auto"/>
        </w:rPr>
      </w:pPr>
    </w:p>
    <w:p>
      <w:pPr>
        <w:jc w:val="both"/>
        <w:ind w:left="1500" w:right="219"/>
        <w:spacing w:after="0" w:line="223" w:lineRule="auto"/>
        <w:rPr>
          <w:sz w:val="20"/>
          <w:szCs w:val="20"/>
          <w:color w:val="auto"/>
        </w:rPr>
      </w:pPr>
      <w:r>
        <w:rPr>
          <w:rFonts w:ascii="Arial" w:cs="Arial" w:eastAsia="Arial" w:hAnsi="Arial"/>
          <w:sz w:val="22"/>
          <w:szCs w:val="22"/>
          <w:color w:val="auto"/>
        </w:rPr>
        <w:t>13.2.1 "CAP" means the sum of [***], [***] and [***] paid by AXSOME to PFIZER during the [***] ([***]) [***] immediately preceding the event giving rise to the applicable CLAIM.</w:t>
      </w:r>
    </w:p>
    <w:p>
      <w:pPr>
        <w:spacing w:after="0" w:line="51" w:lineRule="exact"/>
        <w:rPr>
          <w:sz w:val="20"/>
          <w:szCs w:val="20"/>
          <w:color w:val="auto"/>
        </w:rPr>
      </w:pPr>
    </w:p>
    <w:p>
      <w:pPr>
        <w:jc w:val="both"/>
        <w:ind w:left="1500" w:right="219"/>
        <w:spacing w:after="0" w:line="221" w:lineRule="auto"/>
        <w:rPr>
          <w:sz w:val="20"/>
          <w:szCs w:val="20"/>
          <w:color w:val="auto"/>
        </w:rPr>
      </w:pPr>
      <w:r>
        <w:rPr>
          <w:rFonts w:ascii="Arial" w:cs="Arial" w:eastAsia="Arial" w:hAnsi="Arial"/>
          <w:sz w:val="21"/>
          <w:szCs w:val="21"/>
          <w:color w:val="auto"/>
        </w:rPr>
        <w:t>13.2.2 IN NO EVENT SHALL PFIZER'S LIABILITY FOR DAMAGES IN CONNECTION WITH THIS AGREEMENT EXCEED THE CAP, REGARDLESS OF WHETHER PFIZER HAS BEEN INFORMED OF THE POSSIBILITY OR LIKELIHOOD OF SUCH DAMAGES OR THE TYPE OF CLAIM, CONTRACT OR TORT (INCLUDING NEGLIGENCE); PROVIDED, HOWEVER, THAT NOTHING HEREIN SHALL LIMIT PFIZER'S LIABILITY FOR DAMAGES RESULTING FROM ANY FRAUD OF PFIZER THAT OCCURRED PRIOR TO OR ON THE EFFECTIVE DATE.</w:t>
      </w:r>
    </w:p>
    <w:p>
      <w:pPr>
        <w:spacing w:after="0" w:line="57" w:lineRule="exact"/>
        <w:rPr>
          <w:sz w:val="20"/>
          <w:szCs w:val="20"/>
          <w:color w:val="auto"/>
        </w:rPr>
      </w:pPr>
    </w:p>
    <w:p>
      <w:pPr>
        <w:ind w:left="860" w:hanging="651"/>
        <w:spacing w:after="0"/>
        <w:tabs>
          <w:tab w:leader="none" w:pos="86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Term; Termination</w:t>
      </w:r>
    </w:p>
    <w:p>
      <w:pPr>
        <w:spacing w:after="0" w:line="179" w:lineRule="exact"/>
        <w:rPr>
          <w:rFonts w:ascii="Arial" w:cs="Arial" w:eastAsia="Arial" w:hAnsi="Arial"/>
          <w:sz w:val="22"/>
          <w:szCs w:val="22"/>
          <w:color w:val="auto"/>
        </w:rPr>
      </w:pPr>
    </w:p>
    <w:p>
      <w:pPr>
        <w:jc w:val="both"/>
        <w:ind w:left="860" w:right="219"/>
        <w:spacing w:after="0" w:line="216" w:lineRule="auto"/>
        <w:rPr>
          <w:rFonts w:ascii="Arial" w:cs="Arial" w:eastAsia="Arial" w:hAnsi="Arial"/>
          <w:sz w:val="22"/>
          <w:szCs w:val="22"/>
          <w:color w:val="auto"/>
        </w:rPr>
      </w:pPr>
      <w:r>
        <w:rPr>
          <w:rFonts w:ascii="Arial" w:cs="Arial" w:eastAsia="Arial" w:hAnsi="Arial"/>
          <w:sz w:val="22"/>
          <w:szCs w:val="22"/>
          <w:color w:val="auto"/>
        </w:rPr>
        <w:t xml:space="preserve">14.1 </w:t>
      </w: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shall commence as of the EFFECTIVE DATE and shall expire on a PRODUCT-by-PRODUCT basis upon the expiration of the last-to-expire ROYALTY TERM for such PRODUCT (the “TERM”). Upon such expiration, the license granted by PFIZER to AXSOME under Section 2.1 shall become non-exclusive, fully-paid, royalty free, perpetual and irrevocable.</w:t>
      </w:r>
    </w:p>
    <w:p>
      <w:pPr>
        <w:spacing w:after="0" w:line="49" w:lineRule="exact"/>
        <w:rPr>
          <w:rFonts w:ascii="Arial" w:cs="Arial" w:eastAsia="Arial" w:hAnsi="Arial"/>
          <w:sz w:val="22"/>
          <w:szCs w:val="22"/>
          <w:color w:val="auto"/>
        </w:rPr>
      </w:pPr>
    </w:p>
    <w:p>
      <w:pPr>
        <w:jc w:val="both"/>
        <w:ind w:left="860" w:right="219"/>
        <w:spacing w:after="0" w:line="242" w:lineRule="auto"/>
        <w:rPr>
          <w:rFonts w:ascii="Arial" w:cs="Arial" w:eastAsia="Arial" w:hAnsi="Arial"/>
          <w:sz w:val="22"/>
          <w:szCs w:val="22"/>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 Each PARTY shall have the right, without prejudice to any other remedies available to it at law or in equity, to terminate this AGREEMENT upon written notice to the other PARTY in the event the other PARTY materially breaches any of its obligations hereunder and fails to cure such breach within sixty (60) days of receiving notice thereof; provided, however, if such breach is capable of being cured, but cannot be cured within such sixty (60) day period, and the breaching PARTY initiates actions to cure such breach within such period and thereafter diligently pursues such actions, the breaching PARTY shall have such additional period as is reasonable to cure such breach, but in no event will such additional period exceed ninety (90) days. Any termination by a PARTY under this Section 14.2 shall be without prejudice to any damages or other legal or equitable remedies to which it may be entitled from the other PARTY. For the avoidance of doubt, AXSOME’s failure to use COMMERCIALLY REASONABLE EFFORTS to DEVELOP and COMMERCIALIZE the PRODUCT in accordance with Section 4.2 or failure to make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94" w:name="page195"/>
    <w:bookmarkEnd w:id="194"/>
    <w:p>
      <w:pPr>
        <w:ind w:left="860" w:right="239" w:hanging="3"/>
        <w:spacing w:after="0" w:line="232" w:lineRule="auto"/>
        <w:tabs>
          <w:tab w:leader="none" w:pos="1103" w:val="left"/>
        </w:tabs>
        <w:numPr>
          <w:ilvl w:val="0"/>
          <w:numId w:val="87"/>
        </w:numPr>
        <w:rPr>
          <w:rFonts w:ascii="Arial" w:cs="Arial" w:eastAsia="Arial" w:hAnsi="Arial"/>
          <w:sz w:val="22"/>
          <w:szCs w:val="22"/>
          <w:color w:val="auto"/>
        </w:rPr>
      </w:pPr>
      <w:r>
        <w:rPr>
          <w:rFonts w:ascii="Arial" w:cs="Arial" w:eastAsia="Arial" w:hAnsi="Arial"/>
          <w:sz w:val="22"/>
          <w:szCs w:val="22"/>
          <w:color w:val="auto"/>
        </w:rPr>
        <w:t>MILESTONE PAYMENT or ROYALTY PAYMENT shall constitute a material breach by AXSOME under this AGREEMENT.</w:t>
      </w:r>
    </w:p>
    <w:p>
      <w:pPr>
        <w:spacing w:after="0" w:line="51"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u w:val="single" w:color="auto"/>
          <w:color w:val="auto"/>
        </w:rPr>
        <w:t>Termination for a Bankruptcy Event</w:t>
      </w:r>
    </w:p>
    <w:p>
      <w:pPr>
        <w:spacing w:after="0" w:line="71" w:lineRule="exact"/>
        <w:rPr>
          <w:sz w:val="20"/>
          <w:szCs w:val="20"/>
          <w:color w:val="auto"/>
        </w:rPr>
      </w:pPr>
    </w:p>
    <w:p>
      <w:pPr>
        <w:jc w:val="both"/>
        <w:ind w:left="1500" w:right="219"/>
        <w:spacing w:after="0" w:line="232" w:lineRule="auto"/>
        <w:rPr>
          <w:sz w:val="20"/>
          <w:szCs w:val="20"/>
          <w:color w:val="auto"/>
        </w:rPr>
      </w:pPr>
      <w:r>
        <w:rPr>
          <w:rFonts w:ascii="Arial" w:cs="Arial" w:eastAsia="Arial" w:hAnsi="Arial"/>
          <w:sz w:val="22"/>
          <w:szCs w:val="22"/>
          <w:color w:val="auto"/>
        </w:rPr>
        <w:t xml:space="preserve">14.3.1 </w:t>
      </w:r>
      <w:r>
        <w:rPr>
          <w:rFonts w:ascii="Arial" w:cs="Arial" w:eastAsia="Arial" w:hAnsi="Arial"/>
          <w:sz w:val="22"/>
          <w:szCs w:val="22"/>
          <w:u w:val="single" w:color="auto"/>
          <w:color w:val="auto"/>
        </w:rPr>
        <w:t>Termination Rights</w:t>
      </w:r>
      <w:r>
        <w:rPr>
          <w:rFonts w:ascii="Arial" w:cs="Arial" w:eastAsia="Arial" w:hAnsi="Arial"/>
          <w:sz w:val="22"/>
          <w:szCs w:val="22"/>
          <w:color w:val="auto"/>
        </w:rPr>
        <w:t>. PFIZER shall have the right to terminate this AGREEMENT in the event of a BANKRUPTCY EVENT of AXSOME.</w:t>
      </w:r>
    </w:p>
    <w:p>
      <w:pPr>
        <w:spacing w:after="0" w:line="51" w:lineRule="exact"/>
        <w:rPr>
          <w:sz w:val="20"/>
          <w:szCs w:val="20"/>
          <w:color w:val="auto"/>
        </w:rPr>
      </w:pPr>
    </w:p>
    <w:p>
      <w:pPr>
        <w:jc w:val="both"/>
        <w:ind w:left="1500" w:right="219"/>
        <w:spacing w:after="0"/>
        <w:rPr>
          <w:sz w:val="20"/>
          <w:szCs w:val="20"/>
          <w:color w:val="auto"/>
        </w:rPr>
      </w:pPr>
      <w:r>
        <w:rPr>
          <w:rFonts w:ascii="Arial" w:cs="Arial" w:eastAsia="Arial" w:hAnsi="Arial"/>
          <w:sz w:val="19"/>
          <w:szCs w:val="19"/>
          <w:color w:val="auto"/>
        </w:rPr>
        <w:t xml:space="preserve">14.3.2 </w:t>
      </w:r>
      <w:r>
        <w:rPr>
          <w:rFonts w:ascii="Arial" w:cs="Arial" w:eastAsia="Arial" w:hAnsi="Arial"/>
          <w:sz w:val="19"/>
          <w:szCs w:val="19"/>
          <w:u w:val="single" w:color="auto"/>
          <w:color w:val="auto"/>
        </w:rPr>
        <w:t>Rights to Intellectual Property</w:t>
      </w:r>
      <w:r>
        <w:rPr>
          <w:rFonts w:ascii="Arial" w:cs="Arial" w:eastAsia="Arial" w:hAnsi="Arial"/>
          <w:sz w:val="19"/>
          <w:szCs w:val="19"/>
          <w:color w:val="auto"/>
        </w:rPr>
        <w:t>. All rights and licenses granted under or pursuant to this AGREEMENT under Section 2.1, and shall otherwise be deemed to be, for purposes of Section 365(n) of the BANKRUPTCY CODE, licenses of rights to “intellectual property” as defined under Section 101 of the BANKRUPTCY CODE. The PARTIES agree that either PARTY shall retain and may fully exercise all of its rights and elections under the BANKRUPTCY CODE. The PARTIES further agree that in the event of a rejection of this AGREEMENT by AXSOME in any bankruptcy proceeding by or against AXSOME under the BANKRUPTCY CODE, (a) PFIZER shall be entitled to a complete duplicate of (or complete access to, as appropriate) any such intellectual property and all embodiments of such intellectual property licensed by PFIZER to AXSOME, which, if not already in PFIZER’s possession, shall be promptly delivered to it upon PFIZER’s written request therefore, and (b) AXSOME shall not interfere with PFIZER’s rights to intellectual property and all embodiments of intellectual property, and shall assist and not interfere with PFIZER in obtaining intellectual property and all embodiments of intellectual property from another entity. The term “embodiments” of intellectual property includes all tangible, intangible, electronic or other embodiments of rights and licenses hereunder, including all compounds and products embodying intellectual property, filings with REGULATORY AUTHORITIES and related rights, and LICENSED IP.</w:t>
      </w:r>
    </w:p>
    <w:p>
      <w:pPr>
        <w:spacing w:after="0" w:line="277" w:lineRule="exact"/>
        <w:rPr>
          <w:sz w:val="20"/>
          <w:szCs w:val="20"/>
          <w:color w:val="auto"/>
        </w:rPr>
      </w:pPr>
    </w:p>
    <w:p>
      <w:pPr>
        <w:jc w:val="both"/>
        <w:ind w:left="860" w:right="219"/>
        <w:spacing w:after="0" w:line="243"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Termination for Convenience</w:t>
      </w:r>
      <w:r>
        <w:rPr>
          <w:rFonts w:ascii="Arial" w:cs="Arial" w:eastAsia="Arial" w:hAnsi="Arial"/>
          <w:sz w:val="19"/>
          <w:szCs w:val="19"/>
          <w:color w:val="auto"/>
        </w:rPr>
        <w:t>. After the first anniversary of the EFFECTIVE DATE, AXSOME shall have the right in its sole discretion and without cause to terminate this AGREEMENT in its sole and absolute discretion without any cause subject to ninety</w:t>
      </w:r>
    </w:p>
    <w:p>
      <w:pPr>
        <w:spacing w:after="0" w:line="2" w:lineRule="exact"/>
        <w:rPr>
          <w:sz w:val="20"/>
          <w:szCs w:val="20"/>
          <w:color w:val="auto"/>
        </w:rPr>
      </w:pPr>
    </w:p>
    <w:p>
      <w:pPr>
        <w:ind w:left="860" w:right="219" w:hanging="3"/>
        <w:spacing w:after="0" w:line="224" w:lineRule="auto"/>
        <w:tabs>
          <w:tab w:leader="none" w:pos="1284" w:val="left"/>
        </w:tabs>
        <w:numPr>
          <w:ilvl w:val="0"/>
          <w:numId w:val="88"/>
        </w:numPr>
        <w:rPr>
          <w:rFonts w:ascii="Arial" w:cs="Arial" w:eastAsia="Arial" w:hAnsi="Arial"/>
          <w:sz w:val="22"/>
          <w:szCs w:val="22"/>
          <w:color w:val="auto"/>
        </w:rPr>
      </w:pPr>
      <w:r>
        <w:rPr>
          <w:rFonts w:ascii="Arial" w:cs="Arial" w:eastAsia="Arial" w:hAnsi="Arial"/>
          <w:sz w:val="22"/>
          <w:szCs w:val="22"/>
          <w:color w:val="auto"/>
        </w:rPr>
        <w:t>days prior written notice to PFIZER, provided such notice is given no earlier than the date of such first anniversary.</w:t>
      </w:r>
    </w:p>
    <w:p>
      <w:pPr>
        <w:spacing w:after="0" w:line="50"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u w:val="single" w:color="auto"/>
          <w:color w:val="auto"/>
        </w:rPr>
        <w:t>Effects of Termination</w:t>
      </w:r>
    </w:p>
    <w:p>
      <w:pPr>
        <w:spacing w:after="0" w:line="71" w:lineRule="exact"/>
        <w:rPr>
          <w:sz w:val="20"/>
          <w:szCs w:val="20"/>
          <w:color w:val="auto"/>
        </w:rPr>
      </w:pPr>
    </w:p>
    <w:p>
      <w:pPr>
        <w:ind w:left="1500" w:right="219"/>
        <w:spacing w:after="0" w:line="296" w:lineRule="auto"/>
        <w:rPr>
          <w:sz w:val="20"/>
          <w:szCs w:val="20"/>
          <w:color w:val="auto"/>
        </w:rPr>
      </w:pPr>
      <w:r>
        <w:rPr>
          <w:rFonts w:ascii="Arial" w:cs="Arial" w:eastAsia="Arial" w:hAnsi="Arial"/>
          <w:sz w:val="19"/>
          <w:szCs w:val="19"/>
          <w:color w:val="auto"/>
        </w:rPr>
        <w:t xml:space="preserve">14.5.1 </w:t>
      </w:r>
      <w:r>
        <w:rPr>
          <w:rFonts w:ascii="Arial" w:cs="Arial" w:eastAsia="Arial" w:hAnsi="Arial"/>
          <w:sz w:val="19"/>
          <w:szCs w:val="19"/>
          <w:u w:val="single" w:color="auto"/>
          <w:color w:val="auto"/>
        </w:rPr>
        <w:t>Termination by Axsome for Cause</w:t>
      </w:r>
      <w:r>
        <w:rPr>
          <w:rFonts w:ascii="Arial" w:cs="Arial" w:eastAsia="Arial" w:hAnsi="Arial"/>
          <w:sz w:val="19"/>
          <w:szCs w:val="19"/>
          <w:color w:val="auto"/>
        </w:rPr>
        <w:t>. In the event that AXSOME terminates this AGREEMENT pursuant to Section 14.2 (for cause) the following shall apply:</w:t>
      </w:r>
    </w:p>
    <w:p>
      <w:pPr>
        <w:spacing w:after="0" w:line="1" w:lineRule="exact"/>
        <w:rPr>
          <w:sz w:val="20"/>
          <w:szCs w:val="20"/>
          <w:color w:val="auto"/>
        </w:rPr>
      </w:pPr>
    </w:p>
    <w:p>
      <w:pPr>
        <w:ind w:left="2160" w:right="219" w:hanging="7"/>
        <w:spacing w:after="0" w:line="247" w:lineRule="auto"/>
        <w:tabs>
          <w:tab w:leader="none" w:pos="2994"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Rights and Obligations</w:t>
      </w:r>
      <w:r>
        <w:rPr>
          <w:rFonts w:ascii="Arial" w:cs="Arial" w:eastAsia="Arial" w:hAnsi="Arial"/>
          <w:sz w:val="21"/>
          <w:szCs w:val="21"/>
          <w:color w:val="auto"/>
        </w:rPr>
        <w:t>. Except as otherwise provided herein, all rights and obligations of each PARTY hereunder shall cease.</w:t>
      </w:r>
    </w:p>
    <w:p>
      <w:pPr>
        <w:spacing w:after="0" w:line="42" w:lineRule="exact"/>
        <w:rPr>
          <w:rFonts w:ascii="Arial" w:cs="Arial" w:eastAsia="Arial" w:hAnsi="Arial"/>
          <w:sz w:val="21"/>
          <w:szCs w:val="21"/>
          <w:color w:val="auto"/>
        </w:rPr>
      </w:pPr>
    </w:p>
    <w:p>
      <w:pPr>
        <w:jc w:val="both"/>
        <w:ind w:left="2160" w:right="239" w:hanging="7"/>
        <w:spacing w:after="0" w:line="223" w:lineRule="auto"/>
        <w:tabs>
          <w:tab w:leader="none" w:pos="2857"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Licenses</w:t>
      </w:r>
      <w:r>
        <w:rPr>
          <w:rFonts w:ascii="Arial" w:cs="Arial" w:eastAsia="Arial" w:hAnsi="Arial"/>
          <w:sz w:val="22"/>
          <w:szCs w:val="22"/>
          <w:color w:val="auto"/>
        </w:rPr>
        <w:t>. The licenses granted to AXSOME pursuant to Section 2.1 but subject to Section 2.3 (retained rights) shall become perpetual and irrevocable.</w:t>
      </w:r>
    </w:p>
    <w:p>
      <w:pPr>
        <w:spacing w:after="0" w:line="51" w:lineRule="exact"/>
        <w:rPr>
          <w:sz w:val="20"/>
          <w:szCs w:val="20"/>
          <w:color w:val="auto"/>
        </w:rPr>
      </w:pPr>
    </w:p>
    <w:p>
      <w:pPr>
        <w:jc w:val="both"/>
        <w:ind w:left="1500" w:right="219"/>
        <w:spacing w:after="0" w:line="268" w:lineRule="auto"/>
        <w:rPr>
          <w:sz w:val="20"/>
          <w:szCs w:val="20"/>
          <w:color w:val="auto"/>
        </w:rPr>
      </w:pPr>
      <w:r>
        <w:rPr>
          <w:rFonts w:ascii="Arial" w:cs="Arial" w:eastAsia="Arial" w:hAnsi="Arial"/>
          <w:sz w:val="19"/>
          <w:szCs w:val="19"/>
          <w:color w:val="auto"/>
        </w:rPr>
        <w:t xml:space="preserve">14.5.2 </w:t>
      </w:r>
      <w:r>
        <w:rPr>
          <w:rFonts w:ascii="Arial" w:cs="Arial" w:eastAsia="Arial" w:hAnsi="Arial"/>
          <w:sz w:val="19"/>
          <w:szCs w:val="19"/>
          <w:u w:val="single" w:color="auto"/>
          <w:color w:val="auto"/>
        </w:rPr>
        <w:t>Termination by Pfizer for Cause or Bankruptcy Event; Termination by</w:t>
      </w:r>
      <w:r>
        <w:rPr>
          <w:rFonts w:ascii="Arial" w:cs="Arial" w:eastAsia="Arial" w:hAnsi="Arial"/>
          <w:sz w:val="19"/>
          <w:szCs w:val="19"/>
          <w:color w:val="auto"/>
        </w:rPr>
        <w:t xml:space="preserve"> </w:t>
      </w:r>
      <w:r>
        <w:rPr>
          <w:rFonts w:ascii="Arial" w:cs="Arial" w:eastAsia="Arial" w:hAnsi="Arial"/>
          <w:sz w:val="19"/>
          <w:szCs w:val="19"/>
          <w:u w:val="single" w:color="auto"/>
          <w:color w:val="auto"/>
        </w:rPr>
        <w:t>Axsome for Convenience</w:t>
      </w:r>
      <w:r>
        <w:rPr>
          <w:rFonts w:ascii="Arial" w:cs="Arial" w:eastAsia="Arial" w:hAnsi="Arial"/>
          <w:sz w:val="19"/>
          <w:szCs w:val="19"/>
          <w:color w:val="auto"/>
        </w:rPr>
        <w:t>. In the event that PFIZER terminates this AGREEMENT pursuant to Section 14.2 (for cause) or Section 14.3 (for bankruptcy) or AXSOME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95" w:name="page196"/>
    <w:bookmarkEnd w:id="195"/>
    <w:p>
      <w:pPr>
        <w:ind w:left="1500" w:right="219"/>
        <w:spacing w:after="0" w:line="232" w:lineRule="auto"/>
        <w:rPr>
          <w:sz w:val="20"/>
          <w:szCs w:val="20"/>
          <w:color w:val="auto"/>
        </w:rPr>
      </w:pPr>
      <w:r>
        <w:rPr>
          <w:rFonts w:ascii="Arial" w:cs="Arial" w:eastAsia="Arial" w:hAnsi="Arial"/>
          <w:sz w:val="22"/>
          <w:szCs w:val="22"/>
          <w:color w:val="auto"/>
        </w:rPr>
        <w:t>terminates this AGREEMENT pursuant to Section 14.4 (for convenience) the following shall apply:</w:t>
      </w:r>
    </w:p>
    <w:p>
      <w:pPr>
        <w:spacing w:after="0" w:line="51" w:lineRule="exact"/>
        <w:rPr>
          <w:sz w:val="20"/>
          <w:szCs w:val="20"/>
          <w:color w:val="auto"/>
        </w:rPr>
      </w:pPr>
    </w:p>
    <w:p>
      <w:pPr>
        <w:jc w:val="both"/>
        <w:ind w:left="2160" w:right="219" w:hanging="7"/>
        <w:spacing w:after="0" w:line="218" w:lineRule="auto"/>
        <w:tabs>
          <w:tab w:leader="none" w:pos="2994"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Rights and Obligations</w:t>
      </w:r>
      <w:r>
        <w:rPr>
          <w:rFonts w:ascii="Arial" w:cs="Arial" w:eastAsia="Arial" w:hAnsi="Arial"/>
          <w:sz w:val="22"/>
          <w:szCs w:val="22"/>
          <w:color w:val="auto"/>
        </w:rPr>
        <w:t>. Except as otherwise provided herein, all rights and obligations of each PARTY hereunder shall cease, including, subject to Subsection (c) of this Section 14.5.2, the licenses granted to AXSOME pursuant to Section 2.1.</w:t>
      </w:r>
    </w:p>
    <w:p>
      <w:pPr>
        <w:spacing w:after="0" w:line="52" w:lineRule="exact"/>
        <w:rPr>
          <w:rFonts w:ascii="Arial" w:cs="Arial" w:eastAsia="Arial" w:hAnsi="Arial"/>
          <w:sz w:val="22"/>
          <w:szCs w:val="22"/>
          <w:color w:val="auto"/>
        </w:rPr>
      </w:pPr>
    </w:p>
    <w:p>
      <w:pPr>
        <w:jc w:val="both"/>
        <w:ind w:left="2160" w:right="219" w:hanging="7"/>
        <w:spacing w:after="0" w:line="257" w:lineRule="auto"/>
        <w:tabs>
          <w:tab w:leader="none" w:pos="337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Transition</w:t>
      </w:r>
      <w:r>
        <w:rPr>
          <w:rFonts w:ascii="Arial" w:cs="Arial" w:eastAsia="Arial" w:hAnsi="Arial"/>
          <w:sz w:val="19"/>
          <w:szCs w:val="19"/>
          <w:color w:val="auto"/>
        </w:rPr>
        <w:t>. During the notice period provided in Section 14.2(termination for cause) or Section 14.4 (termination for convenience), as applicable to such termination, or as soon as practicable upon notice of termination pursuant to Section 14.3 (for bankruptcy):</w:t>
      </w:r>
    </w:p>
    <w:p>
      <w:pPr>
        <w:spacing w:after="0" w:line="36" w:lineRule="exact"/>
        <w:rPr>
          <w:rFonts w:ascii="Arial" w:cs="Arial" w:eastAsia="Arial" w:hAnsi="Arial"/>
          <w:sz w:val="19"/>
          <w:szCs w:val="19"/>
          <w:color w:val="auto"/>
        </w:rPr>
      </w:pPr>
    </w:p>
    <w:p>
      <w:pPr>
        <w:jc w:val="both"/>
        <w:ind w:left="2800" w:right="219" w:firstLine="1"/>
        <w:spacing w:after="0" w:line="268" w:lineRule="auto"/>
        <w:tabs>
          <w:tab w:leader="none" w:pos="3490" w:val="left"/>
        </w:tabs>
        <w:numPr>
          <w:ilvl w:val="1"/>
          <w:numId w:val="90"/>
        </w:numPr>
        <w:rPr>
          <w:rFonts w:ascii="Arial" w:cs="Arial" w:eastAsia="Arial" w:hAnsi="Arial"/>
          <w:sz w:val="19"/>
          <w:szCs w:val="19"/>
          <w:color w:val="auto"/>
        </w:rPr>
      </w:pPr>
      <w:r>
        <w:rPr>
          <w:rFonts w:ascii="Arial" w:cs="Arial" w:eastAsia="Arial" w:hAnsi="Arial"/>
          <w:sz w:val="19"/>
          <w:szCs w:val="19"/>
          <w:u w:val="single" w:color="auto"/>
          <w:color w:val="auto"/>
        </w:rPr>
        <w:t>Transition Plan</w:t>
      </w:r>
      <w:r>
        <w:rPr>
          <w:rFonts w:ascii="Arial" w:cs="Arial" w:eastAsia="Arial" w:hAnsi="Arial"/>
          <w:sz w:val="19"/>
          <w:szCs w:val="19"/>
          <w:color w:val="auto"/>
        </w:rPr>
        <w:t>. Upon PFIZER’s request, the PARTIES shall negotiate a transition plan that includes, at a minimum, a plan for accomplishing the activities described in this Section 14.5.2(b).</w:t>
      </w:r>
    </w:p>
    <w:p>
      <w:pPr>
        <w:spacing w:after="0" w:line="24" w:lineRule="exact"/>
        <w:rPr>
          <w:rFonts w:ascii="Arial" w:cs="Arial" w:eastAsia="Arial" w:hAnsi="Arial"/>
          <w:sz w:val="19"/>
          <w:szCs w:val="19"/>
          <w:color w:val="auto"/>
        </w:rPr>
      </w:pPr>
    </w:p>
    <w:p>
      <w:pPr>
        <w:jc w:val="both"/>
        <w:ind w:left="2800" w:right="219" w:firstLine="1"/>
        <w:spacing w:after="0" w:line="214" w:lineRule="auto"/>
        <w:tabs>
          <w:tab w:leader="none" w:pos="3604" w:val="left"/>
        </w:tabs>
        <w:numPr>
          <w:ilvl w:val="1"/>
          <w:numId w:val="90"/>
        </w:numPr>
        <w:rPr>
          <w:rFonts w:ascii="Arial" w:cs="Arial" w:eastAsia="Arial" w:hAnsi="Arial"/>
          <w:sz w:val="22"/>
          <w:szCs w:val="22"/>
          <w:color w:val="auto"/>
        </w:rPr>
      </w:pPr>
      <w:r>
        <w:rPr>
          <w:rFonts w:ascii="Arial" w:cs="Arial" w:eastAsia="Arial" w:hAnsi="Arial"/>
          <w:sz w:val="22"/>
          <w:szCs w:val="22"/>
          <w:u w:val="single" w:color="auto"/>
          <w:color w:val="auto"/>
        </w:rPr>
        <w:t>Technology Transfer</w:t>
      </w:r>
      <w:r>
        <w:rPr>
          <w:rFonts w:ascii="Arial" w:cs="Arial" w:eastAsia="Arial" w:hAnsi="Arial"/>
          <w:sz w:val="22"/>
          <w:szCs w:val="22"/>
          <w:color w:val="auto"/>
        </w:rPr>
        <w:t>. Upon PFIZER’s request, AXSOME shall return to PFIZER or destroy all LICENSED KNOW-HOW transferred to AXSOME as of the effective date of termination. For clarity, AXSOME shall have no obligation to transfer any KNOW-HOW or technology developed under the AGREEMENT during the TERM.</w:t>
      </w:r>
    </w:p>
    <w:p>
      <w:pPr>
        <w:spacing w:after="0" w:line="50" w:lineRule="exact"/>
        <w:rPr>
          <w:rFonts w:ascii="Arial" w:cs="Arial" w:eastAsia="Arial" w:hAnsi="Arial"/>
          <w:sz w:val="22"/>
          <w:szCs w:val="22"/>
          <w:color w:val="auto"/>
        </w:rPr>
      </w:pPr>
    </w:p>
    <w:p>
      <w:pPr>
        <w:jc w:val="both"/>
        <w:ind w:left="2160" w:right="219" w:hanging="7"/>
        <w:spacing w:after="0" w:line="219" w:lineRule="auto"/>
        <w:tabs>
          <w:tab w:leader="none" w:pos="2913" w:val="left"/>
        </w:tabs>
        <w:numPr>
          <w:ilvl w:val="0"/>
          <w:numId w:val="90"/>
        </w:numPr>
        <w:rPr>
          <w:rFonts w:ascii="Arial" w:cs="Arial" w:eastAsia="Arial" w:hAnsi="Arial"/>
          <w:sz w:val="21"/>
          <w:szCs w:val="21"/>
          <w:color w:val="auto"/>
        </w:rPr>
      </w:pPr>
      <w:r>
        <w:rPr>
          <w:rFonts w:ascii="Arial" w:cs="Arial" w:eastAsia="Arial" w:hAnsi="Arial"/>
          <w:sz w:val="21"/>
          <w:szCs w:val="21"/>
          <w:u w:val="single" w:color="auto"/>
          <w:color w:val="auto"/>
        </w:rPr>
        <w:t>Sublicense Survival</w:t>
      </w:r>
      <w:r>
        <w:rPr>
          <w:rFonts w:ascii="Arial" w:cs="Arial" w:eastAsia="Arial" w:hAnsi="Arial"/>
          <w:sz w:val="21"/>
          <w:szCs w:val="21"/>
          <w:color w:val="auto"/>
        </w:rPr>
        <w:t>. Each SUBLICENSEE (if applicable) shall be entitled, upon request by the applicable SUBLICENSEE, to have the applicable SUBLICENSE survive the termination of this AGREEMENT and become a direct license from PFIZER, under the terms of this AGREEMENT applicable to the scope of such SUBLICENSE, on the condition that: (i) the SUBLICENSEE is not then in breach of its SUBLICENSE; and (ii) the SUBLICENSEE cures any the material breach by AXSOME, if such breach is a failure to pay any amounts due, and with respect to all other breaches, if such breach is applicable to the scope of the applicable SUBLICENSE, within sixty (60) days following the termination of this AGREEMENT or such longer period agreed by PFIZER and the applicable SUBLICENSEE.</w:t>
      </w:r>
    </w:p>
    <w:p>
      <w:pPr>
        <w:spacing w:after="0" w:line="56" w:lineRule="exact"/>
        <w:rPr>
          <w:sz w:val="20"/>
          <w:szCs w:val="20"/>
          <w:color w:val="auto"/>
        </w:rPr>
      </w:pPr>
    </w:p>
    <w:p>
      <w:pPr>
        <w:jc w:val="both"/>
        <w:ind w:left="860" w:right="219"/>
        <w:spacing w:after="0" w:line="244" w:lineRule="auto"/>
        <w:rPr>
          <w:sz w:val="20"/>
          <w:szCs w:val="20"/>
          <w:color w:val="auto"/>
        </w:rPr>
      </w:pPr>
      <w:r>
        <w:rPr>
          <w:rFonts w:ascii="Arial" w:cs="Arial" w:eastAsia="Arial" w:hAnsi="Arial"/>
          <w:sz w:val="19"/>
          <w:szCs w:val="19"/>
          <w:color w:val="auto"/>
        </w:rPr>
        <w:t xml:space="preserve">14.6 </w:t>
      </w:r>
      <w:r>
        <w:rPr>
          <w:rFonts w:ascii="Arial" w:cs="Arial" w:eastAsia="Arial" w:hAnsi="Arial"/>
          <w:sz w:val="19"/>
          <w:szCs w:val="19"/>
          <w:u w:val="single" w:color="auto"/>
          <w:color w:val="auto"/>
        </w:rPr>
        <w:t>Survival</w:t>
      </w:r>
      <w:r>
        <w:rPr>
          <w:rFonts w:ascii="Arial" w:cs="Arial" w:eastAsia="Arial" w:hAnsi="Arial"/>
          <w:sz w:val="19"/>
          <w:szCs w:val="19"/>
          <w:color w:val="auto"/>
        </w:rPr>
        <w:t>. Expiration or termination of this AGREEMENT shall not relieve the PARTIES of any obligation accruing hereunder prior to such expiration or termination. Without limiting the foregoing, the provisions of Sections 1 (definitions; interpretation), 2.3 (retained rights), 2.4 (residuals), 6 (payments), 7 (records; audit rights), 8.1 (pre-existing IP), 8.2 (ownership and assignment of patents), 9 (confidentiality), 11 (representations, warranties and covenants), 12 (indemnification), 13 (limitation of liability), 14.2 (termination for cause), 14.5 (effects of termination), 14.6 (survival), 15 (use of names, press releases, publications), 16 (insurance), 17 (dispute resolution), 18.1 (assignment), 18.2 (severability), 18.3 (governing law), 18.5 (waivers and amendments)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96" w:name="page197"/>
    <w:bookmarkEnd w:id="196"/>
    <w:p>
      <w:pPr>
        <w:ind w:left="860" w:right="219"/>
        <w:spacing w:after="0" w:line="232" w:lineRule="auto"/>
        <w:rPr>
          <w:sz w:val="20"/>
          <w:szCs w:val="20"/>
          <w:color w:val="auto"/>
        </w:rPr>
      </w:pPr>
      <w:r>
        <w:rPr>
          <w:rFonts w:ascii="Arial" w:cs="Arial" w:eastAsia="Arial" w:hAnsi="Arial"/>
          <w:sz w:val="22"/>
          <w:szCs w:val="22"/>
          <w:color w:val="auto"/>
        </w:rPr>
        <w:t>18.7 (successors and assigns), and 18.8 (notices) shall survive expiration or termination of this Agreement.</w:t>
      </w:r>
    </w:p>
    <w:p>
      <w:pPr>
        <w:spacing w:after="0" w:line="51" w:lineRule="exact"/>
        <w:rPr>
          <w:sz w:val="20"/>
          <w:szCs w:val="20"/>
          <w:color w:val="auto"/>
        </w:rPr>
      </w:pPr>
    </w:p>
    <w:p>
      <w:pPr>
        <w:ind w:left="860" w:hanging="651"/>
        <w:spacing w:after="0"/>
        <w:tabs>
          <w:tab w:leader="none" w:pos="86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Use of Names; Press Releases; Publications</w:t>
      </w:r>
    </w:p>
    <w:p>
      <w:pPr>
        <w:spacing w:after="0" w:line="179" w:lineRule="exact"/>
        <w:rPr>
          <w:rFonts w:ascii="Arial" w:cs="Arial" w:eastAsia="Arial" w:hAnsi="Arial"/>
          <w:sz w:val="22"/>
          <w:szCs w:val="22"/>
          <w:color w:val="auto"/>
        </w:rPr>
      </w:pPr>
    </w:p>
    <w:p>
      <w:pPr>
        <w:jc w:val="both"/>
        <w:ind w:left="860" w:right="219"/>
        <w:spacing w:after="0" w:line="216" w:lineRule="auto"/>
        <w:rPr>
          <w:rFonts w:ascii="Arial" w:cs="Arial" w:eastAsia="Arial" w:hAnsi="Arial"/>
          <w:sz w:val="22"/>
          <w:szCs w:val="22"/>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Use of Names</w:t>
      </w:r>
      <w:r>
        <w:rPr>
          <w:rFonts w:ascii="Arial" w:cs="Arial" w:eastAsia="Arial" w:hAnsi="Arial"/>
          <w:sz w:val="22"/>
          <w:szCs w:val="22"/>
          <w:color w:val="auto"/>
        </w:rPr>
        <w:t>. Neither PARTY (nor any of its AFFILIATES or agents) will use the registered or unregistered trademarks, service marks, trade dress, trade names, logos, insignia, domain names, symbols or designs of the other PARTY or its AFFILIATES in any press release, publication or other form of promotional disclosure without the prior written consent of the other PARTY in each instance.</w:t>
      </w:r>
    </w:p>
    <w:p>
      <w:pPr>
        <w:spacing w:after="0" w:line="49" w:lineRule="exact"/>
        <w:rPr>
          <w:rFonts w:ascii="Arial" w:cs="Arial" w:eastAsia="Arial" w:hAnsi="Arial"/>
          <w:sz w:val="22"/>
          <w:szCs w:val="22"/>
          <w:color w:val="auto"/>
        </w:rPr>
      </w:pPr>
    </w:p>
    <w:p>
      <w:pPr>
        <w:jc w:val="both"/>
        <w:ind w:left="860" w:right="219"/>
        <w:spacing w:after="0" w:line="241" w:lineRule="auto"/>
        <w:rPr>
          <w:rFonts w:ascii="Arial" w:cs="Arial" w:eastAsia="Arial" w:hAnsi="Arial"/>
          <w:sz w:val="22"/>
          <w:szCs w:val="22"/>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Press Releases</w:t>
      </w:r>
      <w:r>
        <w:rPr>
          <w:rFonts w:ascii="Arial" w:cs="Arial" w:eastAsia="Arial" w:hAnsi="Arial"/>
          <w:sz w:val="19"/>
          <w:szCs w:val="19"/>
          <w:color w:val="auto"/>
        </w:rPr>
        <w:t>. The PARTIES agree that on the EFFECTIVE DATE, each PARTY may issue a press release as set forth in Schedule 15.2. Thereafter, if either PARTY desires to issue any press release or other public statement, whether written, electronic, oral or otherwise, disclosing the existence of this AGREEMENT, or the terms and conditions hereof, it shall first obtain the prior written consent of the other PARTY, such consent not to be unreasonably withheld or delayed; notwithstanding the foregoing, neither PARTY will be prevented from complying with or be required to obtain the written consent of the other PARTY in order to comply with any duty of disclosure it may have pursuant to APPLICABLE LAW or the rules of any recognized stock exchange (including filing a copy of this AGREEMENT or any information related thereto) so long as the disclosing PARTY provides the other PARTY at least ten (10) BUSINESS DAYS prior written notice to the extent practicable and only discloses information to the extent required by APPLICABLE LAW or the rules of any recognized stock exchange. The provisions of this Section 15.2 shall not be deemed to prohibit AXSOME from public disclosure of aspects of its business relating to the DEVELOPMENT or COMMERCIALIZATION of the COMPOUNDS or the PRODUCTS in the TERRITORY, but subject to AXSOME’s obligations of confidentiality under Section 9.</w:t>
      </w:r>
    </w:p>
    <w:p>
      <w:pPr>
        <w:spacing w:after="0" w:line="269" w:lineRule="exact"/>
        <w:rPr>
          <w:rFonts w:ascii="Arial" w:cs="Arial" w:eastAsia="Arial" w:hAnsi="Arial"/>
          <w:sz w:val="22"/>
          <w:szCs w:val="22"/>
          <w:color w:val="auto"/>
        </w:rPr>
      </w:pPr>
    </w:p>
    <w:p>
      <w:pPr>
        <w:jc w:val="both"/>
        <w:ind w:left="860" w:right="219"/>
        <w:spacing w:after="0" w:line="211" w:lineRule="auto"/>
        <w:rPr>
          <w:rFonts w:ascii="Arial" w:cs="Arial" w:eastAsia="Arial" w:hAnsi="Arial"/>
          <w:sz w:val="22"/>
          <w:szCs w:val="22"/>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Publications</w:t>
      </w:r>
      <w:r>
        <w:rPr>
          <w:rFonts w:ascii="Arial" w:cs="Arial" w:eastAsia="Arial" w:hAnsi="Arial"/>
          <w:sz w:val="22"/>
          <w:szCs w:val="22"/>
          <w:color w:val="auto"/>
        </w:rPr>
        <w:t>. During the TERM, AXSOME shall have the right to publish academic, scientific or medical publications or public presentations that relate to the DEVELOPMENT of the COMPOUNDS or the PRODUCTS, but subject to AXSOME’s obligations of confidentiality under Section 9. AXSOME shall comply with standard academic practice regarding authorship of scientific publications and recognition of contribution of other parties in any publication governed by this Section 15.3, including International Committee of Medical Journal Editors standards regarding authorship and contributions.</w:t>
      </w:r>
    </w:p>
    <w:p>
      <w:pPr>
        <w:spacing w:after="0" w:line="56" w:lineRule="exact"/>
        <w:rPr>
          <w:rFonts w:ascii="Arial" w:cs="Arial" w:eastAsia="Arial" w:hAnsi="Arial"/>
          <w:sz w:val="22"/>
          <w:szCs w:val="22"/>
          <w:color w:val="auto"/>
        </w:rPr>
      </w:pPr>
    </w:p>
    <w:p>
      <w:pPr>
        <w:ind w:left="860" w:hanging="651"/>
        <w:spacing w:after="0"/>
        <w:tabs>
          <w:tab w:leader="none" w:pos="86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Insurance</w:t>
      </w:r>
    </w:p>
    <w:p>
      <w:pPr>
        <w:spacing w:after="0" w:line="395" w:lineRule="exact"/>
        <w:rPr>
          <w:rFonts w:ascii="Arial" w:cs="Arial" w:eastAsia="Arial" w:hAnsi="Arial"/>
          <w:sz w:val="22"/>
          <w:szCs w:val="22"/>
          <w:color w:val="auto"/>
        </w:rPr>
      </w:pPr>
    </w:p>
    <w:p>
      <w:pPr>
        <w:jc w:val="both"/>
        <w:ind w:left="860" w:right="219"/>
        <w:spacing w:after="0"/>
        <w:rPr>
          <w:rFonts w:ascii="Arial" w:cs="Arial" w:eastAsia="Arial" w:hAnsi="Arial"/>
          <w:sz w:val="22"/>
          <w:szCs w:val="22"/>
          <w:color w:val="auto"/>
        </w:rPr>
      </w:pPr>
      <w:r>
        <w:rPr>
          <w:rFonts w:ascii="Arial" w:cs="Arial" w:eastAsia="Arial" w:hAnsi="Arial"/>
          <w:sz w:val="19"/>
          <w:szCs w:val="19"/>
          <w:color w:val="auto"/>
        </w:rPr>
        <w:t xml:space="preserve">16.1 </w:t>
      </w:r>
      <w:r>
        <w:rPr>
          <w:rFonts w:ascii="Arial" w:cs="Arial" w:eastAsia="Arial" w:hAnsi="Arial"/>
          <w:sz w:val="19"/>
          <w:szCs w:val="19"/>
          <w:u w:val="single" w:color="auto"/>
          <w:color w:val="auto"/>
        </w:rPr>
        <w:t>Insurance Requirements</w:t>
      </w:r>
      <w:r>
        <w:rPr>
          <w:rFonts w:ascii="Arial" w:cs="Arial" w:eastAsia="Arial" w:hAnsi="Arial"/>
          <w:sz w:val="19"/>
          <w:szCs w:val="19"/>
          <w:color w:val="auto"/>
        </w:rPr>
        <w:t>. AXSOME shall maintain until the later of (a) three (3) years after termination or expiration of this AGREEMENT or (b) the date that all statutes of limitation covering claims or suits that may be instituted for personal injury based on the sale or use of the PRODUCT have expired the following insurance issued by insurers having a minimum of “A-“ A.M. Best rating: (i) As of the EFFECTIVE DATE, commercial general liability insurance of not less than [***] per occurrence and [***] in the aggregate;</w:t>
      </w:r>
    </w:p>
    <w:p>
      <w:pPr>
        <w:spacing w:after="0" w:line="3" w:lineRule="exact"/>
        <w:rPr>
          <w:rFonts w:ascii="Arial" w:cs="Arial" w:eastAsia="Arial" w:hAnsi="Arial"/>
          <w:sz w:val="22"/>
          <w:szCs w:val="22"/>
          <w:color w:val="auto"/>
        </w:rPr>
      </w:pPr>
    </w:p>
    <w:p>
      <w:pPr>
        <w:jc w:val="both"/>
        <w:ind w:left="860" w:right="219" w:hanging="3"/>
        <w:spacing w:after="0" w:line="258" w:lineRule="auto"/>
        <w:tabs>
          <w:tab w:leader="none" w:pos="1188" w:val="left"/>
        </w:tabs>
        <w:numPr>
          <w:ilvl w:val="1"/>
          <w:numId w:val="91"/>
        </w:numPr>
        <w:rPr>
          <w:rFonts w:ascii="Arial" w:cs="Arial" w:eastAsia="Arial" w:hAnsi="Arial"/>
          <w:sz w:val="19"/>
          <w:szCs w:val="19"/>
          <w:color w:val="auto"/>
        </w:rPr>
      </w:pPr>
      <w:r>
        <w:rPr>
          <w:rFonts w:ascii="Arial" w:cs="Arial" w:eastAsia="Arial" w:hAnsi="Arial"/>
          <w:sz w:val="19"/>
          <w:szCs w:val="19"/>
          <w:color w:val="auto"/>
        </w:rPr>
        <w:t>prior to the initiation of a CLINICAL TRIAL of a PRODUCT, clinical trials insurance with coverage limits of not less than three million U.S. Dollars (US$ 3,000,000) per occurrence and [***] in the aggregate; and (iii) prior to AXSOME’s commercial launch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97" w:name="page198"/>
    <w:bookmarkEnd w:id="197"/>
    <w:p>
      <w:pPr>
        <w:jc w:val="both"/>
        <w:ind w:left="860" w:right="219"/>
        <w:spacing w:after="0" w:line="211" w:lineRule="auto"/>
        <w:rPr>
          <w:sz w:val="20"/>
          <w:szCs w:val="20"/>
          <w:color w:val="auto"/>
        </w:rPr>
      </w:pPr>
      <w:r>
        <w:rPr>
          <w:rFonts w:ascii="Arial" w:cs="Arial" w:eastAsia="Arial" w:hAnsi="Arial"/>
          <w:sz w:val="22"/>
          <w:szCs w:val="22"/>
          <w:color w:val="auto"/>
        </w:rPr>
        <w:t>a PRODUCT, product liability insurance with coverage limits of not less than [***] per occurrence and [***] in the aggregate. The minimum level of insurance set forth herein shall not be construed to create a limit on AXSOME’s liability hereunder. Such policies shall name PFIZER and its AFFILIATES as additional insured and provide a waiver of subrogation in favor of PFIZER and its AFFILIATES. Such insurance policies shall be primary and non-contributing with respect to any other similar insurance policies available to PFIZER or its AFFILIATES. Any deductibles for such insurance shall be assumed by AXSOME.</w:t>
      </w:r>
    </w:p>
    <w:p>
      <w:pPr>
        <w:spacing w:after="0" w:line="57" w:lineRule="exact"/>
        <w:rPr>
          <w:sz w:val="20"/>
          <w:szCs w:val="20"/>
          <w:color w:val="auto"/>
        </w:rPr>
      </w:pPr>
    </w:p>
    <w:p>
      <w:pPr>
        <w:jc w:val="both"/>
        <w:ind w:left="860" w:right="219"/>
        <w:spacing w:after="0" w:line="249"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u w:val="single" w:color="auto"/>
          <w:color w:val="auto"/>
        </w:rPr>
        <w:t>Certificates of Insurance</w:t>
      </w:r>
      <w:r>
        <w:rPr>
          <w:rFonts w:ascii="Arial" w:cs="Arial" w:eastAsia="Arial" w:hAnsi="Arial"/>
          <w:sz w:val="19"/>
          <w:szCs w:val="19"/>
          <w:color w:val="auto"/>
        </w:rPr>
        <w:t>. Upon the EFFECTIVE DATE and annually thereafter, AXSOME shall provide certificates of insurance to PFIZER, evidencing the insurance coverage required under this AGREEMENT, except that at least thirty (30) days prior to the commencement of any CLINICAL TRIAL of a PRODUCT and on each anniversary of the EFFECTIVE DATE thereafter, AXSOME shall also provide to PFIZER certificates of insurance evidencing the required insurance coverage relating thereto.</w:t>
      </w:r>
    </w:p>
    <w:p>
      <w:pPr>
        <w:spacing w:after="0" w:line="25" w:lineRule="exact"/>
        <w:rPr>
          <w:sz w:val="20"/>
          <w:szCs w:val="20"/>
          <w:color w:val="auto"/>
        </w:rPr>
      </w:pPr>
    </w:p>
    <w:p>
      <w:pPr>
        <w:ind w:left="860"/>
        <w:spacing w:after="0"/>
        <w:tabs>
          <w:tab w:leader="none" w:pos="158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u w:val="single" w:color="auto"/>
          <w:color w:val="auto"/>
        </w:rPr>
        <w:t>Policy Notifications</w:t>
      </w:r>
      <w:r>
        <w:rPr>
          <w:rFonts w:ascii="Arial" w:cs="Arial" w:eastAsia="Arial" w:hAnsi="Arial"/>
          <w:sz w:val="19"/>
          <w:szCs w:val="19"/>
          <w:color w:val="auto"/>
        </w:rPr>
        <w:t>. AXSOME shall ensure that PFIZER is given at least thirty</w:t>
      </w:r>
    </w:p>
    <w:p>
      <w:pPr>
        <w:jc w:val="both"/>
        <w:ind w:left="860" w:right="219" w:hanging="3"/>
        <w:spacing w:after="0" w:line="217" w:lineRule="auto"/>
        <w:tabs>
          <w:tab w:leader="none" w:pos="1303" w:val="left"/>
        </w:tabs>
        <w:numPr>
          <w:ilvl w:val="1"/>
          <w:numId w:val="92"/>
        </w:numPr>
        <w:rPr>
          <w:rFonts w:ascii="Arial" w:cs="Arial" w:eastAsia="Arial" w:hAnsi="Arial"/>
          <w:sz w:val="22"/>
          <w:szCs w:val="22"/>
          <w:color w:val="auto"/>
        </w:rPr>
      </w:pPr>
      <w:r>
        <w:rPr>
          <w:rFonts w:ascii="Arial" w:cs="Arial" w:eastAsia="Arial" w:hAnsi="Arial"/>
          <w:sz w:val="22"/>
          <w:szCs w:val="22"/>
          <w:color w:val="auto"/>
        </w:rPr>
        <w:t>days prior written notice before cancellation, termination or any material change to restrict the coverage or reduce the limits afforded with respect to any insurance coverage as required under this Section 16.</w:t>
      </w:r>
    </w:p>
    <w:p>
      <w:pPr>
        <w:spacing w:after="0" w:line="51" w:lineRule="exact"/>
        <w:rPr>
          <w:rFonts w:ascii="Arial" w:cs="Arial" w:eastAsia="Arial" w:hAnsi="Arial"/>
          <w:sz w:val="22"/>
          <w:szCs w:val="22"/>
          <w:color w:val="auto"/>
        </w:rPr>
      </w:pPr>
    </w:p>
    <w:p>
      <w:pPr>
        <w:ind w:left="860" w:hanging="651"/>
        <w:spacing w:after="0"/>
        <w:tabs>
          <w:tab w:leader="none" w:pos="86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p>
    <w:p>
      <w:pPr>
        <w:spacing w:after="0" w:line="395" w:lineRule="exact"/>
        <w:rPr>
          <w:rFonts w:ascii="Arial" w:cs="Arial" w:eastAsia="Arial" w:hAnsi="Arial"/>
          <w:sz w:val="22"/>
          <w:szCs w:val="22"/>
          <w:color w:val="auto"/>
        </w:rPr>
      </w:pPr>
    </w:p>
    <w:p>
      <w:pPr>
        <w:jc w:val="both"/>
        <w:ind w:left="860" w:right="219"/>
        <w:spacing w:after="0" w:line="212" w:lineRule="auto"/>
        <w:rPr>
          <w:rFonts w:ascii="Arial" w:cs="Arial" w:eastAsia="Arial" w:hAnsi="Arial"/>
          <w:sz w:val="22"/>
          <w:szCs w:val="22"/>
          <w:color w:val="auto"/>
        </w:rPr>
      </w:pPr>
      <w:r>
        <w:rPr>
          <w:rFonts w:ascii="Arial" w:cs="Arial" w:eastAsia="Arial" w:hAnsi="Arial"/>
          <w:sz w:val="22"/>
          <w:szCs w:val="22"/>
          <w:color w:val="auto"/>
        </w:rPr>
        <w:t xml:space="preserve">17.1 </w:t>
      </w:r>
      <w:r>
        <w:rPr>
          <w:rFonts w:ascii="Arial" w:cs="Arial" w:eastAsia="Arial" w:hAnsi="Arial"/>
          <w:sz w:val="22"/>
          <w:szCs w:val="22"/>
          <w:u w:val="single" w:color="auto"/>
          <w:color w:val="auto"/>
        </w:rPr>
        <w:t>General</w:t>
      </w:r>
      <w:r>
        <w:rPr>
          <w:rFonts w:ascii="Arial" w:cs="Arial" w:eastAsia="Arial" w:hAnsi="Arial"/>
          <w:sz w:val="22"/>
          <w:szCs w:val="22"/>
          <w:color w:val="auto"/>
        </w:rPr>
        <w:t>. Any disputes, controversies or other claims arising out of this AGREEMENT, its interpretation, validity, performance, enforceability, breach or termination ("DISPUTES") that are not settled amicably shall be referred by sending written notice of the DISPUTE to the other PARTY for final and binding arbitration with the office of the American Arbitration Association in New York County, New York in accordance with the then-prevailing commercial arbitration rules of the American Arbitration Association.</w:t>
      </w:r>
    </w:p>
    <w:p>
      <w:pPr>
        <w:spacing w:after="0" w:line="55" w:lineRule="exact"/>
        <w:rPr>
          <w:rFonts w:ascii="Arial" w:cs="Arial" w:eastAsia="Arial" w:hAnsi="Arial"/>
          <w:sz w:val="22"/>
          <w:szCs w:val="22"/>
          <w:color w:val="auto"/>
        </w:rPr>
      </w:pPr>
    </w:p>
    <w:p>
      <w:pPr>
        <w:jc w:val="both"/>
        <w:ind w:left="860" w:right="219"/>
        <w:spacing w:after="0" w:line="249" w:lineRule="auto"/>
        <w:rPr>
          <w:rFonts w:ascii="Arial" w:cs="Arial" w:eastAsia="Arial" w:hAnsi="Arial"/>
          <w:sz w:val="22"/>
          <w:szCs w:val="22"/>
          <w:color w:val="auto"/>
        </w:rPr>
      </w:pPr>
      <w:r>
        <w:rPr>
          <w:rFonts w:ascii="Arial" w:cs="Arial" w:eastAsia="Arial" w:hAnsi="Arial"/>
          <w:sz w:val="19"/>
          <w:szCs w:val="19"/>
          <w:color w:val="auto"/>
        </w:rPr>
        <w:t xml:space="preserve">17.2 </w:t>
      </w:r>
      <w:r>
        <w:rPr>
          <w:rFonts w:ascii="Arial" w:cs="Arial" w:eastAsia="Arial" w:hAnsi="Arial"/>
          <w:sz w:val="19"/>
          <w:szCs w:val="19"/>
          <w:u w:val="single" w:color="auto"/>
          <w:color w:val="auto"/>
        </w:rPr>
        <w:t>Number of Arbitrators</w:t>
      </w:r>
      <w:r>
        <w:rPr>
          <w:rFonts w:ascii="Arial" w:cs="Arial" w:eastAsia="Arial" w:hAnsi="Arial"/>
          <w:sz w:val="19"/>
          <w:szCs w:val="19"/>
          <w:color w:val="auto"/>
        </w:rPr>
        <w:t>. The arbitration of each DISPUTE shall be settled by a panel of (3) arbitrators. Each PARTY shall select one (1) arbitrator, and such selected arbitrators shall mutually agree upon the third arbitrator. Each PARTY shall be responsible for the costs of its selected arbitrator and the PARTIES shall equally share the costs of the third arbitrator. Each arbitrator shall have no less than ten (10) years of experience in the development and commercialization of pharmaceutical products.</w:t>
      </w:r>
    </w:p>
    <w:p>
      <w:pPr>
        <w:spacing w:after="0" w:line="43" w:lineRule="exact"/>
        <w:rPr>
          <w:rFonts w:ascii="Arial" w:cs="Arial" w:eastAsia="Arial" w:hAnsi="Arial"/>
          <w:sz w:val="22"/>
          <w:szCs w:val="22"/>
          <w:color w:val="auto"/>
        </w:rPr>
      </w:pPr>
    </w:p>
    <w:p>
      <w:pPr>
        <w:ind w:left="860"/>
        <w:spacing w:after="0"/>
        <w:rPr>
          <w:rFonts w:ascii="Arial" w:cs="Arial" w:eastAsia="Arial" w:hAnsi="Arial"/>
          <w:sz w:val="22"/>
          <w:szCs w:val="22"/>
          <w:color w:val="auto"/>
        </w:rPr>
      </w:pPr>
      <w:r>
        <w:rPr>
          <w:rFonts w:ascii="Arial" w:cs="Arial" w:eastAsia="Arial" w:hAnsi="Arial"/>
          <w:sz w:val="22"/>
          <w:szCs w:val="22"/>
          <w:color w:val="auto"/>
        </w:rPr>
        <w:t xml:space="preserve">17.3   </w:t>
      </w:r>
      <w:r>
        <w:rPr>
          <w:rFonts w:ascii="Arial" w:cs="Arial" w:eastAsia="Arial" w:hAnsi="Arial"/>
          <w:sz w:val="22"/>
          <w:szCs w:val="22"/>
          <w:u w:val="single" w:color="auto"/>
          <w:color w:val="auto"/>
        </w:rPr>
        <w:t>Powers of the Arbitrators</w:t>
      </w:r>
      <w:r>
        <w:rPr>
          <w:rFonts w:ascii="Arial" w:cs="Arial" w:eastAsia="Arial" w:hAnsi="Arial"/>
          <w:sz w:val="22"/>
          <w:szCs w:val="22"/>
          <w:color w:val="auto"/>
        </w:rPr>
        <w:t>. For each DISPUTE:</w:t>
      </w:r>
    </w:p>
    <w:p>
      <w:pPr>
        <w:spacing w:after="0" w:line="71" w:lineRule="exact"/>
        <w:rPr>
          <w:sz w:val="20"/>
          <w:szCs w:val="20"/>
          <w:color w:val="auto"/>
        </w:rPr>
      </w:pPr>
    </w:p>
    <w:p>
      <w:pPr>
        <w:jc w:val="both"/>
        <w:ind w:left="1500" w:right="219"/>
        <w:spacing w:after="0" w:line="223" w:lineRule="auto"/>
        <w:rPr>
          <w:sz w:val="20"/>
          <w:szCs w:val="20"/>
          <w:color w:val="auto"/>
        </w:rPr>
      </w:pPr>
      <w:r>
        <w:rPr>
          <w:rFonts w:ascii="Arial" w:cs="Arial" w:eastAsia="Arial" w:hAnsi="Arial"/>
          <w:sz w:val="22"/>
          <w:szCs w:val="22"/>
          <w:color w:val="auto"/>
        </w:rPr>
        <w:t>17.3.1 The arbitrators are authorized to award to the prevailing PARTY, if a prevailing party is determined by the arbitrators, such PARTY's costs and expenses, including attorneys' fees;</w:t>
      </w:r>
    </w:p>
    <w:p>
      <w:pPr>
        <w:spacing w:after="0" w:line="51" w:lineRule="exact"/>
        <w:rPr>
          <w:sz w:val="20"/>
          <w:szCs w:val="20"/>
          <w:color w:val="auto"/>
        </w:rPr>
      </w:pPr>
    </w:p>
    <w:p>
      <w:pPr>
        <w:jc w:val="both"/>
        <w:ind w:left="1500" w:right="219"/>
        <w:spacing w:after="0" w:line="223" w:lineRule="auto"/>
        <w:rPr>
          <w:sz w:val="20"/>
          <w:szCs w:val="20"/>
          <w:color w:val="auto"/>
        </w:rPr>
      </w:pPr>
      <w:r>
        <w:rPr>
          <w:rFonts w:ascii="Arial" w:cs="Arial" w:eastAsia="Arial" w:hAnsi="Arial"/>
          <w:sz w:val="22"/>
          <w:szCs w:val="22"/>
          <w:color w:val="auto"/>
        </w:rPr>
        <w:t>17.3.2 The arbitrators shall not award punitive, exemplary, or consequential damages and the arbitrators shall not apply any multiplier to any award of actual damages, except as may be required by statute;</w:t>
      </w:r>
    </w:p>
    <w:p>
      <w:pPr>
        <w:spacing w:after="0" w:line="51" w:lineRule="exact"/>
        <w:rPr>
          <w:sz w:val="20"/>
          <w:szCs w:val="20"/>
          <w:color w:val="auto"/>
        </w:rPr>
      </w:pPr>
    </w:p>
    <w:p>
      <w:pPr>
        <w:jc w:val="both"/>
        <w:ind w:left="1500" w:right="219"/>
        <w:spacing w:after="0" w:line="268" w:lineRule="auto"/>
        <w:rPr>
          <w:sz w:val="20"/>
          <w:szCs w:val="20"/>
          <w:color w:val="auto"/>
        </w:rPr>
      </w:pPr>
      <w:r>
        <w:rPr>
          <w:rFonts w:ascii="Arial" w:cs="Arial" w:eastAsia="Arial" w:hAnsi="Arial"/>
          <w:sz w:val="19"/>
          <w:szCs w:val="19"/>
          <w:color w:val="auto"/>
        </w:rPr>
        <w:t>17.3.3 The arbitrators shall have the discretion to hear and determine at any stage of the arbitration any issue asserted by any PARTY to be dispositive of any claim or counterclaim, in whole or part, in accordance with such procedure as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98" w:name="page199"/>
    <w:bookmarkEnd w:id="198"/>
    <w:p>
      <w:pPr>
        <w:jc w:val="both"/>
        <w:ind w:left="1500" w:right="219"/>
        <w:spacing w:after="0" w:line="232" w:lineRule="auto"/>
        <w:rPr>
          <w:sz w:val="20"/>
          <w:szCs w:val="20"/>
          <w:color w:val="auto"/>
        </w:rPr>
      </w:pPr>
      <w:r>
        <w:rPr>
          <w:rFonts w:ascii="Arial" w:cs="Arial" w:eastAsia="Arial" w:hAnsi="Arial"/>
          <w:sz w:val="22"/>
          <w:szCs w:val="22"/>
          <w:color w:val="auto"/>
        </w:rPr>
        <w:t>arbitrators may deem appropriate, and the arbitrators may render an award on such issue; and</w:t>
      </w:r>
    </w:p>
    <w:p>
      <w:pPr>
        <w:spacing w:after="0" w:line="51" w:lineRule="exact"/>
        <w:rPr>
          <w:sz w:val="20"/>
          <w:szCs w:val="20"/>
          <w:color w:val="auto"/>
        </w:rPr>
      </w:pPr>
    </w:p>
    <w:p>
      <w:pPr>
        <w:jc w:val="both"/>
        <w:ind w:left="1500" w:right="219"/>
        <w:spacing w:after="0" w:line="221" w:lineRule="auto"/>
        <w:rPr>
          <w:sz w:val="20"/>
          <w:szCs w:val="20"/>
          <w:color w:val="auto"/>
        </w:rPr>
      </w:pPr>
      <w:r>
        <w:rPr>
          <w:rFonts w:ascii="Arial" w:cs="Arial" w:eastAsia="Arial" w:hAnsi="Arial"/>
          <w:sz w:val="21"/>
          <w:szCs w:val="21"/>
          <w:color w:val="auto"/>
        </w:rPr>
        <w:t>17.3.4 In addition to the authority conferred on the arbitrators by the rules designated in this AGREEMENT, and without prejudice to any provisional measures that may be available from a court of competent jurisdiction, the arbitrators shall have the power to grant any provisional measures that the arbitrators deems appropriate, including but not limited to provisional injunctive relief, and any provisional measures ordered by the arbitrators may, to the extent permitted by APPLICABLE LAW, be deemed to be a final award on the subject matter of the measures and shall be enforceable as such.</w:t>
      </w:r>
    </w:p>
    <w:p>
      <w:pPr>
        <w:spacing w:after="0" w:line="57" w:lineRule="exact"/>
        <w:rPr>
          <w:sz w:val="20"/>
          <w:szCs w:val="20"/>
          <w:color w:val="auto"/>
        </w:rPr>
      </w:pPr>
    </w:p>
    <w:p>
      <w:pPr>
        <w:ind w:left="860" w:hanging="651"/>
        <w:spacing w:after="0"/>
        <w:tabs>
          <w:tab w:leader="none" w:pos="86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p>
    <w:p>
      <w:pPr>
        <w:spacing w:after="0" w:line="179" w:lineRule="exact"/>
        <w:rPr>
          <w:rFonts w:ascii="Arial" w:cs="Arial" w:eastAsia="Arial" w:hAnsi="Arial"/>
          <w:sz w:val="22"/>
          <w:szCs w:val="22"/>
          <w:color w:val="auto"/>
        </w:rPr>
      </w:pPr>
    </w:p>
    <w:p>
      <w:pPr>
        <w:jc w:val="both"/>
        <w:ind w:left="860" w:right="219"/>
        <w:spacing w:after="0" w:line="241" w:lineRule="auto"/>
        <w:rPr>
          <w:rFonts w:ascii="Arial" w:cs="Arial" w:eastAsia="Arial" w:hAnsi="Arial"/>
          <w:sz w:val="22"/>
          <w:szCs w:val="22"/>
          <w:color w:val="auto"/>
        </w:rPr>
      </w:pPr>
      <w:r>
        <w:rPr>
          <w:rFonts w:ascii="Arial" w:cs="Arial" w:eastAsia="Arial" w:hAnsi="Arial"/>
          <w:sz w:val="19"/>
          <w:szCs w:val="19"/>
          <w:color w:val="auto"/>
        </w:rPr>
        <w:t xml:space="preserve">18.1 </w:t>
      </w:r>
      <w:r>
        <w:rPr>
          <w:rFonts w:ascii="Arial" w:cs="Arial" w:eastAsia="Arial" w:hAnsi="Arial"/>
          <w:sz w:val="19"/>
          <w:szCs w:val="19"/>
          <w:u w:val="single" w:color="auto"/>
          <w:color w:val="auto"/>
        </w:rPr>
        <w:t>Assignment</w:t>
      </w:r>
      <w:r>
        <w:rPr>
          <w:rFonts w:ascii="Arial" w:cs="Arial" w:eastAsia="Arial" w:hAnsi="Arial"/>
          <w:sz w:val="19"/>
          <w:szCs w:val="19"/>
          <w:color w:val="auto"/>
        </w:rPr>
        <w:t>. Neither PARTY may assign its rights and obligations under this AGREEMENT without the other PARTY’s prior written consent, except that PFIZER may assign to a THIRD PARTY its rights to receive some or all of the payments payable hereunder and each PARTY may: (a) assign its rights and obligations under this AGREEMENT or any part hereof to one or more of its AFFILIATES without the consent of the other PARTY; and (b) assign its rights and obligations under this AGREEMENT or any part hereof to its successor in interest pursuant to a merger, acquisition, reorganization, consolidation or sale of all or substantially all of the assets of the business pertaining to the subject matter of the AGREEMENT. In the event PFIZER assigns such rights to receive payments hereunder to a THIRD PARTY, any disclosure by PFIZER of reports and forecasts provided by AXSOME to PFIZER under Sections 5.5.4 and 4.3 shall be subject to the provisions of Section 9.3.2 (disclosure to assignee of payments). The assigning PARTY shall provide the other PARTY with prompt written notice of any such assignment. Any permitted assignee pursuant to clause (a) or (b) above shall assume all obligations of its assignor under this AGREEMENT, provided that no permitted assignment shall relieve the assignor of liability for its obligations hereunder. Any attempted assignment in contravention of the foregoing shall be void.</w:t>
      </w:r>
    </w:p>
    <w:p>
      <w:pPr>
        <w:spacing w:after="0" w:line="269" w:lineRule="exact"/>
        <w:rPr>
          <w:rFonts w:ascii="Arial" w:cs="Arial" w:eastAsia="Arial" w:hAnsi="Arial"/>
          <w:sz w:val="22"/>
          <w:szCs w:val="22"/>
          <w:color w:val="auto"/>
        </w:rPr>
      </w:pPr>
    </w:p>
    <w:p>
      <w:pPr>
        <w:jc w:val="both"/>
        <w:ind w:left="860" w:right="219"/>
        <w:spacing w:after="0" w:line="224" w:lineRule="auto"/>
        <w:rPr>
          <w:rFonts w:ascii="Arial" w:cs="Arial" w:eastAsia="Arial" w:hAnsi="Arial"/>
          <w:sz w:val="22"/>
          <w:szCs w:val="22"/>
          <w:color w:val="auto"/>
        </w:rPr>
      </w:pPr>
      <w:r>
        <w:rPr>
          <w:rFonts w:ascii="Arial" w:cs="Arial" w:eastAsia="Arial" w:hAnsi="Arial"/>
          <w:sz w:val="21"/>
          <w:szCs w:val="21"/>
          <w:color w:val="auto"/>
        </w:rPr>
        <w:t xml:space="preserve">18.2 </w:t>
      </w:r>
      <w:r>
        <w:rPr>
          <w:rFonts w:ascii="Arial" w:cs="Arial" w:eastAsia="Arial" w:hAnsi="Arial"/>
          <w:sz w:val="21"/>
          <w:szCs w:val="21"/>
          <w:u w:val="single" w:color="auto"/>
          <w:color w:val="auto"/>
        </w:rPr>
        <w:t>Severability</w:t>
      </w:r>
      <w:r>
        <w:rPr>
          <w:rFonts w:ascii="Arial" w:cs="Arial" w:eastAsia="Arial" w:hAnsi="Arial"/>
          <w:sz w:val="21"/>
          <w:szCs w:val="21"/>
          <w:color w:val="auto"/>
        </w:rPr>
        <w:t>. Should one or more of the provisions of this AGREEMENT become void or unenforceable as a matter of law, then such provision will be ineffective only to the extent of such prohibition or invalidity, without invalidating the remainder of this AGREEMENT, and the PARTIES agree to substitute a valid and enforceable provision therefor which, as nearly as possible, achieves the desired economic effect and mutual understanding of the PARTIES under this AGREEMENT.</w:t>
      </w:r>
    </w:p>
    <w:p>
      <w:pPr>
        <w:spacing w:after="0" w:line="51" w:lineRule="exact"/>
        <w:rPr>
          <w:rFonts w:ascii="Arial" w:cs="Arial" w:eastAsia="Arial" w:hAnsi="Arial"/>
          <w:sz w:val="22"/>
          <w:szCs w:val="22"/>
          <w:color w:val="auto"/>
        </w:rPr>
      </w:pPr>
    </w:p>
    <w:p>
      <w:pPr>
        <w:jc w:val="both"/>
        <w:ind w:left="860" w:right="219"/>
        <w:spacing w:after="0" w:line="244" w:lineRule="auto"/>
        <w:rPr>
          <w:rFonts w:ascii="Arial" w:cs="Arial" w:eastAsia="Arial" w:hAnsi="Arial"/>
          <w:sz w:val="22"/>
          <w:szCs w:val="22"/>
          <w:color w:val="auto"/>
        </w:rPr>
      </w:pPr>
      <w:r>
        <w:rPr>
          <w:rFonts w:ascii="Arial" w:cs="Arial" w:eastAsia="Arial" w:hAnsi="Arial"/>
          <w:sz w:val="19"/>
          <w:szCs w:val="19"/>
          <w:color w:val="auto"/>
        </w:rPr>
        <w:t xml:space="preserve">18.3 </w:t>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 This Agreement shall be governed by and construed under the laws in effect in the State of New York, U.S. without giving effect to any conflicts of laws provision thereof or of any other jurisdiction that would produce a contrary result. The provisions of Section 17 (arbitration) are not intended to deprive any court of competent jurisdiction with respect to its power to issue a pre-arbitral injunction, pre-arbitral attachment or other order in aid of arbitration proceedings or the enforcement of any judgment or award. In any such action, the courts of the Southern District of New York shall have non-exclusive jurisdiction over any action brought to enforce this Agreement, and each of the PARTIES hereby irrevocably: (a) submits to such non-exclusive jurisdiction for such purpose; (b) waives any objection which it may have at any</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199" w:name="page200"/>
    <w:bookmarkEnd w:id="199"/>
    <w:p>
      <w:pPr>
        <w:jc w:val="both"/>
        <w:ind w:left="860" w:right="219"/>
        <w:spacing w:after="0" w:line="218" w:lineRule="auto"/>
        <w:rPr>
          <w:sz w:val="20"/>
          <w:szCs w:val="20"/>
          <w:color w:val="auto"/>
        </w:rPr>
      </w:pPr>
      <w:r>
        <w:rPr>
          <w:rFonts w:ascii="Arial" w:cs="Arial" w:eastAsia="Arial" w:hAnsi="Arial"/>
          <w:sz w:val="22"/>
          <w:szCs w:val="22"/>
          <w:color w:val="auto"/>
        </w:rPr>
        <w:t>time to the laying of venue of any proceedings brought in such courts; (c) waives any claim that such proceedings have been brought in an inconvenient forum; and (d) further waives the right to object with respect to such proceedings that any such court does not have jurisdiction over such PARTY.</w:t>
      </w:r>
    </w:p>
    <w:p>
      <w:pPr>
        <w:spacing w:after="0" w:line="53" w:lineRule="exact"/>
        <w:rPr>
          <w:sz w:val="20"/>
          <w:szCs w:val="20"/>
          <w:color w:val="auto"/>
        </w:rPr>
      </w:pPr>
    </w:p>
    <w:p>
      <w:pPr>
        <w:jc w:val="both"/>
        <w:ind w:left="860" w:right="219"/>
        <w:spacing w:after="0" w:line="242" w:lineRule="auto"/>
        <w:rPr>
          <w:sz w:val="20"/>
          <w:szCs w:val="20"/>
          <w:color w:val="auto"/>
        </w:rPr>
      </w:pPr>
      <w:r>
        <w:rPr>
          <w:rFonts w:ascii="Arial" w:cs="Arial" w:eastAsia="Arial" w:hAnsi="Arial"/>
          <w:sz w:val="19"/>
          <w:szCs w:val="19"/>
          <w:color w:val="auto"/>
        </w:rPr>
        <w:t xml:space="preserve">18.4 </w:t>
      </w:r>
      <w:r>
        <w:rPr>
          <w:rFonts w:ascii="Arial" w:cs="Arial" w:eastAsia="Arial" w:hAnsi="Arial"/>
          <w:sz w:val="19"/>
          <w:szCs w:val="19"/>
          <w:u w:val="single" w:color="auto"/>
          <w:color w:val="auto"/>
        </w:rPr>
        <w:t>Force Majeure</w:t>
      </w:r>
      <w:r>
        <w:rPr>
          <w:rFonts w:ascii="Arial" w:cs="Arial" w:eastAsia="Arial" w:hAnsi="Arial"/>
          <w:sz w:val="19"/>
          <w:szCs w:val="19"/>
          <w:color w:val="auto"/>
        </w:rPr>
        <w:t>. Except with respect to delays or nonperformance caused by the negligent or intentional act or omission of a PARTY, any delay or nonperformance by such PARTY (other than payment obligations under this AGREEMENT) will not be considered a breach of this AGREEMENT to the extent such delay or nonperformance is caused by acts of God, natural disasters, acts of the government or civil or military authority, fire, floods, epidemics, quarantine, energy crises, war or riots or other similar cause outside of the reasonable control of such PARTY (each, a “FORCE MAJEURE EVENT”), provided that the PARTY affected by such FORCE MAJEURE EVENT shall promptly begin or resume performance as soon as reasonably practicable after the event has abated. If a FORCE MAJEURE EVENT prevents a PARTY from performing any of its obligations under this AGREEMENT for one hundred eighty (180) days or more, then the other PARTY may terminate this Agreement immediately upon written notice to the non-performing PARTY pursuant to Section 14.2 (termination for cause).</w:t>
      </w:r>
    </w:p>
    <w:p>
      <w:pPr>
        <w:spacing w:after="0" w:line="272" w:lineRule="exact"/>
        <w:rPr>
          <w:sz w:val="20"/>
          <w:szCs w:val="20"/>
          <w:color w:val="auto"/>
        </w:rPr>
      </w:pPr>
    </w:p>
    <w:p>
      <w:pPr>
        <w:jc w:val="both"/>
        <w:ind w:left="860" w:right="219"/>
        <w:spacing w:after="0" w:line="247" w:lineRule="auto"/>
        <w:rPr>
          <w:sz w:val="20"/>
          <w:szCs w:val="20"/>
          <w:color w:val="auto"/>
        </w:rPr>
      </w:pPr>
      <w:r>
        <w:rPr>
          <w:rFonts w:ascii="Arial" w:cs="Arial" w:eastAsia="Arial" w:hAnsi="Arial"/>
          <w:sz w:val="19"/>
          <w:szCs w:val="19"/>
          <w:color w:val="auto"/>
        </w:rPr>
        <w:t xml:space="preserve">18.5 </w:t>
      </w:r>
      <w:r>
        <w:rPr>
          <w:rFonts w:ascii="Arial" w:cs="Arial" w:eastAsia="Arial" w:hAnsi="Arial"/>
          <w:sz w:val="19"/>
          <w:szCs w:val="19"/>
          <w:u w:val="single" w:color="auto"/>
          <w:color w:val="auto"/>
        </w:rPr>
        <w:t>Waivers and Amendments</w:t>
      </w:r>
      <w:r>
        <w:rPr>
          <w:rFonts w:ascii="Arial" w:cs="Arial" w:eastAsia="Arial" w:hAnsi="Arial"/>
          <w:sz w:val="19"/>
          <w:szCs w:val="19"/>
          <w:color w:val="auto"/>
        </w:rPr>
        <w:t>. The failure of any PARTY to assert a right hereunder or to insist upon compliance with any term or condition of this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other than by a written document signed by authorized representatives of each PARTY.</w:t>
      </w:r>
    </w:p>
    <w:p>
      <w:pPr>
        <w:spacing w:after="0" w:line="46" w:lineRule="exact"/>
        <w:rPr>
          <w:sz w:val="20"/>
          <w:szCs w:val="20"/>
          <w:color w:val="auto"/>
        </w:rPr>
      </w:pPr>
    </w:p>
    <w:p>
      <w:pPr>
        <w:jc w:val="both"/>
        <w:ind w:left="860" w:right="219"/>
        <w:spacing w:after="0" w:line="247" w:lineRule="auto"/>
        <w:rPr>
          <w:sz w:val="20"/>
          <w:szCs w:val="20"/>
          <w:color w:val="auto"/>
        </w:rPr>
      </w:pPr>
      <w:r>
        <w:rPr>
          <w:rFonts w:ascii="Arial" w:cs="Arial" w:eastAsia="Arial" w:hAnsi="Arial"/>
          <w:sz w:val="19"/>
          <w:szCs w:val="19"/>
          <w:color w:val="auto"/>
        </w:rPr>
        <w:t xml:space="preserve">18.6 </w:t>
      </w:r>
      <w:r>
        <w:rPr>
          <w:rFonts w:ascii="Arial" w:cs="Arial" w:eastAsia="Arial" w:hAnsi="Arial"/>
          <w:sz w:val="19"/>
          <w:szCs w:val="19"/>
          <w:u w:val="single" w:color="auto"/>
          <w:color w:val="auto"/>
        </w:rPr>
        <w:t>Relationship of the Parties</w:t>
      </w:r>
      <w:r>
        <w:rPr>
          <w:rFonts w:ascii="Arial" w:cs="Arial" w:eastAsia="Arial" w:hAnsi="Arial"/>
          <w:sz w:val="19"/>
          <w:szCs w:val="19"/>
          <w:color w:val="auto"/>
        </w:rPr>
        <w:t>. Nothing contained in this AGREEMENT will be deemed to constitute a partnership, joint venture, or legal entity of any type between PFIZER and AXSOME, or to constitute one PARTY as the agent of the other. Moreover, each PARTY agrees not to construe this AGREEMENT, or any of the transactions contemplated hereby, as a partnership for any tax purposes. Each PARTY shall act solely as an independent contractor, and nothing in this AGREEMENT shall be construed to give any PARTY the power or authority to act for, bind, or commit the other PARTY.</w:t>
      </w:r>
    </w:p>
    <w:p>
      <w:pPr>
        <w:spacing w:after="0" w:line="46" w:lineRule="exact"/>
        <w:rPr>
          <w:sz w:val="20"/>
          <w:szCs w:val="20"/>
          <w:color w:val="auto"/>
        </w:rPr>
      </w:pPr>
    </w:p>
    <w:p>
      <w:pPr>
        <w:jc w:val="both"/>
        <w:ind w:left="860" w:right="219"/>
        <w:spacing w:after="0" w:line="296" w:lineRule="auto"/>
        <w:rPr>
          <w:sz w:val="20"/>
          <w:szCs w:val="20"/>
          <w:color w:val="auto"/>
        </w:rPr>
      </w:pPr>
      <w:r>
        <w:rPr>
          <w:rFonts w:ascii="Arial" w:cs="Arial" w:eastAsia="Arial" w:hAnsi="Arial"/>
          <w:sz w:val="19"/>
          <w:szCs w:val="19"/>
          <w:color w:val="auto"/>
        </w:rPr>
        <w:t xml:space="preserve">18.7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and inure to the benefit of the PARTIES hereto and their respective successors and permitted assigns.</w:t>
      </w:r>
    </w:p>
    <w:p>
      <w:pPr>
        <w:spacing w:after="0" w:line="1" w:lineRule="exact"/>
        <w:rPr>
          <w:sz w:val="20"/>
          <w:szCs w:val="20"/>
          <w:color w:val="auto"/>
        </w:rPr>
      </w:pPr>
    </w:p>
    <w:p>
      <w:pPr>
        <w:jc w:val="both"/>
        <w:ind w:left="860" w:right="219"/>
        <w:spacing w:after="0" w:line="249" w:lineRule="auto"/>
        <w:rPr>
          <w:sz w:val="20"/>
          <w:szCs w:val="20"/>
          <w:color w:val="auto"/>
        </w:rPr>
      </w:pPr>
      <w:r>
        <w:rPr>
          <w:rFonts w:ascii="Arial" w:cs="Arial" w:eastAsia="Arial" w:hAnsi="Arial"/>
          <w:sz w:val="19"/>
          <w:szCs w:val="19"/>
          <w:color w:val="auto"/>
        </w:rPr>
        <w:t xml:space="preserve">18.8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consents, waivers, and other communications under this AGREEMENT shall be in writing and shall be deemed to have been duly given when: (a) delivered by hand (with written confirmation of receipt), (b) sent by email (with written confirmation of receipt), provided that a copy is sent by an internationally recognized overnight delivery service (receipt requested), or (c) when received by the addressee, if sent by an internationally recognized overnight delivery service (receipt requested), in each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200" w:name="page201"/>
    <w:bookmarkEnd w:id="200"/>
    <w:p>
      <w:pPr>
        <w:ind w:left="860" w:right="219"/>
        <w:spacing w:after="0" w:line="232" w:lineRule="auto"/>
        <w:rPr>
          <w:sz w:val="20"/>
          <w:szCs w:val="20"/>
          <w:color w:val="auto"/>
        </w:rPr>
      </w:pPr>
      <w:r>
        <w:rPr>
          <w:rFonts w:ascii="Arial" w:cs="Arial" w:eastAsia="Arial" w:hAnsi="Arial"/>
          <w:sz w:val="22"/>
          <w:szCs w:val="22"/>
          <w:color w:val="auto"/>
        </w:rPr>
        <w:t>case to the appropriate addresses and email set forth below (or to such other addresses and email as a PARTY may designate by written notice):</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PFIZER:</w:t>
      </w:r>
    </w:p>
    <w:p>
      <w:pPr>
        <w:spacing w:after="0" w:line="5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Pfizer Inc.</w:t>
      </w:r>
    </w:p>
    <w:p>
      <w:pPr>
        <w:ind w:left="2160"/>
        <w:spacing w:after="0" w:line="204" w:lineRule="auto"/>
        <w:rPr>
          <w:sz w:val="20"/>
          <w:szCs w:val="20"/>
          <w:color w:val="auto"/>
        </w:rPr>
      </w:pPr>
      <w:r>
        <w:rPr>
          <w:rFonts w:ascii="Arial" w:cs="Arial" w:eastAsia="Arial" w:hAnsi="Arial"/>
          <w:sz w:val="22"/>
          <w:szCs w:val="22"/>
          <w:color w:val="auto"/>
        </w:rPr>
        <w:t>235 East 42</w:t>
      </w:r>
      <w:r>
        <w:rPr>
          <w:rFonts w:ascii="Arial" w:cs="Arial" w:eastAsia="Arial" w:hAnsi="Arial"/>
          <w:sz w:val="10"/>
          <w:szCs w:val="10"/>
          <w:color w:val="auto"/>
        </w:rPr>
        <w:t>nd</w:t>
      </w:r>
      <w:r>
        <w:rPr>
          <w:rFonts w:ascii="Arial" w:cs="Arial" w:eastAsia="Arial" w:hAnsi="Arial"/>
          <w:sz w:val="22"/>
          <w:szCs w:val="22"/>
          <w:color w:val="auto"/>
        </w:rPr>
        <w:t xml:space="preserve"> Street</w:t>
      </w:r>
    </w:p>
    <w:p>
      <w:pPr>
        <w:ind w:left="2160"/>
        <w:spacing w:after="0" w:line="205" w:lineRule="auto"/>
        <w:rPr>
          <w:sz w:val="20"/>
          <w:szCs w:val="20"/>
          <w:color w:val="auto"/>
        </w:rPr>
      </w:pPr>
      <w:r>
        <w:rPr>
          <w:rFonts w:ascii="Arial" w:cs="Arial" w:eastAsia="Arial" w:hAnsi="Arial"/>
          <w:sz w:val="22"/>
          <w:szCs w:val="22"/>
          <w:color w:val="auto"/>
        </w:rPr>
        <w:t>New York, NY 10017</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Attention: General Counsel</w:t>
      </w:r>
    </w:p>
    <w:p>
      <w:pPr>
        <w:spacing w:after="0" w:line="161"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Email: [***]</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AXSOME:</w:t>
      </w:r>
    </w:p>
    <w:p>
      <w:pPr>
        <w:spacing w:after="0" w:line="5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Axsome Therapeutics, Inc.</w:t>
      </w:r>
    </w:p>
    <w:p>
      <w:pPr>
        <w:ind w:left="2160"/>
        <w:spacing w:after="0" w:line="204" w:lineRule="auto"/>
        <w:rPr>
          <w:sz w:val="20"/>
          <w:szCs w:val="20"/>
          <w:color w:val="auto"/>
        </w:rPr>
      </w:pPr>
      <w:r>
        <w:rPr>
          <w:rFonts w:ascii="Arial" w:cs="Arial" w:eastAsia="Arial" w:hAnsi="Arial"/>
          <w:sz w:val="22"/>
          <w:szCs w:val="22"/>
          <w:color w:val="auto"/>
        </w:rPr>
        <w:t>200 Broadway, 3rd Floor</w:t>
      </w:r>
    </w:p>
    <w:p>
      <w:pPr>
        <w:ind w:left="2160"/>
        <w:spacing w:after="0" w:line="205" w:lineRule="auto"/>
        <w:rPr>
          <w:sz w:val="20"/>
          <w:szCs w:val="20"/>
          <w:color w:val="auto"/>
        </w:rPr>
      </w:pPr>
      <w:r>
        <w:rPr>
          <w:rFonts w:ascii="Arial" w:cs="Arial" w:eastAsia="Arial" w:hAnsi="Arial"/>
          <w:sz w:val="22"/>
          <w:szCs w:val="22"/>
          <w:color w:val="auto"/>
        </w:rPr>
        <w:t>New York, New York 10038</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Attention: General Counsel</w:t>
      </w:r>
    </w:p>
    <w:p>
      <w:pPr>
        <w:spacing w:after="0" w:line="161"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Email: ___________________________________________</w:t>
      </w:r>
    </w:p>
    <w:p>
      <w:pPr>
        <w:spacing w:after="0" w:line="179" w:lineRule="exact"/>
        <w:rPr>
          <w:sz w:val="20"/>
          <w:szCs w:val="20"/>
          <w:color w:val="auto"/>
        </w:rPr>
      </w:pPr>
    </w:p>
    <w:p>
      <w:pPr>
        <w:ind w:left="2160"/>
        <w:spacing w:after="0"/>
        <w:rPr>
          <w:sz w:val="20"/>
          <w:szCs w:val="20"/>
          <w:color w:val="auto"/>
        </w:rPr>
      </w:pPr>
      <w:r>
        <w:rPr>
          <w:rFonts w:ascii="Arial" w:cs="Arial" w:eastAsia="Arial" w:hAnsi="Arial"/>
          <w:sz w:val="21"/>
          <w:szCs w:val="21"/>
          <w:color w:val="auto"/>
        </w:rPr>
        <w:t>With a copy to (which shall not constitute notice or service of process):</w:t>
      </w:r>
    </w:p>
    <w:p>
      <w:pPr>
        <w:spacing w:after="0" w:line="172" w:lineRule="exact"/>
        <w:rPr>
          <w:sz w:val="20"/>
          <w:szCs w:val="20"/>
          <w:color w:val="auto"/>
        </w:rPr>
      </w:pPr>
    </w:p>
    <w:p>
      <w:pPr>
        <w:ind w:left="2160"/>
        <w:spacing w:after="0"/>
        <w:rPr>
          <w:sz w:val="20"/>
          <w:szCs w:val="20"/>
          <w:color w:val="auto"/>
        </w:rPr>
      </w:pPr>
      <w:r>
        <w:rPr>
          <w:rFonts w:ascii="Arial" w:cs="Arial" w:eastAsia="Arial" w:hAnsi="Arial"/>
          <w:sz w:val="22"/>
          <w:szCs w:val="22"/>
          <w:color w:val="auto"/>
        </w:rPr>
        <w:t>DLA Piper LLP (US)</w:t>
      </w:r>
    </w:p>
    <w:p>
      <w:pPr>
        <w:ind w:left="2160"/>
        <w:spacing w:after="0" w:line="204" w:lineRule="auto"/>
        <w:rPr>
          <w:sz w:val="20"/>
          <w:szCs w:val="20"/>
          <w:color w:val="auto"/>
        </w:rPr>
      </w:pPr>
      <w:r>
        <w:rPr>
          <w:rFonts w:ascii="Arial" w:cs="Arial" w:eastAsia="Arial" w:hAnsi="Arial"/>
          <w:sz w:val="22"/>
          <w:szCs w:val="22"/>
          <w:color w:val="auto"/>
        </w:rPr>
        <w:t>51 John F. Kennedy Parkway, Suite 120</w:t>
      </w:r>
    </w:p>
    <w:p>
      <w:pPr>
        <w:ind w:left="2160"/>
        <w:spacing w:after="0" w:line="205" w:lineRule="auto"/>
        <w:rPr>
          <w:sz w:val="20"/>
          <w:szCs w:val="20"/>
          <w:color w:val="auto"/>
        </w:rPr>
      </w:pPr>
      <w:r>
        <w:rPr>
          <w:rFonts w:ascii="Arial" w:cs="Arial" w:eastAsia="Arial" w:hAnsi="Arial"/>
          <w:sz w:val="22"/>
          <w:szCs w:val="22"/>
          <w:color w:val="auto"/>
        </w:rPr>
        <w:t>Short Hills, New Jersey 07078</w:t>
      </w:r>
    </w:p>
    <w:p>
      <w:pPr>
        <w:ind w:left="2160"/>
        <w:spacing w:after="0" w:line="205" w:lineRule="auto"/>
        <w:tabs>
          <w:tab w:leader="none" w:pos="3420" w:val="left"/>
        </w:tabs>
        <w:rPr>
          <w:sz w:val="20"/>
          <w:szCs w:val="20"/>
          <w:color w:val="auto"/>
        </w:rPr>
      </w:pPr>
      <w:r>
        <w:rPr>
          <w:rFonts w:ascii="Arial" w:cs="Arial" w:eastAsia="Arial" w:hAnsi="Arial"/>
          <w:sz w:val="22"/>
          <w:szCs w:val="22"/>
          <w:color w:val="auto"/>
        </w:rPr>
        <w:t>Telephone:</w:t>
        <w:tab/>
        <w:t>(973) 307-3004</w:t>
      </w:r>
    </w:p>
    <w:p>
      <w:pPr>
        <w:ind w:left="2160"/>
        <w:spacing w:after="0" w:line="205" w:lineRule="auto"/>
        <w:tabs>
          <w:tab w:leader="none" w:pos="346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color w:val="auto"/>
        </w:rPr>
        <w:t>(973) 520-2551</w:t>
      </w:r>
    </w:p>
    <w:p>
      <w:pPr>
        <w:ind w:left="2160"/>
        <w:spacing w:after="0" w:line="238" w:lineRule="auto"/>
        <w:tabs>
          <w:tab w:leader="none" w:pos="34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emilio.ragosa@dlapiper.com</w:t>
      </w:r>
    </w:p>
    <w:p>
      <w:pPr>
        <w:ind w:left="2160"/>
        <w:spacing w:after="0"/>
        <w:tabs>
          <w:tab w:leader="none" w:pos="34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Emilio Ragosa, Esq.</w:t>
      </w:r>
    </w:p>
    <w:p>
      <w:pPr>
        <w:spacing w:after="0" w:line="377" w:lineRule="exact"/>
        <w:rPr>
          <w:sz w:val="20"/>
          <w:szCs w:val="20"/>
          <w:color w:val="auto"/>
        </w:rPr>
      </w:pPr>
    </w:p>
    <w:p>
      <w:pPr>
        <w:jc w:val="both"/>
        <w:ind w:left="860" w:right="219"/>
        <w:spacing w:after="0" w:line="229" w:lineRule="auto"/>
        <w:rPr>
          <w:sz w:val="20"/>
          <w:szCs w:val="20"/>
          <w:color w:val="auto"/>
        </w:rPr>
      </w:pPr>
      <w:r>
        <w:rPr>
          <w:rFonts w:ascii="Arial" w:cs="Arial" w:eastAsia="Arial" w:hAnsi="Arial"/>
          <w:sz w:val="21"/>
          <w:szCs w:val="21"/>
          <w:color w:val="auto"/>
        </w:rPr>
        <w:t xml:space="preserve">18.9 </w:t>
      </w:r>
      <w:r>
        <w:rPr>
          <w:rFonts w:ascii="Arial" w:cs="Arial" w:eastAsia="Arial" w:hAnsi="Arial"/>
          <w:sz w:val="21"/>
          <w:szCs w:val="21"/>
          <w:u w:val="single" w:color="auto"/>
          <w:color w:val="auto"/>
        </w:rPr>
        <w:t>Further Assurances</w:t>
      </w:r>
      <w:r>
        <w:rPr>
          <w:rFonts w:ascii="Arial" w:cs="Arial" w:eastAsia="Arial" w:hAnsi="Arial"/>
          <w:sz w:val="21"/>
          <w:szCs w:val="21"/>
          <w:color w:val="auto"/>
        </w:rPr>
        <w:t>. AXSOME and PFIZER hereby covenant and agree without the necessity of any further consideration, to execute, acknowledge and deliver any and all such other documents and take any such other action as may be reasonably necessary or appropriate to carry out the intent and purposes of this Agreement.</w:t>
      </w:r>
    </w:p>
    <w:p>
      <w:pPr>
        <w:spacing w:after="0" w:line="50" w:lineRule="exact"/>
        <w:rPr>
          <w:sz w:val="20"/>
          <w:szCs w:val="20"/>
          <w:color w:val="auto"/>
        </w:rPr>
      </w:pPr>
    </w:p>
    <w:p>
      <w:pPr>
        <w:jc w:val="both"/>
        <w:ind w:left="860" w:right="219"/>
        <w:spacing w:after="0" w:line="229" w:lineRule="auto"/>
        <w:rPr>
          <w:sz w:val="20"/>
          <w:szCs w:val="20"/>
          <w:color w:val="auto"/>
        </w:rPr>
      </w:pPr>
      <w:r>
        <w:rPr>
          <w:rFonts w:ascii="Arial" w:cs="Arial" w:eastAsia="Arial" w:hAnsi="Arial"/>
          <w:sz w:val="21"/>
          <w:szCs w:val="21"/>
          <w:color w:val="auto"/>
        </w:rPr>
        <w:t xml:space="preserve">18.10 </w:t>
      </w:r>
      <w:r>
        <w:rPr>
          <w:rFonts w:ascii="Arial" w:cs="Arial" w:eastAsia="Arial" w:hAnsi="Arial"/>
          <w:sz w:val="21"/>
          <w:szCs w:val="21"/>
          <w:u w:val="single" w:color="auto"/>
          <w:color w:val="auto"/>
        </w:rPr>
        <w:t>No Third Party Beneficiary Rights</w:t>
      </w:r>
      <w:r>
        <w:rPr>
          <w:rFonts w:ascii="Arial" w:cs="Arial" w:eastAsia="Arial" w:hAnsi="Arial"/>
          <w:sz w:val="21"/>
          <w:szCs w:val="21"/>
          <w:color w:val="auto"/>
        </w:rPr>
        <w:t>. This AGREEMENT is not intended to and shall not be construed to give any THIRD PARTY any interest or rights (including, without limitation, any third party beneficiary rights) with respect to or in connection with any agreement or provision contained herein or contemplated hereby.</w:t>
      </w:r>
    </w:p>
    <w:p>
      <w:pPr>
        <w:spacing w:after="0" w:line="50" w:lineRule="exact"/>
        <w:rPr>
          <w:sz w:val="20"/>
          <w:szCs w:val="20"/>
          <w:color w:val="auto"/>
        </w:rPr>
      </w:pPr>
    </w:p>
    <w:p>
      <w:pPr>
        <w:ind w:left="860"/>
        <w:spacing w:after="0"/>
        <w:rPr>
          <w:sz w:val="20"/>
          <w:szCs w:val="20"/>
          <w:color w:val="auto"/>
        </w:rPr>
      </w:pPr>
      <w:r>
        <w:rPr>
          <w:rFonts w:ascii="Arial" w:cs="Arial" w:eastAsia="Arial" w:hAnsi="Arial"/>
          <w:sz w:val="22"/>
          <w:szCs w:val="22"/>
          <w:color w:val="auto"/>
        </w:rPr>
        <w:t xml:space="preserve">18.11  </w:t>
      </w:r>
      <w:r>
        <w:rPr>
          <w:rFonts w:ascii="Arial" w:cs="Arial" w:eastAsia="Arial" w:hAnsi="Arial"/>
          <w:sz w:val="22"/>
          <w:szCs w:val="22"/>
          <w:u w:val="single" w:color="auto"/>
          <w:color w:val="auto"/>
        </w:rPr>
        <w:t>Entire Agreement; Confidentiality Agreement</w:t>
      </w:r>
    </w:p>
    <w:p>
      <w:pPr>
        <w:spacing w:after="0" w:line="71" w:lineRule="exact"/>
        <w:rPr>
          <w:sz w:val="20"/>
          <w:szCs w:val="20"/>
          <w:color w:val="auto"/>
        </w:rPr>
      </w:pPr>
    </w:p>
    <w:p>
      <w:pPr>
        <w:jc w:val="both"/>
        <w:ind w:left="1500" w:right="219"/>
        <w:spacing w:after="0" w:line="247" w:lineRule="auto"/>
        <w:rPr>
          <w:sz w:val="20"/>
          <w:szCs w:val="20"/>
          <w:color w:val="auto"/>
        </w:rPr>
      </w:pPr>
      <w:r>
        <w:rPr>
          <w:rFonts w:ascii="Arial" w:cs="Arial" w:eastAsia="Arial" w:hAnsi="Arial"/>
          <w:sz w:val="19"/>
          <w:szCs w:val="19"/>
          <w:color w:val="auto"/>
        </w:rPr>
        <w:t>18.11.1 This AGREEMENT, together with its Schedules, sets forth the entire agreement and understanding of the PARTIES as to the subject matter hereof and supersedes all proposals, oral or written, and all other prior communications between the PARTIES with respect to such subject matter, including, without limitation, that certain Confidential Disclosure Agreement by and between PFIZER and AXSOME with effective date of June 28, 2019 (“CDA”), which is hereby terminated and of no further force and effect. The PARTIES acknowledge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201" w:name="page202"/>
    <w:bookmarkEnd w:id="201"/>
    <w:p>
      <w:pPr>
        <w:jc w:val="both"/>
        <w:ind w:left="1500" w:right="219"/>
        <w:spacing w:after="0" w:line="229" w:lineRule="auto"/>
        <w:rPr>
          <w:sz w:val="20"/>
          <w:szCs w:val="20"/>
          <w:color w:val="auto"/>
        </w:rPr>
      </w:pPr>
      <w:r>
        <w:rPr>
          <w:rFonts w:ascii="Arial" w:cs="Arial" w:eastAsia="Arial" w:hAnsi="Arial"/>
          <w:sz w:val="21"/>
          <w:szCs w:val="21"/>
          <w:color w:val="auto"/>
        </w:rPr>
        <w:t>agree that, as of the EFFECTIVE DATE, all CONFIDENTIAL INFORMATION (as defined in the CDA) disclosed by PFIZER or its AFFILIATES pursuant to the CDA shall be considered PFIZER’s CONFIDENTIAL INFORMATION and subject to the terms set forth in this AGREEMENT.</w:t>
      </w:r>
    </w:p>
    <w:p>
      <w:pPr>
        <w:spacing w:after="0" w:line="50" w:lineRule="exact"/>
        <w:rPr>
          <w:sz w:val="20"/>
          <w:szCs w:val="20"/>
          <w:color w:val="auto"/>
        </w:rPr>
      </w:pPr>
    </w:p>
    <w:p>
      <w:pPr>
        <w:jc w:val="both"/>
        <w:ind w:left="1500" w:right="219"/>
        <w:spacing w:after="0" w:line="232" w:lineRule="auto"/>
        <w:rPr>
          <w:sz w:val="20"/>
          <w:szCs w:val="20"/>
          <w:color w:val="auto"/>
        </w:rPr>
      </w:pPr>
      <w:r>
        <w:rPr>
          <w:rFonts w:ascii="Arial" w:cs="Arial" w:eastAsia="Arial" w:hAnsi="Arial"/>
          <w:sz w:val="22"/>
          <w:szCs w:val="22"/>
          <w:color w:val="auto"/>
        </w:rPr>
        <w:t>18.11.2 In the event of any conflict between a material provision of this AGREEMENT and any Schedule hereto, the AGREEMENT shall control.</w:t>
      </w:r>
    </w:p>
    <w:p>
      <w:pPr>
        <w:spacing w:after="0" w:line="51" w:lineRule="exact"/>
        <w:rPr>
          <w:sz w:val="20"/>
          <w:szCs w:val="20"/>
          <w:color w:val="auto"/>
        </w:rPr>
      </w:pPr>
    </w:p>
    <w:p>
      <w:pPr>
        <w:jc w:val="both"/>
        <w:ind w:left="860" w:right="219"/>
        <w:spacing w:after="0" w:line="234" w:lineRule="auto"/>
        <w:rPr>
          <w:sz w:val="20"/>
          <w:szCs w:val="20"/>
          <w:color w:val="auto"/>
        </w:rPr>
      </w:pPr>
      <w:r>
        <w:rPr>
          <w:rFonts w:ascii="Arial" w:cs="Arial" w:eastAsia="Arial" w:hAnsi="Arial"/>
          <w:sz w:val="21"/>
          <w:szCs w:val="21"/>
          <w:color w:val="auto"/>
        </w:rPr>
        <w:t xml:space="preserve">18.12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two or more counterparts, including electronic counterparts, each of which shall be deemed an original, but all of which together shall constitute one and the same instrument.</w:t>
      </w:r>
    </w:p>
    <w:p>
      <w:pPr>
        <w:spacing w:after="0" w:line="50" w:lineRule="exact"/>
        <w:rPr>
          <w:sz w:val="20"/>
          <w:szCs w:val="20"/>
          <w:color w:val="auto"/>
        </w:rPr>
      </w:pPr>
    </w:p>
    <w:p>
      <w:pPr>
        <w:jc w:val="both"/>
        <w:ind w:left="860" w:right="219"/>
        <w:spacing w:after="0" w:line="223" w:lineRule="auto"/>
        <w:rPr>
          <w:sz w:val="20"/>
          <w:szCs w:val="20"/>
          <w:color w:val="auto"/>
        </w:rPr>
      </w:pPr>
      <w:r>
        <w:rPr>
          <w:rFonts w:ascii="Arial" w:cs="Arial" w:eastAsia="Arial" w:hAnsi="Arial"/>
          <w:sz w:val="22"/>
          <w:szCs w:val="22"/>
          <w:color w:val="auto"/>
        </w:rPr>
        <w:t xml:space="preserve">18.13 </w:t>
      </w:r>
      <w:r>
        <w:rPr>
          <w:rFonts w:ascii="Arial" w:cs="Arial" w:eastAsia="Arial" w:hAnsi="Arial"/>
          <w:sz w:val="22"/>
          <w:szCs w:val="22"/>
          <w:u w:val="single" w:color="auto"/>
          <w:color w:val="auto"/>
        </w:rPr>
        <w:t>Cumulative Remedies</w:t>
      </w:r>
      <w:r>
        <w:rPr>
          <w:rFonts w:ascii="Arial" w:cs="Arial" w:eastAsia="Arial" w:hAnsi="Arial"/>
          <w:sz w:val="22"/>
          <w:szCs w:val="22"/>
          <w:color w:val="auto"/>
        </w:rPr>
        <w:t>. No remedy referred to in this AGREEMENT is intended to be exclusive, but each shall be cumulative and in addition to any other remedy referred to in this AGREEMENT or otherwise available under law.</w:t>
      </w:r>
    </w:p>
    <w:p>
      <w:pPr>
        <w:spacing w:after="0" w:line="51" w:lineRule="exact"/>
        <w:rPr>
          <w:sz w:val="20"/>
          <w:szCs w:val="20"/>
          <w:color w:val="auto"/>
        </w:rPr>
      </w:pPr>
    </w:p>
    <w:p>
      <w:pPr>
        <w:jc w:val="both"/>
        <w:ind w:left="860" w:right="219"/>
        <w:spacing w:after="0" w:line="218" w:lineRule="auto"/>
        <w:rPr>
          <w:sz w:val="20"/>
          <w:szCs w:val="20"/>
          <w:color w:val="auto"/>
        </w:rPr>
      </w:pPr>
      <w:r>
        <w:rPr>
          <w:rFonts w:ascii="Arial" w:cs="Arial" w:eastAsia="Arial" w:hAnsi="Arial"/>
          <w:sz w:val="22"/>
          <w:szCs w:val="22"/>
          <w:color w:val="auto"/>
        </w:rPr>
        <w:t xml:space="preserve">18.14 </w:t>
      </w:r>
      <w:r>
        <w:rPr>
          <w:rFonts w:ascii="Arial" w:cs="Arial" w:eastAsia="Arial" w:hAnsi="Arial"/>
          <w:sz w:val="22"/>
          <w:szCs w:val="22"/>
          <w:u w:val="single" w:color="auto"/>
          <w:color w:val="auto"/>
        </w:rPr>
        <w:t>Waiver of Rule of Construction</w:t>
      </w:r>
      <w:r>
        <w:rPr>
          <w:rFonts w:ascii="Arial" w:cs="Arial" w:eastAsia="Arial" w:hAnsi="Arial"/>
          <w:sz w:val="22"/>
          <w:szCs w:val="22"/>
          <w:color w:val="auto"/>
        </w:rPr>
        <w:t>. Each PARTY has had the opportunity to consult with counsel in connection with the review, drafting and negotiation of this AGREEMENT. Accordingly, any rule of construction that any ambiguity in this AGREEMENT shall be construed against the drafting Party shall not apply.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589915</wp:posOffset>
            </wp:positionV>
            <wp:extent cx="545211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bookmarkStart w:id="202" w:name="page203"/>
    <w:bookmarkEnd w:id="202"/>
    <w:p>
      <w:pPr>
        <w:ind w:left="200" w:right="419" w:firstLine="648"/>
        <w:spacing w:after="0" w:line="298" w:lineRule="auto"/>
        <w:rPr>
          <w:sz w:val="20"/>
          <w:szCs w:val="20"/>
          <w:color w:val="auto"/>
        </w:rPr>
      </w:pPr>
      <w:r>
        <w:rPr>
          <w:rFonts w:ascii="Arial" w:cs="Arial" w:eastAsia="Arial" w:hAnsi="Arial"/>
          <w:sz w:val="19"/>
          <w:szCs w:val="19"/>
          <w:color w:val="auto"/>
        </w:rPr>
        <w:t>IN WITNESS WHEREOF, the Parties intending to be bound have caused this Agreement to be executed by their duly authorized representatives as of the Effective Date.</w:t>
      </w:r>
    </w:p>
    <w:p>
      <w:pPr>
        <w:spacing w:after="0" w:line="200" w:lineRule="exact"/>
        <w:rPr>
          <w:sz w:val="20"/>
          <w:szCs w:val="20"/>
          <w:color w:val="auto"/>
        </w:rPr>
      </w:pPr>
    </w:p>
    <w:p>
      <w:pPr>
        <w:spacing w:after="0" w:line="264"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AXSOME THERAPEUTICS, INC.</w:t>
      </w:r>
    </w:p>
    <w:p>
      <w:pPr>
        <w:spacing w:after="0" w:line="382"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Herriot Tabuteau, M.D.</w:t>
      </w:r>
    </w:p>
    <w:p>
      <w:pPr>
        <w:ind w:left="4620"/>
        <w:spacing w:after="0" w:line="204"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Herriot Tabuteau, M.D.</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Executive Officer</w:t>
      </w:r>
    </w:p>
    <w:p>
      <w:pPr>
        <w:spacing w:after="0" w:line="155"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PFIZER INC</w:t>
      </w:r>
      <w:r>
        <w:rPr>
          <w:rFonts w:ascii="Arial" w:cs="Arial" w:eastAsia="Arial" w:hAnsi="Arial"/>
          <w:sz w:val="22"/>
          <w:szCs w:val="22"/>
          <w:color w:val="auto"/>
        </w:rPr>
        <w:t>.</w:t>
      </w:r>
    </w:p>
    <w:p>
      <w:pPr>
        <w:spacing w:after="0" w:line="200" w:lineRule="exact"/>
        <w:rPr>
          <w:sz w:val="20"/>
          <w:szCs w:val="20"/>
          <w:color w:val="auto"/>
        </w:rPr>
      </w:pPr>
    </w:p>
    <w:p>
      <w:pPr>
        <w:spacing w:after="0" w:line="398"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Douglas Giordano</w:t>
      </w:r>
    </w:p>
    <w:p>
      <w:pPr>
        <w:ind w:left="4620"/>
        <w:spacing w:after="0" w:line="204"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Douglas Giordano</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wp:posOffset>
            </wp:positionV>
            <wp:extent cx="545211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37" w:right="1440" w:bottom="1440" w:gutter="0" w:footer="0" w:header="0"/>
        </w:sectPr>
      </w:pPr>
    </w:p>
    <w:bookmarkStart w:id="203" w:name="page204"/>
    <w:bookmarkEnd w:id="203"/>
    <w:tbl>
      <w:tblPr>
        <w:tblLayout w:type="fixed"/>
        <w:tblInd w:w="210" w:type="dxa"/>
        <w:tblCellMar>
          <w:top w:w="0" w:type="dxa"/>
          <w:left w:w="0" w:type="dxa"/>
          <w:bottom w:w="0" w:type="dxa"/>
          <w:right w:w="0" w:type="dxa"/>
        </w:tblCellMar>
      </w:tblPr>
      <w:tr>
        <w:trPr>
          <w:trHeight w:val="280"/>
        </w:trPr>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gridSpan w:val="3"/>
          </w:tcPr>
          <w:p>
            <w:pPr>
              <w:jc w:val="center"/>
              <w:ind w:right="440"/>
              <w:spacing w:after="0"/>
              <w:rPr>
                <w:sz w:val="20"/>
                <w:szCs w:val="20"/>
                <w:color w:val="auto"/>
              </w:rPr>
            </w:pPr>
            <w:r>
              <w:rPr>
                <w:rFonts w:ascii="Arial" w:cs="Arial" w:eastAsia="Arial" w:hAnsi="Arial"/>
                <w:sz w:val="22"/>
                <w:szCs w:val="22"/>
                <w:b w:val="1"/>
                <w:bCs w:val="1"/>
                <w:color w:val="auto"/>
                <w:w w:val="85"/>
              </w:rPr>
              <w:t>Schedule 1.40</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82"/>
        </w:trPr>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60" w:type="dxa"/>
            <w:vAlign w:val="bottom"/>
            <w:gridSpan w:val="3"/>
          </w:tcPr>
          <w:p>
            <w:pPr>
              <w:jc w:val="center"/>
              <w:ind w:right="460"/>
              <w:spacing w:after="0"/>
              <w:rPr>
                <w:sz w:val="20"/>
                <w:szCs w:val="20"/>
                <w:color w:val="auto"/>
              </w:rPr>
            </w:pPr>
            <w:r>
              <w:rPr>
                <w:rFonts w:ascii="Arial" w:cs="Arial" w:eastAsia="Arial" w:hAnsi="Arial"/>
                <w:sz w:val="22"/>
                <w:szCs w:val="22"/>
                <w:color w:val="auto"/>
                <w:w w:val="88"/>
              </w:rPr>
              <w:t>Licensed Patent Rights</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547"/>
        </w:trPr>
        <w:tc>
          <w:tcPr>
            <w:tcW w:w="14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8"/>
              </w:rPr>
              <w:t>Active Cases:</w:t>
            </w:r>
          </w:p>
        </w:tc>
        <w:tc>
          <w:tcPr>
            <w:tcW w:w="1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75"/>
        </w:trPr>
        <w:tc>
          <w:tcPr>
            <w:tcW w:w="146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9"/>
                <w:szCs w:val="19"/>
                <w:color w:val="auto"/>
              </w:rPr>
              <w:t>Docket No.</w:t>
            </w:r>
          </w:p>
        </w:tc>
        <w:tc>
          <w:tcPr>
            <w:tcW w:w="1440" w:type="dxa"/>
            <w:vAlign w:val="bottom"/>
            <w:tcBorders>
              <w:right w:val="single" w:sz="8" w:color="auto"/>
            </w:tcBorders>
          </w:tcPr>
          <w:p>
            <w:pPr>
              <w:ind w:left="120"/>
              <w:spacing w:after="0" w:line="174" w:lineRule="exact"/>
              <w:rPr>
                <w:sz w:val="20"/>
                <w:szCs w:val="20"/>
                <w:color w:val="auto"/>
              </w:rPr>
            </w:pPr>
            <w:r>
              <w:rPr>
                <w:rFonts w:ascii="Arial" w:cs="Arial" w:eastAsia="Arial" w:hAnsi="Arial"/>
                <w:sz w:val="19"/>
                <w:szCs w:val="19"/>
                <w:color w:val="auto"/>
              </w:rPr>
              <w:t>Country</w:t>
            </w:r>
          </w:p>
        </w:tc>
        <w:tc>
          <w:tcPr>
            <w:tcW w:w="1420" w:type="dxa"/>
            <w:vAlign w:val="bottom"/>
            <w:tcBorders>
              <w:right w:val="single" w:sz="8" w:color="auto"/>
            </w:tcBorders>
            <w:gridSpan w:val="2"/>
          </w:tcPr>
          <w:p>
            <w:pPr>
              <w:ind w:left="100"/>
              <w:spacing w:after="0" w:line="174" w:lineRule="exact"/>
              <w:rPr>
                <w:sz w:val="20"/>
                <w:szCs w:val="20"/>
                <w:color w:val="auto"/>
              </w:rPr>
            </w:pPr>
            <w:r>
              <w:rPr>
                <w:rFonts w:ascii="Arial" w:cs="Arial" w:eastAsia="Arial" w:hAnsi="Arial"/>
                <w:sz w:val="19"/>
                <w:szCs w:val="19"/>
                <w:color w:val="auto"/>
              </w:rPr>
              <w:t>Application</w:t>
            </w:r>
          </w:p>
        </w:tc>
        <w:tc>
          <w:tcPr>
            <w:tcW w:w="1440" w:type="dxa"/>
            <w:vAlign w:val="bottom"/>
            <w:tcBorders>
              <w:right w:val="single" w:sz="8" w:color="auto"/>
            </w:tcBorders>
            <w:gridSpan w:val="2"/>
          </w:tcPr>
          <w:p>
            <w:pPr>
              <w:ind w:left="120"/>
              <w:spacing w:after="0" w:line="174" w:lineRule="exact"/>
              <w:rPr>
                <w:sz w:val="20"/>
                <w:szCs w:val="20"/>
                <w:color w:val="auto"/>
              </w:rPr>
            </w:pPr>
            <w:r>
              <w:rPr>
                <w:rFonts w:ascii="Arial" w:cs="Arial" w:eastAsia="Arial" w:hAnsi="Arial"/>
                <w:sz w:val="19"/>
                <w:szCs w:val="19"/>
                <w:color w:val="auto"/>
              </w:rPr>
              <w:t>App. No.</w:t>
            </w:r>
          </w:p>
        </w:tc>
        <w:tc>
          <w:tcPr>
            <w:tcW w:w="142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9"/>
                <w:szCs w:val="19"/>
                <w:color w:val="auto"/>
              </w:rPr>
              <w:t>Patent No.</w:t>
            </w:r>
          </w:p>
        </w:tc>
        <w:tc>
          <w:tcPr>
            <w:tcW w:w="1420" w:type="dxa"/>
            <w:vAlign w:val="bottom"/>
            <w:tcBorders>
              <w:right w:val="single" w:sz="8" w:color="auto"/>
            </w:tcBorders>
          </w:tcPr>
          <w:p>
            <w:pPr>
              <w:ind w:left="120"/>
              <w:spacing w:after="0" w:line="174" w:lineRule="exact"/>
              <w:rPr>
                <w:sz w:val="20"/>
                <w:szCs w:val="20"/>
                <w:color w:val="auto"/>
              </w:rPr>
            </w:pPr>
            <w:r>
              <w:rPr>
                <w:rFonts w:ascii="Arial" w:cs="Arial" w:eastAsia="Arial" w:hAnsi="Arial"/>
                <w:sz w:val="19"/>
                <w:szCs w:val="19"/>
                <w:color w:val="auto"/>
              </w:rPr>
              <w:t>Status</w:t>
            </w:r>
          </w:p>
        </w:tc>
      </w:tr>
      <w:tr>
        <w:trPr>
          <w:trHeight w:val="251"/>
        </w:trPr>
        <w:tc>
          <w:tcPr>
            <w:tcW w:w="1460" w:type="dxa"/>
            <w:vAlign w:val="bottom"/>
            <w:tcBorders>
              <w:left w:val="single" w:sz="8" w:color="auto"/>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gridSpan w:val="2"/>
          </w:tcPr>
          <w:p>
            <w:pPr>
              <w:ind w:left="100"/>
              <w:spacing w:after="0" w:line="251" w:lineRule="exact"/>
              <w:rPr>
                <w:sz w:val="20"/>
                <w:szCs w:val="20"/>
                <w:color w:val="auto"/>
              </w:rPr>
            </w:pPr>
            <w:r>
              <w:rPr>
                <w:rFonts w:ascii="Arial" w:cs="Arial" w:eastAsia="Arial" w:hAnsi="Arial"/>
                <w:sz w:val="22"/>
                <w:szCs w:val="22"/>
                <w:color w:val="auto"/>
              </w:rPr>
              <w:t>Date</w:t>
            </w:r>
          </w:p>
        </w:tc>
        <w:tc>
          <w:tcPr>
            <w:tcW w:w="980" w:type="dxa"/>
            <w:vAlign w:val="bottom"/>
            <w:tcBorders>
              <w:bottom w:val="single" w:sz="8" w:color="auto"/>
            </w:tcBorders>
          </w:tcPr>
          <w:p>
            <w:pPr>
              <w:spacing w:after="0"/>
              <w:rPr>
                <w:sz w:val="21"/>
                <w:szCs w:val="21"/>
                <w:color w:val="auto"/>
              </w:rPr>
            </w:pPr>
          </w:p>
        </w:tc>
        <w:tc>
          <w:tcPr>
            <w:tcW w:w="4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r>
      <w:tr>
        <w:trPr>
          <w:trHeight w:val="209"/>
        </w:trPr>
        <w:tc>
          <w:tcPr>
            <w:tcW w:w="1460" w:type="dxa"/>
            <w:vAlign w:val="bottom"/>
            <w:tcBorders>
              <w:left w:val="single" w:sz="8" w:color="auto"/>
              <w:bottom w:val="single" w:sz="8" w:color="auto"/>
              <w:right w:val="single" w:sz="8" w:color="auto"/>
            </w:tcBorders>
          </w:tcPr>
          <w:p>
            <w:pPr>
              <w:ind w:left="140"/>
              <w:spacing w:after="0" w:line="209" w:lineRule="exact"/>
              <w:rPr>
                <w:sz w:val="20"/>
                <w:szCs w:val="20"/>
                <w:color w:val="auto"/>
              </w:rPr>
            </w:pPr>
            <w:r>
              <w:rPr>
                <w:rFonts w:ascii="Arial" w:cs="Arial" w:eastAsia="Arial" w:hAnsi="Arial"/>
                <w:sz w:val="22"/>
                <w:szCs w:val="22"/>
                <w:color w:val="auto"/>
              </w:rPr>
              <w:t>[***]</w:t>
            </w:r>
          </w:p>
        </w:tc>
        <w:tc>
          <w:tcPr>
            <w:tcW w:w="1440" w:type="dxa"/>
            <w:vAlign w:val="bottom"/>
            <w:tcBorders>
              <w:bottom w:val="single" w:sz="8" w:color="auto"/>
              <w:right w:val="single" w:sz="8" w:color="auto"/>
            </w:tcBorders>
          </w:tcPr>
          <w:p>
            <w:pPr>
              <w:ind w:left="120"/>
              <w:spacing w:after="0" w:line="209" w:lineRule="exact"/>
              <w:rPr>
                <w:sz w:val="20"/>
                <w:szCs w:val="20"/>
                <w:color w:val="auto"/>
              </w:rPr>
            </w:pPr>
            <w:r>
              <w:rPr>
                <w:rFonts w:ascii="Arial" w:cs="Arial" w:eastAsia="Arial" w:hAnsi="Arial"/>
                <w:sz w:val="22"/>
                <w:szCs w:val="22"/>
                <w:color w:val="auto"/>
              </w:rPr>
              <w:t>[***]</w:t>
            </w:r>
          </w:p>
        </w:tc>
        <w:tc>
          <w:tcPr>
            <w:tcW w:w="1420" w:type="dxa"/>
            <w:vAlign w:val="bottom"/>
            <w:tcBorders>
              <w:bottom w:val="single" w:sz="8" w:color="auto"/>
              <w:right w:val="single" w:sz="8" w:color="auto"/>
            </w:tcBorders>
            <w:gridSpan w:val="2"/>
          </w:tcPr>
          <w:p>
            <w:pPr>
              <w:ind w:left="100"/>
              <w:spacing w:after="0" w:line="209"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ind w:left="120"/>
              <w:spacing w:after="0" w:line="209" w:lineRule="exact"/>
              <w:rPr>
                <w:sz w:val="20"/>
                <w:szCs w:val="20"/>
                <w:color w:val="auto"/>
              </w:rPr>
            </w:pPr>
            <w:r>
              <w:rPr>
                <w:rFonts w:ascii="Arial" w:cs="Arial" w:eastAsia="Arial" w:hAnsi="Arial"/>
                <w:sz w:val="22"/>
                <w:szCs w:val="22"/>
                <w:color w:val="auto"/>
              </w:rPr>
              <w:t>[***]</w:t>
            </w:r>
          </w:p>
        </w:tc>
        <w:tc>
          <w:tcPr>
            <w:tcW w:w="4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2"/>
                <w:szCs w:val="22"/>
                <w:color w:val="auto"/>
              </w:rPr>
              <w:t>[***]</w:t>
            </w:r>
          </w:p>
        </w:tc>
        <w:tc>
          <w:tcPr>
            <w:tcW w:w="1420" w:type="dxa"/>
            <w:vAlign w:val="bottom"/>
            <w:tcBorders>
              <w:bottom w:val="single" w:sz="8" w:color="auto"/>
              <w:right w:val="single" w:sz="8" w:color="auto"/>
            </w:tcBorders>
          </w:tcPr>
          <w:p>
            <w:pPr>
              <w:ind w:left="120"/>
              <w:spacing w:after="0" w:line="209" w:lineRule="exact"/>
              <w:rPr>
                <w:sz w:val="20"/>
                <w:szCs w:val="20"/>
                <w:color w:val="auto"/>
              </w:rPr>
            </w:pPr>
            <w:r>
              <w:rPr>
                <w:rFonts w:ascii="Arial" w:cs="Arial" w:eastAsia="Arial" w:hAnsi="Arial"/>
                <w:sz w:val="22"/>
                <w:szCs w:val="22"/>
                <w:color w:val="auto"/>
              </w:rPr>
              <w:t>[***]</w:t>
            </w:r>
          </w:p>
        </w:tc>
      </w:tr>
      <w:tr>
        <w:trPr>
          <w:trHeight w:val="210"/>
        </w:trPr>
        <w:tc>
          <w:tcPr>
            <w:tcW w:w="1460" w:type="dxa"/>
            <w:vAlign w:val="bottom"/>
            <w:tcBorders>
              <w:left w:val="single" w:sz="8" w:color="auto"/>
              <w:bottom w:val="single" w:sz="8" w:color="auto"/>
              <w:right w:val="single" w:sz="8" w:color="auto"/>
            </w:tcBorders>
          </w:tcPr>
          <w:p>
            <w:pPr>
              <w:ind w:left="140"/>
              <w:spacing w:after="0" w:line="209" w:lineRule="exact"/>
              <w:rPr>
                <w:sz w:val="20"/>
                <w:szCs w:val="20"/>
                <w:color w:val="auto"/>
              </w:rPr>
            </w:pPr>
            <w:r>
              <w:rPr>
                <w:rFonts w:ascii="Arial" w:cs="Arial" w:eastAsia="Arial" w:hAnsi="Arial"/>
                <w:sz w:val="22"/>
                <w:szCs w:val="22"/>
                <w:color w:val="auto"/>
              </w:rPr>
              <w:t>[***]</w:t>
            </w:r>
          </w:p>
        </w:tc>
        <w:tc>
          <w:tcPr>
            <w:tcW w:w="1440" w:type="dxa"/>
            <w:vAlign w:val="bottom"/>
            <w:tcBorders>
              <w:bottom w:val="single" w:sz="8" w:color="auto"/>
              <w:right w:val="single" w:sz="8" w:color="auto"/>
            </w:tcBorders>
          </w:tcPr>
          <w:p>
            <w:pPr>
              <w:ind w:left="120"/>
              <w:spacing w:after="0" w:line="209" w:lineRule="exact"/>
              <w:rPr>
                <w:sz w:val="20"/>
                <w:szCs w:val="20"/>
                <w:color w:val="auto"/>
              </w:rPr>
            </w:pPr>
            <w:r>
              <w:rPr>
                <w:rFonts w:ascii="Arial" w:cs="Arial" w:eastAsia="Arial" w:hAnsi="Arial"/>
                <w:sz w:val="22"/>
                <w:szCs w:val="22"/>
                <w:color w:val="auto"/>
              </w:rPr>
              <w:t>[***]</w:t>
            </w:r>
          </w:p>
        </w:tc>
        <w:tc>
          <w:tcPr>
            <w:tcW w:w="1420" w:type="dxa"/>
            <w:vAlign w:val="bottom"/>
            <w:tcBorders>
              <w:bottom w:val="single" w:sz="8" w:color="auto"/>
              <w:right w:val="single" w:sz="8" w:color="auto"/>
            </w:tcBorders>
            <w:gridSpan w:val="2"/>
          </w:tcPr>
          <w:p>
            <w:pPr>
              <w:ind w:left="100"/>
              <w:spacing w:after="0" w:line="209" w:lineRule="exact"/>
              <w:rPr>
                <w:sz w:val="20"/>
                <w:szCs w:val="20"/>
                <w:color w:val="auto"/>
              </w:rPr>
            </w:pPr>
            <w:r>
              <w:rPr>
                <w:rFonts w:ascii="Arial" w:cs="Arial" w:eastAsia="Arial" w:hAnsi="Arial"/>
                <w:sz w:val="22"/>
                <w:szCs w:val="22"/>
                <w:color w:val="auto"/>
              </w:rPr>
              <w:t>[***]</w:t>
            </w:r>
          </w:p>
        </w:tc>
        <w:tc>
          <w:tcPr>
            <w:tcW w:w="980" w:type="dxa"/>
            <w:vAlign w:val="bottom"/>
            <w:tcBorders>
              <w:bottom w:val="single" w:sz="8" w:color="auto"/>
            </w:tcBorders>
          </w:tcPr>
          <w:p>
            <w:pPr>
              <w:ind w:left="120"/>
              <w:spacing w:after="0" w:line="209" w:lineRule="exact"/>
              <w:rPr>
                <w:sz w:val="20"/>
                <w:szCs w:val="20"/>
                <w:color w:val="auto"/>
              </w:rPr>
            </w:pPr>
            <w:r>
              <w:rPr>
                <w:rFonts w:ascii="Arial" w:cs="Arial" w:eastAsia="Arial" w:hAnsi="Arial"/>
                <w:sz w:val="22"/>
                <w:szCs w:val="22"/>
                <w:color w:val="auto"/>
              </w:rPr>
              <w:t>[***]</w:t>
            </w:r>
          </w:p>
        </w:tc>
        <w:tc>
          <w:tcPr>
            <w:tcW w:w="4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2"/>
                <w:szCs w:val="22"/>
                <w:color w:val="auto"/>
              </w:rPr>
              <w:t>[***]</w:t>
            </w:r>
          </w:p>
        </w:tc>
        <w:tc>
          <w:tcPr>
            <w:tcW w:w="1420" w:type="dxa"/>
            <w:vAlign w:val="bottom"/>
            <w:tcBorders>
              <w:bottom w:val="single" w:sz="8" w:color="auto"/>
              <w:right w:val="single" w:sz="8" w:color="auto"/>
            </w:tcBorders>
          </w:tcPr>
          <w:p>
            <w:pPr>
              <w:ind w:left="120"/>
              <w:spacing w:after="0" w:line="209" w:lineRule="exact"/>
              <w:rPr>
                <w:sz w:val="20"/>
                <w:szCs w:val="20"/>
                <w:color w:val="auto"/>
              </w:rPr>
            </w:pPr>
            <w:r>
              <w:rPr>
                <w:rFonts w:ascii="Arial" w:cs="Arial" w:eastAsia="Arial" w:hAnsi="Arial"/>
                <w:sz w:val="22"/>
                <w:szCs w:val="22"/>
                <w:color w:val="auto"/>
              </w:rPr>
              <w:t>[***]</w:t>
            </w:r>
          </w:p>
        </w:tc>
      </w:tr>
      <w:tr>
        <w:trPr>
          <w:trHeight w:val="1742"/>
        </w:trPr>
        <w:tc>
          <w:tcPr>
            <w:tcW w:w="14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15" w:right="1440"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22"/>
          <w:szCs w:val="22"/>
          <w:b w:val="1"/>
          <w:bCs w:val="1"/>
          <w:color w:val="auto"/>
        </w:rPr>
        <w:t>Schedule 1.46</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Net Sales of Combination Products</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1164590</wp:posOffset>
            </wp:positionV>
            <wp:extent cx="545211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22"/>
          <w:szCs w:val="22"/>
          <w:b w:val="1"/>
          <w:bCs w:val="1"/>
          <w:color w:val="auto"/>
        </w:rPr>
        <w:t>Schedule 1.79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Share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1391920</wp:posOffset>
            </wp:positionV>
            <wp:extent cx="545211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22"/>
          <w:szCs w:val="22"/>
          <w:b w:val="1"/>
          <w:bCs w:val="1"/>
          <w:color w:val="auto"/>
        </w:rPr>
        <w:t>Schedule 1.92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Transfer Schedule</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1027430</wp:posOffset>
            </wp:positionV>
            <wp:extent cx="545211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207" w:name="page208"/>
    <w:bookmarkEnd w:id="207"/>
    <w:p>
      <w:pPr>
        <w:jc w:val="center"/>
        <w:spacing w:after="0"/>
        <w:rPr>
          <w:sz w:val="20"/>
          <w:szCs w:val="20"/>
          <w:color w:val="auto"/>
        </w:rPr>
      </w:pPr>
      <w:r>
        <w:rPr>
          <w:rFonts w:ascii="Arial" w:cs="Arial" w:eastAsia="Arial" w:hAnsi="Arial"/>
          <w:sz w:val="22"/>
          <w:szCs w:val="22"/>
          <w:b w:val="1"/>
          <w:bCs w:val="1"/>
          <w:color w:val="auto"/>
        </w:rPr>
        <w:t>Schedule 5.1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Equity Payment</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value of the SHARES shall be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753110</wp:posOffset>
            </wp:positionV>
            <wp:extent cx="545211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208" w:name="page209"/>
    <w:bookmarkEnd w:id="208"/>
    <w:p>
      <w:pPr>
        <w:jc w:val="center"/>
        <w:spacing w:after="0"/>
        <w:rPr>
          <w:sz w:val="20"/>
          <w:szCs w:val="20"/>
          <w:color w:val="auto"/>
        </w:rPr>
      </w:pPr>
      <w:r>
        <w:rPr>
          <w:rFonts w:ascii="Arial" w:cs="Arial" w:eastAsia="Arial" w:hAnsi="Arial"/>
          <w:sz w:val="22"/>
          <w:szCs w:val="22"/>
          <w:b w:val="1"/>
          <w:bCs w:val="1"/>
          <w:color w:val="auto"/>
        </w:rPr>
        <w:t>Schedule 5.2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Upfront Payment</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UPFRONT PAYMENT shall be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753110</wp:posOffset>
            </wp:positionV>
            <wp:extent cx="545211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209" w:name="page210"/>
    <w:bookmarkEnd w:id="209"/>
    <w:p>
      <w:pPr>
        <w:jc w:val="center"/>
        <w:ind w:right="19"/>
        <w:spacing w:after="0"/>
        <w:rPr>
          <w:sz w:val="20"/>
          <w:szCs w:val="20"/>
          <w:color w:val="auto"/>
        </w:rPr>
      </w:pPr>
      <w:r>
        <w:rPr>
          <w:rFonts w:ascii="Arial" w:cs="Arial" w:eastAsia="Arial" w:hAnsi="Arial"/>
          <w:sz w:val="22"/>
          <w:szCs w:val="22"/>
          <w:b w:val="1"/>
          <w:bCs w:val="1"/>
          <w:color w:val="auto"/>
        </w:rPr>
        <w:t>Schedule 5.3</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Regulatory Approval Milestone Payments</w:t>
      </w: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80" w:type="dxa"/>
            <w:vAlign w:val="bottom"/>
            <w:tcBorders>
              <w:right w:val="single" w:sz="8" w:color="auto"/>
            </w:tcBorders>
          </w:tcPr>
          <w:p>
            <w:pPr>
              <w:spacing w:after="0"/>
              <w:rPr>
                <w:sz w:val="18"/>
                <w:szCs w:val="18"/>
                <w:color w:val="auto"/>
              </w:rPr>
            </w:pPr>
          </w:p>
        </w:tc>
        <w:tc>
          <w:tcPr>
            <w:tcW w:w="5040" w:type="dxa"/>
            <w:vAlign w:val="bottom"/>
            <w:tcBorders>
              <w:top w:val="single" w:sz="8" w:color="auto"/>
              <w:right w:val="single" w:sz="8" w:color="auto"/>
            </w:tcBorders>
            <w:vMerge w:val="restart"/>
            <w:shd w:val="clear" w:color="auto" w:fill="E0E0E0"/>
          </w:tcPr>
          <w:p>
            <w:pPr>
              <w:jc w:val="center"/>
              <w:spacing w:after="0"/>
              <w:rPr>
                <w:sz w:val="20"/>
                <w:szCs w:val="20"/>
                <w:color w:val="auto"/>
              </w:rPr>
            </w:pPr>
            <w:r>
              <w:rPr>
                <w:rFonts w:ascii="Arial" w:cs="Arial" w:eastAsia="Arial" w:hAnsi="Arial"/>
                <w:sz w:val="22"/>
                <w:szCs w:val="22"/>
                <w:b w:val="1"/>
                <w:bCs w:val="1"/>
                <w:color w:val="auto"/>
                <w:w w:val="98"/>
              </w:rPr>
              <w:t>REGULATORY APPROVAL MILESTONE</w:t>
            </w:r>
          </w:p>
        </w:tc>
        <w:tc>
          <w:tcPr>
            <w:tcW w:w="3180" w:type="dxa"/>
            <w:vAlign w:val="bottom"/>
            <w:tcBorders>
              <w:top w:val="single" w:sz="8" w:color="auto"/>
              <w:right w:val="single" w:sz="8" w:color="auto"/>
            </w:tcBorders>
            <w:shd w:val="clear" w:color="auto" w:fill="E0E0E0"/>
          </w:tcPr>
          <w:p>
            <w:pPr>
              <w:jc w:val="center"/>
              <w:spacing w:after="0" w:line="216" w:lineRule="exact"/>
              <w:rPr>
                <w:sz w:val="20"/>
                <w:szCs w:val="20"/>
                <w:color w:val="auto"/>
              </w:rPr>
            </w:pPr>
            <w:r>
              <w:rPr>
                <w:rFonts w:ascii="Arial" w:cs="Arial" w:eastAsia="Arial" w:hAnsi="Arial"/>
                <w:sz w:val="22"/>
                <w:szCs w:val="22"/>
                <w:b w:val="1"/>
                <w:bCs w:val="1"/>
                <w:color w:val="auto"/>
                <w:w w:val="97"/>
              </w:rPr>
              <w:t>REGULATORY APPROVAL</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80" w:type="dxa"/>
            <w:vAlign w:val="bottom"/>
            <w:tcBorders>
              <w:right w:val="single" w:sz="8" w:color="auto"/>
            </w:tcBorders>
          </w:tcPr>
          <w:p>
            <w:pPr>
              <w:spacing w:after="0"/>
              <w:rPr>
                <w:sz w:val="14"/>
                <w:szCs w:val="14"/>
                <w:color w:val="auto"/>
              </w:rPr>
            </w:pPr>
          </w:p>
        </w:tc>
        <w:tc>
          <w:tcPr>
            <w:tcW w:w="5040" w:type="dxa"/>
            <w:vAlign w:val="bottom"/>
            <w:tcBorders>
              <w:right w:val="single" w:sz="8" w:color="auto"/>
            </w:tcBorders>
            <w:vMerge w:val="continue"/>
            <w:shd w:val="clear" w:color="auto" w:fill="E0E0E0"/>
          </w:tcPr>
          <w:p>
            <w:pPr>
              <w:spacing w:after="0"/>
              <w:rPr>
                <w:sz w:val="14"/>
                <w:szCs w:val="14"/>
                <w:color w:val="auto"/>
              </w:rPr>
            </w:pPr>
          </w:p>
        </w:tc>
        <w:tc>
          <w:tcPr>
            <w:tcW w:w="3180" w:type="dxa"/>
            <w:vAlign w:val="bottom"/>
            <w:tcBorders>
              <w:right w:val="single" w:sz="8" w:color="auto"/>
            </w:tcBorders>
            <w:vMerge w:val="restart"/>
            <w:shd w:val="clear" w:color="auto" w:fill="E0E0E0"/>
          </w:tcPr>
          <w:p>
            <w:pPr>
              <w:jc w:val="center"/>
              <w:spacing w:after="0"/>
              <w:rPr>
                <w:sz w:val="20"/>
                <w:szCs w:val="20"/>
                <w:color w:val="auto"/>
              </w:rPr>
            </w:pPr>
            <w:r>
              <w:rPr>
                <w:rFonts w:ascii="Arial" w:cs="Arial" w:eastAsia="Arial" w:hAnsi="Arial"/>
                <w:sz w:val="22"/>
                <w:szCs w:val="22"/>
                <w:b w:val="1"/>
                <w:bCs w:val="1"/>
                <w:color w:val="auto"/>
                <w:w w:val="99"/>
              </w:rPr>
              <w:t>MILESTONE PAYMENT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80" w:type="dxa"/>
            <w:vAlign w:val="bottom"/>
            <w:tcBorders>
              <w:right w:val="single" w:sz="8" w:color="auto"/>
            </w:tcBorders>
          </w:tcPr>
          <w:p>
            <w:pPr>
              <w:spacing w:after="0"/>
              <w:rPr>
                <w:sz w:val="10"/>
                <w:szCs w:val="10"/>
                <w:color w:val="auto"/>
              </w:rPr>
            </w:pPr>
          </w:p>
        </w:tc>
        <w:tc>
          <w:tcPr>
            <w:tcW w:w="5040" w:type="dxa"/>
            <w:vAlign w:val="bottom"/>
            <w:tcBorders>
              <w:bottom w:val="single" w:sz="8" w:color="auto"/>
              <w:right w:val="single" w:sz="8" w:color="auto"/>
            </w:tcBorders>
            <w:shd w:val="clear" w:color="auto" w:fill="E0E0E0"/>
          </w:tcPr>
          <w:p>
            <w:pPr>
              <w:spacing w:after="0"/>
              <w:rPr>
                <w:sz w:val="10"/>
                <w:szCs w:val="10"/>
                <w:color w:val="auto"/>
              </w:rPr>
            </w:pPr>
          </w:p>
        </w:tc>
        <w:tc>
          <w:tcPr>
            <w:tcW w:w="3180" w:type="dxa"/>
            <w:vAlign w:val="bottom"/>
            <w:tcBorders>
              <w:bottom w:val="single" w:sz="8" w:color="auto"/>
              <w:right w:val="single" w:sz="8" w:color="auto"/>
            </w:tcBorders>
            <w:vMerge w:val="continue"/>
            <w:shd w:val="clear" w:color="auto" w:fill="E0E0E0"/>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4"/>
        </w:trPr>
        <w:tc>
          <w:tcPr>
            <w:tcW w:w="180" w:type="dxa"/>
            <w:vAlign w:val="bottom"/>
            <w:tcBorders>
              <w:right w:val="single" w:sz="8" w:color="auto"/>
            </w:tcBorders>
          </w:tcPr>
          <w:p>
            <w:pPr>
              <w:spacing w:after="0"/>
              <w:rPr>
                <w:sz w:val="24"/>
                <w:szCs w:val="24"/>
                <w:color w:val="auto"/>
              </w:rPr>
            </w:pP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80" w:type="dxa"/>
            <w:vAlign w:val="bottom"/>
            <w:tcBorders>
              <w:right w:val="single" w:sz="8" w:color="auto"/>
            </w:tcBorders>
          </w:tcPr>
          <w:p>
            <w:pPr>
              <w:spacing w:after="0"/>
              <w:rPr>
                <w:sz w:val="24"/>
                <w:szCs w:val="24"/>
                <w:color w:val="auto"/>
              </w:rPr>
            </w:pPr>
          </w:p>
        </w:tc>
        <w:tc>
          <w:tcPr>
            <w:tcW w:w="50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180" w:type="dxa"/>
            <w:vAlign w:val="bottom"/>
            <w:tcBorders>
              <w:right w:val="single" w:sz="8" w:color="auto"/>
            </w:tcBorders>
          </w:tcPr>
          <w:p>
            <w:pPr>
              <w:spacing w:after="0"/>
              <w:rPr>
                <w:sz w:val="24"/>
                <w:szCs w:val="24"/>
                <w:color w:val="auto"/>
              </w:rPr>
            </w:pP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80" w:type="dxa"/>
            <w:vAlign w:val="bottom"/>
            <w:tcBorders>
              <w:right w:val="single" w:sz="8" w:color="auto"/>
            </w:tcBorders>
          </w:tcPr>
          <w:p>
            <w:pPr>
              <w:spacing w:after="0"/>
              <w:rPr>
                <w:sz w:val="24"/>
                <w:szCs w:val="24"/>
                <w:color w:val="auto"/>
              </w:rPr>
            </w:pPr>
          </w:p>
        </w:tc>
        <w:tc>
          <w:tcPr>
            <w:tcW w:w="50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180" w:type="dxa"/>
            <w:vAlign w:val="bottom"/>
            <w:tcBorders>
              <w:right w:val="single" w:sz="8" w:color="auto"/>
            </w:tcBorders>
          </w:tcPr>
          <w:p>
            <w:pPr>
              <w:spacing w:after="0"/>
              <w:rPr>
                <w:sz w:val="24"/>
                <w:szCs w:val="24"/>
                <w:color w:val="auto"/>
              </w:rPr>
            </w:pP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80" w:type="dxa"/>
            <w:vAlign w:val="bottom"/>
            <w:tcBorders>
              <w:right w:val="single" w:sz="8" w:color="auto"/>
            </w:tcBorders>
          </w:tcPr>
          <w:p>
            <w:pPr>
              <w:spacing w:after="0"/>
              <w:rPr>
                <w:sz w:val="24"/>
                <w:szCs w:val="24"/>
                <w:color w:val="auto"/>
              </w:rPr>
            </w:pPr>
          </w:p>
        </w:tc>
        <w:tc>
          <w:tcPr>
            <w:tcW w:w="50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180" w:type="dxa"/>
            <w:vAlign w:val="bottom"/>
            <w:tcBorders>
              <w:right w:val="single" w:sz="8" w:color="auto"/>
            </w:tcBorders>
          </w:tcPr>
          <w:p>
            <w:pPr>
              <w:spacing w:after="0"/>
              <w:rPr>
                <w:sz w:val="24"/>
                <w:szCs w:val="24"/>
                <w:color w:val="auto"/>
              </w:rPr>
            </w:pP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80" w:type="dxa"/>
            <w:vAlign w:val="bottom"/>
            <w:tcBorders>
              <w:right w:val="single" w:sz="8" w:color="auto"/>
            </w:tcBorders>
          </w:tcPr>
          <w:p>
            <w:pPr>
              <w:spacing w:after="0"/>
              <w:rPr>
                <w:sz w:val="24"/>
                <w:szCs w:val="24"/>
                <w:color w:val="auto"/>
              </w:rPr>
            </w:pPr>
          </w:p>
        </w:tc>
        <w:tc>
          <w:tcPr>
            <w:tcW w:w="50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8"/>
        </w:trPr>
        <w:tc>
          <w:tcPr>
            <w:tcW w:w="1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15" w:right="1440" w:bottom="1440" w:gutter="0" w:footer="0" w:header="0"/>
        </w:sectPr>
      </w:pPr>
    </w:p>
    <w:bookmarkStart w:id="210" w:name="page211"/>
    <w:bookmarkEnd w:id="210"/>
    <w:p>
      <w:pPr>
        <w:jc w:val="center"/>
        <w:ind w:right="600"/>
        <w:spacing w:after="0"/>
        <w:rPr>
          <w:sz w:val="20"/>
          <w:szCs w:val="20"/>
          <w:color w:val="auto"/>
        </w:rPr>
      </w:pPr>
      <w:r>
        <w:rPr>
          <w:rFonts w:ascii="Arial" w:cs="Arial" w:eastAsia="Arial" w:hAnsi="Arial"/>
          <w:sz w:val="22"/>
          <w:szCs w:val="22"/>
          <w:b w:val="1"/>
          <w:bCs w:val="1"/>
          <w:color w:val="auto"/>
        </w:rPr>
        <w:t>Schedule 5.4</w:t>
      </w:r>
    </w:p>
    <w:p>
      <w:pPr>
        <w:spacing w:after="0" w:line="185" w:lineRule="exact"/>
        <w:rPr>
          <w:sz w:val="20"/>
          <w:szCs w:val="20"/>
          <w:color w:val="auto"/>
        </w:rPr>
      </w:pPr>
    </w:p>
    <w:p>
      <w:pPr>
        <w:jc w:val="center"/>
        <w:ind w:right="600"/>
        <w:spacing w:after="0"/>
        <w:rPr>
          <w:sz w:val="20"/>
          <w:szCs w:val="20"/>
          <w:color w:val="auto"/>
        </w:rPr>
      </w:pPr>
      <w:r>
        <w:rPr>
          <w:rFonts w:ascii="Arial" w:cs="Arial" w:eastAsia="Arial" w:hAnsi="Arial"/>
          <w:sz w:val="22"/>
          <w:szCs w:val="22"/>
          <w:u w:val="single" w:color="auto"/>
          <w:color w:val="auto"/>
        </w:rPr>
        <w:t>Sales Milestone Payments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230" w:type="dxa"/>
        <w:tblCellMar>
          <w:top w:w="0" w:type="dxa"/>
          <w:left w:w="0" w:type="dxa"/>
          <w:bottom w:w="0" w:type="dxa"/>
          <w:right w:w="0" w:type="dxa"/>
        </w:tblCellMar>
      </w:tblPr>
      <w:tr>
        <w:trPr>
          <w:trHeight w:val="216"/>
        </w:trPr>
        <w:tc>
          <w:tcPr>
            <w:tcW w:w="1560" w:type="dxa"/>
            <w:vAlign w:val="bottom"/>
            <w:tcBorders>
              <w:top w:val="single" w:sz="8" w:color="auto"/>
              <w:left w:val="single" w:sz="8" w:color="auto"/>
              <w:right w:val="single" w:sz="8" w:color="E0E0E0"/>
            </w:tcBorders>
            <w:shd w:val="clear" w:color="auto" w:fill="E0E0E0"/>
          </w:tcPr>
          <w:p>
            <w:pPr>
              <w:spacing w:after="0"/>
              <w:rPr>
                <w:sz w:val="18"/>
                <w:szCs w:val="18"/>
                <w:color w:val="auto"/>
              </w:rPr>
            </w:pPr>
          </w:p>
        </w:tc>
        <w:tc>
          <w:tcPr>
            <w:tcW w:w="4900" w:type="dxa"/>
            <w:vAlign w:val="bottom"/>
            <w:tcBorders>
              <w:top w:val="single" w:sz="8" w:color="auto"/>
              <w:right w:val="single" w:sz="8" w:color="auto"/>
            </w:tcBorders>
            <w:vMerge w:val="restart"/>
            <w:shd w:val="clear" w:color="auto" w:fill="E0E0E0"/>
          </w:tcPr>
          <w:p>
            <w:pPr>
              <w:jc w:val="right"/>
              <w:ind w:right="2112"/>
              <w:spacing w:after="0"/>
              <w:rPr>
                <w:sz w:val="20"/>
                <w:szCs w:val="20"/>
                <w:color w:val="auto"/>
              </w:rPr>
            </w:pPr>
            <w:r>
              <w:rPr>
                <w:rFonts w:ascii="Arial" w:cs="Arial" w:eastAsia="Arial" w:hAnsi="Arial"/>
                <w:sz w:val="22"/>
                <w:szCs w:val="22"/>
                <w:b w:val="1"/>
                <w:bCs w:val="1"/>
                <w:color w:val="auto"/>
              </w:rPr>
              <w:t>SALES MILESTONE</w:t>
            </w:r>
          </w:p>
        </w:tc>
        <w:tc>
          <w:tcPr>
            <w:tcW w:w="2940" w:type="dxa"/>
            <w:vAlign w:val="bottom"/>
            <w:tcBorders>
              <w:top w:val="single" w:sz="8" w:color="auto"/>
              <w:right w:val="single" w:sz="8" w:color="auto"/>
            </w:tcBorders>
            <w:gridSpan w:val="2"/>
            <w:shd w:val="clear" w:color="auto" w:fill="E0E0E0"/>
          </w:tcPr>
          <w:p>
            <w:pPr>
              <w:jc w:val="center"/>
              <w:ind w:right="20"/>
              <w:spacing w:after="0" w:line="216" w:lineRule="exact"/>
              <w:rPr>
                <w:sz w:val="20"/>
                <w:szCs w:val="20"/>
                <w:color w:val="auto"/>
              </w:rPr>
            </w:pPr>
            <w:r>
              <w:rPr>
                <w:rFonts w:ascii="Arial" w:cs="Arial" w:eastAsia="Arial" w:hAnsi="Arial"/>
                <w:sz w:val="22"/>
                <w:szCs w:val="22"/>
                <w:b w:val="1"/>
                <w:bCs w:val="1"/>
                <w:color w:val="auto"/>
                <w:w w:val="98"/>
              </w:rPr>
              <w:t>SALES MILESTONE</w:t>
            </w:r>
          </w:p>
        </w:tc>
        <w:tc>
          <w:tcPr>
            <w:tcW w:w="0" w:type="dxa"/>
            <w:vAlign w:val="bottom"/>
          </w:tcPr>
          <w:p>
            <w:pPr>
              <w:spacing w:after="0"/>
              <w:rPr>
                <w:sz w:val="1"/>
                <w:szCs w:val="1"/>
                <w:color w:val="auto"/>
              </w:rPr>
            </w:pPr>
          </w:p>
        </w:tc>
      </w:tr>
      <w:tr>
        <w:trPr>
          <w:trHeight w:val="172"/>
        </w:trPr>
        <w:tc>
          <w:tcPr>
            <w:tcW w:w="1560" w:type="dxa"/>
            <w:vAlign w:val="bottom"/>
            <w:tcBorders>
              <w:left w:val="single" w:sz="8" w:color="auto"/>
              <w:right w:val="single" w:sz="8" w:color="E0E0E0"/>
            </w:tcBorders>
            <w:shd w:val="clear" w:color="auto" w:fill="E0E0E0"/>
          </w:tcPr>
          <w:p>
            <w:pPr>
              <w:spacing w:after="0"/>
              <w:rPr>
                <w:sz w:val="14"/>
                <w:szCs w:val="14"/>
                <w:color w:val="auto"/>
              </w:rPr>
            </w:pPr>
          </w:p>
        </w:tc>
        <w:tc>
          <w:tcPr>
            <w:tcW w:w="4900" w:type="dxa"/>
            <w:vAlign w:val="bottom"/>
            <w:tcBorders>
              <w:right w:val="single" w:sz="8" w:color="auto"/>
            </w:tcBorders>
            <w:vMerge w:val="continue"/>
            <w:shd w:val="clear" w:color="auto" w:fill="E0E0E0"/>
          </w:tcPr>
          <w:p>
            <w:pPr>
              <w:spacing w:after="0"/>
              <w:rPr>
                <w:sz w:val="14"/>
                <w:szCs w:val="14"/>
                <w:color w:val="auto"/>
              </w:rPr>
            </w:pPr>
          </w:p>
        </w:tc>
        <w:tc>
          <w:tcPr>
            <w:tcW w:w="2940" w:type="dxa"/>
            <w:vAlign w:val="bottom"/>
            <w:tcBorders>
              <w:right w:val="single" w:sz="8" w:color="auto"/>
            </w:tcBorders>
            <w:gridSpan w:val="2"/>
            <w:vMerge w:val="restart"/>
            <w:shd w:val="clear" w:color="auto" w:fill="E0E0E0"/>
          </w:tcPr>
          <w:p>
            <w:pPr>
              <w:jc w:val="center"/>
              <w:ind w:right="40"/>
              <w:spacing w:after="0"/>
              <w:rPr>
                <w:sz w:val="20"/>
                <w:szCs w:val="20"/>
                <w:color w:val="auto"/>
              </w:rPr>
            </w:pPr>
            <w:r>
              <w:rPr>
                <w:rFonts w:ascii="Arial" w:cs="Arial" w:eastAsia="Arial" w:hAnsi="Arial"/>
                <w:sz w:val="22"/>
                <w:szCs w:val="22"/>
                <w:b w:val="1"/>
                <w:bCs w:val="1"/>
                <w:color w:val="auto"/>
                <w:w w:val="98"/>
              </w:rPr>
              <w:t>PAYMENT</w:t>
            </w:r>
          </w:p>
        </w:tc>
        <w:tc>
          <w:tcPr>
            <w:tcW w:w="0" w:type="dxa"/>
            <w:vAlign w:val="bottom"/>
          </w:tcPr>
          <w:p>
            <w:pPr>
              <w:spacing w:after="0"/>
              <w:rPr>
                <w:sz w:val="1"/>
                <w:szCs w:val="1"/>
                <w:color w:val="auto"/>
              </w:rPr>
            </w:pPr>
          </w:p>
        </w:tc>
      </w:tr>
      <w:tr>
        <w:trPr>
          <w:trHeight w:val="118"/>
        </w:trPr>
        <w:tc>
          <w:tcPr>
            <w:tcW w:w="1560" w:type="dxa"/>
            <w:vAlign w:val="bottom"/>
            <w:tcBorders>
              <w:left w:val="single" w:sz="8" w:color="auto"/>
              <w:bottom w:val="single" w:sz="8" w:color="auto"/>
              <w:right w:val="single" w:sz="8" w:color="E0E0E0"/>
            </w:tcBorders>
            <w:shd w:val="clear" w:color="auto" w:fill="E0E0E0"/>
          </w:tcPr>
          <w:p>
            <w:pPr>
              <w:spacing w:after="0"/>
              <w:rPr>
                <w:sz w:val="10"/>
                <w:szCs w:val="10"/>
                <w:color w:val="auto"/>
              </w:rPr>
            </w:pPr>
          </w:p>
        </w:tc>
        <w:tc>
          <w:tcPr>
            <w:tcW w:w="4900" w:type="dxa"/>
            <w:vAlign w:val="bottom"/>
            <w:tcBorders>
              <w:bottom w:val="single" w:sz="8" w:color="auto"/>
              <w:right w:val="single" w:sz="8" w:color="auto"/>
            </w:tcBorders>
            <w:shd w:val="clear" w:color="auto" w:fill="E0E0E0"/>
          </w:tcPr>
          <w:p>
            <w:pPr>
              <w:spacing w:after="0"/>
              <w:rPr>
                <w:sz w:val="10"/>
                <w:szCs w:val="10"/>
                <w:color w:val="auto"/>
              </w:rPr>
            </w:pPr>
          </w:p>
        </w:tc>
        <w:tc>
          <w:tcPr>
            <w:tcW w:w="2940" w:type="dxa"/>
            <w:vAlign w:val="bottom"/>
            <w:tcBorders>
              <w:bottom w:val="single" w:sz="8" w:color="auto"/>
              <w:right w:val="single" w:sz="8" w:color="auto"/>
            </w:tcBorders>
            <w:gridSpan w:val="2"/>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438"/>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SALES</w:t>
            </w:r>
          </w:p>
        </w:tc>
        <w:tc>
          <w:tcPr>
            <w:tcW w:w="4900" w:type="dxa"/>
            <w:vAlign w:val="bottom"/>
            <w:tcBorders>
              <w:right w:val="single" w:sz="8" w:color="auto"/>
            </w:tcBorders>
            <w:vMerge w:val="restart"/>
          </w:tcPr>
          <w:p>
            <w:pPr>
              <w:jc w:val="right"/>
              <w:ind w:right="2132"/>
              <w:spacing w:after="0"/>
              <w:rPr>
                <w:sz w:val="20"/>
                <w:szCs w:val="20"/>
                <w:color w:val="auto"/>
              </w:rPr>
            </w:pPr>
            <w:r>
              <w:rPr>
                <w:rFonts w:ascii="Arial" w:cs="Arial" w:eastAsia="Arial" w:hAnsi="Arial"/>
                <w:sz w:val="22"/>
                <w:szCs w:val="22"/>
                <w:color w:val="auto"/>
              </w:rPr>
              <w:t>[***]</w:t>
            </w:r>
          </w:p>
        </w:tc>
        <w:tc>
          <w:tcPr>
            <w:tcW w:w="2120" w:type="dxa"/>
            <w:vAlign w:val="bottom"/>
            <w:vMerge w:val="restart"/>
          </w:tcPr>
          <w:p>
            <w:pPr>
              <w:jc w:val="center"/>
              <w:ind w:left="672"/>
              <w:spacing w:after="0"/>
              <w:rPr>
                <w:sz w:val="20"/>
                <w:szCs w:val="20"/>
                <w:color w:val="auto"/>
              </w:rPr>
            </w:pPr>
            <w:r>
              <w:rPr>
                <w:rFonts w:ascii="Arial" w:cs="Arial" w:eastAsia="Arial" w:hAnsi="Arial"/>
                <w:sz w:val="22"/>
                <w:szCs w:val="22"/>
                <w:color w:val="auto"/>
              </w:rPr>
              <w:t>[***]</w:t>
            </w: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MILESTONE 1</w:t>
            </w:r>
          </w:p>
        </w:tc>
        <w:tc>
          <w:tcPr>
            <w:tcW w:w="4900" w:type="dxa"/>
            <w:vAlign w:val="bottom"/>
            <w:tcBorders>
              <w:right w:val="single" w:sz="8" w:color="auto"/>
            </w:tcBorders>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60" w:type="dxa"/>
            <w:vAlign w:val="bottom"/>
            <w:tcBorders>
              <w:left w:val="single" w:sz="8" w:color="auto"/>
              <w:right w:val="single" w:sz="8" w:color="auto"/>
            </w:tcBorders>
            <w:vMerge w:val="continue"/>
          </w:tcPr>
          <w:p>
            <w:pPr>
              <w:spacing w:after="0"/>
              <w:rPr>
                <w:sz w:val="9"/>
                <w:szCs w:val="9"/>
                <w:color w:val="auto"/>
              </w:rPr>
            </w:pPr>
          </w:p>
        </w:tc>
        <w:tc>
          <w:tcPr>
            <w:tcW w:w="4900" w:type="dxa"/>
            <w:vAlign w:val="bottom"/>
            <w:tcBorders>
              <w:right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1560" w:type="dxa"/>
            <w:vAlign w:val="bottom"/>
            <w:tcBorders>
              <w:left w:val="single" w:sz="8" w:color="auto"/>
              <w:bottom w:val="single" w:sz="8" w:color="auto"/>
              <w:right w:val="single" w:sz="8" w:color="auto"/>
            </w:tcBorders>
          </w:tcPr>
          <w:p>
            <w:pPr>
              <w:spacing w:after="0"/>
              <w:rPr>
                <w:sz w:val="21"/>
                <w:szCs w:val="21"/>
                <w:color w:val="auto"/>
              </w:rPr>
            </w:pPr>
          </w:p>
        </w:tc>
        <w:tc>
          <w:tcPr>
            <w:tcW w:w="490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SALES</w:t>
            </w:r>
          </w:p>
        </w:tc>
        <w:tc>
          <w:tcPr>
            <w:tcW w:w="4900" w:type="dxa"/>
            <w:vAlign w:val="bottom"/>
            <w:tcBorders>
              <w:right w:val="single" w:sz="8" w:color="auto"/>
            </w:tcBorders>
            <w:vMerge w:val="restart"/>
          </w:tcPr>
          <w:p>
            <w:pPr>
              <w:jc w:val="right"/>
              <w:ind w:right="2132"/>
              <w:spacing w:after="0"/>
              <w:rPr>
                <w:sz w:val="20"/>
                <w:szCs w:val="20"/>
                <w:color w:val="auto"/>
              </w:rPr>
            </w:pPr>
            <w:r>
              <w:rPr>
                <w:rFonts w:ascii="Arial" w:cs="Arial" w:eastAsia="Arial" w:hAnsi="Arial"/>
                <w:sz w:val="22"/>
                <w:szCs w:val="22"/>
                <w:color w:val="auto"/>
              </w:rPr>
              <w:t>[***]</w:t>
            </w:r>
          </w:p>
        </w:tc>
        <w:tc>
          <w:tcPr>
            <w:tcW w:w="2120" w:type="dxa"/>
            <w:vAlign w:val="bottom"/>
            <w:vMerge w:val="restart"/>
          </w:tcPr>
          <w:p>
            <w:pPr>
              <w:jc w:val="center"/>
              <w:ind w:left="672"/>
              <w:spacing w:after="0"/>
              <w:rPr>
                <w:sz w:val="20"/>
                <w:szCs w:val="20"/>
                <w:color w:val="auto"/>
              </w:rPr>
            </w:pPr>
            <w:r>
              <w:rPr>
                <w:rFonts w:ascii="Arial" w:cs="Arial" w:eastAsia="Arial" w:hAnsi="Arial"/>
                <w:sz w:val="22"/>
                <w:szCs w:val="22"/>
                <w:color w:val="auto"/>
              </w:rPr>
              <w:t>[***]</w:t>
            </w: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MILESTONE 2</w:t>
            </w:r>
          </w:p>
        </w:tc>
        <w:tc>
          <w:tcPr>
            <w:tcW w:w="4900" w:type="dxa"/>
            <w:vAlign w:val="bottom"/>
            <w:tcBorders>
              <w:right w:val="single" w:sz="8" w:color="auto"/>
            </w:tcBorders>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60" w:type="dxa"/>
            <w:vAlign w:val="bottom"/>
            <w:tcBorders>
              <w:left w:val="single" w:sz="8" w:color="auto"/>
              <w:right w:val="single" w:sz="8" w:color="auto"/>
            </w:tcBorders>
            <w:vMerge w:val="continue"/>
          </w:tcPr>
          <w:p>
            <w:pPr>
              <w:spacing w:after="0"/>
              <w:rPr>
                <w:sz w:val="9"/>
                <w:szCs w:val="9"/>
                <w:color w:val="auto"/>
              </w:rPr>
            </w:pPr>
          </w:p>
        </w:tc>
        <w:tc>
          <w:tcPr>
            <w:tcW w:w="4900" w:type="dxa"/>
            <w:vAlign w:val="bottom"/>
            <w:tcBorders>
              <w:right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1560" w:type="dxa"/>
            <w:vAlign w:val="bottom"/>
            <w:tcBorders>
              <w:left w:val="single" w:sz="8" w:color="auto"/>
              <w:bottom w:val="single" w:sz="8" w:color="auto"/>
              <w:right w:val="single" w:sz="8" w:color="auto"/>
            </w:tcBorders>
          </w:tcPr>
          <w:p>
            <w:pPr>
              <w:spacing w:after="0"/>
              <w:rPr>
                <w:sz w:val="21"/>
                <w:szCs w:val="21"/>
                <w:color w:val="auto"/>
              </w:rPr>
            </w:pPr>
          </w:p>
        </w:tc>
        <w:tc>
          <w:tcPr>
            <w:tcW w:w="490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SALES</w:t>
            </w:r>
          </w:p>
        </w:tc>
        <w:tc>
          <w:tcPr>
            <w:tcW w:w="4900" w:type="dxa"/>
            <w:vAlign w:val="bottom"/>
            <w:tcBorders>
              <w:right w:val="single" w:sz="8" w:color="auto"/>
            </w:tcBorders>
            <w:vMerge w:val="restart"/>
          </w:tcPr>
          <w:p>
            <w:pPr>
              <w:jc w:val="right"/>
              <w:ind w:right="2132"/>
              <w:spacing w:after="0"/>
              <w:rPr>
                <w:sz w:val="20"/>
                <w:szCs w:val="20"/>
                <w:color w:val="auto"/>
              </w:rPr>
            </w:pPr>
            <w:r>
              <w:rPr>
                <w:rFonts w:ascii="Arial" w:cs="Arial" w:eastAsia="Arial" w:hAnsi="Arial"/>
                <w:sz w:val="22"/>
                <w:szCs w:val="22"/>
                <w:color w:val="auto"/>
              </w:rPr>
              <w:t>[***]</w:t>
            </w:r>
          </w:p>
        </w:tc>
        <w:tc>
          <w:tcPr>
            <w:tcW w:w="2120" w:type="dxa"/>
            <w:vAlign w:val="bottom"/>
            <w:vMerge w:val="restart"/>
          </w:tcPr>
          <w:p>
            <w:pPr>
              <w:jc w:val="center"/>
              <w:ind w:left="672"/>
              <w:spacing w:after="0"/>
              <w:rPr>
                <w:sz w:val="20"/>
                <w:szCs w:val="20"/>
                <w:color w:val="auto"/>
              </w:rPr>
            </w:pPr>
            <w:r>
              <w:rPr>
                <w:rFonts w:ascii="Arial" w:cs="Arial" w:eastAsia="Arial" w:hAnsi="Arial"/>
                <w:sz w:val="22"/>
                <w:szCs w:val="22"/>
                <w:color w:val="auto"/>
              </w:rPr>
              <w:t>[***]</w:t>
            </w: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MILESTONE 3</w:t>
            </w:r>
          </w:p>
        </w:tc>
        <w:tc>
          <w:tcPr>
            <w:tcW w:w="4900" w:type="dxa"/>
            <w:vAlign w:val="bottom"/>
            <w:tcBorders>
              <w:right w:val="single" w:sz="8" w:color="auto"/>
            </w:tcBorders>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60" w:type="dxa"/>
            <w:vAlign w:val="bottom"/>
            <w:tcBorders>
              <w:left w:val="single" w:sz="8" w:color="auto"/>
              <w:right w:val="single" w:sz="8" w:color="auto"/>
            </w:tcBorders>
            <w:vMerge w:val="continue"/>
          </w:tcPr>
          <w:p>
            <w:pPr>
              <w:spacing w:after="0"/>
              <w:rPr>
                <w:sz w:val="9"/>
                <w:szCs w:val="9"/>
                <w:color w:val="auto"/>
              </w:rPr>
            </w:pPr>
          </w:p>
        </w:tc>
        <w:tc>
          <w:tcPr>
            <w:tcW w:w="4900" w:type="dxa"/>
            <w:vAlign w:val="bottom"/>
            <w:tcBorders>
              <w:right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1560" w:type="dxa"/>
            <w:vAlign w:val="bottom"/>
            <w:tcBorders>
              <w:left w:val="single" w:sz="8" w:color="auto"/>
              <w:bottom w:val="single" w:sz="8" w:color="auto"/>
              <w:right w:val="single" w:sz="8" w:color="auto"/>
            </w:tcBorders>
          </w:tcPr>
          <w:p>
            <w:pPr>
              <w:spacing w:after="0"/>
              <w:rPr>
                <w:sz w:val="21"/>
                <w:szCs w:val="21"/>
                <w:color w:val="auto"/>
              </w:rPr>
            </w:pPr>
          </w:p>
        </w:tc>
        <w:tc>
          <w:tcPr>
            <w:tcW w:w="490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1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SALES</w:t>
            </w:r>
          </w:p>
        </w:tc>
        <w:tc>
          <w:tcPr>
            <w:tcW w:w="4900" w:type="dxa"/>
            <w:vAlign w:val="bottom"/>
            <w:tcBorders>
              <w:right w:val="single" w:sz="8" w:color="auto"/>
            </w:tcBorders>
            <w:vMerge w:val="restart"/>
          </w:tcPr>
          <w:p>
            <w:pPr>
              <w:jc w:val="right"/>
              <w:ind w:right="2132"/>
              <w:spacing w:after="0"/>
              <w:rPr>
                <w:sz w:val="20"/>
                <w:szCs w:val="20"/>
                <w:color w:val="auto"/>
              </w:rPr>
            </w:pPr>
            <w:r>
              <w:rPr>
                <w:rFonts w:ascii="Arial" w:cs="Arial" w:eastAsia="Arial" w:hAnsi="Arial"/>
                <w:sz w:val="22"/>
                <w:szCs w:val="22"/>
                <w:color w:val="auto"/>
              </w:rPr>
              <w:t>[***]</w:t>
            </w:r>
          </w:p>
        </w:tc>
        <w:tc>
          <w:tcPr>
            <w:tcW w:w="2120" w:type="dxa"/>
            <w:vAlign w:val="bottom"/>
            <w:vMerge w:val="restart"/>
          </w:tcPr>
          <w:p>
            <w:pPr>
              <w:jc w:val="center"/>
              <w:ind w:left="672"/>
              <w:spacing w:after="0"/>
              <w:rPr>
                <w:sz w:val="20"/>
                <w:szCs w:val="20"/>
                <w:color w:val="auto"/>
              </w:rPr>
            </w:pPr>
            <w:r>
              <w:rPr>
                <w:rFonts w:ascii="Arial" w:cs="Arial" w:eastAsia="Arial" w:hAnsi="Arial"/>
                <w:sz w:val="22"/>
                <w:szCs w:val="22"/>
                <w:color w:val="auto"/>
              </w:rPr>
              <w:t>[***]</w:t>
            </w: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color w:val="auto"/>
                <w:w w:val="94"/>
              </w:rPr>
              <w:t>MILESTONE 4</w:t>
            </w:r>
          </w:p>
        </w:tc>
        <w:tc>
          <w:tcPr>
            <w:tcW w:w="4900" w:type="dxa"/>
            <w:vAlign w:val="bottom"/>
            <w:tcBorders>
              <w:right w:val="single" w:sz="8" w:color="auto"/>
            </w:tcBorders>
            <w:vMerge w:val="continue"/>
          </w:tcPr>
          <w:p>
            <w:pPr>
              <w:spacing w:after="0"/>
              <w:rPr>
                <w:sz w:val="14"/>
                <w:szCs w:val="14"/>
                <w:color w:val="auto"/>
              </w:rPr>
            </w:pPr>
          </w:p>
        </w:tc>
        <w:tc>
          <w:tcPr>
            <w:tcW w:w="2120" w:type="dxa"/>
            <w:vAlign w:val="bottom"/>
            <w:vMerge w:val="continue"/>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60" w:type="dxa"/>
            <w:vAlign w:val="bottom"/>
            <w:tcBorders>
              <w:left w:val="single" w:sz="8" w:color="auto"/>
              <w:right w:val="single" w:sz="8" w:color="auto"/>
            </w:tcBorders>
            <w:vMerge w:val="continue"/>
          </w:tcPr>
          <w:p>
            <w:pPr>
              <w:spacing w:after="0"/>
              <w:rPr>
                <w:sz w:val="9"/>
                <w:szCs w:val="9"/>
                <w:color w:val="auto"/>
              </w:rPr>
            </w:pPr>
          </w:p>
        </w:tc>
        <w:tc>
          <w:tcPr>
            <w:tcW w:w="4900" w:type="dxa"/>
            <w:vAlign w:val="bottom"/>
            <w:tcBorders>
              <w:right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1560" w:type="dxa"/>
            <w:vAlign w:val="bottom"/>
            <w:tcBorders>
              <w:left w:val="single" w:sz="8" w:color="auto"/>
              <w:bottom w:val="single" w:sz="8" w:color="auto"/>
              <w:right w:val="single" w:sz="8" w:color="auto"/>
            </w:tcBorders>
          </w:tcPr>
          <w:p>
            <w:pPr>
              <w:spacing w:after="0"/>
              <w:rPr>
                <w:sz w:val="21"/>
                <w:szCs w:val="21"/>
                <w:color w:val="auto"/>
              </w:rPr>
            </w:pPr>
          </w:p>
        </w:tc>
        <w:tc>
          <w:tcPr>
            <w:tcW w:w="490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18"/>
        </w:trPr>
        <w:tc>
          <w:tcPr>
            <w:tcW w:w="15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00"/>
          </w:cols>
          <w:pgMar w:left="1440" w:top="315" w:right="859" w:bottom="1440" w:gutter="0" w:footer="0" w:header="0"/>
        </w:sectPr>
      </w:pPr>
    </w:p>
    <w:bookmarkStart w:id="211" w:name="page212"/>
    <w:bookmarkEnd w:id="211"/>
    <w:p>
      <w:pPr>
        <w:jc w:val="center"/>
        <w:spacing w:after="0"/>
        <w:rPr>
          <w:sz w:val="20"/>
          <w:szCs w:val="20"/>
          <w:color w:val="auto"/>
        </w:rPr>
      </w:pPr>
      <w:r>
        <w:rPr>
          <w:rFonts w:ascii="Arial" w:cs="Arial" w:eastAsia="Arial" w:hAnsi="Arial"/>
          <w:sz w:val="22"/>
          <w:szCs w:val="22"/>
          <w:b w:val="1"/>
          <w:bCs w:val="1"/>
          <w:color w:val="auto"/>
        </w:rPr>
        <w:t>Schedule 5.5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Royalty Payments</w:t>
      </w:r>
    </w:p>
    <w:p>
      <w:pPr>
        <w:spacing w:after="0" w:line="302" w:lineRule="exact"/>
        <w:rPr>
          <w:sz w:val="20"/>
          <w:szCs w:val="20"/>
          <w:color w:val="auto"/>
        </w:rPr>
      </w:pPr>
    </w:p>
    <w:tbl>
      <w:tblPr>
        <w:tblLayout w:type="fixed"/>
        <w:tblInd w:w="390" w:type="dxa"/>
        <w:tblCellMar>
          <w:top w:w="0" w:type="dxa"/>
          <w:left w:w="0" w:type="dxa"/>
          <w:bottom w:w="0" w:type="dxa"/>
          <w:right w:w="0" w:type="dxa"/>
        </w:tblCellMar>
      </w:tblPr>
      <w:tr>
        <w:trPr>
          <w:trHeight w:val="388"/>
        </w:trPr>
        <w:tc>
          <w:tcPr>
            <w:tcW w:w="5060" w:type="dxa"/>
            <w:vAlign w:val="bottom"/>
            <w:tcBorders>
              <w:top w:val="single" w:sz="8" w:color="auto"/>
              <w:left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22"/>
                <w:szCs w:val="22"/>
                <w:b w:val="1"/>
                <w:bCs w:val="1"/>
                <w:color w:val="auto"/>
                <w:w w:val="99"/>
              </w:rPr>
              <w:t>MARGINAL SALES RANGE*</w:t>
            </w:r>
          </w:p>
        </w:tc>
        <w:tc>
          <w:tcPr>
            <w:tcW w:w="3180" w:type="dxa"/>
            <w:vAlign w:val="bottom"/>
            <w:tcBorders>
              <w:top w:val="single" w:sz="8" w:color="auto"/>
              <w:right w:val="single" w:sz="8" w:color="auto"/>
            </w:tcBorders>
            <w:shd w:val="clear" w:color="auto" w:fill="E0E0E0"/>
          </w:tcPr>
          <w:p>
            <w:pPr>
              <w:jc w:val="center"/>
              <w:spacing w:after="0"/>
              <w:rPr>
                <w:sz w:val="20"/>
                <w:szCs w:val="20"/>
                <w:color w:val="auto"/>
              </w:rPr>
            </w:pPr>
            <w:r>
              <w:rPr>
                <w:rFonts w:ascii="Arial" w:cs="Arial" w:eastAsia="Arial" w:hAnsi="Arial"/>
                <w:sz w:val="22"/>
                <w:szCs w:val="22"/>
                <w:b w:val="1"/>
                <w:bCs w:val="1"/>
                <w:color w:val="auto"/>
              </w:rPr>
              <w:t>MARGINAL ROYALTY RATE</w:t>
            </w:r>
          </w:p>
        </w:tc>
      </w:tr>
      <w:tr>
        <w:trPr>
          <w:trHeight w:val="125"/>
        </w:trPr>
        <w:tc>
          <w:tcPr>
            <w:tcW w:w="5060" w:type="dxa"/>
            <w:vAlign w:val="bottom"/>
            <w:tcBorders>
              <w:left w:val="single" w:sz="8" w:color="auto"/>
              <w:bottom w:val="single" w:sz="8" w:color="auto"/>
              <w:right w:val="single" w:sz="8" w:color="auto"/>
            </w:tcBorders>
            <w:shd w:val="clear" w:color="auto" w:fill="E0E0E0"/>
          </w:tcPr>
          <w:p>
            <w:pPr>
              <w:spacing w:after="0"/>
              <w:rPr>
                <w:sz w:val="10"/>
                <w:szCs w:val="10"/>
                <w:color w:val="auto"/>
              </w:rPr>
            </w:pPr>
          </w:p>
        </w:tc>
        <w:tc>
          <w:tcPr>
            <w:tcW w:w="3180" w:type="dxa"/>
            <w:vAlign w:val="bottom"/>
            <w:tcBorders>
              <w:bottom w:val="single" w:sz="8" w:color="auto"/>
              <w:right w:val="single" w:sz="8" w:color="auto"/>
            </w:tcBorders>
            <w:shd w:val="clear" w:color="auto" w:fill="E0E0E0"/>
          </w:tcPr>
          <w:p>
            <w:pPr>
              <w:spacing w:after="0"/>
              <w:rPr>
                <w:sz w:val="10"/>
                <w:szCs w:val="10"/>
                <w:color w:val="auto"/>
              </w:rPr>
            </w:pPr>
          </w:p>
        </w:tc>
      </w:tr>
      <w:tr>
        <w:trPr>
          <w:trHeight w:val="268"/>
        </w:trPr>
        <w:tc>
          <w:tcPr>
            <w:tcW w:w="5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684"/>
        </w:trPr>
        <w:tc>
          <w:tcPr>
            <w:tcW w:w="506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268"/>
        </w:trPr>
        <w:tc>
          <w:tcPr>
            <w:tcW w:w="5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684"/>
        </w:trPr>
        <w:tc>
          <w:tcPr>
            <w:tcW w:w="506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268"/>
        </w:trPr>
        <w:tc>
          <w:tcPr>
            <w:tcW w:w="5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684"/>
        </w:trPr>
        <w:tc>
          <w:tcPr>
            <w:tcW w:w="506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268"/>
        </w:trPr>
        <w:tc>
          <w:tcPr>
            <w:tcW w:w="5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684"/>
        </w:trPr>
        <w:tc>
          <w:tcPr>
            <w:tcW w:w="506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r>
        <w:trPr>
          <w:trHeight w:val="268"/>
        </w:trPr>
        <w:tc>
          <w:tcPr>
            <w:tcW w:w="50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31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684"/>
        </w:trPr>
        <w:tc>
          <w:tcPr>
            <w:tcW w:w="5060" w:type="dxa"/>
            <w:vAlign w:val="bottom"/>
            <w:tcBorders>
              <w:left w:val="single" w:sz="8" w:color="auto"/>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r>
    </w:tbl>
    <w:p>
      <w:pPr>
        <w:spacing w:after="0" w:line="289" w:lineRule="exact"/>
        <w:rPr>
          <w:sz w:val="20"/>
          <w:szCs w:val="20"/>
          <w:color w:val="auto"/>
        </w:rPr>
      </w:pPr>
    </w:p>
    <w:p>
      <w:pPr>
        <w:ind w:left="200" w:right="259" w:firstLine="9"/>
        <w:spacing w:after="0" w:line="232" w:lineRule="auto"/>
        <w:tabs>
          <w:tab w:leader="none" w:pos="362" w:val="left"/>
        </w:tabs>
        <w:numPr>
          <w:ilvl w:val="0"/>
          <w:numId w:val="95"/>
        </w:numPr>
        <w:rPr>
          <w:rFonts w:ascii="Arial" w:cs="Arial" w:eastAsia="Arial" w:hAnsi="Arial"/>
          <w:sz w:val="22"/>
          <w:szCs w:val="22"/>
          <w:color w:val="auto"/>
        </w:rPr>
      </w:pPr>
      <w:r>
        <w:rPr>
          <w:rFonts w:ascii="Arial" w:cs="Arial" w:eastAsia="Arial" w:hAnsi="Arial"/>
          <w:sz w:val="22"/>
          <w:szCs w:val="22"/>
          <w:color w:val="auto"/>
        </w:rPr>
        <w:t>For each PRODUCT, ranges are of the NET SALES in a CALENDAR YEAR of the PRODUCT that are made during the ROYALTY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740410</wp:posOffset>
            </wp:positionV>
            <wp:extent cx="545211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22"/>
          <w:szCs w:val="22"/>
          <w:b w:val="1"/>
          <w:bCs w:val="1"/>
          <w:color w:val="auto"/>
        </w:rPr>
        <w:t>Schedule 15.2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Initial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1323340</wp:posOffset>
            </wp:positionV>
            <wp:extent cx="545211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22"/>
          <w:szCs w:val="22"/>
          <w:b w:val="1"/>
          <w:bCs w:val="1"/>
          <w:color w:val="auto"/>
        </w:rPr>
        <w:t>Schedule 16.2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Certificates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843280</wp:posOffset>
            </wp:positionV>
            <wp:extent cx="545211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47" w:right="1440" w:bottom="1440" w:gutter="0" w:footer="0" w:header="0"/>
        </w:sectPr>
      </w:pPr>
    </w:p>
    <w:bookmarkStart w:id="214" w:name="page215"/>
    <w:bookmarkEnd w:id="214"/>
    <w:p>
      <w:pPr>
        <w:jc w:val="right"/>
        <w:ind w:right="219"/>
        <w:spacing w:after="0"/>
        <w:rPr>
          <w:sz w:val="20"/>
          <w:szCs w:val="20"/>
          <w:color w:val="auto"/>
        </w:rPr>
      </w:pPr>
      <w:r>
        <w:rPr>
          <w:rFonts w:ascii="Arial" w:cs="Arial" w:eastAsia="Arial" w:hAnsi="Arial"/>
          <w:sz w:val="18"/>
          <w:szCs w:val="18"/>
          <w:b w:val="1"/>
          <w:bCs w:val="1"/>
          <w:color w:val="auto"/>
        </w:rPr>
        <w:t>Exhibit 10.17</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Unit Notice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w:t>
      </w:r>
    </w:p>
    <w:p>
      <w:pPr>
        <w:jc w:val="center"/>
        <w:ind w:right="19"/>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11430</wp:posOffset>
            </wp:positionV>
            <wp:extent cx="24942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200" w:right="219"/>
        <w:spacing w:after="0" w:line="239" w:lineRule="auto"/>
        <w:rPr>
          <w:sz w:val="20"/>
          <w:szCs w:val="20"/>
          <w:color w:val="auto"/>
        </w:rPr>
      </w:pPr>
      <w:r>
        <w:rPr>
          <w:rFonts w:ascii="Arial" w:cs="Arial" w:eastAsia="Arial" w:hAnsi="Arial"/>
          <w:sz w:val="18"/>
          <w:szCs w:val="18"/>
          <w:color w:val="auto"/>
        </w:rPr>
        <w:t>This Notice evidences the award of restricted Stock Units (each, an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of Axsome Therapeutics,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that have been granted to you pursuant to the Axsome Therapeutics, Inc. 2015 Omnibus Incentive Compensation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conditioned upon your agreement to the terms of the attached Stock Unit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This Notice constitutes part of and is subject to the terms and provisions of the Agreement and the Plan, which are incorporated by reference herein. Each RSU is equivalent in value to one share of the Company Stock and represents the Company’s commitment to issue one share of Company Stock at a future date, subject to the terms of the Agreement and the Plan. The RSUs are credited to a separate account maintained for you on the books and records of the Company (the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All amounts credited to the Account will continue for all purposes to be part of the general assets of the Company.</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___________</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Number of RSUs</w:t>
      </w:r>
      <w:r>
        <w:rPr>
          <w:rFonts w:ascii="Arial" w:cs="Arial" w:eastAsia="Arial" w:hAnsi="Arial"/>
          <w:sz w:val="18"/>
          <w:szCs w:val="18"/>
          <w:color w:val="auto"/>
        </w:rPr>
        <w:t>:</w:t>
      </w:r>
    </w:p>
    <w:p>
      <w:pPr>
        <w:spacing w:after="0" w:line="212" w:lineRule="exact"/>
        <w:rPr>
          <w:sz w:val="20"/>
          <w:szCs w:val="20"/>
          <w:color w:val="auto"/>
        </w:rPr>
      </w:pPr>
    </w:p>
    <w:p>
      <w:pPr>
        <w:jc w:val="both"/>
        <w:ind w:left="200" w:right="219"/>
        <w:spacing w:after="0"/>
        <w:rPr>
          <w:sz w:val="20"/>
          <w:szCs w:val="20"/>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All of the RSUs are nonvested and forfeitable as of the Grant Date. So long as your employment or service is continuous from the Grant Date through the applicable date upon which vesting is scheduled to occur:</w:t>
      </w:r>
    </w:p>
    <w:p>
      <w:pPr>
        <w:spacing w:after="0" w:line="203" w:lineRule="exact"/>
        <w:rPr>
          <w:sz w:val="20"/>
          <w:szCs w:val="20"/>
          <w:color w:val="auto"/>
        </w:rPr>
      </w:pPr>
    </w:p>
    <w:p>
      <w:pPr>
        <w:jc w:val="both"/>
        <w:ind w:left="860" w:right="879"/>
        <w:spacing w:after="0" w:line="238" w:lineRule="auto"/>
        <w:rPr>
          <w:sz w:val="20"/>
          <w:szCs w:val="20"/>
          <w:color w:val="auto"/>
        </w:rPr>
      </w:pPr>
      <w:r>
        <w:rPr>
          <w:rFonts w:ascii="Arial" w:cs="Arial" w:eastAsia="Arial" w:hAnsi="Arial"/>
          <w:sz w:val="18"/>
          <w:szCs w:val="18"/>
          <w:color w:val="auto"/>
        </w:rPr>
        <w:t>twenty-five percent (25%) of the RSUs will be exercisable on the first anniversary of the Grant Date (the “</w:t>
      </w:r>
      <w:r>
        <w:rPr>
          <w:rFonts w:ascii="Arial" w:cs="Arial" w:eastAsia="Arial" w:hAnsi="Arial"/>
          <w:sz w:val="18"/>
          <w:szCs w:val="18"/>
          <w:u w:val="single" w:color="auto"/>
          <w:color w:val="auto"/>
        </w:rPr>
        <w:t>Initial Vesting Date</w:t>
      </w:r>
      <w:r>
        <w:rPr>
          <w:rFonts w:ascii="Arial" w:cs="Arial" w:eastAsia="Arial" w:hAnsi="Arial"/>
          <w:sz w:val="18"/>
          <w:szCs w:val="18"/>
          <w:color w:val="auto"/>
        </w:rPr>
        <w:t>”) and as to an additional twenty-five percent (25%) of the original number of RSUs at the end of each successive full twelve (12) month period following the Initial Vesting Date such that 100% of the RSUs will be vested and nonforfeitable on the fourth anniversary of the Grant Date.</w:t>
      </w:r>
    </w:p>
    <w:p>
      <w:pPr>
        <w:spacing w:after="0" w:line="189" w:lineRule="exact"/>
        <w:rPr>
          <w:sz w:val="20"/>
          <w:szCs w:val="20"/>
          <w:color w:val="auto"/>
        </w:rPr>
      </w:pPr>
    </w:p>
    <w:p>
      <w:pPr>
        <w:jc w:val="both"/>
        <w:ind w:left="540" w:right="879" w:firstLine="648"/>
        <w:spacing w:after="0" w:line="243" w:lineRule="auto"/>
        <w:rPr>
          <w:sz w:val="20"/>
          <w:szCs w:val="20"/>
          <w:color w:val="auto"/>
        </w:rPr>
      </w:pPr>
      <w:r>
        <w:rPr>
          <w:rFonts w:ascii="Arial" w:cs="Arial" w:eastAsia="Arial" w:hAnsi="Arial"/>
          <w:sz w:val="18"/>
          <w:szCs w:val="18"/>
          <w:color w:val="auto"/>
        </w:rPr>
        <w:t>Notwithstanding the foregoing, if your employment or service with the Company is terminated coincident with or within one year following a Change of Control by the Company or its successor without Cause, the RSUs that are unvested as of the date of termination will immediately become 100%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539750</wp:posOffset>
            </wp:positionV>
            <wp:extent cx="545211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
        <w:spacing w:after="0"/>
        <w:tabs>
          <w:tab w:leader="none" w:pos="6200" w:val="left"/>
        </w:tabs>
        <w:rPr>
          <w:sz w:val="20"/>
          <w:szCs w:val="20"/>
          <w:color w:val="auto"/>
        </w:rPr>
      </w:pPr>
      <w:r>
        <w:rPr>
          <w:rFonts w:ascii="Arial" w:cs="Arial" w:eastAsia="Arial" w:hAnsi="Arial"/>
          <w:sz w:val="18"/>
          <w:szCs w:val="18"/>
          <w:color w:val="auto"/>
        </w:rPr>
        <w:t>Axsome Therapeutics, Inc.</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271780</wp:posOffset>
            </wp:positionV>
            <wp:extent cx="545211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00" w:right="219"/>
        <w:spacing w:after="0"/>
        <w:rPr>
          <w:sz w:val="20"/>
          <w:szCs w:val="20"/>
          <w:color w:val="auto"/>
        </w:rPr>
      </w:pPr>
      <w:r>
        <w:rPr>
          <w:rFonts w:ascii="Arial" w:cs="Arial" w:eastAsia="Arial" w:hAnsi="Arial"/>
          <w:sz w:val="18"/>
          <w:szCs w:val="18"/>
          <w:color w:val="auto"/>
        </w:rPr>
        <w:t>I acknowledge that I have carefully read the Agreement and the prospectus for the Plan. I agree to be bound by all of the provisions set forth in those documents. I also consent to electronic delivery of all notices or other information with respect to the RSUs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274955</wp:posOffset>
            </wp:positionV>
            <wp:extent cx="545211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20"/>
        <w:spacing w:after="0"/>
        <w:tabs>
          <w:tab w:leader="none" w:pos="6200" w:val="left"/>
        </w:tabs>
        <w:rPr>
          <w:sz w:val="20"/>
          <w:szCs w:val="20"/>
          <w:color w:val="auto"/>
        </w:rPr>
      </w:pPr>
      <w:r>
        <w:rPr>
          <w:rFonts w:ascii="Arial" w:cs="Arial" w:eastAsia="Arial" w:hAnsi="Arial"/>
          <w:sz w:val="18"/>
          <w:szCs w:val="18"/>
          <w:color w:val="auto"/>
        </w:rPr>
        <w:t>Signature of Grantee</w:t>
      </w:r>
      <w:r>
        <w:rPr>
          <w:sz w:val="20"/>
          <w:szCs w:val="20"/>
          <w:color w:val="auto"/>
        </w:rPr>
        <w:tab/>
      </w: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648970</wp:posOffset>
            </wp:positionV>
            <wp:extent cx="545211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Unit Agreement</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w:t>
      </w:r>
    </w:p>
    <w:p>
      <w:pPr>
        <w:jc w:val="center"/>
        <w:ind w:right="19"/>
        <w:spacing w:after="0" w:line="234" w:lineRule="auto"/>
        <w:rPr>
          <w:sz w:val="20"/>
          <w:szCs w:val="20"/>
          <w:color w:val="auto"/>
        </w:rPr>
      </w:pPr>
      <w:r>
        <w:rPr>
          <w:rFonts w:ascii="Arial" w:cs="Arial" w:eastAsia="Arial" w:hAnsi="Arial"/>
          <w:sz w:val="18"/>
          <w:szCs w:val="18"/>
          <w:b w:val="1"/>
          <w:bCs w:val="1"/>
          <w:color w:val="auto"/>
        </w:rPr>
        <w:t>Axsome Therapeutics,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 Omnibus Incentive Compensation Plan</w:t>
      </w:r>
    </w:p>
    <w:p>
      <w:pPr>
        <w:spacing w:after="0" w:line="212" w:lineRule="exact"/>
        <w:rPr>
          <w:sz w:val="20"/>
          <w:szCs w:val="20"/>
          <w:color w:val="auto"/>
        </w:rPr>
      </w:pPr>
    </w:p>
    <w:p>
      <w:pPr>
        <w:ind w:left="200" w:right="239" w:firstLine="657"/>
        <w:spacing w:after="0" w:line="261" w:lineRule="auto"/>
        <w:tabs>
          <w:tab w:leader="none" w:pos="153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Unless otherwise provided in this Agreement, capitalized terms used herein are defined in the Glossary at the end of this Agreement.</w:t>
      </w:r>
    </w:p>
    <w:p>
      <w:pPr>
        <w:spacing w:after="0" w:line="184" w:lineRule="exact"/>
        <w:rPr>
          <w:rFonts w:ascii="Arial" w:cs="Arial" w:eastAsia="Arial" w:hAnsi="Arial"/>
          <w:sz w:val="18"/>
          <w:szCs w:val="18"/>
          <w:color w:val="auto"/>
        </w:rPr>
      </w:pPr>
    </w:p>
    <w:p>
      <w:pPr>
        <w:jc w:val="both"/>
        <w:ind w:left="200" w:right="219" w:firstLine="657"/>
        <w:spacing w:after="0" w:line="241" w:lineRule="auto"/>
        <w:tabs>
          <w:tab w:leader="none" w:pos="153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All of the RSUs are nonvested and forfeitable as of the Grant Date. So long as your service or employment is continuous from the Grant Date through the applicable date upon which vesting is scheduled to occur, the RSUs will become vested and nonforfeitable in accordance with the vesting schedule set forth in the Notice. Except for the circumstances, if any, described in the Notice, none of the RSUs will become vested and nonforfeitable after your service or employment ceases.</w:t>
      </w:r>
    </w:p>
    <w:p>
      <w:pPr>
        <w:spacing w:after="0" w:line="202" w:lineRule="exact"/>
        <w:rPr>
          <w:rFonts w:ascii="Arial" w:cs="Arial" w:eastAsia="Arial" w:hAnsi="Arial"/>
          <w:sz w:val="18"/>
          <w:szCs w:val="18"/>
          <w:color w:val="auto"/>
        </w:rPr>
      </w:pPr>
    </w:p>
    <w:p>
      <w:pPr>
        <w:jc w:val="both"/>
        <w:ind w:left="200" w:right="219" w:firstLine="657"/>
        <w:spacing w:after="0" w:line="241" w:lineRule="auto"/>
        <w:tabs>
          <w:tab w:leader="none" w:pos="153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or Service</w:t>
      </w:r>
      <w:r>
        <w:rPr>
          <w:rFonts w:ascii="Arial" w:cs="Arial" w:eastAsia="Arial" w:hAnsi="Arial"/>
          <w:sz w:val="18"/>
          <w:szCs w:val="18"/>
          <w:color w:val="auto"/>
        </w:rPr>
        <w:t>. Unless otherwise provided in the Notice, if your service or employment with the Company ceases for any reason, all RSUs that are not then vested and nonforfeitable will be forfeited to the Company immediately and automatically upon such cessation without payment of any consideration therefor and you will have no further right, title or interest in or to such RSUs or the underlying shares of Company Stock.</w:t>
      </w:r>
    </w:p>
    <w:p>
      <w:pPr>
        <w:spacing w:after="0" w:line="202" w:lineRule="exact"/>
        <w:rPr>
          <w:rFonts w:ascii="Arial" w:cs="Arial" w:eastAsia="Arial" w:hAnsi="Arial"/>
          <w:sz w:val="18"/>
          <w:szCs w:val="18"/>
          <w:color w:val="auto"/>
        </w:rPr>
      </w:pPr>
    </w:p>
    <w:p>
      <w:pPr>
        <w:jc w:val="both"/>
        <w:ind w:left="200" w:right="219" w:firstLine="657"/>
        <w:spacing w:after="0"/>
        <w:tabs>
          <w:tab w:leader="none" w:pos="153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Neither this Agreement nor any of the RSUs may be assigned, transferred, pledged, hypothecated or disposed of in any way, whether by operation of law or otherwise, and the RSUs shall not be subject to execution, attachment or similar process. All rights with respect to this Agreement and the RSUs shall be exercisable during your lifetime only by you or your guardian or legal representative. Notwithstanding the foregoing, the RSUs may be transferred upon your death by last will and testament or under the laws of descent and distribution.</w:t>
      </w:r>
    </w:p>
    <w:p>
      <w:pPr>
        <w:spacing w:after="0" w:line="202" w:lineRule="exact"/>
        <w:rPr>
          <w:rFonts w:ascii="Arial" w:cs="Arial" w:eastAsia="Arial" w:hAnsi="Arial"/>
          <w:sz w:val="18"/>
          <w:szCs w:val="18"/>
          <w:color w:val="auto"/>
        </w:rPr>
      </w:pPr>
    </w:p>
    <w:p>
      <w:pPr>
        <w:ind w:left="1540" w:hanging="683"/>
        <w:spacing w:after="0"/>
        <w:tabs>
          <w:tab w:leader="none" w:pos="15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Settlement of RSUs</w:t>
      </w:r>
      <w:r>
        <w:rPr>
          <w:rFonts w:ascii="Arial" w:cs="Arial" w:eastAsia="Arial" w:hAnsi="Arial"/>
          <w:sz w:val="18"/>
          <w:szCs w:val="18"/>
          <w:color w:val="auto"/>
        </w:rPr>
        <w:t>.</w:t>
      </w:r>
    </w:p>
    <w:p>
      <w:pPr>
        <w:spacing w:after="0" w:line="225" w:lineRule="exact"/>
        <w:rPr>
          <w:sz w:val="20"/>
          <w:szCs w:val="20"/>
          <w:color w:val="auto"/>
        </w:rPr>
      </w:pPr>
    </w:p>
    <w:p>
      <w:pPr>
        <w:jc w:val="both"/>
        <w:ind w:left="200" w:right="219" w:firstLine="657"/>
        <w:spacing w:after="0" w:line="238" w:lineRule="auto"/>
        <w:tabs>
          <w:tab w:leader="none" w:pos="155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Manner of Settlement</w:t>
      </w:r>
      <w:r>
        <w:rPr>
          <w:rFonts w:ascii="Arial" w:cs="Arial" w:eastAsia="Arial" w:hAnsi="Arial"/>
          <w:sz w:val="18"/>
          <w:szCs w:val="18"/>
          <w:color w:val="auto"/>
        </w:rPr>
        <w:t>. You are not required to make any monetary payment (other than applicable tax withholding, if required) as a condition to settlement of the RSUs. The Company will issue to you, in settlement of your RSUs and subject to the provisions of Section 6 below, the number of whole shares of Company Stock that equals the number of whole RSUs that become vested, and such vested RSUs will terminate and cease to be outstanding upon such issuance of the shares. Upon issuance of such shares, the Company will determine the form of delivery (e.g., a stock certificate or electronic entry evidencing such shares) and may deliver such shares on your behalf electronically to the Company’s designated stock plan administrator or such other broker-dealer as the Company may choose at its sole discretion, within reason.</w:t>
      </w:r>
    </w:p>
    <w:p>
      <w:pPr>
        <w:spacing w:after="0" w:line="204" w:lineRule="exact"/>
        <w:rPr>
          <w:rFonts w:ascii="Arial" w:cs="Arial" w:eastAsia="Arial" w:hAnsi="Arial"/>
          <w:sz w:val="18"/>
          <w:szCs w:val="18"/>
          <w:color w:val="auto"/>
        </w:rPr>
      </w:pPr>
    </w:p>
    <w:p>
      <w:pPr>
        <w:jc w:val="both"/>
        <w:ind w:left="200" w:right="219" w:firstLine="657"/>
        <w:spacing w:after="0"/>
        <w:tabs>
          <w:tab w:leader="none" w:pos="1554"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Timing of Settlement</w:t>
      </w:r>
      <w:r>
        <w:rPr>
          <w:rFonts w:ascii="Arial" w:cs="Arial" w:eastAsia="Arial" w:hAnsi="Arial"/>
          <w:sz w:val="18"/>
          <w:szCs w:val="18"/>
          <w:color w:val="auto"/>
        </w:rPr>
        <w:t>. Your RSUs will be settled by the Company, via the issuance of Company Stock as described herein, on the date that the RSUs become vested and nonforfeitable</w:t>
      </w:r>
      <w:r>
        <w:rPr>
          <w:rFonts w:ascii="Arial" w:cs="Arial" w:eastAsia="Arial" w:hAnsi="Arial"/>
          <w:sz w:val="8"/>
          <w:szCs w:val="8"/>
          <w:color w:val="auto"/>
        </w:rPr>
        <w:t>1</w:t>
      </w:r>
      <w:r>
        <w:rPr>
          <w:rFonts w:ascii="Arial" w:cs="Arial" w:eastAsia="Arial" w:hAnsi="Arial"/>
          <w:sz w:val="18"/>
          <w:szCs w:val="18"/>
          <w:color w:val="auto"/>
        </w:rPr>
        <w:t>. However, if a scheduled issuance date falls on a Saturday, Sunday or federal holiday, such issuance date shall instead fall on the next following day that the principal executive offices of the Company are open for business. In all cases, the issuance and delivery of shares under this Agreement is intended to comply with Treasury Regulation 1.409A-1(b)(4) and shall be construed and administered in such a manner.</w:t>
      </w:r>
    </w:p>
    <w:p>
      <w:pPr>
        <w:spacing w:after="0" w:line="200" w:lineRule="exact"/>
        <w:rPr>
          <w:sz w:val="20"/>
          <w:szCs w:val="20"/>
          <w:color w:val="auto"/>
        </w:rPr>
      </w:pPr>
    </w:p>
    <w:p>
      <w:pPr>
        <w:spacing w:after="0" w:line="205" w:lineRule="exact"/>
        <w:rPr>
          <w:sz w:val="20"/>
          <w:szCs w:val="20"/>
          <w:color w:val="auto"/>
        </w:rPr>
      </w:pPr>
    </w:p>
    <w:p>
      <w:pPr>
        <w:jc w:val="both"/>
        <w:ind w:left="200" w:right="219" w:firstLine="657"/>
        <w:spacing w:after="0" w:line="241" w:lineRule="auto"/>
        <w:tabs>
          <w:tab w:leader="none" w:pos="1538"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On or before the time you receive a distribution of the shares subject to your RSUs, or at any time thereafter as requested by the Company, you hereby authorize any required withholding from the Company Stock issuable to you and/or otherwise agree to make adequate provision in cash for any sums required to satisfy the federal, state, local and foreign tax withholding obligations of the Company or any Affiliate which arise in connection with your RSUs (the “</w:t>
      </w:r>
      <w:r>
        <w:rPr>
          <w:rFonts w:ascii="Arial" w:cs="Arial" w:eastAsia="Arial" w:hAnsi="Arial"/>
          <w:sz w:val="18"/>
          <w:szCs w:val="18"/>
          <w:b w:val="1"/>
          <w:bCs w:val="1"/>
          <w:i w:val="1"/>
          <w:iCs w:val="1"/>
          <w:color w:val="auto"/>
        </w:rPr>
        <w:t>Withholding Taxes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129540</wp:posOffset>
            </wp:positionV>
            <wp:extent cx="13627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91" w:lineRule="exact"/>
        <w:rPr>
          <w:sz w:val="20"/>
          <w:szCs w:val="20"/>
          <w:color w:val="auto"/>
        </w:rPr>
      </w:pPr>
    </w:p>
    <w:p>
      <w:pPr>
        <w:ind w:left="200" w:right="779"/>
        <w:spacing w:after="0" w:line="308" w:lineRule="auto"/>
        <w:rPr>
          <w:sz w:val="20"/>
          <w:szCs w:val="20"/>
          <w:color w:val="auto"/>
        </w:rPr>
      </w:pPr>
      <w:r>
        <w:rPr>
          <w:rFonts w:ascii="Arial" w:cs="Arial" w:eastAsia="Arial" w:hAnsi="Arial"/>
          <w:sz w:val="9"/>
          <w:szCs w:val="9"/>
          <w:color w:val="auto"/>
        </w:rPr>
        <w:t>1</w:t>
      </w:r>
      <w:r>
        <w:rPr>
          <w:rFonts w:ascii="Arial" w:cs="Arial" w:eastAsia="Arial" w:hAnsi="Arial"/>
          <w:sz w:val="17"/>
          <w:szCs w:val="17"/>
          <w:color w:val="auto"/>
        </w:rPr>
        <w:t>NTD: For executive officers and non-employee directors, this provision may be revised to provide for deferred</w:t>
      </w:r>
      <w:r>
        <w:rPr>
          <w:rFonts w:ascii="Arial" w:cs="Arial" w:eastAsia="Arial" w:hAnsi="Arial"/>
          <w:sz w:val="9"/>
          <w:szCs w:val="9"/>
          <w:color w:val="auto"/>
        </w:rPr>
        <w:t xml:space="preserve"> </w:t>
      </w:r>
      <w:r>
        <w:rPr>
          <w:rFonts w:ascii="Arial" w:cs="Arial" w:eastAsia="Arial" w:hAnsi="Arial"/>
          <w:sz w:val="17"/>
          <w:szCs w:val="17"/>
          <w:color w:val="auto"/>
        </w:rPr>
        <w:t>settlement in compliance with Section 409A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685165</wp:posOffset>
            </wp:positionV>
            <wp:extent cx="545211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16" w:name="page217"/>
    <w:bookmarkEnd w:id="216"/>
    <w:p>
      <w:pPr>
        <w:jc w:val="both"/>
        <w:ind w:left="200" w:right="219"/>
        <w:spacing w:after="0" w:line="234" w:lineRule="auto"/>
        <w:rPr>
          <w:sz w:val="20"/>
          <w:szCs w:val="20"/>
          <w:color w:val="auto"/>
        </w:rPr>
      </w:pPr>
      <w:r>
        <w:rPr>
          <w:rFonts w:ascii="Arial" w:cs="Arial" w:eastAsia="Arial" w:hAnsi="Arial"/>
          <w:sz w:val="18"/>
          <w:szCs w:val="18"/>
          <w:color w:val="auto"/>
        </w:rPr>
        <w:t>Additionally, the Company may, in its sole discretion, satisfy all or any portion of the Withholding Taxes obligation relating to your RSUs by any of the following means or by a combination of such means:</w:t>
      </w:r>
    </w:p>
    <w:p>
      <w:pPr>
        <w:spacing w:after="0" w:line="1" w:lineRule="exact"/>
        <w:rPr>
          <w:sz w:val="20"/>
          <w:szCs w:val="20"/>
          <w:color w:val="auto"/>
        </w:rPr>
      </w:pPr>
    </w:p>
    <w:p>
      <w:pPr>
        <w:jc w:val="both"/>
        <w:ind w:left="200" w:right="219" w:firstLine="9"/>
        <w:spacing w:after="0" w:line="235" w:lineRule="auto"/>
        <w:tabs>
          <w:tab w:leader="none" w:pos="415"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withholding from any compensation otherwise payable to you by the Company; (ii) causing you to tender a cash payment; (iii) permitting you to enter into a “same day sale” commitment with a broker-dealer that is a member of the Financial Industry Regulatory Authority (a “</w:t>
      </w:r>
      <w:r>
        <w:rPr>
          <w:rFonts w:ascii="Arial" w:cs="Arial" w:eastAsia="Arial" w:hAnsi="Arial"/>
          <w:sz w:val="18"/>
          <w:szCs w:val="18"/>
          <w:b w:val="1"/>
          <w:bCs w:val="1"/>
          <w:i w:val="1"/>
          <w:iCs w:val="1"/>
          <w:color w:val="auto"/>
        </w:rPr>
        <w:t>FINRA Dealer</w:t>
      </w:r>
      <w:r>
        <w:rPr>
          <w:rFonts w:ascii="Arial" w:cs="Arial" w:eastAsia="Arial" w:hAnsi="Arial"/>
          <w:sz w:val="18"/>
          <w:szCs w:val="18"/>
          <w:color w:val="auto"/>
        </w:rPr>
        <w:t>”) whereby you irrevocably elect to sell a portion of the shares to be delivered under the Agreement to satisfy the Withholding Taxes and whereby the FINRA Dealer irrevocably commits to forward the proceeds necessary to satisfy the Withholding Taxes directly to the Company; or (iv) withholding shares of Company Stock from the shares of Company Stock issued or otherwise issuable to you in connection with the RSUs with a Fair Market Value (measured as of the date shares of Company Stock are issued to you pursuant to Section 5) equal to the amount of such Withholding Taxes; provided, however, that the number of such shares of Company Stock so withheld shall not exceed the amount necessary to satisfy the Company’s required tax withholding obligations using the minimum statutory withholding rates for federal, state, local and foreign tax purposes, including payroll taxes, that are applicable to supplemental taxable income. Unless the tax withholding obligations of the Company are satisfied, the Company shall have no obligation to deliver to you any Company Stock. In the event the Company’s obligation to withhold arises prior to the delivery to you of Company Stock or it is determined after the delivery of Company Stock to you that the amount of the Company’s withholding obligation was greater than the amount withheld by the Company, you agree to indemnify and hold the Company harmless from any failure by the Company to withhold the proper amount.</w:t>
      </w:r>
    </w:p>
    <w:p>
      <w:pPr>
        <w:spacing w:after="0" w:line="213" w:lineRule="exact"/>
        <w:rPr>
          <w:rFonts w:ascii="Arial" w:cs="Arial" w:eastAsia="Arial" w:hAnsi="Arial"/>
          <w:sz w:val="18"/>
          <w:szCs w:val="18"/>
          <w:color w:val="auto"/>
        </w:rPr>
      </w:pPr>
    </w:p>
    <w:p>
      <w:pPr>
        <w:ind w:left="1540" w:hanging="683"/>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Adjustments for Corporate Transactions and Other Events</w:t>
      </w:r>
      <w:r>
        <w:rPr>
          <w:rFonts w:ascii="Arial" w:cs="Arial" w:eastAsia="Arial" w:hAnsi="Arial"/>
          <w:sz w:val="18"/>
          <w:szCs w:val="18"/>
          <w:color w:val="auto"/>
        </w:rPr>
        <w:t>.</w:t>
      </w:r>
    </w:p>
    <w:p>
      <w:pPr>
        <w:spacing w:after="0" w:line="225" w:lineRule="exact"/>
        <w:rPr>
          <w:sz w:val="20"/>
          <w:szCs w:val="20"/>
          <w:color w:val="auto"/>
        </w:rPr>
      </w:pPr>
    </w:p>
    <w:p>
      <w:pPr>
        <w:jc w:val="both"/>
        <w:ind w:left="200" w:right="219" w:firstLine="657"/>
        <w:spacing w:after="0"/>
        <w:tabs>
          <w:tab w:leader="none" w:pos="155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Stock Dividend, Stock Split and Reverse Stock Split</w:t>
      </w:r>
      <w:r>
        <w:rPr>
          <w:rFonts w:ascii="Arial" w:cs="Arial" w:eastAsia="Arial" w:hAnsi="Arial"/>
          <w:sz w:val="18"/>
          <w:szCs w:val="18"/>
          <w:color w:val="auto"/>
        </w:rPr>
        <w:t>. Upon a stock dividend of, or stock split or reverse stock split or other event described in Section 4(d) of the Plan affecting, the Company Stock, the number of outstanding RSUs shall, without further action of the Administrator, be adjusted to reflect such event; provided, however, that any fractional RSUs resulting from any such adjustment shall be eliminated. Adjustments under this paragraph will be made by the Administrator, whose determination as to what adjustments, if any, will be made and the extent thereof will be final, binding and conclusive.</w:t>
      </w:r>
    </w:p>
    <w:p>
      <w:pPr>
        <w:spacing w:after="0" w:line="202" w:lineRule="exact"/>
        <w:rPr>
          <w:rFonts w:ascii="Arial" w:cs="Arial" w:eastAsia="Arial" w:hAnsi="Arial"/>
          <w:sz w:val="18"/>
          <w:szCs w:val="18"/>
          <w:color w:val="auto"/>
        </w:rPr>
      </w:pPr>
    </w:p>
    <w:p>
      <w:pPr>
        <w:jc w:val="both"/>
        <w:ind w:left="200" w:right="219" w:firstLine="657"/>
        <w:spacing w:after="0"/>
        <w:tabs>
          <w:tab w:leader="none" w:pos="155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Other Events</w:t>
      </w:r>
      <w:r>
        <w:rPr>
          <w:rFonts w:ascii="Arial" w:cs="Arial" w:eastAsia="Arial" w:hAnsi="Arial"/>
          <w:sz w:val="18"/>
          <w:szCs w:val="18"/>
          <w:color w:val="auto"/>
        </w:rPr>
        <w:t>. If the Company shall be the surviving or resulting corporation in any merger or consolidation and the Company Stock shall be converted into other securities, the RSUs shall pertain to and apply to the securities to which a holder of the number of shares of Company Stock subject to the RSUs would have been entitled. If the stockholders of the Company receive by reason of any distribution in total or partial liquidation or pursuant to any merger of the Company or acquisition of its assets, securities of another entity or other property (including cash), then the rights of the Company under this Agreement shall inure to the benefit of the Company’s successor, and this Agreement shall apply to the securities or other property (including cash) to which a holder of the number of shares of Company Stock subject to the RSUs would have been entitled, in the same manner and to the same extent as the RSUs.</w:t>
      </w:r>
    </w:p>
    <w:p>
      <w:pPr>
        <w:spacing w:after="0" w:line="392" w:lineRule="exact"/>
        <w:rPr>
          <w:sz w:val="20"/>
          <w:szCs w:val="20"/>
          <w:color w:val="auto"/>
        </w:rPr>
      </w:pPr>
    </w:p>
    <w:p>
      <w:pPr>
        <w:jc w:val="both"/>
        <w:ind w:left="200" w:right="219" w:firstLine="657"/>
        <w:spacing w:after="0" w:line="207" w:lineRule="exact"/>
        <w:tabs>
          <w:tab w:leader="none" w:pos="153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Non</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Guarantee of Employment or Service Relationship</w:t>
      </w:r>
      <w:r>
        <w:rPr>
          <w:rFonts w:ascii="Arial" w:cs="Arial" w:eastAsia="Arial" w:hAnsi="Arial"/>
          <w:sz w:val="18"/>
          <w:szCs w:val="18"/>
          <w:color w:val="auto"/>
        </w:rPr>
        <w:t>. Nothing in the Plan or this Agreement shall alter your at</w:t>
      </w:r>
      <w:r>
        <w:rPr>
          <w:rFonts w:ascii="MS PGothic" w:cs="MS PGothic" w:eastAsia="MS PGothic" w:hAnsi="MS PGothic"/>
          <w:sz w:val="18"/>
          <w:szCs w:val="18"/>
          <w:color w:val="auto"/>
        </w:rPr>
        <w:t>‑</w:t>
      </w:r>
      <w:r>
        <w:rPr>
          <w:rFonts w:ascii="Arial" w:cs="Arial" w:eastAsia="Arial" w:hAnsi="Arial"/>
          <w:sz w:val="18"/>
          <w:szCs w:val="18"/>
          <w:color w:val="auto"/>
        </w:rPr>
        <w:t>will or other employment status or other service relationship with the Company, nor be construed as a contract of employment or service relationship between the Company and you, or as a contractual right of you to continue in the employ of, or in a service relationship with, the Company for any period of time, or as a limitation of the right of the Company to discharge you at any time with or without cause or notice and whether or not such discharge results in the forfeiture of any nonvested and forfeitable RSUs or any other adverse effect on your interests under the Plan.</w:t>
      </w:r>
    </w:p>
    <w:p>
      <w:pPr>
        <w:spacing w:after="0" w:line="204" w:lineRule="exact"/>
        <w:rPr>
          <w:rFonts w:ascii="Arial" w:cs="Arial" w:eastAsia="Arial" w:hAnsi="Arial"/>
          <w:sz w:val="18"/>
          <w:szCs w:val="18"/>
          <w:color w:val="auto"/>
        </w:rPr>
      </w:pPr>
    </w:p>
    <w:p>
      <w:pPr>
        <w:jc w:val="both"/>
        <w:ind w:left="200" w:right="219" w:firstLine="657"/>
        <w:spacing w:after="0" w:line="248" w:lineRule="auto"/>
        <w:tabs>
          <w:tab w:leader="none" w:pos="1538"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You shall not have any of the rights of a stockholder with respect to any shares of Company Stock that may be issued in settlement of the RSUs until such shares of Company Stock have been issued to you.</w:t>
      </w:r>
    </w:p>
    <w:p>
      <w:pPr>
        <w:spacing w:after="0" w:line="195" w:lineRule="exact"/>
        <w:rPr>
          <w:rFonts w:ascii="Arial" w:cs="Arial" w:eastAsia="Arial" w:hAnsi="Arial"/>
          <w:sz w:val="18"/>
          <w:szCs w:val="18"/>
          <w:color w:val="auto"/>
        </w:rPr>
      </w:pPr>
    </w:p>
    <w:p>
      <w:pPr>
        <w:jc w:val="both"/>
        <w:ind w:left="200" w:right="219" w:firstLine="657"/>
        <w:spacing w:after="0" w:line="241" w:lineRule="auto"/>
        <w:tabs>
          <w:tab w:leader="none" w:pos="1584"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the RSUs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Company Stock or the rights thereof, or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17" w:name="page218"/>
    <w:bookmarkEnd w:id="217"/>
    <w:p>
      <w:pPr>
        <w:ind w:left="200" w:right="219"/>
        <w:spacing w:after="0" w:line="245" w:lineRule="auto"/>
        <w:rPr>
          <w:sz w:val="20"/>
          <w:szCs w:val="20"/>
          <w:color w:val="auto"/>
        </w:rPr>
      </w:pPr>
      <w:r>
        <w:rPr>
          <w:rFonts w:ascii="Arial" w:cs="Arial" w:eastAsia="Arial" w:hAnsi="Arial"/>
          <w:sz w:val="18"/>
          <w:szCs w:val="18"/>
          <w:color w:val="auto"/>
        </w:rPr>
        <w:t>dissolution or liquidation of the Company, or any sale or transfer of all or any part of the Company's assets or business, or any other corporate act or proceeding, whether of a similar character or otherwise.</w:t>
      </w:r>
    </w:p>
    <w:p>
      <w:pPr>
        <w:spacing w:after="0" w:line="198" w:lineRule="exact"/>
        <w:rPr>
          <w:sz w:val="20"/>
          <w:szCs w:val="20"/>
          <w:color w:val="auto"/>
        </w:rPr>
      </w:pPr>
    </w:p>
    <w:p>
      <w:pPr>
        <w:jc w:val="both"/>
        <w:ind w:left="200" w:right="219" w:firstLine="657"/>
        <w:spacing w:after="0" w:line="237" w:lineRule="auto"/>
        <w:tabs>
          <w:tab w:leader="none" w:pos="158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Restrictions on Issuance of Shares</w:t>
      </w:r>
      <w:r>
        <w:rPr>
          <w:rFonts w:ascii="Arial" w:cs="Arial" w:eastAsia="Arial" w:hAnsi="Arial"/>
          <w:sz w:val="18"/>
          <w:szCs w:val="18"/>
          <w:color w:val="auto"/>
        </w:rPr>
        <w:t>. The issuance of shares of Company Stock upon settlement of the RSUs shall be subject to and in compliance with all applicable requirements of federal, state, or foreign law with respect to such securities. No shares of Company Stock may be issued hereunder if the issuance of such shares would constitute a violation of any applicable federal, state, or foreign securities laws or other law or regulations or the requirements of any stock exchange or market system upon which the Company Stock may then be listed. The inability of the Company to obtain from any regulatory body having jurisdiction the authority, if any, deemed by the Company’s legal counsel to be necessary to the lawful issuance of any shares subject to the RSUs shall relieve the Company of any liability in respect of the failure to issue such shares as to which such requisite authority shall not have been obtained. As a condition to the settlement of the RSUs, the Company may require you to satisfy any qualifications that may be necessary or appropriate, to evidence compliance with any applicable law or regulation, and to make any representation or warranty with respect thereto as may be requested by the Company.</w:t>
      </w:r>
    </w:p>
    <w:p>
      <w:pPr>
        <w:spacing w:after="0" w:line="204" w:lineRule="exact"/>
        <w:rPr>
          <w:rFonts w:ascii="Arial" w:cs="Arial" w:eastAsia="Arial" w:hAnsi="Arial"/>
          <w:sz w:val="18"/>
          <w:szCs w:val="18"/>
          <w:color w:val="auto"/>
        </w:rPr>
      </w:pPr>
    </w:p>
    <w:p>
      <w:pPr>
        <w:jc w:val="both"/>
        <w:ind w:left="200" w:right="219" w:firstLine="657"/>
        <w:spacing w:after="0" w:line="237" w:lineRule="auto"/>
        <w:tabs>
          <w:tab w:leader="none" w:pos="158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or given pursuant to this Agreement shall be given in writing and shall be deemed effectively given upon receipt or, in the case of notices delivered by the Company to you, five (5) days after deposit in the United States mail, postage prepaid, addressed to you at the last address you provided to the Company, or in the case of notices delivered to the Company by you, addressed to the Administrator, care of the Company for the attention of its Secretary at its principal executive office or, in either case, if the receiving party consents in advance, transmitted and received via telecopy or via such other electronic transmission mechanism as may be available to the parties. Notwithstanding the foregoing, the Company may, in its sole discretion, decide to deliver any documents related to participation in the Plan and this award of RSUs by electronic means or to request your consent to participate in the Plan or accept this award of RSUs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204" w:lineRule="exact"/>
        <w:rPr>
          <w:rFonts w:ascii="Arial" w:cs="Arial" w:eastAsia="Arial" w:hAnsi="Arial"/>
          <w:sz w:val="18"/>
          <w:szCs w:val="18"/>
          <w:color w:val="auto"/>
        </w:rPr>
      </w:pPr>
    </w:p>
    <w:p>
      <w:pPr>
        <w:jc w:val="both"/>
        <w:ind w:left="200" w:right="219" w:firstLine="657"/>
        <w:spacing w:after="0" w:line="241" w:lineRule="auto"/>
        <w:tabs>
          <w:tab w:leader="none" w:pos="158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relevant Notice and the Plan, contains the entire agreement between the parties with respect to the RSUs granted hereunder. Any oral or written agreements, representations, warranties, written inducements, or other communications made prior to the execution of this Agreement with respect to the RSUs granted hereunder shall be void and ineffective for all purposes.</w:t>
      </w:r>
    </w:p>
    <w:p>
      <w:pPr>
        <w:spacing w:after="0" w:line="202" w:lineRule="exact"/>
        <w:rPr>
          <w:rFonts w:ascii="Arial" w:cs="Arial" w:eastAsia="Arial" w:hAnsi="Arial"/>
          <w:sz w:val="18"/>
          <w:szCs w:val="18"/>
          <w:color w:val="auto"/>
        </w:rPr>
      </w:pPr>
    </w:p>
    <w:p>
      <w:pPr>
        <w:jc w:val="both"/>
        <w:ind w:left="200" w:right="219" w:firstLine="657"/>
        <w:spacing w:after="0" w:line="243" w:lineRule="auto"/>
        <w:tabs>
          <w:tab w:leader="none" w:pos="158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from time to time by the Administrator in its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may not be modified in any manner that would have a materially adverse effect on the RSUs as determined in the discretion of the Administrator, except as provided in the Plan or in a written document signed by each of the parties hereto.</w:t>
      </w:r>
    </w:p>
    <w:p>
      <w:pPr>
        <w:spacing w:after="0" w:line="201" w:lineRule="exact"/>
        <w:rPr>
          <w:rFonts w:ascii="Arial" w:cs="Arial" w:eastAsia="Arial" w:hAnsi="Arial"/>
          <w:sz w:val="18"/>
          <w:szCs w:val="18"/>
          <w:color w:val="auto"/>
        </w:rPr>
      </w:pPr>
    </w:p>
    <w:p>
      <w:pPr>
        <w:jc w:val="both"/>
        <w:ind w:left="200" w:right="219" w:firstLine="657"/>
        <w:spacing w:after="0" w:line="236" w:lineRule="auto"/>
        <w:tabs>
          <w:tab w:leader="none" w:pos="158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Recoupment Policy. You agree that, subject to the requirements of applicable law, if you breach any restrictive covenant agreement between you and the Company or you otherwise engage in activities that constitute Cause either while employed by, or providing service to, the Company or within two years thereafter, the RSU shall terminate, and the Company may rescind any delivery of shares upon vesting or settlement, as applicable on such terms as the Committee shall determine, including the right to require that in the event of any such rescission, (a) you shall return to the Company the shares received upon settlement of the RSU or, (b) if you no longer owns the shares, you shall pay to the Company the amount of any gain realized or payment received as a result of any sale or other disposition of the shares (or, in the event you transfer the shares by gift or otherwise without consideration, the Fair Market Value of the shares on the date of the breach of any restrictive covenant agreement or activity constituting Cause). You agree that payment shall be made in such manner and on such terms and conditions as may be required by the Committee and you shall be entitled to set off against the amount of any such payment any amounts otherwise owed to you by the Company. In addition, you agree that the RSU shall be subject to any applicable clawback or recoupment policies, share trading policies and other policies that may be implemented by the Board from time to time.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18" w:name="page219"/>
    <w:bookmarkEnd w:id="218"/>
    <w:p>
      <w:pPr>
        <w:jc w:val="both"/>
        <w:ind w:left="200" w:right="219" w:firstLine="648"/>
        <w:spacing w:after="0" w:line="235" w:lineRule="auto"/>
        <w:rPr>
          <w:sz w:val="20"/>
          <w:szCs w:val="20"/>
          <w:color w:val="auto"/>
        </w:rPr>
      </w:pPr>
      <w:r>
        <w:rPr>
          <w:rFonts w:ascii="Arial" w:cs="Arial" w:eastAsia="Arial" w:hAnsi="Arial"/>
          <w:sz w:val="18"/>
          <w:szCs w:val="18"/>
          <w:u w:val="single" w:color="auto"/>
          <w:color w:val="auto"/>
        </w:rPr>
        <w:t>409A Savings Clause</w:t>
      </w:r>
      <w:r>
        <w:rPr>
          <w:rFonts w:ascii="Arial" w:cs="Arial" w:eastAsia="Arial" w:hAnsi="Arial"/>
          <w:sz w:val="18"/>
          <w:szCs w:val="18"/>
          <w:color w:val="auto"/>
        </w:rPr>
        <w:t>. This Agreement and the RSUs granted hereunder are intended to either fit within the “short-term deferral” exemption from Section 409A of the Code as set forth in Treasury Regulation Section 1.409A-1(b)(4) or comply with Section 409A. Notwithstanding the foregoing, if it is determined that the RSUs fail to satisfy the requirements of the short-term deferral rule and are otherwise deferred compensation subject to Section 409A, and if you are a “Specified Employee” (within the meaning set forth Section 409A(a)(2)(B)(i) of the Code) as of the date of your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you in respect of the shares under Section 409A of the Code. Each installment of shares that vests is intended to constitute a “separate payment” for purposes of Section 409A of the Code and Treasury Regulation Section 1.409A-2(b)(2).</w:t>
      </w:r>
    </w:p>
    <w:p>
      <w:pPr>
        <w:spacing w:after="0" w:line="213" w:lineRule="exact"/>
        <w:rPr>
          <w:sz w:val="20"/>
          <w:szCs w:val="20"/>
          <w:color w:val="auto"/>
        </w:rPr>
      </w:pPr>
    </w:p>
    <w:p>
      <w:pPr>
        <w:jc w:val="both"/>
        <w:ind w:left="200" w:right="219" w:firstLine="657"/>
        <w:spacing w:after="0" w:line="241" w:lineRule="auto"/>
        <w:tabs>
          <w:tab w:leader="none" w:pos="158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 Obligation to Minimize Taxes</w:t>
      </w:r>
      <w:r>
        <w:rPr>
          <w:rFonts w:ascii="Arial" w:cs="Arial" w:eastAsia="Arial" w:hAnsi="Arial"/>
          <w:sz w:val="18"/>
          <w:szCs w:val="18"/>
          <w:color w:val="auto"/>
        </w:rPr>
        <w:t>. The Company has no duty or obligation to minimize the tax consequences to you of this award of RSUs and shall not be liable to you for any adverse tax consequences to you arising in connection with this award. You are hereby advised to consult with your own personal tax, financial and/or legal advisors regarding the tax consequences of this award and by signing the Notice, you have agreed that you have done so or knowingly and voluntarily declined to do so.</w:t>
      </w:r>
    </w:p>
    <w:p>
      <w:pPr>
        <w:spacing w:after="0" w:line="202" w:lineRule="exact"/>
        <w:rPr>
          <w:rFonts w:ascii="Arial" w:cs="Arial" w:eastAsia="Arial" w:hAnsi="Arial"/>
          <w:sz w:val="18"/>
          <w:szCs w:val="18"/>
          <w:color w:val="auto"/>
        </w:rPr>
      </w:pPr>
    </w:p>
    <w:p>
      <w:pPr>
        <w:jc w:val="both"/>
        <w:ind w:left="200" w:right="219" w:firstLine="657"/>
        <w:spacing w:after="0" w:line="241" w:lineRule="auto"/>
        <w:tabs>
          <w:tab w:leader="none" w:pos="158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Conformity with Plan</w:t>
      </w:r>
      <w:r>
        <w:rPr>
          <w:rFonts w:ascii="Arial" w:cs="Arial" w:eastAsia="Arial" w:hAnsi="Arial"/>
          <w:sz w:val="18"/>
          <w:szCs w:val="18"/>
          <w:color w:val="auto"/>
        </w:rPr>
        <w:t>. This Agreement is intended to conform in all respects with, and is subject to all applicable provisions of, the Plan. Inconsistencies between this Agreement and the Plan shall be resolved in accordance with the terms of the Plan. In the event of any ambiguity in this Agreement or any matters as to which this Agreement is silent, the Plan shall govern. A copy of the Plan is available upon request to the Administrator.</w:t>
      </w:r>
    </w:p>
    <w:p>
      <w:pPr>
        <w:spacing w:after="0" w:line="202" w:lineRule="exact"/>
        <w:rPr>
          <w:rFonts w:ascii="Arial" w:cs="Arial" w:eastAsia="Arial" w:hAnsi="Arial"/>
          <w:sz w:val="18"/>
          <w:szCs w:val="18"/>
          <w:color w:val="auto"/>
        </w:rPr>
      </w:pPr>
    </w:p>
    <w:p>
      <w:pPr>
        <w:jc w:val="both"/>
        <w:ind w:left="200" w:right="219" w:firstLine="657"/>
        <w:spacing w:after="0" w:line="248" w:lineRule="auto"/>
        <w:tabs>
          <w:tab w:leader="none" w:pos="158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 Funding</w:t>
      </w:r>
      <w:r>
        <w:rPr>
          <w:rFonts w:ascii="Arial" w:cs="Arial" w:eastAsia="Arial" w:hAnsi="Arial"/>
          <w:sz w:val="18"/>
          <w:szCs w:val="18"/>
          <w:color w:val="auto"/>
        </w:rPr>
        <w:t>. This Agreement constitutes an unfunded and unsecured promise by the Company to issue shares of Company Stock in the future in accordance with its terms. You have the status of a general unsecured creditor of the Company as a result of receiving the grant of RSUs.</w:t>
      </w:r>
    </w:p>
    <w:p>
      <w:pPr>
        <w:spacing w:after="0" w:line="195" w:lineRule="exact"/>
        <w:rPr>
          <w:rFonts w:ascii="Arial" w:cs="Arial" w:eastAsia="Arial" w:hAnsi="Arial"/>
          <w:sz w:val="18"/>
          <w:szCs w:val="18"/>
          <w:color w:val="auto"/>
        </w:rPr>
      </w:pPr>
    </w:p>
    <w:p>
      <w:pPr>
        <w:jc w:val="both"/>
        <w:ind w:left="200" w:right="219" w:firstLine="657"/>
        <w:spacing w:after="0" w:line="241" w:lineRule="auto"/>
        <w:tabs>
          <w:tab w:leader="none" w:pos="158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Effect on Other Employee Benefit Plans</w:t>
      </w:r>
      <w:r>
        <w:rPr>
          <w:rFonts w:ascii="Arial" w:cs="Arial" w:eastAsia="Arial" w:hAnsi="Arial"/>
          <w:sz w:val="18"/>
          <w:szCs w:val="18"/>
          <w:color w:val="auto"/>
        </w:rPr>
        <w:t>. The value of the RSUs subject to this Agreement shall not be included as compensation, earnings, salaries, or other similar terms used when calculating your benefits under any employee benefit plan sponsored by the Company, except as such plan otherwise expressly provides. The Company expressly reserves its rights to amend, modify, or terminate any of the Company’s employee benefit plans.</w:t>
      </w:r>
    </w:p>
    <w:p>
      <w:pPr>
        <w:spacing w:after="0" w:line="202" w:lineRule="exact"/>
        <w:rPr>
          <w:rFonts w:ascii="Arial" w:cs="Arial" w:eastAsia="Arial" w:hAnsi="Arial"/>
          <w:sz w:val="18"/>
          <w:szCs w:val="18"/>
          <w:color w:val="auto"/>
        </w:rPr>
      </w:pPr>
    </w:p>
    <w:p>
      <w:pPr>
        <w:jc w:val="both"/>
        <w:ind w:left="200" w:right="219" w:firstLine="657"/>
        <w:spacing w:after="0" w:line="238" w:lineRule="auto"/>
        <w:tabs>
          <w:tab w:leader="none" w:pos="158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Administrator relating to this Agreement, and the rights of any and all persons having or claiming to have any interest under this Agreement, shall be determined exclusively in accordance with the laws of the State of Delaware, without regard to its provisions concerning the applicability of laws of other jurisdictions. As a condition of this Agreement, you agree that you will not bring any action arising under, as a result of, pursuant to or relating to, this Agreement in any court other than a federal or state court in the districts which include Delaware, and you hereby agree and submit to the personal jurisdiction of any federal court located in the district which includes Delaware or any state court in the district which includes Delaware. You further agree that you will not deny or attempt to defeat such personal jurisdiction or object to venue by motion or other request for leave from any such court.</w:t>
      </w:r>
    </w:p>
    <w:p>
      <w:pPr>
        <w:spacing w:after="0" w:line="201" w:lineRule="exact"/>
        <w:rPr>
          <w:rFonts w:ascii="Arial" w:cs="Arial" w:eastAsia="Arial" w:hAnsi="Arial"/>
          <w:sz w:val="18"/>
          <w:szCs w:val="18"/>
          <w:color w:val="auto"/>
        </w:rPr>
      </w:pPr>
    </w:p>
    <w:p>
      <w:pPr>
        <w:jc w:val="both"/>
        <w:ind w:left="200" w:right="219" w:firstLine="657"/>
        <w:spacing w:after="0" w:line="238" w:lineRule="auto"/>
        <w:tabs>
          <w:tab w:leader="none" w:pos="158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or relating to, this Agreement shall be determined by the Administrator in good faith in its absolute and uncontrolled discretion, and any such determination or any other determination by the Administrator under or pursuant to this Agreement and any interpretation by the Administrator of the terms of this Agreement, will be final, binding and conclusive on all persons affected thereby. You agree that before you may bring any legal action arising under, as a result of, pursuant to or relating to, this Agreement you will first exhaust your administrative remedies before the Administrator. You further agree that in the event that the Administrator does not resolve any dispute or disagreement arising under, as a result of, pursuant to or relating to, this Agreement to your satisfaction, no legal action may be commenced or maintained relating to this Agreement more than twenty-four (24) months after the Administrator’s decision.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19" w:name="page220"/>
    <w:bookmarkEnd w:id="219"/>
    <w:p>
      <w:pPr>
        <w:ind w:left="200" w:right="219" w:firstLine="657"/>
        <w:spacing w:after="0" w:line="260" w:lineRule="auto"/>
        <w:tabs>
          <w:tab w:leader="none" w:pos="1584"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185" w:lineRule="exact"/>
        <w:rPr>
          <w:rFonts w:ascii="Arial" w:cs="Arial" w:eastAsia="Arial" w:hAnsi="Arial"/>
          <w:sz w:val="18"/>
          <w:szCs w:val="18"/>
          <w:color w:val="auto"/>
        </w:rPr>
      </w:pPr>
    </w:p>
    <w:p>
      <w:pPr>
        <w:jc w:val="both"/>
        <w:ind w:left="200" w:right="219" w:firstLine="657"/>
        <w:spacing w:after="0" w:line="238" w:lineRule="auto"/>
        <w:tabs>
          <w:tab w:leader="none" w:pos="1584"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By your signing the Notice, you (i) consent to the electronic delivery of this Agreement, all information with respect to the Plan and the RSUs, and any reports of the Company provided generally to the Company’s stockholders; (ii) acknowledge that you may receive from the Company a paper copy of any documents delivered electronically at no cost to you by contacting the Company by telephone or in writing; (iii) further acknowledge that you may revoke your consent to the electronic delivery of documents at any time by notifying the Company of such revoked consent by telephone, postal service or electronic mail; and (iv) further acknowledge that you understand that you are not required to consent to electronic delivery of documents.</w:t>
      </w:r>
    </w:p>
    <w:p>
      <w:pPr>
        <w:spacing w:after="0" w:line="207" w:lineRule="exact"/>
        <w:rPr>
          <w:rFonts w:ascii="Arial" w:cs="Arial" w:eastAsia="Arial" w:hAnsi="Arial"/>
          <w:sz w:val="18"/>
          <w:szCs w:val="18"/>
          <w:color w:val="auto"/>
        </w:rPr>
      </w:pPr>
    </w:p>
    <w:p>
      <w:pPr>
        <w:ind w:left="1600" w:hanging="743"/>
        <w:spacing w:after="0"/>
        <w:tabs>
          <w:tab w:leader="none" w:pos="160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your  signing  the  Notice,  you  acknowledge  and  agree</w:t>
      </w:r>
    </w:p>
    <w:p>
      <w:pPr>
        <w:spacing w:after="0" w:line="9" w:lineRule="exact"/>
        <w:rPr>
          <w:rFonts w:ascii="Arial" w:cs="Arial" w:eastAsia="Arial" w:hAnsi="Arial"/>
          <w:sz w:val="18"/>
          <w:szCs w:val="18"/>
          <w:color w:val="auto"/>
        </w:rPr>
      </w:pPr>
    </w:p>
    <w:p>
      <w:pPr>
        <w:jc w:val="both"/>
        <w:ind w:left="200" w:right="219"/>
        <w:spacing w:after="0" w:line="235" w:lineRule="auto"/>
        <w:rPr>
          <w:rFonts w:ascii="Arial" w:cs="Arial" w:eastAsia="Arial" w:hAnsi="Arial"/>
          <w:sz w:val="18"/>
          <w:szCs w:val="18"/>
          <w:color w:val="auto"/>
        </w:rPr>
      </w:pPr>
      <w:r>
        <w:rPr>
          <w:rFonts w:ascii="Arial" w:cs="Arial" w:eastAsia="Arial" w:hAnsi="Arial"/>
          <w:sz w:val="18"/>
          <w:szCs w:val="18"/>
          <w:color w:val="auto"/>
        </w:rPr>
        <w:t>that: (i) the grant of a restricted stock unit award is a one-time benefit which does not create any contractual or other right to receive future grants of restricted stock units, or compensation in lieu of restricted stock units, even if restricted stock units have been granted repeatedly in the past; (ii) all determinations with respect to any such future grants and the terms thereof will be at the sole discretion of the Committee; (iii) the value of the restricted stock units is an extraordinary item of compensation which is outside the scope of your employment contract, if any; (iv) the value of the restricted stock units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restricted stock units ceases upon termination of Service with the Company or transfer of employment from the Company, or other cessation of eligibility for any reason, except as may otherwise be explicitly provided in this Agreement; (vi) the Company does not guarantee any future value of the restricted stock units; and (vii) no claim or entitlement to compensation or damages arises if the restricted stock units decrease or do not increase in value and you irrevocably release the Company from any such claim that does arise.</w:t>
      </w:r>
    </w:p>
    <w:p>
      <w:pPr>
        <w:spacing w:after="0" w:line="213" w:lineRule="exact"/>
        <w:rPr>
          <w:rFonts w:ascii="Arial" w:cs="Arial" w:eastAsia="Arial" w:hAnsi="Arial"/>
          <w:sz w:val="18"/>
          <w:szCs w:val="18"/>
          <w:color w:val="auto"/>
        </w:rPr>
      </w:pPr>
    </w:p>
    <w:p>
      <w:pPr>
        <w:jc w:val="both"/>
        <w:ind w:left="200" w:right="219" w:firstLine="657"/>
        <w:spacing w:after="0" w:line="236" w:lineRule="auto"/>
        <w:tabs>
          <w:tab w:leader="none" w:pos="1584"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purposes of the implementation, administration and management of the restricted stock units or the effectuation of any acquisition, equity or debt financing, joint venture, merger, reorganization, consolidation, recapitalization, business combination, liquidation, dissolution, share exchange, sale of stock, sale of material assets or other similar corporate transaction involving the Company (a “</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you consent, by execution of the Notice, to the collection, receipt, use, retention and transfer, in electronic or other form, of your personal data by and among the Company and its third party vendors or any potential party to a potential Corporate Transaction.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vested and unvested) may be transferred to third parties assisting in the implementation, administration and management of the restricted stock units or the effectuation of a Corporate Transaction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restricted stock units or effect a Corporate Transaction.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Secretary. You understand, however, that refusing or withdrawing your consent may affect your ability to accept a restricted stock unit award.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color w:val="auto"/>
        </w:rPr>
        <w:t>GLOSSARY</w:t>
      </w:r>
    </w:p>
    <w:p>
      <w:pPr>
        <w:spacing w:after="0" w:line="29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Committee as defined in the Plan.</w:t>
      </w:r>
    </w:p>
    <w:p>
      <w:pPr>
        <w:spacing w:after="0" w:line="225" w:lineRule="exact"/>
        <w:rPr>
          <w:sz w:val="20"/>
          <w:szCs w:val="20"/>
          <w:color w:val="auto"/>
        </w:rPr>
      </w:pPr>
    </w:p>
    <w:p>
      <w:pPr>
        <w:ind w:left="200" w:right="239" w:firstLine="1296"/>
        <w:spacing w:after="0" w:line="28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this document, as amended from time to time, together with the Plan which is incorporated herein by reference.</w:t>
      </w:r>
    </w:p>
    <w:p>
      <w:pPr>
        <w:spacing w:after="0" w:line="166" w:lineRule="exact"/>
        <w:rPr>
          <w:sz w:val="20"/>
          <w:szCs w:val="20"/>
          <w:color w:val="auto"/>
        </w:rPr>
      </w:pPr>
    </w:p>
    <w:p>
      <w:pPr>
        <w:ind w:left="1780" w:hanging="275"/>
        <w:spacing w:after="0"/>
        <w:tabs>
          <w:tab w:leader="none" w:pos="178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b w:val="1"/>
          <w:bCs w:val="1"/>
          <w:color w:val="auto"/>
        </w:rPr>
        <w:t xml:space="preserve"> </w:t>
      </w:r>
      <w:r>
        <w:rPr>
          <w:rFonts w:ascii="Arial" w:cs="Arial" w:eastAsia="Arial" w:hAnsi="Arial"/>
          <w:sz w:val="19"/>
          <w:szCs w:val="19"/>
          <w:color w:val="auto"/>
        </w:rPr>
        <w:t>has the meaning set forth in the Plan.</w:t>
      </w:r>
    </w:p>
    <w:p>
      <w:pPr>
        <w:spacing w:after="0" w:line="213" w:lineRule="exact"/>
        <w:rPr>
          <w:rFonts w:ascii="Arial" w:cs="Arial" w:eastAsia="Arial" w:hAnsi="Arial"/>
          <w:sz w:val="18"/>
          <w:szCs w:val="18"/>
          <w:color w:val="auto"/>
        </w:rPr>
      </w:pPr>
    </w:p>
    <w:p>
      <w:pPr>
        <w:ind w:left="1800" w:hanging="295"/>
        <w:spacing w:after="0"/>
        <w:tabs>
          <w:tab w:leader="none" w:pos="180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the meaning set forth in the Plan.</w:t>
      </w:r>
    </w:p>
    <w:p>
      <w:pPr>
        <w:spacing w:after="0" w:line="225"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and the Treasury regulations and other guidance promulgated thereunder.</w:t>
      </w:r>
    </w:p>
    <w:p>
      <w:pPr>
        <w:spacing w:after="0" w:line="15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color w:val="auto"/>
        </w:rPr>
        <w:t>Company Stock</w:t>
      </w:r>
      <w:r>
        <w:rPr>
          <w:rFonts w:ascii="Arial" w:cs="Arial" w:eastAsia="Arial" w:hAnsi="Arial"/>
          <w:sz w:val="18"/>
          <w:szCs w:val="18"/>
          <w:color w:val="auto"/>
        </w:rPr>
        <w:t>” shall mean common stock of the Company.</w:t>
      </w:r>
    </w:p>
    <w:p>
      <w:pPr>
        <w:spacing w:after="0" w:line="225" w:lineRule="exact"/>
        <w:rPr>
          <w:sz w:val="20"/>
          <w:szCs w:val="20"/>
          <w:color w:val="auto"/>
        </w:rPr>
      </w:pPr>
    </w:p>
    <w:p>
      <w:pPr>
        <w:jc w:val="both"/>
        <w:ind w:left="200" w:right="219" w:firstLine="1296"/>
        <w:spacing w:after="0" w:line="268"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Axsome Therapeutics, Inc., and shall include all its successors except where the context otherwise requires. For purposes of determining whether a Change of Control has occurred, Company shall mean only Axsome Therapeutics, Inc.</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has the meaning set forth in the Plan.</w:t>
      </w:r>
    </w:p>
    <w:p>
      <w:pPr>
        <w:spacing w:after="0" w:line="225"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effective date of a grant of RSUs made to you as set forth in the relevant Notice.</w:t>
      </w:r>
    </w:p>
    <w:p>
      <w:pPr>
        <w:spacing w:after="0" w:line="153"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statement, letter or other written notification provided to you by the Company setting forth the terms of a grant of RSUs made to you.</w:t>
      </w:r>
    </w:p>
    <w:p>
      <w:pPr>
        <w:spacing w:after="0" w:line="153" w:lineRule="exact"/>
        <w:rPr>
          <w:sz w:val="20"/>
          <w:szCs w:val="20"/>
          <w:color w:val="auto"/>
        </w:rPr>
      </w:pPr>
    </w:p>
    <w:p>
      <w:pPr>
        <w:jc w:val="both"/>
        <w:ind w:left="200" w:right="239" w:firstLine="1296"/>
        <w:spacing w:after="0" w:line="287"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Axsome Therapeutics, Inc. 2015 Omnibus Incentive Compensation Plan, as in effect from time to time.</w:t>
      </w:r>
    </w:p>
    <w:p>
      <w:pPr>
        <w:spacing w:after="0" w:line="153" w:lineRule="exact"/>
        <w:rPr>
          <w:sz w:val="20"/>
          <w:szCs w:val="20"/>
          <w:color w:val="auto"/>
        </w:rPr>
      </w:pPr>
    </w:p>
    <w:p>
      <w:pPr>
        <w:jc w:val="both"/>
        <w:ind w:left="200" w:right="219" w:firstLine="1296"/>
        <w:spacing w:after="0" w:line="287"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i w:val="1"/>
          <w:iCs w:val="1"/>
          <w:color w:val="auto"/>
        </w:rPr>
        <w:t>RSU</w:t>
      </w:r>
      <w:r>
        <w:rPr>
          <w:rFonts w:ascii="Arial" w:cs="Arial" w:eastAsia="Arial" w:hAnsi="Arial"/>
          <w:sz w:val="18"/>
          <w:szCs w:val="18"/>
          <w:color w:val="auto"/>
        </w:rPr>
        <w:t>” means the Company’s commitment to issue one share of Company Stock at a future date, subject to the terms of the Agreement and the Plan.</w:t>
      </w:r>
    </w:p>
    <w:p>
      <w:pPr>
        <w:spacing w:after="0" w:line="153" w:lineRule="exact"/>
        <w:rPr>
          <w:sz w:val="20"/>
          <w:szCs w:val="20"/>
          <w:color w:val="auto"/>
        </w:rPr>
      </w:pPr>
    </w:p>
    <w:p>
      <w:pPr>
        <w:jc w:val="both"/>
        <w:ind w:left="200" w:right="219" w:firstLine="1296"/>
        <w:spacing w:after="0" w:line="259"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b w:val="1"/>
          <w:bCs w:val="1"/>
          <w:i w:val="1"/>
          <w:iCs w:val="1"/>
          <w:color w:val="auto"/>
        </w:rPr>
        <w:t>You</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Your</w:t>
      </w:r>
      <w:r>
        <w:rPr>
          <w:rFonts w:ascii="Arial" w:cs="Arial" w:eastAsia="Arial" w:hAnsi="Arial"/>
          <w:sz w:val="18"/>
          <w:szCs w:val="18"/>
          <w:color w:val="auto"/>
        </w:rPr>
        <w:t>” means the recipient of the RSUs as reflected on the applicable Notice. Whenever the word “you” or “your” is used in any provision of this Agreement under circumstances where the provision should logically be construed, as determined by the Administrator, to apply to the estate, personal representative, or beneficiary to whom the RSUs may be transferred by will or by the laws of descent and distribution, the words “you” and “your” shall be deemed to include such person.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Agreement</w:t>
      </w:r>
      <w:r>
        <w:rPr>
          <w:rFonts w:ascii="Arial" w:cs="Arial" w:eastAsia="Arial" w:hAnsi="Arial"/>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21" w:name="page222"/>
    <w:bookmarkEnd w:id="221"/>
    <w:p>
      <w:pPr>
        <w:ind w:left="7740"/>
        <w:spacing w:after="0"/>
        <w:rPr>
          <w:sz w:val="20"/>
          <w:szCs w:val="20"/>
          <w:color w:val="auto"/>
        </w:rPr>
      </w:pPr>
      <w:r>
        <w:rPr>
          <w:rFonts w:ascii="Arial" w:cs="Arial" w:eastAsia="Arial" w:hAnsi="Arial"/>
          <w:sz w:val="21"/>
          <w:szCs w:val="21"/>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right="1759" w:firstLine="1702"/>
        <w:spacing w:after="0" w:line="477" w:lineRule="auto"/>
        <w:rPr>
          <w:sz w:val="20"/>
          <w:szCs w:val="20"/>
          <w:color w:val="auto"/>
        </w:rPr>
      </w:pPr>
      <w:r>
        <w:rPr>
          <w:rFonts w:ascii="Arial" w:cs="Arial" w:eastAsia="Arial" w:hAnsi="Arial"/>
          <w:sz w:val="19"/>
          <w:szCs w:val="19"/>
          <w:b w:val="1"/>
          <w:bCs w:val="1"/>
          <w:color w:val="auto"/>
        </w:rPr>
        <w:t xml:space="preserve">Consent of Independent Registered Public Accounting Firm </w:t>
      </w:r>
      <w:r>
        <w:rPr>
          <w:rFonts w:ascii="Arial" w:cs="Arial" w:eastAsia="Arial" w:hAnsi="Arial"/>
          <w:sz w:val="19"/>
          <w:szCs w:val="19"/>
          <w:color w:val="auto"/>
        </w:rPr>
        <w:t>We consent to the incorporation by reference in the Registration Statements:</w:t>
      </w:r>
    </w:p>
    <w:p>
      <w:pPr>
        <w:spacing w:after="0" w:line="2" w:lineRule="exact"/>
        <w:rPr>
          <w:sz w:val="20"/>
          <w:szCs w:val="20"/>
          <w:color w:val="auto"/>
        </w:rPr>
      </w:pPr>
    </w:p>
    <w:p>
      <w:pPr>
        <w:ind w:left="700" w:right="79" w:hanging="332"/>
        <w:spacing w:after="0" w:line="213" w:lineRule="auto"/>
        <w:tabs>
          <w:tab w:leader="none" w:pos="7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Registration Statement (Form S-8 No. 333-217002) pertaining to the Axsome Therapeutics, Inc. 2015 Omnibus Incentive Compensation Plan;</w:t>
      </w:r>
    </w:p>
    <w:p>
      <w:pPr>
        <w:ind w:left="700" w:right="79" w:hanging="332"/>
        <w:spacing w:after="0" w:line="204" w:lineRule="auto"/>
        <w:tabs>
          <w:tab w:leader="none" w:pos="7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Registration Statement (Form S-8 No. 333-208579) pertaining to the Axsome Therapeutics, Inc. 2015 Omnibus Incentive Compensation Plan;</w:t>
      </w:r>
    </w:p>
    <w:p>
      <w:pPr>
        <w:spacing w:after="0" w:line="1" w:lineRule="exact"/>
        <w:rPr>
          <w:rFonts w:ascii="Arial" w:cs="Arial" w:eastAsia="Arial" w:hAnsi="Arial"/>
          <w:sz w:val="22"/>
          <w:szCs w:val="22"/>
          <w:color w:val="auto"/>
        </w:rPr>
      </w:pPr>
    </w:p>
    <w:p>
      <w:pPr>
        <w:ind w:left="700" w:right="79" w:hanging="332"/>
        <w:spacing w:after="0" w:line="204" w:lineRule="auto"/>
        <w:tabs>
          <w:tab w:leader="none" w:pos="7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Registration Statement (Form S-8 No. 333-230296) pertaining to the Axsome Therapeutics, Inc. 2015 Omnibus Incentive Compensation Plan;</w:t>
      </w:r>
    </w:p>
    <w:p>
      <w:pPr>
        <w:spacing w:after="0" w:line="1" w:lineRule="exact"/>
        <w:rPr>
          <w:rFonts w:ascii="Arial" w:cs="Arial" w:eastAsia="Arial" w:hAnsi="Arial"/>
          <w:sz w:val="22"/>
          <w:szCs w:val="22"/>
          <w:color w:val="auto"/>
        </w:rPr>
      </w:pPr>
    </w:p>
    <w:p>
      <w:pPr>
        <w:ind w:left="700" w:right="79" w:hanging="332"/>
        <w:spacing w:after="0" w:line="204" w:lineRule="auto"/>
        <w:tabs>
          <w:tab w:leader="none" w:pos="7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Registration Statement (Form S-8 No. 333-226824) pertaining to Axsome Therapeutics, Inc. 2015 Omnibus Incentive Compensation Plan; and</w:t>
      </w:r>
    </w:p>
    <w:p>
      <w:pPr>
        <w:spacing w:after="0" w:line="1" w:lineRule="exact"/>
        <w:rPr>
          <w:rFonts w:ascii="Arial" w:cs="Arial" w:eastAsia="Arial" w:hAnsi="Arial"/>
          <w:sz w:val="22"/>
          <w:szCs w:val="22"/>
          <w:color w:val="auto"/>
        </w:rPr>
      </w:pPr>
    </w:p>
    <w:p>
      <w:pPr>
        <w:ind w:left="700" w:right="59" w:hanging="332"/>
        <w:spacing w:after="0" w:line="224" w:lineRule="auto"/>
        <w:tabs>
          <w:tab w:leader="none" w:pos="7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Registration Statement (Form S-3ASR No. 333-235372) of Axsome Therapeutics, Inc. and in the related Prospectus;</w:t>
      </w:r>
    </w:p>
    <w:p>
      <w:pPr>
        <w:spacing w:after="0" w:line="158" w:lineRule="exact"/>
        <w:rPr>
          <w:sz w:val="20"/>
          <w:szCs w:val="20"/>
          <w:color w:val="auto"/>
        </w:rPr>
      </w:pPr>
    </w:p>
    <w:p>
      <w:pPr>
        <w:jc w:val="both"/>
        <w:ind w:left="40" w:right="59"/>
        <w:spacing w:after="0" w:line="223" w:lineRule="auto"/>
        <w:rPr>
          <w:sz w:val="20"/>
          <w:szCs w:val="20"/>
          <w:color w:val="auto"/>
        </w:rPr>
      </w:pPr>
      <w:r>
        <w:rPr>
          <w:rFonts w:ascii="Arial" w:cs="Arial" w:eastAsia="Arial" w:hAnsi="Arial"/>
          <w:sz w:val="22"/>
          <w:szCs w:val="22"/>
          <w:color w:val="auto"/>
        </w:rPr>
        <w:t>of our report dated March 12, 2020, with respect to the consolidated financial statements of Axsome Therapeutics, Inc. included in this Annual Report (Form 10-K) of Axsome Therapeutics, Inc. for the year ended December 31, 2019.</w:t>
      </w:r>
    </w:p>
    <w:p>
      <w:pPr>
        <w:spacing w:after="0" w:line="38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 Ernst &amp; Young LLP</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22"/>
          <w:szCs w:val="22"/>
          <w:color w:val="auto"/>
        </w:rPr>
        <w:t>New York, NY</w:t>
      </w:r>
    </w:p>
    <w:p>
      <w:pPr>
        <w:ind w:left="40"/>
        <w:spacing w:after="0"/>
        <w:rPr>
          <w:sz w:val="20"/>
          <w:szCs w:val="20"/>
          <w:color w:val="auto"/>
        </w:rPr>
      </w:pPr>
      <w:r>
        <w:rPr>
          <w:rFonts w:ascii="Arial" w:cs="Arial" w:eastAsia="Arial" w:hAnsi="Arial"/>
          <w:sz w:val="22"/>
          <w:szCs w:val="22"/>
          <w:color w:val="auto"/>
        </w:rPr>
        <w:t>March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222" w:name="page223"/>
    <w:bookmarkEnd w:id="22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Herriot Tabuteau, certify that:</w:t>
      </w:r>
    </w:p>
    <w:p>
      <w:pPr>
        <w:spacing w:after="0" w:line="144" w:lineRule="exact"/>
        <w:rPr>
          <w:sz w:val="20"/>
          <w:szCs w:val="20"/>
          <w:color w:val="auto"/>
        </w:rPr>
      </w:pPr>
    </w:p>
    <w:p>
      <w:pPr>
        <w:ind w:left="340" w:hanging="296"/>
        <w:spacing w:after="0"/>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Axsome Therapeutics, Inc.;</w:t>
      </w:r>
    </w:p>
    <w:p>
      <w:pPr>
        <w:spacing w:after="0" w:line="144" w:lineRule="exact"/>
        <w:rPr>
          <w:rFonts w:ascii="Arial" w:cs="Arial" w:eastAsia="Arial" w:hAnsi="Arial"/>
          <w:sz w:val="18"/>
          <w:szCs w:val="18"/>
          <w:color w:val="auto"/>
        </w:rPr>
      </w:pPr>
    </w:p>
    <w:p>
      <w:pPr>
        <w:jc w:val="both"/>
        <w:ind w:left="320" w:right="159" w:hanging="276"/>
        <w:spacing w:after="0" w:line="224" w:lineRule="auto"/>
        <w:tabs>
          <w:tab w:leader="none" w:pos="33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19" w:hanging="276"/>
        <w:spacing w:after="0" w:line="224" w:lineRule="auto"/>
        <w:tabs>
          <w:tab w:leader="none" w:pos="33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59" w:hanging="276"/>
        <w:spacing w:after="0" w:line="237" w:lineRule="auto"/>
        <w:tabs>
          <w:tab w:leader="none" w:pos="34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ind w:left="700" w:right="359" w:hanging="386"/>
        <w:spacing w:after="0" w:line="219" w:lineRule="auto"/>
        <w:tabs>
          <w:tab w:leader="none" w:pos="7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00" w:right="79" w:hanging="386"/>
        <w:spacing w:after="0" w:line="219" w:lineRule="auto"/>
        <w:tabs>
          <w:tab w:leader="none" w:pos="7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00" w:right="199" w:hanging="384"/>
        <w:spacing w:after="0" w:line="224" w:lineRule="auto"/>
        <w:tabs>
          <w:tab w:leader="none" w:pos="72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00" w:right="59" w:hanging="384"/>
        <w:spacing w:after="0" w:line="219" w:lineRule="auto"/>
        <w:tabs>
          <w:tab w:leader="none" w:pos="73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320" w:right="339" w:hanging="276"/>
        <w:spacing w:after="0" w:line="224" w:lineRule="auto"/>
        <w:tabs>
          <w:tab w:leader="none" w:pos="34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00" w:right="139" w:hanging="384"/>
        <w:spacing w:after="0" w:line="224" w:lineRule="auto"/>
        <w:tabs>
          <w:tab w:leader="none" w:pos="72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00" w:right="199" w:hanging="384"/>
        <w:spacing w:after="0" w:line="235" w:lineRule="auto"/>
        <w:tabs>
          <w:tab w:leader="none" w:pos="73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March 12, 2020</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wp:posOffset>
            </wp:positionV>
            <wp:extent cx="28289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500"/>
        <w:spacing w:after="0" w:line="203" w:lineRule="auto"/>
        <w:rPr>
          <w:sz w:val="20"/>
          <w:szCs w:val="20"/>
          <w:color w:val="auto"/>
        </w:rPr>
      </w:pPr>
      <w:r>
        <w:rPr>
          <w:rFonts w:ascii="Arial" w:cs="Arial" w:eastAsia="Arial" w:hAnsi="Arial"/>
          <w:sz w:val="18"/>
          <w:szCs w:val="18"/>
          <w:color w:val="auto"/>
        </w:rPr>
        <w:t>Herriot Tabuteau, M.D.</w:t>
      </w:r>
    </w:p>
    <w:p>
      <w:pPr>
        <w:ind w:left="450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441960</wp:posOffset>
            </wp:positionV>
            <wp:extent cx="565785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3" w:name="page224"/>
    <w:bookmarkEnd w:id="22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jc w:val="center"/>
        <w:ind w:right="19"/>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Nick Pizzie, certify that:</w:t>
      </w:r>
    </w:p>
    <w:p>
      <w:pPr>
        <w:spacing w:after="0" w:line="144" w:lineRule="exact"/>
        <w:rPr>
          <w:sz w:val="20"/>
          <w:szCs w:val="20"/>
          <w:color w:val="auto"/>
        </w:rPr>
      </w:pPr>
    </w:p>
    <w:p>
      <w:pPr>
        <w:ind w:left="340" w:hanging="296"/>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Axsome Therapeutics, Inc.;</w:t>
      </w:r>
    </w:p>
    <w:p>
      <w:pPr>
        <w:spacing w:after="0" w:line="144" w:lineRule="exact"/>
        <w:rPr>
          <w:rFonts w:ascii="Arial" w:cs="Arial" w:eastAsia="Arial" w:hAnsi="Arial"/>
          <w:sz w:val="18"/>
          <w:szCs w:val="18"/>
          <w:color w:val="auto"/>
        </w:rPr>
      </w:pPr>
    </w:p>
    <w:p>
      <w:pPr>
        <w:jc w:val="both"/>
        <w:ind w:left="320" w:right="159" w:hanging="276"/>
        <w:spacing w:after="0" w:line="224" w:lineRule="auto"/>
        <w:tabs>
          <w:tab w:leader="none" w:pos="3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19" w:hanging="276"/>
        <w:spacing w:after="0" w:line="224" w:lineRule="auto"/>
        <w:tabs>
          <w:tab w:leader="none" w:pos="3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59" w:hanging="276"/>
        <w:spacing w:after="0" w:line="237" w:lineRule="auto"/>
        <w:tabs>
          <w:tab w:leader="none" w:pos="33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ind w:left="700" w:right="359" w:hanging="386"/>
        <w:spacing w:after="0" w:line="219" w:lineRule="auto"/>
        <w:tabs>
          <w:tab w:leader="none" w:pos="7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00" w:right="79" w:hanging="386"/>
        <w:spacing w:after="0" w:line="219" w:lineRule="auto"/>
        <w:tabs>
          <w:tab w:leader="none" w:pos="7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00" w:right="199" w:hanging="384"/>
        <w:spacing w:after="0" w:line="224" w:lineRule="auto"/>
        <w:tabs>
          <w:tab w:leader="none" w:pos="72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00" w:right="59" w:hanging="384"/>
        <w:spacing w:after="0" w:line="219" w:lineRule="auto"/>
        <w:tabs>
          <w:tab w:leader="none" w:pos="73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320" w:right="339" w:hanging="276"/>
        <w:spacing w:after="0" w:line="224" w:lineRule="auto"/>
        <w:tabs>
          <w:tab w:leader="none" w:pos="33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00" w:right="139" w:hanging="384"/>
        <w:spacing w:after="0" w:line="224" w:lineRule="auto"/>
        <w:tabs>
          <w:tab w:leader="none" w:pos="72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00" w:right="199" w:hanging="384"/>
        <w:spacing w:after="0" w:line="235" w:lineRule="auto"/>
        <w:tabs>
          <w:tab w:leader="none" w:pos="73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March 12, 2020</w:t>
      </w:r>
      <w:r>
        <w:rPr>
          <w:sz w:val="20"/>
          <w:szCs w:val="20"/>
          <w:color w:val="auto"/>
        </w:rPr>
        <w:tab/>
      </w:r>
      <w:r>
        <w:rPr>
          <w:rFonts w:ascii="Arial" w:cs="Arial" w:eastAsia="Arial" w:hAnsi="Arial"/>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wp:posOffset>
            </wp:positionV>
            <wp:extent cx="28289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500"/>
        <w:spacing w:after="0" w:line="203" w:lineRule="auto"/>
        <w:rPr>
          <w:sz w:val="20"/>
          <w:szCs w:val="20"/>
          <w:color w:val="auto"/>
        </w:rPr>
      </w:pPr>
      <w:r>
        <w:rPr>
          <w:rFonts w:ascii="Arial" w:cs="Arial" w:eastAsia="Arial" w:hAnsi="Arial"/>
          <w:sz w:val="18"/>
          <w:szCs w:val="18"/>
          <w:color w:val="auto"/>
        </w:rPr>
        <w:t>Nick Pizzie</w:t>
      </w:r>
    </w:p>
    <w:p>
      <w:pPr>
        <w:ind w:left="450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553085</wp:posOffset>
            </wp:positionV>
            <wp:extent cx="565785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4" w:name="page225"/>
    <w:bookmarkEnd w:id="22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STATEMENT OF PRINCIPAL EXECUTIVE OFFICER OF</w:t>
      </w:r>
    </w:p>
    <w:p>
      <w:pPr>
        <w:ind w:left="3140"/>
        <w:spacing w:after="0" w:line="203" w:lineRule="auto"/>
        <w:rPr>
          <w:sz w:val="20"/>
          <w:szCs w:val="20"/>
          <w:color w:val="auto"/>
        </w:rPr>
      </w:pPr>
      <w:r>
        <w:rPr>
          <w:rFonts w:ascii="Arial" w:cs="Arial" w:eastAsia="Arial" w:hAnsi="Arial"/>
          <w:sz w:val="18"/>
          <w:szCs w:val="18"/>
          <w:b w:val="1"/>
          <w:bCs w:val="1"/>
          <w:color w:val="auto"/>
        </w:rPr>
        <w:t>AXSOME THERAPEUTICS, INC.</w:t>
      </w:r>
    </w:p>
    <w:p>
      <w:pPr>
        <w:ind w:left="2800"/>
        <w:spacing w:after="0" w:line="203" w:lineRule="auto"/>
        <w:rPr>
          <w:sz w:val="20"/>
          <w:szCs w:val="20"/>
          <w:color w:val="auto"/>
        </w:rPr>
      </w:pPr>
      <w:r>
        <w:rPr>
          <w:rFonts w:ascii="Arial" w:cs="Arial" w:eastAsia="Arial" w:hAnsi="Arial"/>
          <w:sz w:val="18"/>
          <w:szCs w:val="18"/>
          <w:b w:val="1"/>
          <w:bCs w:val="1"/>
          <w:color w:val="auto"/>
        </w:rPr>
        <w:t>PURSUANT TO 18 U.S.C. SECTION 1350,</w:t>
      </w:r>
    </w:p>
    <w:p>
      <w:pPr>
        <w:ind w:left="3240"/>
        <w:spacing w:after="0" w:line="204" w:lineRule="auto"/>
        <w:rPr>
          <w:sz w:val="20"/>
          <w:szCs w:val="20"/>
          <w:color w:val="auto"/>
        </w:rPr>
      </w:pPr>
      <w:r>
        <w:rPr>
          <w:rFonts w:ascii="Arial" w:cs="Arial" w:eastAsia="Arial" w:hAnsi="Arial"/>
          <w:sz w:val="18"/>
          <w:szCs w:val="18"/>
          <w:b w:val="1"/>
          <w:bCs w:val="1"/>
          <w:color w:val="auto"/>
        </w:rPr>
        <w:t>AS ADOPTED PURSUANT TO</w:t>
      </w:r>
    </w:p>
    <w:p>
      <w:pPr>
        <w:ind w:left="21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left="40" w:right="59" w:firstLine="432"/>
        <w:spacing w:after="0" w:line="219" w:lineRule="auto"/>
        <w:rPr>
          <w:sz w:val="20"/>
          <w:szCs w:val="20"/>
          <w:color w:val="auto"/>
        </w:rPr>
      </w:pPr>
      <w:r>
        <w:rPr>
          <w:rFonts w:ascii="Arial" w:cs="Arial" w:eastAsia="Arial" w:hAnsi="Arial"/>
          <w:sz w:val="18"/>
          <w:szCs w:val="18"/>
          <w:color w:val="auto"/>
        </w:rPr>
        <w:t>In connection with the annual report of Axsome Therapeutics, Inc. (the “Company”) on Form 10-K for the year ended December 31, 2019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22" w:lineRule="exact"/>
        <w:rPr>
          <w:sz w:val="20"/>
          <w:szCs w:val="20"/>
          <w:color w:val="auto"/>
        </w:rPr>
      </w:pPr>
    </w:p>
    <w:p>
      <w:pPr>
        <w:ind w:left="480" w:right="419" w:hanging="8"/>
        <w:spacing w:after="0" w:line="235" w:lineRule="auto"/>
        <w:tabs>
          <w:tab w:leader="none" w:pos="80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480" w:right="519" w:hanging="8"/>
        <w:spacing w:after="0" w:line="235" w:lineRule="auto"/>
        <w:tabs>
          <w:tab w:leader="none" w:pos="80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March 12, 2020</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wp:posOffset>
            </wp:positionV>
            <wp:extent cx="28289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4500"/>
        <w:spacing w:after="0" w:line="203" w:lineRule="auto"/>
        <w:rPr>
          <w:sz w:val="20"/>
          <w:szCs w:val="20"/>
          <w:color w:val="auto"/>
        </w:rPr>
      </w:pPr>
      <w:r>
        <w:rPr>
          <w:rFonts w:ascii="Arial" w:cs="Arial" w:eastAsia="Arial" w:hAnsi="Arial"/>
          <w:sz w:val="18"/>
          <w:szCs w:val="18"/>
          <w:color w:val="auto"/>
        </w:rPr>
        <w:t>Herriot Tabuteau, M.D.</w:t>
      </w:r>
    </w:p>
    <w:p>
      <w:pPr>
        <w:ind w:left="450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553085</wp:posOffset>
            </wp:positionV>
            <wp:extent cx="565785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5" w:name="page226"/>
    <w:bookmarkEnd w:id="225"/>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40" w:right="59"/>
        <w:spacing w:after="0" w:line="217" w:lineRule="auto"/>
        <w:rPr>
          <w:sz w:val="20"/>
          <w:szCs w:val="20"/>
          <w:color w:val="auto"/>
        </w:rPr>
      </w:pPr>
      <w:r>
        <w:rPr>
          <w:rFonts w:ascii="Arial" w:cs="Arial" w:eastAsia="Arial" w:hAnsi="Arial"/>
          <w:sz w:val="18"/>
          <w:szCs w:val="18"/>
          <w:b w:val="1"/>
          <w:bCs w:val="1"/>
          <w:color w:val="auto"/>
        </w:rPr>
        <w:t>STATEMENT OF PRINCIPAL FINANCIAL OFFICER OF AXSOME THERAPEUTICS, INC. PURSUANT TO 18 U.S.C. SECTION 1350, AS ADOPTED PURSUANT TO SECTION 906 OF THE SARBANES-OXLEY ACT OF 2002</w:t>
      </w:r>
    </w:p>
    <w:p>
      <w:pPr>
        <w:spacing w:after="0" w:line="121" w:lineRule="exact"/>
        <w:rPr>
          <w:sz w:val="20"/>
          <w:szCs w:val="20"/>
          <w:color w:val="auto"/>
        </w:rPr>
      </w:pPr>
    </w:p>
    <w:p>
      <w:pPr>
        <w:ind w:left="40" w:right="99" w:firstLine="432"/>
        <w:spacing w:after="0" w:line="219" w:lineRule="auto"/>
        <w:rPr>
          <w:sz w:val="20"/>
          <w:szCs w:val="20"/>
          <w:color w:val="auto"/>
        </w:rPr>
      </w:pPr>
      <w:r>
        <w:rPr>
          <w:rFonts w:ascii="Arial" w:cs="Arial" w:eastAsia="Arial" w:hAnsi="Arial"/>
          <w:sz w:val="18"/>
          <w:szCs w:val="18"/>
          <w:color w:val="auto"/>
        </w:rPr>
        <w:t>In connection with the annual report of Axsome Therapeutics, Inc. (the “Company”) on Form 10-K for the year ended December 31, 2019 as filed with the Securities and Exchange Commission (the “Report”), I, Nick Pizzie, Chief Financial Officer of the Company, certify, pursuant to 18 U.S.C. §1350, as adopted pursuant to §906 of the Sarbanes-Oxley Act of 2002, that, based on my knowledge:</w:t>
      </w:r>
    </w:p>
    <w:p>
      <w:pPr>
        <w:spacing w:after="0" w:line="122" w:lineRule="exact"/>
        <w:rPr>
          <w:sz w:val="20"/>
          <w:szCs w:val="20"/>
          <w:color w:val="auto"/>
        </w:rPr>
      </w:pPr>
    </w:p>
    <w:p>
      <w:pPr>
        <w:ind w:left="480" w:right="419" w:hanging="8"/>
        <w:spacing w:after="0" w:line="235" w:lineRule="auto"/>
        <w:tabs>
          <w:tab w:leader="none" w:pos="8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480" w:right="519" w:hanging="8"/>
        <w:spacing w:after="0" w:line="235" w:lineRule="auto"/>
        <w:tabs>
          <w:tab w:leader="none" w:pos="80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March 12, 2020</w:t>
      </w:r>
      <w:r>
        <w:rPr>
          <w:sz w:val="20"/>
          <w:szCs w:val="20"/>
          <w:color w:val="auto"/>
        </w:rPr>
        <w:tab/>
      </w:r>
      <w:r>
        <w:rPr>
          <w:rFonts w:ascii="Arial" w:cs="Arial" w:eastAsia="Arial" w:hAnsi="Arial"/>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wp:posOffset>
            </wp:positionV>
            <wp:extent cx="28289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ind w:left="4500"/>
        <w:spacing w:after="0" w:line="203" w:lineRule="auto"/>
        <w:rPr>
          <w:sz w:val="20"/>
          <w:szCs w:val="20"/>
          <w:color w:val="auto"/>
        </w:rPr>
      </w:pPr>
      <w:r>
        <w:rPr>
          <w:rFonts w:ascii="Arial" w:cs="Arial" w:eastAsia="Arial" w:hAnsi="Arial"/>
          <w:sz w:val="18"/>
          <w:szCs w:val="18"/>
          <w:color w:val="auto"/>
        </w:rPr>
        <w:t>Nick Pizzie</w:t>
      </w:r>
    </w:p>
    <w:p>
      <w:pPr>
        <w:ind w:left="450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553085</wp:posOffset>
            </wp:positionV>
            <wp:extent cx="565785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1)"/>
      <w:numFmt w:val="decimal"/>
      <w:start w:val="4"/>
    </w:lvl>
  </w:abstractNum>
  <w:abstractNum w:abstractNumId="7">
    <w:nsid w:val="354FE9F9"/>
    <w:multiLevelType w:val="hybridMultilevel"/>
    <w:lvl w:ilvl="0">
      <w:lvlJc w:val="left"/>
      <w:lvlText w:val="(%1)"/>
      <w:numFmt w:val="decimal"/>
      <w:start w:val="60"/>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1)"/>
      <w:numFmt w:val="decimal"/>
      <w:start w:val="2"/>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1."/>
      <w:numFmt w:val="decimal"/>
      <w:start w:val="12"/>
    </w:lvl>
  </w:abstractNum>
  <w:abstractNum w:abstractNumId="45">
    <w:nsid w:val="A0382C5"/>
    <w:multiLevelType w:val="hybridMultilevel"/>
    <w:lvl w:ilvl="0">
      <w:lvlJc w:val="left"/>
      <w:lvlText w:val="%1."/>
      <w:numFmt w:val="decimal"/>
      <w:start w:val="2"/>
    </w:lvl>
  </w:abstractNum>
  <w:abstractNum w:abstractNumId="46">
    <w:nsid w:val="8F2B15E"/>
    <w:multiLevelType w:val="hybridMultilevel"/>
    <w:lvl w:ilvl="0">
      <w:lvlJc w:val="left"/>
      <w:lvlText w:val="%1."/>
      <w:numFmt w:val="decimal"/>
      <w:start w:val="3"/>
    </w:lvl>
  </w:abstractNum>
  <w:abstractNum w:abstractNumId="47">
    <w:nsid w:val="1A32234B"/>
    <w:multiLevelType w:val="hybridMultilevel"/>
    <w:lvl w:ilvl="0">
      <w:lvlJc w:val="left"/>
      <w:lvlText w:val="(%1)"/>
      <w:numFmt w:val="lowerRoman"/>
      <w:start w:val="2"/>
    </w:lvl>
  </w:abstractNum>
  <w:abstractNum w:abstractNumId="48">
    <w:nsid w:val="3B0FD379"/>
    <w:multiLevelType w:val="hybridMultilevel"/>
    <w:lvl w:ilvl="0">
      <w:lvlJc w:val="left"/>
      <w:lvlText w:val="(%1)"/>
      <w:numFmt w:val="decimal"/>
      <w:start w:val="1"/>
    </w:lvl>
  </w:abstractNum>
  <w:abstractNum w:abstractNumId="49">
    <w:nsid w:val="68EB2F63"/>
    <w:multiLevelType w:val="hybridMultilevel"/>
    <w:lvl w:ilvl="0">
      <w:lvlJc w:val="left"/>
      <w:lvlText w:val="%1"/>
      <w:numFmt w:val="upperLetter"/>
      <w:start w:val="35"/>
    </w:lvl>
  </w:abstractNum>
  <w:abstractNum w:abstractNumId="50">
    <w:nsid w:val="4962813B"/>
    <w:multiLevelType w:val="hybridMultilevel"/>
    <w:lvl w:ilvl="0">
      <w:lvlJc w:val="left"/>
      <w:lvlText w:val="%1"/>
      <w:numFmt w:val="upperLetter"/>
      <w:start w:val="35"/>
    </w:lvl>
  </w:abstractNum>
  <w:abstractNum w:abstractNumId="51">
    <w:nsid w:val="60B6DF70"/>
    <w:multiLevelType w:val="hybridMultilevel"/>
    <w:lvl w:ilvl="0">
      <w:lvlJc w:val="left"/>
      <w:lvlText w:val="%1"/>
      <w:numFmt w:val="upperLetter"/>
      <w:start w:val="35"/>
    </w:lvl>
  </w:abstractNum>
  <w:abstractNum w:abstractNumId="52">
    <w:nsid w:val="6A5EE64"/>
    <w:multiLevelType w:val="hybridMultilevel"/>
    <w:lvl w:ilvl="0">
      <w:lvlJc w:val="left"/>
      <w:lvlText w:val="(%1)"/>
      <w:numFmt w:val="lowerRoman"/>
      <w:start w:val="2"/>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1."/>
      <w:numFmt w:val="decimal"/>
      <w:start w:val="1"/>
    </w:lvl>
  </w:abstractNum>
  <w:abstractNum w:abstractNumId="59">
    <w:nsid w:val="6EB5BD4"/>
    <w:multiLevelType w:val="hybridMultilevel"/>
    <w:lvl w:ilvl="0">
      <w:lvlJc w:val="left"/>
      <w:lvlText w:val="(%1)"/>
      <w:numFmt w:val="lowerLetter"/>
      <w:start w:val="2"/>
    </w:lvl>
  </w:abstractNum>
  <w:abstractNum w:abstractNumId="60">
    <w:nsid w:val="6F6DD9AC"/>
    <w:multiLevelType w:val="hybridMultilevel"/>
    <w:lvl w:ilvl="0">
      <w:lvlJc w:val="left"/>
      <w:lvlText w:val="(%1)"/>
      <w:numFmt w:val="lowerLetter"/>
      <w:start w:val="4"/>
    </w:lvl>
  </w:abstractNum>
  <w:abstractNum w:abstractNumId="61">
    <w:nsid w:val="94211F2"/>
    <w:multiLevelType w:val="hybridMultilevel"/>
    <w:lvl w:ilvl="0">
      <w:lvlJc w:val="left"/>
      <w:lvlText w:val="(%1)"/>
      <w:numFmt w:val="lowerLetter"/>
      <w:start w:val="2"/>
    </w:lvl>
  </w:abstractNum>
  <w:abstractNum w:abstractNumId="62">
    <w:nsid w:val="885E1B"/>
    <w:multiLevelType w:val="hybridMultilevel"/>
    <w:lvl w:ilvl="0">
      <w:lvlJc w:val="left"/>
      <w:lvlText w:val="(%1)"/>
      <w:numFmt w:val="lowerLetter"/>
      <w:start w:val="5"/>
    </w:lvl>
  </w:abstractNum>
  <w:abstractNum w:abstractNumId="63">
    <w:nsid w:val="76272110"/>
    <w:multiLevelType w:val="hybridMultilevel"/>
    <w:lvl w:ilvl="0">
      <w:lvlJc w:val="left"/>
      <w:lvlText w:val="%1."/>
      <w:numFmt w:val="decimal"/>
      <w:start w:val="2"/>
    </w:lvl>
  </w:abstractNum>
  <w:abstractNum w:abstractNumId="64">
    <w:nsid w:val="4C04A8AF"/>
    <w:multiLevelType w:val="hybridMultilevel"/>
    <w:lvl w:ilvl="0">
      <w:lvlJc w:val="left"/>
      <w:lvlText w:val="(%1)"/>
      <w:numFmt w:val="lowerLetter"/>
      <w:start w:val="3"/>
    </w:lvl>
  </w:abstractNum>
  <w:abstractNum w:abstractNumId="65">
    <w:nsid w:val="1716703B"/>
    <w:multiLevelType w:val="hybridMultilevel"/>
    <w:lvl w:ilvl="0">
      <w:lvlJc w:val="left"/>
      <w:lvlText w:val="%1."/>
      <w:numFmt w:val="decimal"/>
      <w:start w:val="3"/>
    </w:lvl>
  </w:abstractNum>
  <w:abstractNum w:abstractNumId="66">
    <w:nsid w:val="14E17E33"/>
    <w:multiLevelType w:val="hybridMultilevel"/>
    <w:lvl w:ilvl="0">
      <w:lvlJc w:val="left"/>
      <w:lvlText w:val="%1."/>
      <w:numFmt w:val="decimal"/>
      <w:start w:val="5"/>
    </w:lvl>
  </w:abstractNum>
  <w:abstractNum w:abstractNumId="67">
    <w:nsid w:val="3222E7CD"/>
    <w:multiLevelType w:val="hybridMultilevel"/>
    <w:lvl w:ilvl="0">
      <w:lvlJc w:val="left"/>
      <w:lvlText w:val="(%1)"/>
      <w:numFmt w:val="lowerLetter"/>
      <w:start w:val="1"/>
    </w:lvl>
  </w:abstractNum>
  <w:abstractNum w:abstractNumId="68">
    <w:nsid w:val="74DE0EE3"/>
    <w:multiLevelType w:val="hybridMultilevel"/>
    <w:lvl w:ilvl="0">
      <w:lvlJc w:val="left"/>
      <w:lvlText w:val="%1."/>
      <w:numFmt w:val="decimal"/>
      <w:start w:val="6"/>
    </w:lvl>
    <w:lvl w:ilvl="1">
      <w:lvlJc w:val="left"/>
      <w:lvlText w:val="[***]"/>
      <w:numFmt w:val="bullet"/>
      <w:start w:val="1"/>
    </w:lvl>
  </w:abstractNum>
  <w:abstractNum w:abstractNumId="69">
    <w:nsid w:val="68EBC550"/>
    <w:multiLevelType w:val="hybridMultilevel"/>
    <w:lvl w:ilvl="0">
      <w:lvlJc w:val="left"/>
      <w:lvlText w:val="%1."/>
      <w:numFmt w:val="decimal"/>
      <w:start w:val="7"/>
    </w:lvl>
    <w:lvl w:ilvl="1">
      <w:lvlJc w:val="left"/>
      <w:lvlText w:val="(%2)"/>
      <w:numFmt w:val="decimal"/>
      <w:start w:val="12"/>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1."/>
      <w:numFmt w:val="decimal"/>
      <w:start w:val="8"/>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lowerLetter"/>
      <w:start w:val="2"/>
    </w:lvl>
  </w:abstractNum>
  <w:abstractNum w:abstractNumId="74">
    <w:nsid w:val="57FC4FBB"/>
    <w:multiLevelType w:val="hybridMultilevel"/>
    <w:lvl w:ilvl="0">
      <w:lvlJc w:val="left"/>
      <w:lvlText w:val="(%1)"/>
      <w:numFmt w:val="lowerLetter"/>
      <w:start w:val="1"/>
    </w:lvl>
  </w:abstractNum>
  <w:abstractNum w:abstractNumId="75">
    <w:nsid w:val="CC1016F"/>
    <w:multiLevelType w:val="hybridMultilevel"/>
    <w:lvl w:ilvl="0">
      <w:lvlJc w:val="left"/>
      <w:lvlText w:val="(%1)"/>
      <w:numFmt w:val="lowerLetter"/>
      <w:start w:val="1"/>
    </w:lvl>
  </w:abstractNum>
  <w:abstractNum w:abstractNumId="76">
    <w:nsid w:val="43F18422"/>
    <w:multiLevelType w:val="hybridMultilevel"/>
    <w:lvl w:ilvl="0">
      <w:lvlJc w:val="left"/>
      <w:lvlText w:val="(%1)"/>
      <w:numFmt w:val="lowerLetter"/>
      <w:start w:val="2"/>
    </w:lvl>
  </w:abstractNum>
  <w:abstractNum w:abstractNumId="77">
    <w:nsid w:val="60EF0119"/>
    <w:multiLevelType w:val="hybridMultilevel"/>
    <w:lvl w:ilvl="0">
      <w:lvlJc w:val="left"/>
      <w:lvlText w:val="%1."/>
      <w:numFmt w:val="decimal"/>
      <w:start w:val="9"/>
    </w:lvl>
  </w:abstractNum>
  <w:abstractNum w:abstractNumId="78">
    <w:nsid w:val="26F324BA"/>
    <w:multiLevelType w:val="hybridMultilevel"/>
    <w:lvl w:ilvl="0">
      <w:lvlJc w:val="left"/>
      <w:lvlText w:val="(%1)"/>
      <w:numFmt w:val="decimal"/>
      <w:start w:val="7"/>
    </w:lvl>
  </w:abstractNum>
  <w:abstractNum w:abstractNumId="79">
    <w:nsid w:val="7F01579B"/>
    <w:multiLevelType w:val="hybridMultilevel"/>
    <w:lvl w:ilvl="0">
      <w:lvlJc w:val="left"/>
      <w:lvlText w:val="%1."/>
      <w:numFmt w:val="decimal"/>
      <w:start w:val="10"/>
    </w:lvl>
  </w:abstractNum>
  <w:abstractNum w:abstractNumId="80">
    <w:nsid w:val="49DA307D"/>
    <w:multiLevelType w:val="hybridMultilevel"/>
    <w:lvl w:ilvl="0">
      <w:lvlJc w:val="left"/>
      <w:lvlText w:val="%1."/>
      <w:numFmt w:val="decimal"/>
      <w:start w:val="11"/>
    </w:lvl>
  </w:abstractNum>
  <w:abstractNum w:abstractNumId="81">
    <w:nsid w:val="7055A5F5"/>
    <w:multiLevelType w:val="hybridMultilevel"/>
    <w:lvl w:ilvl="0">
      <w:lvlJc w:val="left"/>
      <w:lvlText w:val="(%1)"/>
      <w:numFmt w:val="lowerRoman"/>
      <w:start w:val="2"/>
    </w:lvl>
  </w:abstractNum>
  <w:abstractNum w:abstractNumId="82">
    <w:nsid w:val="5FB8370B"/>
    <w:multiLevelType w:val="hybridMultilevel"/>
    <w:lvl w:ilvl="0">
      <w:lvlJc w:val="left"/>
      <w:lvlText w:val="%1."/>
      <w:numFmt w:val="decimal"/>
      <w:start w:val="12"/>
    </w:lvl>
  </w:abstractNum>
  <w:abstractNum w:abstractNumId="83">
    <w:nsid w:val="50801EE1"/>
    <w:multiLevelType w:val="hybridMultilevel"/>
    <w:lvl w:ilvl="0">
      <w:lvlJc w:val="left"/>
      <w:lvlText w:val="(%1)"/>
      <w:numFmt w:val="lowerLetter"/>
      <w:start w:val="2"/>
    </w:lvl>
  </w:abstractNum>
  <w:abstractNum w:abstractNumId="84">
    <w:nsid w:val="488AC1A"/>
    <w:multiLevelType w:val="hybridMultilevel"/>
    <w:lvl w:ilvl="0">
      <w:lvlJc w:val="left"/>
      <w:lvlText w:val="%1."/>
      <w:numFmt w:val="decimal"/>
      <w:start w:val="13"/>
    </w:lvl>
  </w:abstractNum>
  <w:abstractNum w:abstractNumId="85">
    <w:nsid w:val="5FB8011C"/>
    <w:multiLevelType w:val="hybridMultilevel"/>
    <w:lvl w:ilvl="0">
      <w:lvlJc w:val="left"/>
      <w:lvlText w:val="%1."/>
      <w:numFmt w:val="decimal"/>
      <w:start w:val="14"/>
    </w:lvl>
  </w:abstractNum>
  <w:abstractNum w:abstractNumId="86">
    <w:nsid w:val="6AA78F7F"/>
    <w:multiLevelType w:val="hybridMultilevel"/>
    <w:lvl w:ilvl="0">
      <w:lvlJc w:val="left"/>
      <w:lvlText w:val="a"/>
      <w:numFmt w:val="bullet"/>
      <w:start w:val="1"/>
    </w:lvl>
  </w:abstractNum>
  <w:abstractNum w:abstractNumId="87">
    <w:nsid w:val="7672BD23"/>
    <w:multiLevelType w:val="hybridMultilevel"/>
    <w:lvl w:ilvl="0">
      <w:lvlJc w:val="left"/>
      <w:lvlText w:val="(%1)"/>
      <w:numFmt w:val="decimal"/>
      <w:start w:val="90"/>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1)"/>
      <w:numFmt w:val="lowerLetter"/>
      <w:start w:val="1"/>
    </w:lvl>
    <w:lvl w:ilvl="1">
      <w:lvlJc w:val="left"/>
      <w:lvlText w:val="(%2)"/>
      <w:numFmt w:val="lowerRoman"/>
      <w:start w:val="1"/>
    </w:lvl>
  </w:abstractNum>
  <w:abstractNum w:abstractNumId="90">
    <w:nsid w:val="7D5E18F8"/>
    <w:multiLevelType w:val="hybridMultilevel"/>
    <w:lvl w:ilvl="0">
      <w:lvlJc w:val="left"/>
      <w:lvlText w:val="%1."/>
      <w:numFmt w:val="decimal"/>
      <w:start w:val="15"/>
    </w:lvl>
    <w:lvl w:ilvl="1">
      <w:lvlJc w:val="left"/>
      <w:lvlText w:val="(%2)"/>
      <w:numFmt w:val="lowerRoman"/>
      <w:start w:val="2"/>
    </w:lvl>
  </w:abstractNum>
  <w:abstractNum w:abstractNumId="91">
    <w:nsid w:val="5F3534A4"/>
    <w:multiLevelType w:val="hybridMultilevel"/>
    <w:lvl w:ilvl="0">
      <w:lvlJc w:val="left"/>
      <w:lvlText w:val="%1"/>
      <w:numFmt w:val="decimal"/>
      <w:start w:val="1"/>
    </w:lvl>
    <w:lvl w:ilvl="1">
      <w:lvlJc w:val="left"/>
      <w:lvlText w:val="(%2)"/>
      <w:numFmt w:val="decimal"/>
      <w:start w:val="30"/>
    </w:lvl>
  </w:abstractNum>
  <w:abstractNum w:abstractNumId="92">
    <w:nsid w:val="73A1821B"/>
    <w:multiLevelType w:val="hybridMultilevel"/>
    <w:lvl w:ilvl="0">
      <w:lvlJc w:val="left"/>
      <w:lvlText w:val="%1."/>
      <w:numFmt w:val="decimal"/>
      <w:start w:val="17"/>
    </w:lvl>
    <w:lvl w:ilvl="1">
      <w:lvlJc w:val="left"/>
      <w:lvlText w:val="%2"/>
      <w:numFmt w:val="decimal"/>
      <w:start w:val="1"/>
    </w:lvl>
  </w:abstractNum>
  <w:abstractNum w:abstractNumId="93">
    <w:nsid w:val="7DE67713"/>
    <w:multiLevelType w:val="hybridMultilevel"/>
    <w:lvl w:ilvl="0">
      <w:lvlJc w:val="left"/>
      <w:lvlText w:val="%1."/>
      <w:numFmt w:val="decimal"/>
      <w:start w:val="18"/>
    </w:lvl>
  </w:abstractNum>
  <w:abstractNum w:abstractNumId="94">
    <w:nsid w:val="555C55B5"/>
    <w:multiLevelType w:val="hybridMultilevel"/>
    <w:lvl w:ilvl="0">
      <w:lvlJc w:val="left"/>
      <w:lvlText w:val="*"/>
      <w:numFmt w:val="bullet"/>
      <w:start w:val="1"/>
    </w:lvl>
  </w:abstractNum>
  <w:abstractNum w:abstractNumId="95">
    <w:nsid w:val="3FA62ACA"/>
    <w:multiLevelType w:val="hybridMultilevel"/>
    <w:lvl w:ilvl="0">
      <w:lvlJc w:val="left"/>
      <w:lvlText w:val="%1."/>
      <w:numFmt w:val="decimal"/>
      <w:start w:val="1"/>
    </w:lvl>
  </w:abstractNum>
  <w:abstractNum w:abstractNumId="96">
    <w:nsid w:val="14FCE74E"/>
    <w:multiLevelType w:val="hybridMultilevel"/>
    <w:lvl w:ilvl="0">
      <w:lvlJc w:val="left"/>
      <w:lvlText w:val="(%1)"/>
      <w:numFmt w:val="lowerLetter"/>
      <w:start w:val="1"/>
    </w:lvl>
  </w:abstractNum>
  <w:abstractNum w:abstractNumId="97">
    <w:nsid w:val="6A3DD3E8"/>
    <w:multiLevelType w:val="hybridMultilevel"/>
    <w:lvl w:ilvl="0">
      <w:lvlJc w:val="left"/>
      <w:lvlText w:val="%1."/>
      <w:numFmt w:val="decimal"/>
      <w:start w:val="6"/>
    </w:lvl>
  </w:abstractNum>
  <w:abstractNum w:abstractNumId="98">
    <w:nsid w:val="71C91298"/>
    <w:multiLevelType w:val="hybridMultilevel"/>
    <w:lvl w:ilvl="0">
      <w:lvlJc w:val="left"/>
      <w:lvlText w:val="(%1)"/>
      <w:numFmt w:val="lowerRoman"/>
      <w:start w:val="1"/>
    </w:lvl>
    <w:lvl w:ilvl="1">
      <w:lvlJc w:val="left"/>
      <w:lvlText w:val="%2."/>
      <w:numFmt w:val="decimal"/>
      <w:start w:val="7"/>
    </w:lvl>
  </w:abstractNum>
  <w:abstractNum w:abstractNumId="99">
    <w:nsid w:val="9DAF632"/>
    <w:multiLevelType w:val="hybridMultilevel"/>
    <w:lvl w:ilvl="0">
      <w:lvlJc w:val="left"/>
      <w:lvlText w:val="(%1)"/>
      <w:numFmt w:val="lowerLetter"/>
      <w:start w:val="1"/>
    </w:lvl>
  </w:abstractNum>
  <w:abstractNum w:abstractNumId="100">
    <w:nsid w:val="53299938"/>
    <w:multiLevelType w:val="hybridMultilevel"/>
    <w:lvl w:ilvl="0">
      <w:lvlJc w:val="left"/>
      <w:lvlText w:val="%1."/>
      <w:numFmt w:val="decimal"/>
      <w:start w:val="8"/>
    </w:lvl>
  </w:abstractNum>
  <w:abstractNum w:abstractNumId="101">
    <w:nsid w:val="1FBFE8E0"/>
    <w:multiLevelType w:val="hybridMultilevel"/>
    <w:lvl w:ilvl="0">
      <w:lvlJc w:val="left"/>
      <w:lvlText w:val="%1."/>
      <w:numFmt w:val="decimal"/>
      <w:start w:val="11"/>
    </w:lvl>
  </w:abstractNum>
  <w:abstractNum w:abstractNumId="102">
    <w:nsid w:val="5092CA79"/>
    <w:multiLevelType w:val="hybridMultilevel"/>
    <w:lvl w:ilvl="0">
      <w:lvlJc w:val="left"/>
      <w:lvlText w:val="%1."/>
      <w:numFmt w:val="decimal"/>
      <w:start w:val="16"/>
    </w:lvl>
  </w:abstractNum>
  <w:abstractNum w:abstractNumId="103">
    <w:nsid w:val="1D545C4D"/>
    <w:multiLevelType w:val="hybridMultilevel"/>
    <w:lvl w:ilvl="0">
      <w:lvlJc w:val="left"/>
      <w:lvlText w:val="%1."/>
      <w:numFmt w:val="decimal"/>
      <w:start w:val="22"/>
    </w:lvl>
  </w:abstractNum>
  <w:abstractNum w:abstractNumId="104">
    <w:nsid w:val="59ADEA3D"/>
    <w:multiLevelType w:val="hybridMultilevel"/>
    <w:lvl w:ilvl="0">
      <w:lvlJc w:val="left"/>
      <w:lvlText w:val="(%1)"/>
      <w:numFmt w:val="lowerLetter"/>
      <w:start w:val="3"/>
    </w:lvl>
  </w:abstractNum>
  <w:abstractNum w:abstractNumId="105">
    <w:nsid w:val="288F1A34"/>
    <w:multiLevelType w:val="hybridMultilevel"/>
    <w:lvl w:ilvl="0">
      <w:lvlJc w:val="left"/>
      <w:lvlText w:val="·"/>
      <w:numFmt w:val="bullet"/>
      <w:start w:val="1"/>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93"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176" Type="http://schemas.openxmlformats.org/officeDocument/2006/relationships/hyperlink" Target="http://www.sec.gov/Archives/edgar/data/1579428/000110465915081125/a15-24048_1ex3d1.htm" TargetMode="External"/><Relationship Id="rId177" Type="http://schemas.openxmlformats.org/officeDocument/2006/relationships/hyperlink" Target="http://www.sec.gov/Archives/edgar/data/1579428/000110465915081125/a15-24048_1ex3d2.htm" TargetMode="External"/><Relationship Id="rId178" Type="http://schemas.openxmlformats.org/officeDocument/2006/relationships/hyperlink" Target="http://www.sec.gov/Archives/edgar/data/1579428/000104746915008199/a2226320zex-4_1.htm" TargetMode="External"/><Relationship Id="rId179" Type="http://schemas.openxmlformats.org/officeDocument/2006/relationships/hyperlink" Target="http://www.sec.gov/Archives/edgar/data/1579428/000104746915007821/a2226220zex-4_2.htm" TargetMode="External"/><Relationship Id="rId180" Type="http://schemas.openxmlformats.org/officeDocument/2006/relationships/hyperlink" Target="http://www.sec.gov/Archives/edgar/data/1579428/000104746915007821/a2226220zex-4_3.htm" TargetMode="External"/><Relationship Id="rId181" Type="http://schemas.openxmlformats.org/officeDocument/2006/relationships/hyperlink" Target="http://www.sec.gov/Archives/edgar/data/1579428/000110465916156253/a16-21456_1ex4d1.htm" TargetMode="External"/><Relationship Id="rId182" Type="http://schemas.openxmlformats.org/officeDocument/2006/relationships/hyperlink" Target="http://www.sec.gov/Archives/edgar/data/1579428/000110465916156253/a16-21456_1ex4d2.htm" TargetMode="External"/><Relationship Id="rId183" Type="http://schemas.openxmlformats.org/officeDocument/2006/relationships/hyperlink" Target="http://www.sec.gov/Archives/edgar/data/1579428/000110465917071533/a17-27901_1ex4d1.htm" TargetMode="External"/><Relationship Id="rId184" Type="http://schemas.openxmlformats.org/officeDocument/2006/relationships/hyperlink" Target="http://www.sec.gov/Archives/edgar/data/1579428/000110465919042162/a19-16243_1ex10d2.htm" TargetMode="External"/><Relationship Id="rId185" Type="http://schemas.openxmlformats.org/officeDocument/2006/relationships/hyperlink" Target="http://www.sec.gov/Archives/edgar/data/1579428/000110465919042162/a19-16243_1ex10d3.htm" TargetMode="External"/><Relationship Id="rId186" Type="http://schemas.openxmlformats.org/officeDocument/2006/relationships/hyperlink" Target="http://www.sec.gov/Archives/edgar/data/1579428/000110465919042162/a19-16243_1ex10d4.htm" TargetMode="External"/><Relationship Id="rId187" Type="http://schemas.openxmlformats.org/officeDocument/2006/relationships/hyperlink" Target="http://www.sec.gov/Archives/edgar/data/1579428/000110465919042162/a19-16243_1ex10d5.htm" TargetMode="External"/><Relationship Id="rId188" Type="http://schemas.openxmlformats.org/officeDocument/2006/relationships/hyperlink" Target="http://www.sec.gov/Archives/edgar/data/1579428/000155837019002068/axsm-20181231ex4795fe83b.htm" TargetMode="External"/><Relationship Id="rId189" Type="http://schemas.openxmlformats.org/officeDocument/2006/relationships/hyperlink" Target="http://www.sec.gov/Archives/edgar/data/1579428/000155837019002068/axsm-20181231ex48c7de199.htm" TargetMode="External"/><Relationship Id="rId190" Type="http://schemas.openxmlformats.org/officeDocument/2006/relationships/hyperlink" Target="http://www.sec.gov/Archives/edgar/data/1579428/000104746915007821/a2226220zex-10_1.htm" TargetMode="External"/><Relationship Id="rId191" Type="http://schemas.openxmlformats.org/officeDocument/2006/relationships/hyperlink" Target="http://www.sec.gov/Archives/edgar/data/1579428/000104746915008199/a2226320zex-10_6.htm" TargetMode="External"/><Relationship Id="rId192" Type="http://schemas.openxmlformats.org/officeDocument/2006/relationships/hyperlink" Target="http://www.sec.gov/Archives/edgar/data/1579428/000110465915085196/a15-24973_1ex99d2.htm" TargetMode="External"/><Relationship Id="rId194" Type="http://schemas.openxmlformats.org/officeDocument/2006/relationships/hyperlink" Target="http://www.sec.gov/Archives/edgar/data/1579428/000104746915007821/a2226220zex-10_2.htm" TargetMode="External"/><Relationship Id="rId195" Type="http://schemas.openxmlformats.org/officeDocument/2006/relationships/hyperlink" Target="http://www.sec.gov/Archives/edgar/data/1579428/000104746915007821/a2226220zex-10_3.htm" TargetMode="External"/><Relationship Id="rId196" Type="http://schemas.openxmlformats.org/officeDocument/2006/relationships/hyperlink" Target="http://www.sec.gov/Archives/edgar/data/1579428/000104746915007821/a2226220zex-10_4.htm" TargetMode="External"/><Relationship Id="rId197" Type="http://schemas.openxmlformats.org/officeDocument/2006/relationships/hyperlink" Target="http://www.sec.gov/Archives/edgar/data/1579428/000104746915007821/a2226220zex-10_5.htm" TargetMode="External"/><Relationship Id="rId198" Type="http://schemas.openxmlformats.org/officeDocument/2006/relationships/hyperlink" Target="http://www.sec.gov/Archives/edgar/data/1579428/000110465916156253/a16-21456_1ex10d1.htm" TargetMode="External"/><Relationship Id="rId199" Type="http://schemas.openxmlformats.org/officeDocument/2006/relationships/hyperlink" Target="http://www.sec.gov/Archives/edgar/data/1579428/000110465917071533/a17-27901_1ex10d1.htm" TargetMode="External"/><Relationship Id="rId200" Type="http://schemas.openxmlformats.org/officeDocument/2006/relationships/hyperlink" Target="http://www.sec.gov/Archives/edgar/data/1579428/000155837018006756/axsm-20180630ex1017df60b.htm" TargetMode="External"/><Relationship Id="rId201" Type="http://schemas.openxmlformats.org/officeDocument/2006/relationships/hyperlink" Target="http://www.sec.gov/Archives/edgar/data/1579428/000110465918059225/a18-36094_1ex10d1.htm" TargetMode="External"/><Relationship Id="rId202" Type="http://schemas.openxmlformats.org/officeDocument/2006/relationships/hyperlink" Target="http://www.sec.gov/Archives/edgar/data/1579428/000155837019002068/axsm-20181231ex10144b86d.htm" TargetMode="External"/><Relationship Id="rId203" Type="http://schemas.openxmlformats.org/officeDocument/2006/relationships/hyperlink" Target="http://www.sec.gov/Archives/edgar/data/1579428/000110465919042162/a19-16243_1ex10d1.htm" TargetMode="External"/><Relationship Id="rId204" Type="http://schemas.openxmlformats.org/officeDocument/2006/relationships/hyperlink" Target="http://www.sec.gov/Archives/edgar/data/1579428/000110465920003255/tm203196d1_ex10-1.htm" TargetMode="External"/><Relationship Id="rId205" Type="http://schemas.openxmlformats.org/officeDocument/2006/relationships/hyperlink" Target="http://www.sec.gov/Archives/edgar/data/1579428/000104746915007821/a2226220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2020-03-12T16:33:30Z</dcterms:created>
  <dcterms:modified xsi:type="dcterms:W3CDTF">2020-03-12T16:33:30Z</dcterms:modified>
</cp:coreProperties>
</file>