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09,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20" w:type="dxa"/>
        <w:tblCellMar>
          <w:top w:w="0" w:type="dxa"/>
          <w:left w:w="0" w:type="dxa"/>
          <w:bottom w:w="0" w:type="dxa"/>
          <w:right w:w="0" w:type="dxa"/>
        </w:tblCellMar>
      </w:tblPr>
      <w:tr>
        <w:trPr>
          <w:trHeight w:val="235"/>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On January 9, 2023, Axsome Therapeutics Inc., a Delaware corporation (the “Company”), entered into a Third Amendment (the “Third Amendment”) to its Loan and Security Agreement (the “Loan Agreement”) with Hercules Capital, Inc., a Maryland corporation (“Hercules”), in its capacity as administrative agent and collateral agent, and the other financial institutions or entities party thereto as lenders (the “Lenders”). The Third Amendment increases the size of the Term Loan Advance (as defined in the Loan Agreement) to $350,000,000, reduces the interest rate, and extends the maturity and interest-only period of the Loan Agreement, as further described below.</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Third Amendment amended the terms of that certain Loan and Security Agreement, dated as of September 25, 2020, by and among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Hercules and the Lenders (as amended by the First Amendment to Loan and Security Agreement, dated as of October 14, 2021,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Loan and Security Agreement, dated as of March 27, 2022, and as further amended by the Third Amendment) to, among other things,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 the maturity date to January 1, 2028, unless the Company meets certain revenue targets as described in the Loan Agreement, in which case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can extend the Maturity Date to January 1, 2029; (ii) increase the aggregate principal amount under the Loan Agreement from $300,000,000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$350,000,000; (iii) subject to the terms and conditions in the Loan Agreement, change the Term Loan Advance amounts and dates available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 1 Advance (as defined in the Loan Agreement) through Tranche 5 Advance (as defined in the Loan Agreement immediately prior to the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including increasing the Tranche 1 Advance (as defined in the Loan Agreement) from one tranche of $95,000,000 to five sub-tranches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$95,000,000, $55,000,000, $30,000,000, $35,000,000 and $35,000,000, respectively, changing the Tranche 2 Advance (as defined in the Loan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three sub-tranches of $35,000,000, $35,000,000 and $30,000,000 to one tranche of $25,000,000, changing the Tranche 3 Advance (as defined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Agreement) from two sub-tranches of $15,000,000 and $5,000,000 to one tranche of $75,000,000, and removing the Tranche 4 Advance (as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Loan Agreement immediately prior to the Third Amendment) and Tranche 5 Advance (as defined in the Loan Agreement immediately prior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Amendment) entirely; (iv) revise the interest rate applicable to extensions of credit under the Loan Agreement to equal the greater of (a) 9.95%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or (b) the prime rate (as reported in The Wall Street Journal) plus 2.20% per annum, (v) increase the minimum cash requirement of the Company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$30,000,000 (plus certain accounts payable amounts); and (vi) pay a facility fee equal to 0.75% of the amount of principal actually funded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Tranche 1B Advance, Tranche 1C Advance, Tranche 1D Advance, Tranche 1E Advance, Tranche 2 Advance and Tranche 3 Advance (each as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Loan Agreement).</w:t>
      </w:r>
    </w:p>
    <w:p>
      <w:pPr>
        <w:spacing w:after="0" w:line="315"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Third Amendment does not purport to be complete and is qualified in its entirety by reference to the complete terms and conditions of the Third Amendment to be filed as an exhibit to the Company’s next periodic report filed with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121"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On January 9, 2023, the Company announced that in part as a result of the Third Amendment, the Company now believes that its current cash, along with the remaining committed capital from the Loan Agreement, is sufficient to fund anticipated operations to cash flow positivity, based on the current operating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1"/>
                <w:szCs w:val="21"/>
                <w:color w:val="auto"/>
              </w:rPr>
            </w:pPr>
          </w:p>
        </w:tc>
        <w:tc>
          <w:tcPr>
            <w:tcW w:w="940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45"/>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76"/>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9, 2023</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5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560" w:type="dxa"/>
            <w:vAlign w:val="bottom"/>
          </w:tcPr>
          <w:p>
            <w:pPr>
              <w:ind w:left="19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5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38"/>
        </w:trPr>
        <w:tc>
          <w:tcPr>
            <w:tcW w:w="5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2023-01-09T06:07:52Z</dcterms:created>
  <dcterms:modified xsi:type="dcterms:W3CDTF">2023-01-09T06:07:52Z</dcterms:modified>
</cp:coreProperties>
</file>