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05464T104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ind w:left="980" w:hanging="558"/>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9"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980" w:hanging="558"/>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0"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hanging="587"/>
        <w:spacing w:after="0"/>
        <w:tabs>
          <w:tab w:leader="none" w:pos="992"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Venrock Healthcare Capital Partners II, L.P.</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2"/>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5"/>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hanging="587"/>
        <w:spacing w:after="0"/>
        <w:tabs>
          <w:tab w:leader="none" w:pos="992"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VHCP Co-Investment Holdings II, LLC</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6"/>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3" w:name="page4"/>
    <w:bookmarkEnd w:id="3"/>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hanging="587"/>
        <w:spacing w:after="0"/>
        <w:tabs>
          <w:tab w:leader="none" w:pos="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Venrock Healthcare Capital Partners III, L.P.</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4" w:name="page5"/>
    <w:bookmarkEnd w:id="4"/>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hanging="587"/>
        <w:spacing w:after="0"/>
        <w:tabs>
          <w:tab w:leader="none" w:pos="9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VHCP Co-Investment Holdings III, LLC</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5" w:name="page6"/>
    <w:bookmarkEnd w:id="5"/>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right="8240" w:hanging="587"/>
        <w:spacing w:after="0" w:line="342" w:lineRule="auto"/>
        <w:tabs>
          <w:tab w:leader="none" w:pos="992"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Reporting Persons VHCP Management II, LLC</w:t>
      </w:r>
    </w:p>
    <w:p>
      <w:pPr>
        <w:spacing w:after="0" w:line="123" w:lineRule="exact"/>
        <w:rPr>
          <w:rFonts w:ascii="Arial" w:cs="Arial" w:eastAsia="Arial" w:hAnsi="Arial"/>
          <w:sz w:val="16"/>
          <w:szCs w:val="16"/>
          <w:color w:val="auto"/>
        </w:rPr>
      </w:pPr>
    </w:p>
    <w:p>
      <w:pPr>
        <w:ind w:left="992" w:hanging="587"/>
        <w:spacing w:after="0"/>
        <w:tabs>
          <w:tab w:leader="none" w:pos="992"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6" w:name="page7"/>
    <w:bookmarkEnd w:id="6"/>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right="8180" w:hanging="587"/>
        <w:spacing w:after="0" w:line="308" w:lineRule="auto"/>
        <w:tabs>
          <w:tab w:leader="none" w:pos="9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Name of Reporting Persons VHCP Management III, LLC</w:t>
      </w:r>
    </w:p>
    <w:p>
      <w:pPr>
        <w:spacing w:after="0" w:line="146" w:lineRule="exact"/>
        <w:rPr>
          <w:rFonts w:ascii="Arial" w:cs="Arial" w:eastAsia="Arial" w:hAnsi="Arial"/>
          <w:sz w:val="17"/>
          <w:szCs w:val="17"/>
          <w:color w:val="auto"/>
        </w:rPr>
      </w:pPr>
    </w:p>
    <w:p>
      <w:pPr>
        <w:ind w:left="992" w:hanging="587"/>
        <w:spacing w:after="0"/>
        <w:tabs>
          <w:tab w:leader="none" w:pos="9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7" w:name="page8"/>
    <w:bookmarkEnd w:id="7"/>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right="8320" w:hanging="587"/>
        <w:spacing w:after="0" w:line="277" w:lineRule="auto"/>
        <w:tabs>
          <w:tab w:leader="none" w:pos="9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Persons Shah, Nimish</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26"/>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26"/>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8" w:name="page9"/>
    <w:bookmarkEnd w:id="8"/>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92" w:right="8320" w:hanging="587"/>
        <w:spacing w:after="0" w:line="277" w:lineRule="auto"/>
        <w:tabs>
          <w:tab w:leader="none" w:pos="9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Persons Koh, Bong</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72" w:hanging="686"/>
        <w:spacing w:after="0"/>
        <w:tabs>
          <w:tab w:leader="none" w:pos="16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x(1)</w:t>
      </w:r>
    </w:p>
    <w:p>
      <w:pPr>
        <w:spacing w:after="0" w:line="9" w:lineRule="exact"/>
        <w:rPr>
          <w:rFonts w:ascii="Arial" w:cs="Arial" w:eastAsia="Arial" w:hAnsi="Arial"/>
          <w:sz w:val="18"/>
          <w:szCs w:val="18"/>
          <w:color w:val="auto"/>
        </w:rPr>
      </w:pPr>
    </w:p>
    <w:p>
      <w:pPr>
        <w:ind w:left="1672" w:hanging="686"/>
        <w:spacing w:after="0"/>
        <w:tabs>
          <w:tab w:leader="none" w:pos="16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o</w:t>
      </w:r>
    </w:p>
    <w:p>
      <w:pPr>
        <w:spacing w:after="0" w:line="224" w:lineRule="exact"/>
        <w:rPr>
          <w:rFonts w:ascii="Arial" w:cs="Arial" w:eastAsia="Arial" w:hAnsi="Arial"/>
          <w:sz w:val="18"/>
          <w:szCs w:val="18"/>
          <w:color w:val="auto"/>
        </w:rPr>
      </w:pPr>
    </w:p>
    <w:p>
      <w:pPr>
        <w:ind w:left="992" w:hanging="587"/>
        <w:spacing w:after="0"/>
        <w:tabs>
          <w:tab w:leader="none" w:pos="9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92" w:right="7680" w:hanging="587"/>
        <w:spacing w:after="0" w:line="277" w:lineRule="auto"/>
        <w:tabs>
          <w:tab w:leader="none" w:pos="9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-19050</wp:posOffset>
            </wp:positionV>
            <wp:extent cx="66548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-431165</wp:posOffset>
            </wp:positionV>
            <wp:extent cx="66548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-705485</wp:posOffset>
            </wp:positionV>
            <wp:extent cx="62172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-850900</wp:posOffset>
            </wp:positionV>
            <wp:extent cx="62172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-1263015</wp:posOffset>
            </wp:positionV>
            <wp:extent cx="66548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6.</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tabs>
          <w:tab w:leader="none" w:pos="1552" w:val="left"/>
        </w:tabs>
        <w:rPr>
          <w:sz w:val="20"/>
          <w:szCs w:val="20"/>
          <w:color w:val="auto"/>
        </w:rPr>
      </w:pP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7.</w:t>
      </w:r>
    </w:p>
    <w:p>
      <w:pPr>
        <w:spacing w:after="0" w:line="55"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2,333,975(2)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59347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92" w:space="420"/>
            <w:col w:w="9180"/>
          </w:cols>
          <w:pgMar w:left="248" w:top="908" w:right="359" w:bottom="1440" w:gutter="0" w:footer="0" w:header="0"/>
          <w:type w:val="continuous"/>
        </w:sectPr>
      </w:pPr>
    </w:p>
    <w:p>
      <w:pPr>
        <w:ind w:left="2112" w:right="7300" w:hanging="545"/>
        <w:spacing w:after="0" w:line="261" w:lineRule="auto"/>
        <w:tabs>
          <w:tab w:leader="none" w:pos="2112" w:val="left"/>
        </w:tabs>
        <w:numPr>
          <w:ilvl w:val="2"/>
          <w:numId w:val="31"/>
        </w:numPr>
        <w:rPr>
          <w:rFonts w:ascii="Arial" w:cs="Arial" w:eastAsia="Arial" w:hAnsi="Arial"/>
          <w:sz w:val="18"/>
          <w:szCs w:val="18"/>
          <w:color w:val="auto"/>
        </w:rPr>
      </w:pPr>
      <w:r>
        <w:rPr>
          <w:rFonts w:ascii="Arial" w:cs="Arial" w:eastAsia="Arial" w:hAnsi="Arial"/>
          <w:sz w:val="18"/>
          <w:szCs w:val="18"/>
          <w:color w:val="auto"/>
        </w:rPr>
        <w:t>Shared Dispositive Power 2,333,975(2)</w:t>
      </w:r>
    </w:p>
    <w:p>
      <w:pPr>
        <w:spacing w:after="0" w:line="183" w:lineRule="exact"/>
        <w:rPr>
          <w:rFonts w:ascii="Arial" w:cs="Arial" w:eastAsia="Arial" w:hAnsi="Arial"/>
          <w:sz w:val="18"/>
          <w:szCs w:val="18"/>
          <w:color w:val="auto"/>
        </w:rPr>
      </w:pPr>
    </w:p>
    <w:p>
      <w:pPr>
        <w:ind w:left="992" w:right="5500" w:hanging="587"/>
        <w:spacing w:after="0" w:line="277" w:lineRule="auto"/>
        <w:tabs>
          <w:tab w:leader="none" w:pos="9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2,333,975(2)</w:t>
      </w:r>
    </w:p>
    <w:p>
      <w:pPr>
        <w:spacing w:after="0" w:line="170" w:lineRule="exact"/>
        <w:rPr>
          <w:rFonts w:ascii="Arial" w:cs="Arial" w:eastAsia="Arial" w:hAnsi="Arial"/>
          <w:sz w:val="18"/>
          <w:szCs w:val="18"/>
          <w:color w:val="auto"/>
        </w:rPr>
      </w:pPr>
    </w:p>
    <w:p>
      <w:pPr>
        <w:ind w:left="992" w:hanging="587"/>
        <w:spacing w:after="0"/>
        <w:tabs>
          <w:tab w:leader="none" w:pos="9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92" w:hanging="587"/>
        <w:spacing w:after="0"/>
        <w:tabs>
          <w:tab w:leader="none" w:pos="9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6.3%(3)</w:t>
      </w:r>
    </w:p>
    <w:p>
      <w:pPr>
        <w:spacing w:after="0" w:line="210" w:lineRule="exact"/>
        <w:rPr>
          <w:rFonts w:ascii="Arial" w:cs="Arial" w:eastAsia="Arial" w:hAnsi="Arial"/>
          <w:sz w:val="18"/>
          <w:szCs w:val="18"/>
          <w:color w:val="auto"/>
        </w:rPr>
      </w:pPr>
    </w:p>
    <w:p>
      <w:pPr>
        <w:ind w:left="992" w:hanging="587"/>
        <w:spacing w:after="0"/>
        <w:tabs>
          <w:tab w:leader="none" w:pos="9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1"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13G/A.</w:t>
      </w:r>
    </w:p>
    <w:p>
      <w:pPr>
        <w:ind w:left="372" w:right="120" w:hanging="372"/>
        <w:spacing w:after="0" w:line="281" w:lineRule="auto"/>
        <w:tabs>
          <w:tab w:leader="none" w:pos="372"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559,326 shares owned by Venrock Healthcare Capital Partners II, L.P., 226,655 shares owned by VHCP Co-Investment Holdings II, LLC, 1,407,363 shares owned by Venrock Healthcare Capital Partners III, L.P. and 140,631 shares owned by VHCP Co-Investment Holdings III, LLC.</w:t>
      </w:r>
    </w:p>
    <w:p>
      <w:pPr>
        <w:spacing w:after="0" w:line="1" w:lineRule="exact"/>
        <w:rPr>
          <w:rFonts w:ascii="Arial" w:cs="Arial" w:eastAsia="Arial" w:hAnsi="Arial"/>
          <w:sz w:val="16"/>
          <w:szCs w:val="16"/>
          <w:color w:val="auto"/>
        </w:rPr>
      </w:pPr>
    </w:p>
    <w:p>
      <w:pPr>
        <w:ind w:left="372" w:right="240" w:hanging="372"/>
        <w:spacing w:after="0" w:line="261" w:lineRule="auto"/>
        <w:tabs>
          <w:tab w:leader="none" w:pos="3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percentage is calculated based upon 36,796,846 shares of the Issuer’s common stock outstanding following the closing of its public offering, as reported in the Issuer’s prospectus filed with the Securities and Exchange Commission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-1134110</wp:posOffset>
            </wp:positionV>
            <wp:extent cx="66548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-1545590</wp:posOffset>
            </wp:positionV>
            <wp:extent cx="66548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-1957705</wp:posOffset>
            </wp:positionV>
            <wp:extent cx="66548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-2232025</wp:posOffset>
            </wp:positionV>
            <wp:extent cx="66548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-2643505</wp:posOffset>
            </wp:positionV>
            <wp:extent cx="59347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8097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908" w:right="359"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Introductory Note: This Schedule 13G/A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III, L.P., a limited partnership organized under the laws of the State of Delaware (“VHCP III LP”), VHCP Co-Investment Holdings III, LLC, a limited liability company organized under the laws of the State of Delaware (“VHCP Co-Investment III”), VHCP Management II, LLC, a limited liability company organized under the laws of the State of Delaware (“VHCP Management II”), VHCP Management III, LLC, a limited liability company organized under the laws of the State of Delaware (“VHCP Management III” and collectively with VHCP II LP, VHCP Co-Investment II, VHCP III LP, VHCP Co-Investment III and VHCP Management II, the “Venrock Entities”), Nimish Shah (“Shah”) and Bong Koh (“Koh”) in respect of Common Stock of Axsome Therapeutics, Inc.</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440" w:hanging="460"/>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Axsome Therapeutics, Inc.</w:t>
      </w:r>
    </w:p>
    <w:p>
      <w:pPr>
        <w:spacing w:after="0" w:line="89" w:lineRule="exact"/>
        <w:rPr>
          <w:rFonts w:ascii="Arial" w:cs="Arial" w:eastAsia="Arial" w:hAnsi="Arial"/>
          <w:sz w:val="18"/>
          <w:szCs w:val="18"/>
          <w:color w:val="auto"/>
        </w:rPr>
      </w:pPr>
    </w:p>
    <w:p>
      <w:pPr>
        <w:ind w:left="1440" w:right="6560" w:hanging="460"/>
        <w:spacing w:after="0" w:line="212" w:lineRule="auto"/>
        <w:tabs>
          <w:tab w:leader="none" w:pos="1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 of Issuer’s Principal Executive Offices 200 Broadway,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New York, NY 10038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4445</wp:posOffset>
            </wp:positionV>
            <wp:extent cx="63715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-492125</wp:posOffset>
            </wp:positionV>
            <wp:extent cx="6371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440" w:hanging="4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right="6760"/>
        <w:spacing w:after="0" w:line="265" w:lineRule="auto"/>
        <w:rPr>
          <w:rFonts w:ascii="Arial" w:cs="Arial" w:eastAsia="Arial" w:hAnsi="Arial"/>
          <w:sz w:val="18"/>
          <w:szCs w:val="18"/>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VHCP Management II, LLC</w:t>
      </w:r>
    </w:p>
    <w:p>
      <w:pPr>
        <w:spacing w:after="0" w:line="1" w:lineRule="exact"/>
        <w:rPr>
          <w:rFonts w:ascii="Arial" w:cs="Arial" w:eastAsia="Arial" w:hAnsi="Arial"/>
          <w:sz w:val="18"/>
          <w:szCs w:val="18"/>
          <w:color w:val="auto"/>
        </w:rPr>
      </w:pPr>
    </w:p>
    <w:p>
      <w:pPr>
        <w:ind w:left="1440" w:right="7860"/>
        <w:spacing w:after="0" w:line="250" w:lineRule="auto"/>
        <w:rPr>
          <w:rFonts w:ascii="Arial" w:cs="Arial" w:eastAsia="Arial" w:hAnsi="Arial"/>
          <w:sz w:val="18"/>
          <w:szCs w:val="18"/>
          <w:color w:val="auto"/>
        </w:rPr>
      </w:pPr>
      <w:r>
        <w:rPr>
          <w:rFonts w:ascii="Arial" w:cs="Arial" w:eastAsia="Arial" w:hAnsi="Arial"/>
          <w:sz w:val="18"/>
          <w:szCs w:val="18"/>
          <w:color w:val="auto"/>
        </w:rPr>
        <w:t>VHCP Management III, LLC Nimish Shah</w:t>
      </w:r>
    </w:p>
    <w:p>
      <w:pPr>
        <w:ind w:left="1440"/>
        <w:spacing w:after="0"/>
        <w:rPr>
          <w:rFonts w:ascii="Arial" w:cs="Arial" w:eastAsia="Arial" w:hAnsi="Arial"/>
          <w:sz w:val="18"/>
          <w:szCs w:val="18"/>
          <w:color w:val="auto"/>
        </w:rPr>
      </w:pPr>
      <w:r>
        <w:rPr>
          <w:rFonts w:ascii="Arial" w:cs="Arial" w:eastAsia="Arial" w:hAnsi="Arial"/>
          <w:sz w:val="18"/>
          <w:szCs w:val="18"/>
          <w:color w:val="auto"/>
        </w:rPr>
        <w:t>Bong Koh</w:t>
      </w:r>
    </w:p>
    <w:p>
      <w:pPr>
        <w:spacing w:after="0" w:line="89" w:lineRule="exact"/>
        <w:rPr>
          <w:rFonts w:ascii="Arial" w:cs="Arial" w:eastAsia="Arial" w:hAnsi="Arial"/>
          <w:sz w:val="18"/>
          <w:szCs w:val="18"/>
          <w:color w:val="auto"/>
        </w:rPr>
      </w:pPr>
    </w:p>
    <w:p>
      <w:pPr>
        <w:ind w:left="1440" w:hanging="460"/>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-181610</wp:posOffset>
            </wp:positionV>
            <wp:extent cx="63715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2680" w:type="dxa"/>
            <w:vAlign w:val="bottom"/>
          </w:tcPr>
          <w:p>
            <w:pPr>
              <w:ind w:left="60"/>
              <w:spacing w:after="0"/>
              <w:rPr>
                <w:sz w:val="20"/>
                <w:szCs w:val="20"/>
                <w:color w:val="auto"/>
              </w:rPr>
            </w:pPr>
            <w:r>
              <w:rPr>
                <w:rFonts w:ascii="Arial" w:cs="Arial" w:eastAsia="Arial" w:hAnsi="Arial"/>
                <w:sz w:val="18"/>
                <w:szCs w:val="18"/>
                <w:color w:val="auto"/>
              </w:rPr>
              <w:t>New York Office:</w:t>
            </w:r>
          </w:p>
        </w:tc>
        <w:tc>
          <w:tcPr>
            <w:tcW w:w="7360" w:type="dxa"/>
            <w:vAlign w:val="bottom"/>
          </w:tcPr>
          <w:p>
            <w:pPr>
              <w:ind w:left="1040"/>
              <w:spacing w:after="0"/>
              <w:rPr>
                <w:sz w:val="20"/>
                <w:szCs w:val="20"/>
                <w:color w:val="auto"/>
              </w:rPr>
            </w:pPr>
            <w:r>
              <w:rPr>
                <w:rFonts w:ascii="Arial" w:cs="Arial" w:eastAsia="Arial" w:hAnsi="Arial"/>
                <w:sz w:val="18"/>
                <w:szCs w:val="18"/>
                <w:color w:val="auto"/>
              </w:rPr>
              <w:t>Palo Alto Office:</w:t>
            </w:r>
          </w:p>
        </w:tc>
      </w:tr>
      <w:tr>
        <w:trPr>
          <w:trHeight w:val="418"/>
        </w:trPr>
        <w:tc>
          <w:tcPr>
            <w:tcW w:w="2680" w:type="dxa"/>
            <w:vAlign w:val="bottom"/>
          </w:tcPr>
          <w:p>
            <w:pPr>
              <w:ind w:left="60"/>
              <w:spacing w:after="0"/>
              <w:rPr>
                <w:sz w:val="20"/>
                <w:szCs w:val="20"/>
                <w:color w:val="auto"/>
              </w:rPr>
            </w:pPr>
            <w:r>
              <w:rPr>
                <w:rFonts w:ascii="Arial" w:cs="Arial" w:eastAsia="Arial" w:hAnsi="Arial"/>
                <w:sz w:val="18"/>
                <w:szCs w:val="18"/>
                <w:color w:val="auto"/>
              </w:rPr>
              <w:t>7 Bryant Park</w:t>
            </w:r>
          </w:p>
        </w:tc>
        <w:tc>
          <w:tcPr>
            <w:tcW w:w="7360" w:type="dxa"/>
            <w:vAlign w:val="bottom"/>
          </w:tcPr>
          <w:p>
            <w:pPr>
              <w:ind w:left="1040"/>
              <w:spacing w:after="0"/>
              <w:rPr>
                <w:sz w:val="20"/>
                <w:szCs w:val="20"/>
                <w:color w:val="auto"/>
              </w:rPr>
            </w:pPr>
            <w:r>
              <w:rPr>
                <w:rFonts w:ascii="Arial" w:cs="Arial" w:eastAsia="Arial" w:hAnsi="Arial"/>
                <w:sz w:val="18"/>
                <w:szCs w:val="18"/>
                <w:color w:val="auto"/>
              </w:rPr>
              <w:t>3340 Hillview Avenue</w:t>
            </w:r>
          </w:p>
        </w:tc>
      </w:tr>
      <w:tr>
        <w:trPr>
          <w:trHeight w:val="216"/>
        </w:trPr>
        <w:tc>
          <w:tcPr>
            <w:tcW w:w="2680" w:type="dxa"/>
            <w:vAlign w:val="bottom"/>
          </w:tcPr>
          <w:p>
            <w:pPr>
              <w:ind w:left="60"/>
              <w:spacing w:after="0"/>
              <w:rPr>
                <w:sz w:val="20"/>
                <w:szCs w:val="20"/>
                <w:color w:val="auto"/>
              </w:rPr>
            </w:pPr>
            <w:r>
              <w:rPr>
                <w:rFonts w:ascii="Arial" w:cs="Arial" w:eastAsia="Arial" w:hAnsi="Arial"/>
                <w:sz w:val="18"/>
                <w:szCs w:val="18"/>
                <w:color w:val="auto"/>
              </w:rPr>
              <w:t>23rd Floor</w:t>
            </w:r>
          </w:p>
        </w:tc>
        <w:tc>
          <w:tcPr>
            <w:tcW w:w="7360" w:type="dxa"/>
            <w:vAlign w:val="bottom"/>
          </w:tcPr>
          <w:p>
            <w:pPr>
              <w:ind w:left="1040"/>
              <w:spacing w:after="0"/>
              <w:rPr>
                <w:sz w:val="20"/>
                <w:szCs w:val="20"/>
                <w:color w:val="auto"/>
              </w:rPr>
            </w:pPr>
            <w:r>
              <w:rPr>
                <w:rFonts w:ascii="Arial" w:cs="Arial" w:eastAsia="Arial" w:hAnsi="Arial"/>
                <w:sz w:val="18"/>
                <w:szCs w:val="18"/>
                <w:color w:val="auto"/>
              </w:rPr>
              <w:t>Palo Alto, CA 94304</w:t>
            </w:r>
          </w:p>
        </w:tc>
      </w:tr>
      <w:tr>
        <w:trPr>
          <w:trHeight w:val="230"/>
        </w:trPr>
        <w:tc>
          <w:tcPr>
            <w:tcW w:w="2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New York, NY 10018</w:t>
            </w:r>
          </w:p>
        </w:tc>
        <w:tc>
          <w:tcPr>
            <w:tcW w:w="7360" w:type="dxa"/>
            <w:vAlign w:val="bottom"/>
            <w:tcBorders>
              <w:bottom w:val="single" w:sz="8" w:color="auto"/>
            </w:tcBorders>
          </w:tcPr>
          <w:p>
            <w:pPr>
              <w:spacing w:after="0"/>
              <w:rPr>
                <w:sz w:val="20"/>
                <w:szCs w:val="20"/>
                <w:color w:val="auto"/>
              </w:rPr>
            </w:pPr>
          </w:p>
        </w:tc>
      </w:tr>
    </w:tbl>
    <w:p>
      <w:pPr>
        <w:spacing w:after="0" w:line="67" w:lineRule="exact"/>
        <w:rPr>
          <w:sz w:val="20"/>
          <w:szCs w:val="20"/>
          <w:color w:val="auto"/>
        </w:rPr>
      </w:pPr>
    </w:p>
    <w:p>
      <w:pPr>
        <w:ind w:left="1440" w:hanging="460"/>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All of the Venrock Entities were organized in Delaware. The individuals are both United States citizens.</w:t>
      </w:r>
    </w:p>
    <w:p>
      <w:pPr>
        <w:spacing w:after="0" w:line="89" w:lineRule="exact"/>
        <w:rPr>
          <w:rFonts w:ascii="Arial" w:cs="Arial" w:eastAsia="Arial" w:hAnsi="Arial"/>
          <w:sz w:val="18"/>
          <w:szCs w:val="18"/>
          <w:color w:val="auto"/>
        </w:rPr>
      </w:pPr>
    </w:p>
    <w:p>
      <w:pPr>
        <w:ind w:left="1440" w:right="8060" w:hanging="460"/>
        <w:spacing w:after="0" w:line="334" w:lineRule="auto"/>
        <w:tabs>
          <w:tab w:leader="none" w:pos="1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4" w:lineRule="exact"/>
        <w:rPr>
          <w:rFonts w:ascii="Arial" w:cs="Arial" w:eastAsia="Arial" w:hAnsi="Arial"/>
          <w:sz w:val="16"/>
          <w:szCs w:val="16"/>
          <w:color w:val="auto"/>
        </w:rPr>
      </w:pPr>
    </w:p>
    <w:p>
      <w:pPr>
        <w:ind w:left="1440" w:right="8840" w:hanging="460"/>
        <w:spacing w:after="0" w:line="342" w:lineRule="auto"/>
        <w:tabs>
          <w:tab w:leader="none" w:pos="1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CUSIP Number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-48895</wp:posOffset>
            </wp:positionV>
            <wp:extent cx="63715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-383540</wp:posOffset>
            </wp:positionV>
            <wp:extent cx="637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-717550</wp:posOffset>
            </wp:positionV>
            <wp:extent cx="63715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3"/>
          </w:tcPr>
          <w:p>
            <w:pPr>
              <w:ind w:left="880"/>
              <w:spacing w:after="0"/>
              <w:rPr>
                <w:sz w:val="20"/>
                <w:szCs w:val="20"/>
                <w:color w:val="auto"/>
              </w:rPr>
            </w:pPr>
            <w:r>
              <w:rPr>
                <w:rFonts w:ascii="Arial" w:cs="Arial" w:eastAsia="Arial" w:hAnsi="Arial"/>
                <w:sz w:val="18"/>
                <w:szCs w:val="18"/>
                <w:color w:val="auto"/>
              </w:rPr>
              <w:t>Not applicable</w:t>
            </w: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w w:val="92"/>
              </w:rPr>
              <w:t>Item 4.Ownership</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gridSpan w:val="3"/>
          </w:tcPr>
          <w:p>
            <w:pPr>
              <w:ind w:left="880"/>
              <w:spacing w:after="0"/>
              <w:rPr>
                <w:sz w:val="20"/>
                <w:szCs w:val="20"/>
                <w:color w:val="auto"/>
              </w:rPr>
            </w:pPr>
            <w:r>
              <w:rPr>
                <w:rFonts w:ascii="Arial" w:cs="Arial" w:eastAsia="Arial" w:hAnsi="Arial"/>
                <w:sz w:val="18"/>
                <w:szCs w:val="18"/>
                <w:color w:val="auto"/>
              </w:rPr>
              <w:t>(a)   Amount beneficially owned as of December 31, 2019:</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4"/>
                <w:szCs w:val="4"/>
                <w:color w:val="auto"/>
              </w:rPr>
            </w:pPr>
          </w:p>
        </w:tc>
        <w:tc>
          <w:tcPr>
            <w:tcW w:w="1120" w:type="dxa"/>
            <w:vAlign w:val="bottom"/>
            <w:vMerge w:val="restart"/>
          </w:tcPr>
          <w:p>
            <w:pPr>
              <w:spacing w:after="0"/>
              <w:rPr>
                <w:sz w:val="4"/>
                <w:szCs w:val="4"/>
                <w:color w:val="auto"/>
              </w:rPr>
            </w:pPr>
          </w:p>
        </w:tc>
        <w:tc>
          <w:tcPr>
            <w:tcW w:w="45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10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10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10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Bong Koh</w:t>
            </w:r>
          </w:p>
        </w:tc>
        <w:tc>
          <w:tcPr>
            <w:tcW w:w="210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ind w:left="4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640" w:type="dxa"/>
            <w:vAlign w:val="bottom"/>
            <w:tcBorders>
              <w:bottom w:val="single" w:sz="8" w:color="auto"/>
            </w:tcBorders>
            <w:gridSpan w:val="2"/>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920" w:type="dxa"/>
            <w:vAlign w:val="bottom"/>
            <w:gridSpan w:val="3"/>
          </w:tcPr>
          <w:p>
            <w:pPr>
              <w:ind w:left="880"/>
              <w:spacing w:after="0"/>
              <w:rPr>
                <w:sz w:val="20"/>
                <w:szCs w:val="20"/>
                <w:color w:val="auto"/>
              </w:rPr>
            </w:pPr>
            <w:r>
              <w:rPr>
                <w:rFonts w:ascii="Arial" w:cs="Arial" w:eastAsia="Arial" w:hAnsi="Arial"/>
                <w:sz w:val="18"/>
                <w:szCs w:val="18"/>
                <w:color w:val="auto"/>
              </w:rPr>
              <w:t>(b)  Percent of class as of December 31, 2019:</w:t>
            </w: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4"/>
                <w:szCs w:val="4"/>
                <w:color w:val="auto"/>
              </w:rPr>
            </w:pPr>
          </w:p>
        </w:tc>
        <w:tc>
          <w:tcPr>
            <w:tcW w:w="1120" w:type="dxa"/>
            <w:vAlign w:val="bottom"/>
            <w:vMerge w:val="restart"/>
          </w:tcPr>
          <w:p>
            <w:pPr>
              <w:spacing w:after="0"/>
              <w:rPr>
                <w:sz w:val="4"/>
                <w:szCs w:val="4"/>
                <w:color w:val="auto"/>
              </w:rPr>
            </w:pPr>
          </w:p>
        </w:tc>
        <w:tc>
          <w:tcPr>
            <w:tcW w:w="45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Bong Koh</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128270</wp:posOffset>
            </wp:positionV>
            <wp:extent cx="64058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pacing w:after="0" w:line="235" w:lineRule="exact"/>
        <w:rPr>
          <w:sz w:val="20"/>
          <w:szCs w:val="20"/>
          <w:color w:val="auto"/>
        </w:rPr>
      </w:pPr>
    </w:p>
    <w:p>
      <w:pPr>
        <w:ind w:left="1280" w:hanging="400"/>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Number of shares as to which the person has,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48895</wp:posOffset>
            </wp:positionV>
            <wp:extent cx="64058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pacing w:after="0" w:line="111"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780" w:type="dxa"/>
            <w:vAlign w:val="bottom"/>
            <w:gridSpan w:val="3"/>
          </w:tcPr>
          <w:p>
            <w:pPr>
              <w:spacing w:after="0"/>
              <w:rPr>
                <w:sz w:val="20"/>
                <w:szCs w:val="20"/>
                <w:color w:val="auto"/>
              </w:rPr>
            </w:pPr>
            <w:r>
              <w:rPr>
                <w:rFonts w:ascii="Arial" w:cs="Arial" w:eastAsia="Arial" w:hAnsi="Arial"/>
                <w:sz w:val="18"/>
                <w:szCs w:val="18"/>
                <w:color w:val="auto"/>
              </w:rPr>
              <w:t>(i)  Sole power to vote or to direct the vote</w:t>
            </w:r>
          </w:p>
        </w:tc>
        <w:tc>
          <w:tcPr>
            <w:tcW w:w="2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60" w:type="dxa"/>
            <w:vAlign w:val="bottom"/>
            <w:vMerge w:val="restart"/>
          </w:tcPr>
          <w:p>
            <w:pPr>
              <w:spacing w:after="0"/>
              <w:rPr>
                <w:sz w:val="4"/>
                <w:szCs w:val="4"/>
                <w:color w:val="auto"/>
              </w:rPr>
            </w:pPr>
          </w:p>
        </w:tc>
        <w:tc>
          <w:tcPr>
            <w:tcW w:w="580" w:type="dxa"/>
            <w:vAlign w:val="bottom"/>
            <w:vMerge w:val="restart"/>
          </w:tcPr>
          <w:p>
            <w:pPr>
              <w:spacing w:after="0"/>
              <w:rPr>
                <w:sz w:val="4"/>
                <w:szCs w:val="4"/>
                <w:color w:val="auto"/>
              </w:rPr>
            </w:pPr>
          </w:p>
        </w:tc>
        <w:tc>
          <w:tcPr>
            <w:tcW w:w="48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Bong Koh</w:t>
            </w: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11" w:name="page12"/>
    <w:bookmarkEnd w:id="11"/>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1452" w:type="dxa"/>
        <w:tblCellMar>
          <w:top w:w="0" w:type="dxa"/>
          <w:left w:w="0" w:type="dxa"/>
          <w:bottom w:w="0" w:type="dxa"/>
          <w:right w:w="0" w:type="dxa"/>
        </w:tblCellMar>
      </w:tblPr>
      <w:tr>
        <w:trPr>
          <w:trHeight w:val="230"/>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(ii)  Shared power to vote or to direct the vote</w:t>
            </w: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
        </w:trPr>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Bong Koh</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20"/>
                <w:szCs w:val="20"/>
                <w:color w:val="auto"/>
              </w:rPr>
            </w:pPr>
          </w:p>
        </w:tc>
      </w:tr>
      <w:tr>
        <w:trPr>
          <w:trHeight w:val="202"/>
        </w:trPr>
        <w:tc>
          <w:tcPr>
            <w:tcW w:w="420" w:type="dxa"/>
            <w:vAlign w:val="bottom"/>
          </w:tcPr>
          <w:p>
            <w:pPr>
              <w:spacing w:after="0"/>
              <w:rPr>
                <w:sz w:val="17"/>
                <w:szCs w:val="17"/>
                <w:color w:val="auto"/>
              </w:rPr>
            </w:pPr>
          </w:p>
        </w:tc>
        <w:tc>
          <w:tcPr>
            <w:tcW w:w="5160" w:type="dxa"/>
            <w:vAlign w:val="bottom"/>
            <w:tcBorders>
              <w:bottom w:val="single" w:sz="8" w:color="auto"/>
            </w:tcBorders>
            <w:gridSpan w:val="2"/>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264"/>
        </w:trPr>
        <w:tc>
          <w:tcPr>
            <w:tcW w:w="5580" w:type="dxa"/>
            <w:vAlign w:val="bottom"/>
            <w:gridSpan w:val="3"/>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54"/>
        </w:trPr>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Bong Koh</w:t>
            </w:r>
          </w:p>
        </w:tc>
        <w:tc>
          <w:tcPr>
            <w:tcW w:w="2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02"/>
        </w:trPr>
        <w:tc>
          <w:tcPr>
            <w:tcW w:w="420" w:type="dxa"/>
            <w:vAlign w:val="bottom"/>
          </w:tcPr>
          <w:p>
            <w:pPr>
              <w:spacing w:after="0"/>
              <w:rPr>
                <w:sz w:val="17"/>
                <w:szCs w:val="17"/>
                <w:color w:val="auto"/>
              </w:rPr>
            </w:pPr>
          </w:p>
        </w:tc>
        <w:tc>
          <w:tcPr>
            <w:tcW w:w="5160" w:type="dxa"/>
            <w:vAlign w:val="bottom"/>
            <w:tcBorders>
              <w:bottom w:val="single" w:sz="8" w:color="auto"/>
            </w:tcBorders>
            <w:gridSpan w:val="2"/>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264"/>
        </w:trPr>
        <w:tc>
          <w:tcPr>
            <w:tcW w:w="5580" w:type="dxa"/>
            <w:vAlign w:val="bottom"/>
            <w:gridSpan w:val="3"/>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54"/>
        </w:trPr>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Bong Koh</w:t>
            </w:r>
          </w:p>
        </w:tc>
        <w:tc>
          <w:tcPr>
            <w:tcW w:w="2040" w:type="dxa"/>
            <w:vAlign w:val="bottom"/>
          </w:tcPr>
          <w:p>
            <w:pPr>
              <w:jc w:val="right"/>
              <w:spacing w:after="0"/>
              <w:rPr>
                <w:sz w:val="20"/>
                <w:szCs w:val="20"/>
                <w:color w:val="auto"/>
              </w:rPr>
            </w:pPr>
            <w:r>
              <w:rPr>
                <w:rFonts w:ascii="Arial" w:cs="Arial" w:eastAsia="Arial" w:hAnsi="Arial"/>
                <w:sz w:val="18"/>
                <w:szCs w:val="18"/>
                <w:color w:val="auto"/>
              </w:rPr>
              <w:t>2,333,975</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128270</wp:posOffset>
            </wp:positionV>
            <wp:extent cx="6062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62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18097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32" w:right="100" w:hanging="332"/>
        <w:spacing w:after="0" w:line="255"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shares are owned directly as follows: 559,326 shares are owned by Venrock Healthcare Capital Partners II, L.P., 226,655 shares are owned by VHCP Co-Investment Holdings II, LLC, 1,407,363 shares are owned by Venrock Healthcare Capital Partners III, L.P. and 140,631 shares are owned by VHCP Co-Investment Holdings III, LLC. VHCP Management II, LLC is the general partner of Venrock Healthcare Capital Partners II, L.P. and the manager of VHCP Co-Investment Holdings II, LLC. VHCP Management III, LLC is the general partner of Venrock Healthcare Capital Partners III, L.P. and the manager of VHCP Co-Investment Holdings III, LLC. Messrs. Shah and Koh are the voting members of VHCP Management II, LLC and VHCP Management III, LLC.</w:t>
      </w:r>
    </w:p>
    <w:p>
      <w:pPr>
        <w:spacing w:after="0" w:line="189" w:lineRule="exact"/>
        <w:rPr>
          <w:sz w:val="20"/>
          <w:szCs w:val="20"/>
          <w:color w:val="auto"/>
        </w:rPr>
      </w:pPr>
    </w:p>
    <w:p>
      <w:pPr>
        <w:ind w:left="52"/>
        <w:spacing w:after="0"/>
        <w:tabs>
          <w:tab w:leader="none" w:pos="95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52"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ind w:left="52"/>
        <w:spacing w:after="0"/>
        <w:tabs>
          <w:tab w:leader="none" w:pos="95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5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29210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p>
      <w:pPr>
        <w:spacing w:after="0" w:line="217" w:lineRule="exact"/>
        <w:rPr>
          <w:sz w:val="20"/>
          <w:szCs w:val="20"/>
          <w:color w:val="auto"/>
        </w:rPr>
      </w:pPr>
    </w:p>
    <w:p>
      <w:pPr>
        <w:ind w:left="920" w:hanging="917"/>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36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14,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5940" w:type="dxa"/>
            <w:vAlign w:val="bottom"/>
            <w:gridSpan w:val="3"/>
          </w:tcPr>
          <w:p>
            <w:pPr>
              <w:ind w:left="440"/>
              <w:spacing w:after="0"/>
              <w:rPr>
                <w:sz w:val="20"/>
                <w:szCs w:val="20"/>
                <w:color w:val="auto"/>
              </w:rPr>
            </w:pPr>
            <w:r>
              <w:rPr>
                <w:rFonts w:ascii="Arial" w:cs="Arial" w:eastAsia="Arial" w:hAnsi="Arial"/>
                <w:sz w:val="18"/>
                <w:szCs w:val="18"/>
                <w:b w:val="1"/>
                <w:bCs w:val="1"/>
                <w:color w:val="auto"/>
              </w:rPr>
              <w:t>Venrock Healthcare Capital Partners III, L.P.</w:t>
            </w:r>
          </w:p>
        </w:tc>
      </w:tr>
      <w:tr>
        <w:trPr>
          <w:trHeight w:val="418"/>
        </w:trPr>
        <w:tc>
          <w:tcPr>
            <w:tcW w:w="5480" w:type="dxa"/>
            <w:vAlign w:val="bottom"/>
            <w:gridSpan w:val="3"/>
          </w:tcPr>
          <w:p>
            <w:pPr>
              <w:spacing w:after="0"/>
              <w:rPr>
                <w:sz w:val="20"/>
                <w:szCs w:val="20"/>
                <w:color w:val="auto"/>
              </w:rPr>
            </w:pPr>
            <w:r>
              <w:rPr>
                <w:rFonts w:ascii="Arial" w:cs="Arial" w:eastAsia="Arial" w:hAnsi="Arial"/>
                <w:sz w:val="18"/>
                <w:szCs w:val="18"/>
                <w:color w:val="auto"/>
              </w:rPr>
              <w:t>By: VHCP Management II, LLC</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By: VHCP Management III, LLC</w:t>
            </w:r>
          </w:p>
        </w:tc>
      </w:tr>
      <w:tr>
        <w:trPr>
          <w:trHeight w:val="230"/>
        </w:trPr>
        <w:tc>
          <w:tcPr>
            <w:tcW w:w="5480" w:type="dxa"/>
            <w:vAlign w:val="bottom"/>
            <w:gridSpan w:val="3"/>
          </w:tcPr>
          <w:p>
            <w:pPr>
              <w:spacing w:after="0"/>
              <w:rPr>
                <w:sz w:val="20"/>
                <w:szCs w:val="20"/>
                <w:color w:val="auto"/>
              </w:rPr>
            </w:pPr>
            <w:r>
              <w:rPr>
                <w:rFonts w:ascii="Arial" w:cs="Arial" w:eastAsia="Arial" w:hAnsi="Arial"/>
                <w:sz w:val="18"/>
                <w:szCs w:val="18"/>
                <w:color w:val="auto"/>
              </w:rPr>
              <w:t>Its:  General Partner</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Its:  General Partner</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By: /s/ David L. Stepp</w:t>
            </w:r>
          </w:p>
        </w:tc>
      </w:tr>
      <w:tr>
        <w:trPr>
          <w:trHeight w:val="195"/>
        </w:trPr>
        <w:tc>
          <w:tcPr>
            <w:tcW w:w="360" w:type="dxa"/>
            <w:vAlign w:val="bottom"/>
          </w:tcPr>
          <w:p>
            <w:pPr>
              <w:spacing w:after="0"/>
              <w:rPr>
                <w:sz w:val="16"/>
                <w:szCs w:val="16"/>
                <w:color w:val="auto"/>
              </w:rPr>
            </w:pPr>
          </w:p>
        </w:tc>
        <w:tc>
          <w:tcPr>
            <w:tcW w:w="51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80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r>
      <w:tr>
        <w:trPr>
          <w:trHeight w:val="230"/>
        </w:trPr>
        <w:tc>
          <w:tcPr>
            <w:tcW w:w="3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64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VHCP Co-Investment Holdings II, LLC</w:t>
            </w:r>
          </w:p>
        </w:tc>
        <w:tc>
          <w:tcPr>
            <w:tcW w:w="5940" w:type="dxa"/>
            <w:vAlign w:val="bottom"/>
            <w:gridSpan w:val="3"/>
          </w:tcPr>
          <w:p>
            <w:pPr>
              <w:ind w:left="440"/>
              <w:spacing w:after="0"/>
              <w:rPr>
                <w:sz w:val="20"/>
                <w:szCs w:val="20"/>
                <w:color w:val="auto"/>
              </w:rPr>
            </w:pPr>
            <w:r>
              <w:rPr>
                <w:rFonts w:ascii="Arial" w:cs="Arial" w:eastAsia="Arial" w:hAnsi="Arial"/>
                <w:sz w:val="18"/>
                <w:szCs w:val="18"/>
                <w:b w:val="1"/>
                <w:bCs w:val="1"/>
                <w:color w:val="auto"/>
              </w:rPr>
              <w:t>VHCP Co-Investment Holdings III, LLC</w:t>
            </w:r>
          </w:p>
        </w:tc>
      </w:tr>
      <w:tr>
        <w:trPr>
          <w:trHeight w:val="418"/>
        </w:trPr>
        <w:tc>
          <w:tcPr>
            <w:tcW w:w="5480" w:type="dxa"/>
            <w:vAlign w:val="bottom"/>
            <w:gridSpan w:val="3"/>
          </w:tcPr>
          <w:p>
            <w:pPr>
              <w:spacing w:after="0"/>
              <w:rPr>
                <w:sz w:val="20"/>
                <w:szCs w:val="20"/>
                <w:color w:val="auto"/>
              </w:rPr>
            </w:pPr>
            <w:r>
              <w:rPr>
                <w:rFonts w:ascii="Arial" w:cs="Arial" w:eastAsia="Arial" w:hAnsi="Arial"/>
                <w:sz w:val="18"/>
                <w:szCs w:val="18"/>
                <w:color w:val="auto"/>
              </w:rPr>
              <w:t>By: VHCP Management II, LLC</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By: VHCP Management III, LLC</w:t>
            </w:r>
          </w:p>
        </w:tc>
      </w:tr>
      <w:tr>
        <w:trPr>
          <w:trHeight w:val="230"/>
        </w:trPr>
        <w:tc>
          <w:tcPr>
            <w:tcW w:w="5480" w:type="dxa"/>
            <w:vAlign w:val="bottom"/>
            <w:gridSpan w:val="3"/>
          </w:tcPr>
          <w:p>
            <w:pPr>
              <w:spacing w:after="0"/>
              <w:rPr>
                <w:sz w:val="20"/>
                <w:szCs w:val="20"/>
                <w:color w:val="auto"/>
              </w:rPr>
            </w:pPr>
            <w:r>
              <w:rPr>
                <w:rFonts w:ascii="Arial" w:cs="Arial" w:eastAsia="Arial" w:hAnsi="Arial"/>
                <w:sz w:val="18"/>
                <w:szCs w:val="18"/>
                <w:color w:val="auto"/>
              </w:rPr>
              <w:t>Its:  Manager</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Its:  Manager</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By: /s/ David L. Stepp</w:t>
            </w:r>
          </w:p>
        </w:tc>
      </w:tr>
      <w:tr>
        <w:trPr>
          <w:trHeight w:val="195"/>
        </w:trPr>
        <w:tc>
          <w:tcPr>
            <w:tcW w:w="360" w:type="dxa"/>
            <w:vAlign w:val="bottom"/>
          </w:tcPr>
          <w:p>
            <w:pPr>
              <w:spacing w:after="0"/>
              <w:rPr>
                <w:sz w:val="16"/>
                <w:szCs w:val="16"/>
                <w:color w:val="auto"/>
              </w:rPr>
            </w:pPr>
          </w:p>
        </w:tc>
        <w:tc>
          <w:tcPr>
            <w:tcW w:w="51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80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r>
      <w:tr>
        <w:trPr>
          <w:trHeight w:val="230"/>
        </w:trPr>
        <w:tc>
          <w:tcPr>
            <w:tcW w:w="3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64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5940" w:type="dxa"/>
            <w:vAlign w:val="bottom"/>
            <w:gridSpan w:val="3"/>
          </w:tcPr>
          <w:p>
            <w:pPr>
              <w:ind w:left="440"/>
              <w:spacing w:after="0"/>
              <w:rPr>
                <w:sz w:val="20"/>
                <w:szCs w:val="20"/>
                <w:color w:val="auto"/>
              </w:rPr>
            </w:pPr>
            <w:r>
              <w:rPr>
                <w:rFonts w:ascii="Arial" w:cs="Arial" w:eastAsia="Arial" w:hAnsi="Arial"/>
                <w:sz w:val="18"/>
                <w:szCs w:val="18"/>
                <w:b w:val="1"/>
                <w:bCs w:val="1"/>
                <w:color w:val="auto"/>
              </w:rPr>
              <w:t>VHCP Management III, LLC</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By: /s/ David L. Stepp</w:t>
            </w:r>
          </w:p>
        </w:tc>
      </w:tr>
      <w:tr>
        <w:trPr>
          <w:trHeight w:val="195"/>
        </w:trPr>
        <w:tc>
          <w:tcPr>
            <w:tcW w:w="360" w:type="dxa"/>
            <w:vAlign w:val="bottom"/>
          </w:tcPr>
          <w:p>
            <w:pPr>
              <w:spacing w:after="0"/>
              <w:rPr>
                <w:sz w:val="16"/>
                <w:szCs w:val="16"/>
                <w:color w:val="auto"/>
              </w:rPr>
            </w:pPr>
          </w:p>
        </w:tc>
        <w:tc>
          <w:tcPr>
            <w:tcW w:w="51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80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r>
      <w:tr>
        <w:trPr>
          <w:trHeight w:val="230"/>
        </w:trPr>
        <w:tc>
          <w:tcPr>
            <w:tcW w:w="3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64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Nimish Shah</w:t>
            </w:r>
          </w:p>
        </w:tc>
        <w:tc>
          <w:tcPr>
            <w:tcW w:w="1300" w:type="dxa"/>
            <w:vAlign w:val="bottom"/>
            <w:gridSpan w:val="2"/>
          </w:tcPr>
          <w:p>
            <w:pPr>
              <w:ind w:left="440"/>
              <w:spacing w:after="0"/>
              <w:rPr>
                <w:sz w:val="20"/>
                <w:szCs w:val="20"/>
                <w:color w:val="auto"/>
              </w:rPr>
            </w:pPr>
            <w:r>
              <w:rPr>
                <w:rFonts w:ascii="Arial" w:cs="Arial" w:eastAsia="Arial" w:hAnsi="Arial"/>
                <w:sz w:val="18"/>
                <w:szCs w:val="18"/>
                <w:b w:val="1"/>
                <w:bCs w:val="1"/>
                <w:color w:val="auto"/>
                <w:w w:val="97"/>
              </w:rPr>
              <w:t>Bong Koh</w:t>
            </w:r>
          </w:p>
        </w:tc>
        <w:tc>
          <w:tcPr>
            <w:tcW w:w="4640" w:type="dxa"/>
            <w:vAlign w:val="bottom"/>
          </w:tcPr>
          <w:p>
            <w:pPr>
              <w:spacing w:after="0"/>
              <w:rPr>
                <w:sz w:val="24"/>
                <w:szCs w:val="24"/>
                <w:color w:val="auto"/>
              </w:rPr>
            </w:pP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5940" w:type="dxa"/>
            <w:vAlign w:val="bottom"/>
            <w:gridSpan w:val="3"/>
          </w:tcPr>
          <w:p>
            <w:pPr>
              <w:ind w:left="440"/>
              <w:spacing w:after="0"/>
              <w:rPr>
                <w:sz w:val="20"/>
                <w:szCs w:val="20"/>
                <w:color w:val="auto"/>
              </w:rPr>
            </w:pPr>
            <w:r>
              <w:rPr>
                <w:rFonts w:ascii="Arial" w:cs="Arial" w:eastAsia="Arial" w:hAnsi="Arial"/>
                <w:sz w:val="18"/>
                <w:szCs w:val="18"/>
                <w:color w:val="auto"/>
              </w:rPr>
              <w:t>By: /s/ David L. Stepp</w:t>
            </w:r>
          </w:p>
        </w:tc>
      </w:tr>
      <w:tr>
        <w:trPr>
          <w:trHeight w:val="224"/>
        </w:trPr>
        <w:tc>
          <w:tcPr>
            <w:tcW w:w="360" w:type="dxa"/>
            <w:vAlign w:val="bottom"/>
          </w:tcPr>
          <w:p>
            <w:pPr>
              <w:spacing w:after="0"/>
              <w:rPr>
                <w:sz w:val="19"/>
                <w:szCs w:val="19"/>
                <w:color w:val="auto"/>
              </w:rPr>
            </w:pPr>
          </w:p>
        </w:tc>
        <w:tc>
          <w:tcPr>
            <w:tcW w:w="5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L. Stepp, as attorney-in-fact</w:t>
            </w:r>
          </w:p>
        </w:tc>
        <w:tc>
          <w:tcPr>
            <w:tcW w:w="800" w:type="dxa"/>
            <w:vAlign w:val="bottom"/>
          </w:tcPr>
          <w:p>
            <w:pPr>
              <w:spacing w:after="0"/>
              <w:rPr>
                <w:sz w:val="19"/>
                <w:szCs w:val="19"/>
                <w:color w:val="auto"/>
              </w:rPr>
            </w:pPr>
          </w:p>
        </w:tc>
        <w:tc>
          <w:tcPr>
            <w:tcW w:w="5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L. Stepp, as attorney-in-fact</w:t>
            </w:r>
          </w:p>
        </w:tc>
      </w:tr>
      <w:tr>
        <w:trPr>
          <w:trHeight w:val="634"/>
        </w:trPr>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5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Joint Filing Agreement (incorporated by reference to Exhibit A to Schedule 13G filed January 28, 2019)</w:t>
      </w:r>
    </w:p>
    <w:p>
      <w:pPr>
        <w:spacing w:after="0" w:line="23"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Power of Attorney for Nimish Shah (incorporated by reference to Exhibit B to Schedule 13G filed January 28, 2019)</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Power of Attorney for Bong Koh (incorporated by reference to Exhibit C to Schedule 13G filed January 28, 2019)</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o"/>
      <w:numFmt w:val="bullet"/>
      <w:start w:val="1"/>
    </w:lvl>
  </w:abstractNum>
  <w:abstractNum w:abstractNumId="1">
    <w:nsid w:val="436C6125"/>
    <w:multiLevelType w:val="hybridMultilevel"/>
    <w:lvl w:ilvl="0">
      <w:lvlJc w:val="left"/>
      <w:lvlText w:val="%1."/>
      <w:numFmt w:val="decimal"/>
      <w:start w:val="1"/>
    </w:lvl>
    <w:lvl w:ilvl="1">
      <w:lvlJc w:val="left"/>
      <w:lvlText w:val="(%2)"/>
      <w:numFmt w:val="lowerLetter"/>
      <w:start w:val="1"/>
    </w:lvl>
  </w:abstractNum>
  <w:abstractNum w:abstractNumId="2">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
    <w:nsid w:val="333AB105"/>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2443A858"/>
    <w:multiLevelType w:val="hybridMultilevel"/>
    <w:lvl w:ilvl="0">
      <w:lvlJc w:val="left"/>
      <w:lvlText w:val="%1."/>
      <w:numFmt w:val="decimal"/>
      <w:start w:val="1"/>
    </w:lvl>
    <w:lvl w:ilvl="1">
      <w:lvlJc w:val="left"/>
      <w:lvlText w:val="(%2)"/>
      <w:numFmt w:val="lowerLetter"/>
      <w:start w:val="1"/>
    </w:lvl>
  </w:abstractNum>
  <w:abstractNum w:abstractNumId="6">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7">
    <w:nsid w:val="6763845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8">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8EDBDAB"/>
    <w:multiLevelType w:val="hybridMultilevel"/>
    <w:lvl w:ilvl="0">
      <w:lvlJc w:val="left"/>
      <w:lvlText w:val="%1."/>
      <w:numFmt w:val="decimal"/>
      <w:start w:val="1"/>
    </w:lvl>
    <w:lvl w:ilvl="1">
      <w:lvlJc w:val="left"/>
      <w:lvlText w:val="(%2)"/>
      <w:numFmt w:val="lowerLetter"/>
      <w:start w:val="1"/>
    </w:lvl>
  </w:abstractNum>
  <w:abstractNum w:abstractNumId="10">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1">
    <w:nsid w:val="4353D0C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2">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189A769B"/>
    <w:multiLevelType w:val="hybridMultilevel"/>
    <w:lvl w:ilvl="0">
      <w:lvlJc w:val="left"/>
      <w:lvlText w:val="%1."/>
      <w:numFmt w:val="decimal"/>
      <w:start w:val="1"/>
    </w:lvl>
    <w:lvl w:ilvl="1">
      <w:lvlJc w:val="left"/>
      <w:lvlText w:val="(%2)"/>
      <w:numFmt w:val="lowerLetter"/>
      <w:start w:val="1"/>
    </w:lvl>
  </w:abstractNum>
  <w:abstractNum w:abstractNumId="14">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5">
    <w:nsid w:val="71F3245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6">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1"/>
    </w:lvl>
  </w:abstractNum>
  <w:abstractNum w:abstractNumId="18">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9">
    <w:nsid w:val="3A95F87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0">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1E7FF521"/>
    <w:multiLevelType w:val="hybridMultilevel"/>
    <w:lvl w:ilvl="0">
      <w:lvlJc w:val="left"/>
      <w:lvlText w:val="%1."/>
      <w:numFmt w:val="decimal"/>
      <w:start w:val="1"/>
    </w:lvl>
    <w:lvl w:ilvl="1">
      <w:lvlJc w:val="left"/>
      <w:lvlText w:val="(%2)"/>
      <w:numFmt w:val="lowerLetter"/>
      <w:start w:val="1"/>
    </w:lvl>
  </w:abstractNum>
  <w:abstractNum w:abstractNumId="22">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3">
    <w:nsid w:val="737B8DDC"/>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4">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
    <w:nsid w:val="22221A70"/>
    <w:multiLevelType w:val="hybridMultilevel"/>
    <w:lvl w:ilvl="0">
      <w:lvlJc w:val="left"/>
      <w:lvlText w:val="%1."/>
      <w:numFmt w:val="decimal"/>
      <w:start w:val="1"/>
    </w:lvl>
    <w:lvl w:ilvl="1">
      <w:lvlJc w:val="left"/>
      <w:lvlText w:val="(%2)"/>
      <w:numFmt w:val="lowerLetter"/>
      <w:start w:val="1"/>
    </w:lvl>
  </w:abstractNum>
  <w:abstractNum w:abstractNumId="26">
    <w:nsid w:val="4516DDE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7">
    <w:nsid w:val="3006C83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8">
    <w:nsid w:val="614FD4A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9">
    <w:nsid w:val="419AC241"/>
    <w:multiLevelType w:val="hybridMultilevel"/>
    <w:lvl w:ilvl="0">
      <w:lvlJc w:val="left"/>
      <w:lvlText w:val="%1."/>
      <w:numFmt w:val="decimal"/>
      <w:start w:val="1"/>
    </w:lvl>
    <w:lvl w:ilvl="1">
      <w:lvlJc w:val="left"/>
      <w:lvlText w:val="(%2)"/>
      <w:numFmt w:val="lowerLetter"/>
      <w:start w:val="1"/>
    </w:lvl>
  </w:abstractNum>
  <w:abstractNum w:abstractNumId="30">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1">
    <w:nsid w:val="440BADFC"/>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2">
    <w:nsid w:val="507236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Letter"/>
      <w:start w:val="3"/>
    </w:lvl>
  </w:abstractNum>
  <w:abstractNum w:abstractNumId="36">
    <w:nsid w:val="5C482A97"/>
    <w:multiLevelType w:val="hybridMultilevel"/>
    <w:lvl w:ilvl="0">
      <w:lvlJc w:val="left"/>
      <w:lvlText w:val="(%1)"/>
      <w:numFmt w:val="lowerLetter"/>
      <w:start w:val="3"/>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2020-02-14T15:25:56Z</dcterms:created>
  <dcterms:modified xsi:type="dcterms:W3CDTF">2020-02-14T15:25:56Z</dcterms:modified>
</cp:coreProperties>
</file>