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19"/>
          <w:szCs w:val="19"/>
          <w:b w:val="1"/>
          <w:bCs w:val="1"/>
          <w:color w:val="auto"/>
        </w:rPr>
        <w:t>(Amendment No.</w:t>
        <w:tab/>
        <w:t>)*</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January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67" w:lineRule="exact"/>
        <w:rPr>
          <w:sz w:val="24"/>
          <w:szCs w:val="24"/>
          <w:color w:val="auto"/>
        </w:rPr>
      </w:pPr>
    </w:p>
    <w:p>
      <w:pPr>
        <w:ind w:left="1200" w:hanging="683"/>
        <w:spacing w:after="0"/>
        <w:tabs>
          <w:tab w:leader="none" w:pos="1200"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Rule 13d-1(c)</w:t>
      </w:r>
    </w:p>
    <w:p>
      <w:pPr>
        <w:spacing w:after="0" w:line="123" w:lineRule="exact"/>
        <w:rPr>
          <w:rFonts w:ascii="Arial" w:cs="Arial" w:eastAsia="Arial" w:hAnsi="Arial"/>
          <w:sz w:val="19"/>
          <w:szCs w:val="19"/>
          <w:color w:val="auto"/>
        </w:rPr>
      </w:pPr>
    </w:p>
    <w:p>
      <w:pPr>
        <w:ind w:left="1200" w:hanging="683"/>
        <w:spacing w:after="0"/>
        <w:tabs>
          <w:tab w:leader="none" w:pos="1200"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13d-1(d)</w:t>
      </w:r>
    </w:p>
    <w:p>
      <w:pPr>
        <w:spacing w:after="0" w:line="294" w:lineRule="exact"/>
        <w:rPr>
          <w:rFonts w:ascii="Arial" w:cs="Arial" w:eastAsia="Arial" w:hAnsi="Arial"/>
          <w:sz w:val="19"/>
          <w:szCs w:val="19"/>
          <w:color w:val="auto"/>
        </w:rPr>
      </w:pPr>
    </w:p>
    <w:p>
      <w:pPr>
        <w:ind w:right="100"/>
        <w:spacing w:after="0" w:line="275" w:lineRule="auto"/>
        <w:rPr>
          <w:rFonts w:ascii="Arial" w:cs="Arial" w:eastAsia="Arial" w:hAnsi="Arial"/>
          <w:sz w:val="19"/>
          <w:szCs w:val="19"/>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20" w:top="312" w:right="180" w:bottom="1440" w:gutter="0" w:footer="0" w:header="0"/>
        </w:sectPr>
      </w:pPr>
    </w:p>
    <w:bookmarkStart w:id="1" w:name="page2"/>
    <w:bookmarkEnd w:id="1"/>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hanging="650"/>
        <w:spacing w:after="0"/>
        <w:tabs>
          <w:tab w:leader="none" w:pos="1106" w:val="left"/>
        </w:tabs>
        <w:numPr>
          <w:ilvl w:val="0"/>
          <w:numId w:val="2"/>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Venrock Healthcare Capital Partners II, L.P.</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2"/>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2"/>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4"/>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2" w:name="page3"/>
    <w:bookmarkEnd w:id="2"/>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hanging="650"/>
        <w:spacing w:after="0"/>
        <w:tabs>
          <w:tab w:leader="none" w:pos="1106" w:val="left"/>
        </w:tabs>
        <w:numPr>
          <w:ilvl w:val="0"/>
          <w:numId w:val="5"/>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VHCP Co-Investment Holdings II, LLC</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5"/>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5"/>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5"/>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6"/>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7"/>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3" w:name="page4"/>
    <w:bookmarkEnd w:id="3"/>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hanging="650"/>
        <w:spacing w:after="0"/>
        <w:tabs>
          <w:tab w:leader="none" w:pos="1106"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Venrock Healthcare Capital Partners III, L.P.</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8"/>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8"/>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8"/>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8"/>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9"/>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10"/>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4" w:name="page5"/>
    <w:bookmarkEnd w:id="4"/>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hanging="650"/>
        <w:spacing w:after="0"/>
        <w:tabs>
          <w:tab w:leader="none" w:pos="11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VHCP Co-Investment Holdings III, LLC</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11"/>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11"/>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13"/>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5" w:name="page6"/>
    <w:bookmarkEnd w:id="5"/>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700" w:hanging="650"/>
        <w:spacing w:after="0" w:line="336" w:lineRule="auto"/>
        <w:tabs>
          <w:tab w:leader="none" w:pos="11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Name of Reporting Persons VHCP Management II, LLC</w:t>
      </w:r>
    </w:p>
    <w:p>
      <w:pPr>
        <w:spacing w:after="0" w:line="365" w:lineRule="exact"/>
        <w:rPr>
          <w:rFonts w:ascii="Arial" w:cs="Arial" w:eastAsia="Arial" w:hAnsi="Arial"/>
          <w:sz w:val="17"/>
          <w:szCs w:val="17"/>
          <w:color w:val="auto"/>
        </w:rPr>
      </w:pPr>
    </w:p>
    <w:p>
      <w:pPr>
        <w:ind w:left="1106" w:hanging="650"/>
        <w:spacing w:after="0"/>
        <w:tabs>
          <w:tab w:leader="none" w:pos="110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14"/>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14"/>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1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14"/>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1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1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15"/>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16"/>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6" w:name="page7"/>
    <w:bookmarkEnd w:id="6"/>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640" w:hanging="650"/>
        <w:spacing w:after="0" w:line="304" w:lineRule="auto"/>
        <w:tabs>
          <w:tab w:leader="none" w:pos="11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 VHCP Management III, LLC</w:t>
      </w:r>
    </w:p>
    <w:p>
      <w:pPr>
        <w:spacing w:after="0" w:line="388" w:lineRule="exact"/>
        <w:rPr>
          <w:rFonts w:ascii="Arial" w:cs="Arial" w:eastAsia="Arial" w:hAnsi="Arial"/>
          <w:sz w:val="18"/>
          <w:szCs w:val="18"/>
          <w:color w:val="auto"/>
        </w:rPr>
      </w:pPr>
    </w:p>
    <w:p>
      <w:pPr>
        <w:ind w:left="1106" w:hanging="650"/>
        <w:spacing w:after="0"/>
        <w:tabs>
          <w:tab w:leader="none" w:pos="11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17"/>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17"/>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18"/>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18"/>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18"/>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18"/>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19"/>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7" w:name="page8"/>
    <w:bookmarkEnd w:id="7"/>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760" w:hanging="650"/>
        <w:spacing w:after="0" w:line="275" w:lineRule="auto"/>
        <w:tabs>
          <w:tab w:leader="none" w:pos="11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Name of Reporting Persons Shah, Nimish</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21"/>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21"/>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21"/>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21"/>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22"/>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8" w:name="page9"/>
    <w:bookmarkEnd w:id="8"/>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760" w:hanging="650"/>
        <w:spacing w:after="0" w:line="275" w:lineRule="auto"/>
        <w:tabs>
          <w:tab w:leader="none" w:pos="1106" w:val="left"/>
        </w:tabs>
        <w:numPr>
          <w:ilvl w:val="0"/>
          <w:numId w:val="23"/>
        </w:numPr>
        <w:rPr>
          <w:rFonts w:ascii="Arial" w:cs="Arial" w:eastAsia="Arial" w:hAnsi="Arial"/>
          <w:sz w:val="19"/>
          <w:szCs w:val="19"/>
          <w:color w:val="auto"/>
        </w:rPr>
      </w:pPr>
      <w:r>
        <w:rPr>
          <w:rFonts w:ascii="Arial" w:cs="Arial" w:eastAsia="Arial" w:hAnsi="Arial"/>
          <w:sz w:val="19"/>
          <w:szCs w:val="19"/>
          <w:color w:val="auto"/>
        </w:rPr>
        <w:t>Name of Reporting Persons Koh, Bong</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23"/>
        </w:numPr>
        <w:rPr>
          <w:rFonts w:ascii="Arial" w:cs="Arial" w:eastAsia="Arial" w:hAnsi="Arial"/>
          <w:sz w:val="19"/>
          <w:szCs w:val="19"/>
          <w:color w:val="auto"/>
        </w:rPr>
      </w:pPr>
      <w:r>
        <w:rPr>
          <w:rFonts w:ascii="Arial" w:cs="Arial" w:eastAsia="Arial" w:hAnsi="Arial"/>
          <w:sz w:val="19"/>
          <w:szCs w:val="19"/>
          <w:color w:val="auto"/>
        </w:rPr>
        <w:t>x(1)</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23"/>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right="8100" w:hanging="650"/>
        <w:spacing w:after="0" w:line="275" w:lineRule="auto"/>
        <w:tabs>
          <w:tab w:leader="none" w:pos="1106" w:val="left"/>
        </w:tabs>
        <w:numPr>
          <w:ilvl w:val="0"/>
          <w:numId w:val="23"/>
        </w:numPr>
        <w:rPr>
          <w:rFonts w:ascii="Arial" w:cs="Arial" w:eastAsia="Arial" w:hAnsi="Arial"/>
          <w:sz w:val="19"/>
          <w:szCs w:val="19"/>
          <w:color w:val="auto"/>
        </w:rPr>
      </w:pPr>
      <w:r>
        <w:rPr>
          <w:rFonts w:ascii="Arial" w:cs="Arial" w:eastAsia="Arial" w:hAnsi="Arial"/>
          <w:sz w:val="19"/>
          <w:szCs w:val="19"/>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69551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-561975</wp:posOffset>
            </wp:positionV>
            <wp:extent cx="69551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-996315</wp:posOffset>
            </wp:positionV>
            <wp:extent cx="61849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-1223010</wp:posOffset>
            </wp:positionV>
            <wp:extent cx="61849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-1875155</wp:posOffset>
            </wp:positionV>
            <wp:extent cx="69551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1,640,000(2)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283"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24"/>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1,640,000(2)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24"/>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24"/>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5.0%(3)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24"/>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406" w:right="60" w:hanging="406"/>
        <w:spacing w:after="0" w:line="263" w:lineRule="auto"/>
        <w:tabs>
          <w:tab w:leader="none" w:pos="416" w:val="left"/>
        </w:tabs>
        <w:numPr>
          <w:ilvl w:val="0"/>
          <w:numId w:val="25"/>
        </w:numPr>
        <w:rPr>
          <w:rFonts w:ascii="Arial" w:cs="Arial" w:eastAsia="Arial" w:hAnsi="Arial"/>
          <w:sz w:val="19"/>
          <w:szCs w:val="19"/>
          <w:color w:val="auto"/>
        </w:rPr>
      </w:pPr>
      <w:r>
        <w:rPr>
          <w:rFonts w:ascii="Arial" w:cs="Arial" w:eastAsia="Arial" w:hAnsi="Arial"/>
          <w:sz w:val="19"/>
          <w:szCs w:val="19"/>
          <w:color w:val="auto"/>
        </w:rPr>
        <w:t>Venrock Healthcare Capital Partners II, L.P., VHCP Co-Investment Holdings II, LLC, Venrock Healthcare Capital Partners III, L.P., VHCP Co-Investment Holdings III, LLC, VHCP Management II, LLC, VHCP Management III, LLC, Nimish Shah and Bong Koh are members of a group for the purposes of this Schedule 13G.</w:t>
      </w:r>
    </w:p>
    <w:p>
      <w:pPr>
        <w:spacing w:after="0" w:line="194" w:lineRule="exact"/>
        <w:rPr>
          <w:rFonts w:ascii="Arial" w:cs="Arial" w:eastAsia="Arial" w:hAnsi="Arial"/>
          <w:sz w:val="19"/>
          <w:szCs w:val="19"/>
          <w:color w:val="auto"/>
        </w:rPr>
      </w:pPr>
    </w:p>
    <w:p>
      <w:pPr>
        <w:ind w:left="406" w:right="180" w:hanging="406"/>
        <w:spacing w:after="0" w:line="336" w:lineRule="auto"/>
        <w:tabs>
          <w:tab w:leader="none" w:pos="4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407,022 shares owned by Venrock Healthcare Capital Partners II, L.P., 164,934 shares owned by VHCP Co-Investment Holdings II, LLC, 971,020 shares owned by Venrock Healthcare Capital Partners III, L.P. and 97,024 shares owned by VHCP Co-Investment Holdings III, LLC.</w:t>
      </w:r>
    </w:p>
    <w:p>
      <w:pPr>
        <w:spacing w:after="0" w:line="137" w:lineRule="exact"/>
        <w:rPr>
          <w:rFonts w:ascii="Arial" w:cs="Arial" w:eastAsia="Arial" w:hAnsi="Arial"/>
          <w:sz w:val="17"/>
          <w:szCs w:val="17"/>
          <w:color w:val="auto"/>
        </w:rPr>
      </w:pPr>
    </w:p>
    <w:p>
      <w:pPr>
        <w:ind w:left="406" w:hanging="406"/>
        <w:spacing w:after="0" w:line="277" w:lineRule="auto"/>
        <w:tabs>
          <w:tab w:leader="none" w:pos="4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percentage is calculated based upon 32,694,234 shares of the Issuer’s common stock outstanding as of January 8, 2019 consisting of (i) 29,813,168 shares of common stock outstanding as of November 2, 2018 as reported in the Issuer’s quarterly report on Form 10-Q filed with the Securities and Exchange Commission (the “Commission”) on November 9, 2018, plus (ii) 2,881,066 shares of common stock issued and sold on January 7, 2019 as reported in the Issuer’s current report on Form 8-K filed with the Commission on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-1918970</wp:posOffset>
            </wp:positionV>
            <wp:extent cx="69551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-2498725</wp:posOffset>
            </wp:positionV>
            <wp:extent cx="69551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-3078480</wp:posOffset>
            </wp:positionV>
            <wp:extent cx="69551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-3512820</wp:posOffset>
            </wp:positionV>
            <wp:extent cx="69551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-1692910</wp:posOffset>
            </wp:positionV>
            <wp:extent cx="19291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283" w:gutter="0" w:footer="0" w:header="0"/>
          <w:type w:val="continuous"/>
        </w:sectPr>
      </w:pPr>
    </w:p>
    <w:bookmarkStart w:id="9" w:name="page10"/>
    <w:bookmarkEnd w:id="9"/>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89" w:lineRule="exact"/>
        <w:rPr>
          <w:sz w:val="20"/>
          <w:szCs w:val="20"/>
          <w:color w:val="auto"/>
        </w:rPr>
      </w:pPr>
    </w:p>
    <w:p>
      <w:pPr>
        <w:ind w:left="6" w:right="60"/>
        <w:spacing w:after="0" w:line="285" w:lineRule="auto"/>
        <w:rPr>
          <w:sz w:val="20"/>
          <w:szCs w:val="20"/>
          <w:color w:val="auto"/>
        </w:rPr>
      </w:pPr>
      <w:r>
        <w:rPr>
          <w:rFonts w:ascii="Arial" w:cs="Arial" w:eastAsia="Arial" w:hAnsi="Arial"/>
          <w:sz w:val="17"/>
          <w:szCs w:val="17"/>
          <w:color w:val="auto"/>
        </w:rPr>
        <w:t>Introductory Note: This Schedule 13G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w:t>
      </w:r>
    </w:p>
    <w:p>
      <w:pPr>
        <w:spacing w:after="0" w:line="1" w:lineRule="exact"/>
        <w:rPr>
          <w:sz w:val="20"/>
          <w:szCs w:val="20"/>
          <w:color w:val="auto"/>
        </w:rPr>
      </w:pPr>
    </w:p>
    <w:p>
      <w:pPr>
        <w:ind w:left="6" w:right="20" w:hanging="6"/>
        <w:spacing w:after="0" w:line="253" w:lineRule="auto"/>
        <w:tabs>
          <w:tab w:leader="none" w:pos="243" w:val="left"/>
        </w:tabs>
        <w:numPr>
          <w:ilvl w:val="0"/>
          <w:numId w:val="26"/>
        </w:numPr>
        <w:rPr>
          <w:rFonts w:ascii="Arial" w:cs="Arial" w:eastAsia="Arial" w:hAnsi="Arial"/>
          <w:sz w:val="19"/>
          <w:szCs w:val="19"/>
          <w:color w:val="auto"/>
        </w:rPr>
      </w:pPr>
      <w:r>
        <w:rPr>
          <w:rFonts w:ascii="Arial" w:cs="Arial" w:eastAsia="Arial" w:hAnsi="Arial"/>
          <w:sz w:val="19"/>
          <w:szCs w:val="19"/>
          <w:color w:val="auto"/>
        </w:rPr>
        <w:t>LP”), VHCP Co-Investment Holdings III, LLC, a limited liability company organized under the laws of the State of Delaware (“VHCP Co-Investment III”), VHCP Management II, LLC, a limited liability company organized under the laws of the State of Delaware (“VHCP Management II”), VHCP Management III, LLC, a limited liability company organized under the laws of the State of Delaware (“VHCP Management III” and collectively with VHCP II LP, VHCP Co-Investment II, VHCP III LP, VHCP Co-Investment III and VHCP Management II, the “Venrock Entities”), Nimish Shah (“Shah”) and Bong Koh (“Koh”) in respect of Common Stock of Axsome Therapeutics, Inc.</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1.</w:t>
      </w:r>
    </w:p>
    <w:p>
      <w:pPr>
        <w:spacing w:after="0" w:line="244" w:lineRule="exact"/>
        <w:rPr>
          <w:sz w:val="20"/>
          <w:szCs w:val="20"/>
          <w:color w:val="auto"/>
        </w:rPr>
      </w:pPr>
    </w:p>
    <w:p>
      <w:pPr>
        <w:ind w:left="1566" w:hanging="525"/>
        <w:spacing w:after="0"/>
        <w:tabs>
          <w:tab w:leader="none" w:pos="1566" w:val="left"/>
        </w:tabs>
        <w:numPr>
          <w:ilvl w:val="0"/>
          <w:numId w:val="27"/>
        </w:numPr>
        <w:rPr>
          <w:rFonts w:ascii="Arial" w:cs="Arial" w:eastAsia="Arial" w:hAnsi="Arial"/>
          <w:sz w:val="19"/>
          <w:szCs w:val="19"/>
          <w:color w:val="auto"/>
        </w:rPr>
      </w:pPr>
      <w:r>
        <w:rPr>
          <w:rFonts w:ascii="Arial" w:cs="Arial" w:eastAsia="Arial" w:hAnsi="Arial"/>
          <w:sz w:val="19"/>
          <w:szCs w:val="19"/>
          <w:color w:val="auto"/>
        </w:rPr>
        <w:t>Name of Issuer</w:t>
      </w:r>
    </w:p>
    <w:p>
      <w:pPr>
        <w:spacing w:after="0" w:line="22" w:lineRule="exact"/>
        <w:rPr>
          <w:rFonts w:ascii="Arial" w:cs="Arial" w:eastAsia="Arial" w:hAnsi="Arial"/>
          <w:sz w:val="19"/>
          <w:szCs w:val="19"/>
          <w:color w:val="auto"/>
        </w:rPr>
      </w:pPr>
    </w:p>
    <w:p>
      <w:pPr>
        <w:ind w:left="1566"/>
        <w:spacing w:after="0"/>
        <w:rPr>
          <w:rFonts w:ascii="Arial" w:cs="Arial" w:eastAsia="Arial" w:hAnsi="Arial"/>
          <w:sz w:val="19"/>
          <w:szCs w:val="19"/>
          <w:color w:val="auto"/>
        </w:rPr>
      </w:pPr>
      <w:r>
        <w:rPr>
          <w:rFonts w:ascii="Arial" w:cs="Arial" w:eastAsia="Arial" w:hAnsi="Arial"/>
          <w:sz w:val="19"/>
          <w:szCs w:val="19"/>
          <w:color w:val="auto"/>
        </w:rPr>
        <w:t>Axsome Therapeutics, Inc.</w:t>
      </w:r>
    </w:p>
    <w:p>
      <w:pPr>
        <w:spacing w:after="0" w:line="110" w:lineRule="exact"/>
        <w:rPr>
          <w:rFonts w:ascii="Arial" w:cs="Arial" w:eastAsia="Arial" w:hAnsi="Arial"/>
          <w:sz w:val="19"/>
          <w:szCs w:val="19"/>
          <w:color w:val="auto"/>
        </w:rPr>
      </w:pPr>
    </w:p>
    <w:p>
      <w:pPr>
        <w:ind w:left="1566" w:right="6820" w:hanging="525"/>
        <w:spacing w:after="0" w:line="229" w:lineRule="auto"/>
        <w:tabs>
          <w:tab w:leader="none" w:pos="1566" w:val="left"/>
        </w:tabs>
        <w:numPr>
          <w:ilvl w:val="0"/>
          <w:numId w:val="27"/>
        </w:numPr>
        <w:rPr>
          <w:rFonts w:ascii="Arial" w:cs="Arial" w:eastAsia="Arial" w:hAnsi="Arial"/>
          <w:sz w:val="19"/>
          <w:szCs w:val="19"/>
          <w:color w:val="auto"/>
        </w:rPr>
      </w:pPr>
      <w:r>
        <w:rPr>
          <w:rFonts w:ascii="Arial" w:cs="Arial" w:eastAsia="Arial" w:hAnsi="Arial"/>
          <w:sz w:val="19"/>
          <w:szCs w:val="19"/>
          <w:color w:val="auto"/>
        </w:rPr>
        <w:t>Address of Issuer’s Principal Executive Offices 25 Broadway, 9</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w:t>
      </w:r>
    </w:p>
    <w:p>
      <w:pPr>
        <w:ind w:left="1566"/>
        <w:spacing w:after="0"/>
        <w:rPr>
          <w:rFonts w:ascii="Arial" w:cs="Arial" w:eastAsia="Arial" w:hAnsi="Arial"/>
          <w:sz w:val="19"/>
          <w:szCs w:val="19"/>
          <w:color w:val="auto"/>
        </w:rPr>
      </w:pPr>
      <w:r>
        <w:rPr>
          <w:rFonts w:ascii="Arial" w:cs="Arial" w:eastAsia="Arial" w:hAnsi="Arial"/>
          <w:sz w:val="19"/>
          <w:szCs w:val="19"/>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5080</wp:posOffset>
            </wp:positionV>
            <wp:extent cx="6628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28765"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-501650</wp:posOffset>
            </wp:positionV>
            <wp:extent cx="6628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28765" cy="8890"/>
                    </a:xfrm>
                    <a:prstGeom prst="rect">
                      <a:avLst/>
                    </a:prstGeom>
                    <a:noFill/>
                  </pic:spPr>
                </pic:pic>
              </a:graphicData>
            </a:graphic>
          </wp:anchor>
        </w:drawing>
      </w:r>
    </w:p>
    <w:p>
      <w:pPr>
        <w:spacing w:after="0" w:line="19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2.</w:t>
      </w:r>
    </w:p>
    <w:p>
      <w:pPr>
        <w:spacing w:after="0" w:line="244" w:lineRule="exact"/>
        <w:rPr>
          <w:sz w:val="20"/>
          <w:szCs w:val="20"/>
          <w:color w:val="auto"/>
        </w:rPr>
      </w:pPr>
    </w:p>
    <w:p>
      <w:pPr>
        <w:ind w:left="1566" w:hanging="525"/>
        <w:spacing w:after="0"/>
        <w:tabs>
          <w:tab w:leader="none" w:pos="1566" w:val="left"/>
        </w:tabs>
        <w:numPr>
          <w:ilvl w:val="0"/>
          <w:numId w:val="28"/>
        </w:numPr>
        <w:rPr>
          <w:rFonts w:ascii="Arial" w:cs="Arial" w:eastAsia="Arial" w:hAnsi="Arial"/>
          <w:sz w:val="19"/>
          <w:szCs w:val="19"/>
          <w:color w:val="auto"/>
        </w:rPr>
      </w:pPr>
      <w:r>
        <w:rPr>
          <w:rFonts w:ascii="Arial" w:cs="Arial" w:eastAsia="Arial" w:hAnsi="Arial"/>
          <w:sz w:val="19"/>
          <w:szCs w:val="19"/>
          <w:color w:val="auto"/>
        </w:rPr>
        <w:t>Name of Person Filing</w:t>
      </w:r>
    </w:p>
    <w:p>
      <w:pPr>
        <w:spacing w:after="0" w:line="22" w:lineRule="exact"/>
        <w:rPr>
          <w:rFonts w:ascii="Arial" w:cs="Arial" w:eastAsia="Arial" w:hAnsi="Arial"/>
          <w:sz w:val="19"/>
          <w:szCs w:val="19"/>
          <w:color w:val="auto"/>
        </w:rPr>
      </w:pPr>
    </w:p>
    <w:p>
      <w:pPr>
        <w:ind w:left="1566" w:right="7040"/>
        <w:spacing w:after="0" w:line="264" w:lineRule="auto"/>
        <w:rPr>
          <w:rFonts w:ascii="Arial" w:cs="Arial" w:eastAsia="Arial" w:hAnsi="Arial"/>
          <w:sz w:val="19"/>
          <w:szCs w:val="19"/>
          <w:color w:val="auto"/>
        </w:rPr>
      </w:pPr>
      <w:r>
        <w:rPr>
          <w:rFonts w:ascii="Arial" w:cs="Arial" w:eastAsia="Arial" w:hAnsi="Arial"/>
          <w:sz w:val="18"/>
          <w:szCs w:val="18"/>
          <w:color w:val="auto"/>
        </w:rPr>
        <w:t>Venrock Healthcare Capital Partners II, L.P. VHCP Co-Investment Holdings II, LLC Venrock Healthcare Capital Partners III, L.P. VHCP Co-Investment Holdings III, LLC VHCP Management II, LLC</w:t>
      </w:r>
    </w:p>
    <w:p>
      <w:pPr>
        <w:spacing w:after="0" w:line="2" w:lineRule="exact"/>
        <w:rPr>
          <w:rFonts w:ascii="Arial" w:cs="Arial" w:eastAsia="Arial" w:hAnsi="Arial"/>
          <w:sz w:val="19"/>
          <w:szCs w:val="19"/>
          <w:color w:val="auto"/>
        </w:rPr>
      </w:pPr>
    </w:p>
    <w:p>
      <w:pPr>
        <w:ind w:left="1566" w:right="8200"/>
        <w:spacing w:after="0" w:line="250" w:lineRule="auto"/>
        <w:rPr>
          <w:rFonts w:ascii="Arial" w:cs="Arial" w:eastAsia="Arial" w:hAnsi="Arial"/>
          <w:sz w:val="19"/>
          <w:szCs w:val="19"/>
          <w:color w:val="auto"/>
        </w:rPr>
      </w:pPr>
      <w:r>
        <w:rPr>
          <w:rFonts w:ascii="Arial" w:cs="Arial" w:eastAsia="Arial" w:hAnsi="Arial"/>
          <w:sz w:val="19"/>
          <w:szCs w:val="19"/>
          <w:color w:val="auto"/>
        </w:rPr>
        <w:t>VHCP Management III, LLC Nimish Shah</w:t>
      </w:r>
    </w:p>
    <w:p>
      <w:pPr>
        <w:spacing w:after="0" w:line="1" w:lineRule="exact"/>
        <w:rPr>
          <w:rFonts w:ascii="Arial" w:cs="Arial" w:eastAsia="Arial" w:hAnsi="Arial"/>
          <w:sz w:val="19"/>
          <w:szCs w:val="19"/>
          <w:color w:val="auto"/>
        </w:rPr>
      </w:pPr>
    </w:p>
    <w:p>
      <w:pPr>
        <w:ind w:left="1566"/>
        <w:spacing w:after="0"/>
        <w:rPr>
          <w:rFonts w:ascii="Arial" w:cs="Arial" w:eastAsia="Arial" w:hAnsi="Arial"/>
          <w:sz w:val="19"/>
          <w:szCs w:val="19"/>
          <w:color w:val="auto"/>
        </w:rPr>
      </w:pPr>
      <w:r>
        <w:rPr>
          <w:rFonts w:ascii="Arial" w:cs="Arial" w:eastAsia="Arial" w:hAnsi="Arial"/>
          <w:sz w:val="19"/>
          <w:szCs w:val="19"/>
          <w:color w:val="auto"/>
        </w:rPr>
        <w:t>Bong Koh</w:t>
      </w:r>
    </w:p>
    <w:p>
      <w:pPr>
        <w:spacing w:after="0" w:line="110" w:lineRule="exact"/>
        <w:rPr>
          <w:rFonts w:ascii="Arial" w:cs="Arial" w:eastAsia="Arial" w:hAnsi="Arial"/>
          <w:sz w:val="19"/>
          <w:szCs w:val="19"/>
          <w:color w:val="auto"/>
        </w:rPr>
      </w:pPr>
    </w:p>
    <w:p>
      <w:pPr>
        <w:ind w:left="1566" w:hanging="525"/>
        <w:spacing w:after="0"/>
        <w:tabs>
          <w:tab w:leader="none" w:pos="1566" w:val="left"/>
        </w:tabs>
        <w:numPr>
          <w:ilvl w:val="0"/>
          <w:numId w:val="2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-201295</wp:posOffset>
            </wp:positionV>
            <wp:extent cx="6628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28765" cy="8890"/>
                    </a:xfrm>
                    <a:prstGeom prst="rect">
                      <a:avLst/>
                    </a:prstGeom>
                    <a:noFill/>
                  </pic:spPr>
                </pic:pic>
              </a:graphicData>
            </a:graphic>
          </wp:anchor>
        </w:drawing>
      </w:r>
    </w:p>
    <w:p>
      <w:pPr>
        <w:spacing w:after="0" w:line="218" w:lineRule="exact"/>
        <w:rPr>
          <w:sz w:val="20"/>
          <w:szCs w:val="20"/>
          <w:color w:val="auto"/>
        </w:rPr>
      </w:pPr>
    </w:p>
    <w:tbl>
      <w:tblPr>
        <w:tblLayout w:type="fixed"/>
        <w:tblInd w:w="1566"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r>
              <w:rPr>
                <w:rFonts w:ascii="Arial" w:cs="Arial" w:eastAsia="Arial" w:hAnsi="Arial"/>
                <w:sz w:val="19"/>
                <w:szCs w:val="19"/>
                <w:color w:val="auto"/>
              </w:rPr>
              <w:t>New York Office:</w:t>
            </w:r>
          </w:p>
        </w:tc>
        <w:tc>
          <w:tcPr>
            <w:tcW w:w="3540" w:type="dxa"/>
            <w:vAlign w:val="bottom"/>
          </w:tcPr>
          <w:p>
            <w:pPr>
              <w:ind w:left="980"/>
              <w:spacing w:after="0"/>
              <w:rPr>
                <w:sz w:val="20"/>
                <w:szCs w:val="20"/>
                <w:color w:val="auto"/>
              </w:rPr>
            </w:pPr>
            <w:r>
              <w:rPr>
                <w:rFonts w:ascii="Arial" w:cs="Arial" w:eastAsia="Arial" w:hAnsi="Arial"/>
                <w:sz w:val="19"/>
                <w:szCs w:val="19"/>
                <w:color w:val="auto"/>
              </w:rPr>
              <w:t>Palo Alto Office:</w:t>
            </w:r>
          </w:p>
        </w:tc>
        <w:tc>
          <w:tcPr>
            <w:tcW w:w="4220" w:type="dxa"/>
            <w:vAlign w:val="bottom"/>
          </w:tcPr>
          <w:p>
            <w:pPr>
              <w:ind w:left="840"/>
              <w:spacing w:after="0"/>
              <w:rPr>
                <w:sz w:val="20"/>
                <w:szCs w:val="20"/>
                <w:color w:val="auto"/>
              </w:rPr>
            </w:pPr>
            <w:r>
              <w:rPr>
                <w:rFonts w:ascii="Arial" w:cs="Arial" w:eastAsia="Arial" w:hAnsi="Arial"/>
                <w:sz w:val="19"/>
                <w:szCs w:val="19"/>
                <w:color w:val="auto"/>
              </w:rPr>
              <w:t>Boston Office:</w:t>
            </w:r>
          </w:p>
        </w:tc>
      </w:tr>
      <w:tr>
        <w:trPr>
          <w:trHeight w:val="443"/>
        </w:trPr>
        <w:tc>
          <w:tcPr>
            <w:tcW w:w="2680" w:type="dxa"/>
            <w:vAlign w:val="bottom"/>
          </w:tcPr>
          <w:p>
            <w:pPr>
              <w:spacing w:after="0"/>
              <w:rPr>
                <w:sz w:val="20"/>
                <w:szCs w:val="20"/>
                <w:color w:val="auto"/>
              </w:rPr>
            </w:pPr>
            <w:r>
              <w:rPr>
                <w:rFonts w:ascii="Arial" w:cs="Arial" w:eastAsia="Arial" w:hAnsi="Arial"/>
                <w:sz w:val="19"/>
                <w:szCs w:val="19"/>
                <w:color w:val="auto"/>
              </w:rPr>
              <w:t>7 Bryant Park</w:t>
            </w:r>
          </w:p>
        </w:tc>
        <w:tc>
          <w:tcPr>
            <w:tcW w:w="3540" w:type="dxa"/>
            <w:vAlign w:val="bottom"/>
          </w:tcPr>
          <w:p>
            <w:pPr>
              <w:ind w:left="980"/>
              <w:spacing w:after="0"/>
              <w:rPr>
                <w:sz w:val="20"/>
                <w:szCs w:val="20"/>
                <w:color w:val="auto"/>
              </w:rPr>
            </w:pPr>
            <w:r>
              <w:rPr>
                <w:rFonts w:ascii="Arial" w:cs="Arial" w:eastAsia="Arial" w:hAnsi="Arial"/>
                <w:sz w:val="19"/>
                <w:szCs w:val="19"/>
                <w:color w:val="auto"/>
              </w:rPr>
              <w:t>3340 Hillview Avenue</w:t>
            </w:r>
          </w:p>
        </w:tc>
        <w:tc>
          <w:tcPr>
            <w:tcW w:w="4220" w:type="dxa"/>
            <w:vAlign w:val="bottom"/>
          </w:tcPr>
          <w:p>
            <w:pPr>
              <w:ind w:left="840"/>
              <w:spacing w:after="0"/>
              <w:rPr>
                <w:sz w:val="20"/>
                <w:szCs w:val="20"/>
                <w:color w:val="auto"/>
              </w:rPr>
            </w:pPr>
            <w:r>
              <w:rPr>
                <w:rFonts w:ascii="Arial" w:cs="Arial" w:eastAsia="Arial" w:hAnsi="Arial"/>
                <w:sz w:val="19"/>
                <w:szCs w:val="19"/>
                <w:color w:val="auto"/>
              </w:rPr>
              <w:t>34 Farnsworth Street</w:t>
            </w:r>
          </w:p>
        </w:tc>
      </w:tr>
      <w:tr>
        <w:trPr>
          <w:trHeight w:val="228"/>
        </w:trPr>
        <w:tc>
          <w:tcPr>
            <w:tcW w:w="2680" w:type="dxa"/>
            <w:vAlign w:val="bottom"/>
          </w:tcPr>
          <w:p>
            <w:pPr>
              <w:spacing w:after="0"/>
              <w:rPr>
                <w:sz w:val="20"/>
                <w:szCs w:val="20"/>
                <w:color w:val="auto"/>
              </w:rPr>
            </w:pPr>
            <w:r>
              <w:rPr>
                <w:rFonts w:ascii="Arial" w:cs="Arial" w:eastAsia="Arial" w:hAnsi="Arial"/>
                <w:sz w:val="19"/>
                <w:szCs w:val="19"/>
                <w:color w:val="auto"/>
              </w:rPr>
              <w:t>23rd Floor</w:t>
            </w:r>
          </w:p>
        </w:tc>
        <w:tc>
          <w:tcPr>
            <w:tcW w:w="3540" w:type="dxa"/>
            <w:vAlign w:val="bottom"/>
          </w:tcPr>
          <w:p>
            <w:pPr>
              <w:ind w:left="980"/>
              <w:spacing w:after="0"/>
              <w:rPr>
                <w:sz w:val="20"/>
                <w:szCs w:val="20"/>
                <w:color w:val="auto"/>
              </w:rPr>
            </w:pPr>
            <w:r>
              <w:rPr>
                <w:rFonts w:ascii="Arial" w:cs="Arial" w:eastAsia="Arial" w:hAnsi="Arial"/>
                <w:sz w:val="19"/>
                <w:szCs w:val="19"/>
                <w:color w:val="auto"/>
              </w:rPr>
              <w:t>Palo Alto, CA 94304</w:t>
            </w:r>
          </w:p>
        </w:tc>
        <w:tc>
          <w:tcPr>
            <w:tcW w:w="4220" w:type="dxa"/>
            <w:vAlign w:val="bottom"/>
          </w:tcPr>
          <w:p>
            <w:pPr>
              <w:ind w:left="840"/>
              <w:spacing w:after="0"/>
              <w:rPr>
                <w:sz w:val="20"/>
                <w:szCs w:val="20"/>
                <w:color w:val="auto"/>
              </w:rPr>
            </w:pPr>
            <w:r>
              <w:rPr>
                <w:rFonts w:ascii="Arial" w:cs="Arial" w:eastAsia="Arial" w:hAnsi="Arial"/>
                <w:sz w:val="19"/>
                <w:szCs w:val="19"/>
                <w:color w:val="auto"/>
              </w:rPr>
              <w:t>3rd Floor</w:t>
            </w:r>
          </w:p>
        </w:tc>
      </w:tr>
      <w:tr>
        <w:trPr>
          <w:trHeight w:val="242"/>
        </w:trPr>
        <w:tc>
          <w:tcPr>
            <w:tcW w:w="26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New York, NY 10018</w:t>
            </w:r>
          </w:p>
        </w:tc>
        <w:tc>
          <w:tcPr>
            <w:tcW w:w="35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ind w:left="840"/>
              <w:spacing w:after="0"/>
              <w:rPr>
                <w:sz w:val="20"/>
                <w:szCs w:val="20"/>
                <w:color w:val="auto"/>
              </w:rPr>
            </w:pPr>
            <w:r>
              <w:rPr>
                <w:rFonts w:ascii="Arial" w:cs="Arial" w:eastAsia="Arial" w:hAnsi="Arial"/>
                <w:sz w:val="19"/>
                <w:szCs w:val="19"/>
                <w:color w:val="auto"/>
              </w:rPr>
              <w:t>Boston, MA 02210</w:t>
            </w:r>
          </w:p>
        </w:tc>
      </w:tr>
    </w:tbl>
    <w:p>
      <w:pPr>
        <w:spacing w:after="0" w:line="86" w:lineRule="exact"/>
        <w:rPr>
          <w:sz w:val="20"/>
          <w:szCs w:val="20"/>
          <w:color w:val="auto"/>
        </w:rPr>
      </w:pPr>
    </w:p>
    <w:p>
      <w:pPr>
        <w:ind w:left="1566" w:hanging="525"/>
        <w:spacing w:after="0"/>
        <w:tabs>
          <w:tab w:leader="none" w:pos="1566" w:val="left"/>
        </w:tabs>
        <w:numPr>
          <w:ilvl w:val="0"/>
          <w:numId w:val="29"/>
        </w:numPr>
        <w:rPr>
          <w:rFonts w:ascii="Arial" w:cs="Arial" w:eastAsia="Arial" w:hAnsi="Arial"/>
          <w:sz w:val="19"/>
          <w:szCs w:val="19"/>
          <w:color w:val="auto"/>
        </w:rPr>
      </w:pPr>
      <w:r>
        <w:rPr>
          <w:rFonts w:ascii="Arial" w:cs="Arial" w:eastAsia="Arial" w:hAnsi="Arial"/>
          <w:sz w:val="19"/>
          <w:szCs w:val="19"/>
          <w:color w:val="auto"/>
        </w:rPr>
        <w:t>Citizenship</w:t>
      </w:r>
    </w:p>
    <w:p>
      <w:pPr>
        <w:spacing w:after="0" w:line="22" w:lineRule="exact"/>
        <w:rPr>
          <w:rFonts w:ascii="Arial" w:cs="Arial" w:eastAsia="Arial" w:hAnsi="Arial"/>
          <w:sz w:val="19"/>
          <w:szCs w:val="19"/>
          <w:color w:val="auto"/>
        </w:rPr>
      </w:pPr>
    </w:p>
    <w:p>
      <w:pPr>
        <w:ind w:left="1566"/>
        <w:spacing w:after="0"/>
        <w:rPr>
          <w:rFonts w:ascii="Arial" w:cs="Arial" w:eastAsia="Arial" w:hAnsi="Arial"/>
          <w:sz w:val="19"/>
          <w:szCs w:val="19"/>
          <w:color w:val="auto"/>
        </w:rPr>
      </w:pPr>
      <w:r>
        <w:rPr>
          <w:rFonts w:ascii="Arial" w:cs="Arial" w:eastAsia="Arial" w:hAnsi="Arial"/>
          <w:sz w:val="19"/>
          <w:szCs w:val="19"/>
          <w:color w:val="auto"/>
        </w:rPr>
        <w:t>All of the Venrock Entities were organized in Delaware. The individuals are both United States citizens.</w:t>
      </w:r>
    </w:p>
    <w:p>
      <w:pPr>
        <w:spacing w:after="0" w:line="110" w:lineRule="exact"/>
        <w:rPr>
          <w:rFonts w:ascii="Arial" w:cs="Arial" w:eastAsia="Arial" w:hAnsi="Arial"/>
          <w:sz w:val="19"/>
          <w:szCs w:val="19"/>
          <w:color w:val="auto"/>
        </w:rPr>
      </w:pPr>
    </w:p>
    <w:p>
      <w:pPr>
        <w:ind w:left="1566" w:right="8420" w:hanging="525"/>
        <w:spacing w:after="0" w:line="336" w:lineRule="auto"/>
        <w:tabs>
          <w:tab w:leader="none" w:pos="156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Title of Class of Securities Common Stock</w:t>
      </w:r>
    </w:p>
    <w:p>
      <w:pPr>
        <w:spacing w:after="0" w:line="23" w:lineRule="exact"/>
        <w:rPr>
          <w:rFonts w:ascii="Arial" w:cs="Arial" w:eastAsia="Arial" w:hAnsi="Arial"/>
          <w:sz w:val="17"/>
          <w:szCs w:val="17"/>
          <w:color w:val="auto"/>
        </w:rPr>
      </w:pPr>
    </w:p>
    <w:p>
      <w:pPr>
        <w:ind w:left="1566" w:right="9220" w:hanging="525"/>
        <w:spacing w:after="0" w:line="336" w:lineRule="auto"/>
        <w:tabs>
          <w:tab w:leader="none" w:pos="156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CUSIP Number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-48260</wp:posOffset>
            </wp:positionV>
            <wp:extent cx="6628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28765"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-410210</wp:posOffset>
            </wp:positionV>
            <wp:extent cx="6628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28765"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-772795</wp:posOffset>
            </wp:positionV>
            <wp:extent cx="6628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28765" cy="8890"/>
                    </a:xfrm>
                    <a:prstGeom prst="rect">
                      <a:avLst/>
                    </a:prstGeom>
                    <a:noFill/>
                  </pic:spPr>
                </pic:pic>
              </a:graphicData>
            </a:graphic>
          </wp:anchor>
        </w:drawing>
      </w:r>
    </w:p>
    <w:p>
      <w:pPr>
        <w:spacing w:after="0" w:line="131"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70" w:right="120" w:bottom="1440" w:gutter="0" w:footer="0" w:header="0"/>
        </w:sectPr>
      </w:pPr>
    </w:p>
    <w:bookmarkStart w:id="10" w:name="page11"/>
    <w:bookmarkEnd w:id="10"/>
    <w:p>
      <w:pPr>
        <w:ind w:left="60"/>
        <w:spacing w:after="0"/>
        <w:rPr>
          <w:sz w:val="20"/>
          <w:szCs w:val="20"/>
          <w:color w:val="auto"/>
        </w:rPr>
      </w:pPr>
      <w:r>
        <w:rPr>
          <w:rFonts w:ascii="Arial" w:cs="Arial" w:eastAsia="Arial" w:hAnsi="Arial"/>
          <w:sz w:val="17"/>
          <w:szCs w:val="17"/>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6250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40"/>
          </w:cols>
          <w:pgMar w:left="120" w:top="270" w:right="8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this statement is filed pursuant to §§240.13d-1(b), or 240.13d-2(b) or (c), check whether the person filing is a:</w:t>
      </w:r>
    </w:p>
    <w:p>
      <w:pPr>
        <w:spacing w:after="0" w:line="200" w:lineRule="exact"/>
        <w:rPr>
          <w:sz w:val="20"/>
          <w:szCs w:val="20"/>
          <w:color w:val="auto"/>
        </w:rPr>
      </w:pPr>
    </w:p>
    <w:p>
      <w:pPr>
        <w:sectPr>
          <w:pgSz w:w="12240" w:h="15840" w:orient="portrait"/>
          <w:cols w:equalWidth="0" w:num="2">
            <w:col w:w="560" w:space="640"/>
            <w:col w:w="10840"/>
          </w:cols>
          <w:pgMar w:left="120" w:top="270" w:right="80" w:bottom="1440" w:gutter="0" w:footer="0" w:header="0"/>
          <w:type w:val="continuous"/>
        </w:sectPr>
      </w:pPr>
    </w:p>
    <w:p>
      <w:pPr>
        <w:spacing w:after="0" w:line="6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Not applicable</w:t>
      </w:r>
    </w:p>
    <w:p>
      <w:pPr>
        <w:sectPr>
          <w:pgSz w:w="12240" w:h="15840" w:orient="portrait"/>
          <w:cols w:equalWidth="0" w:num="1">
            <w:col w:w="12040"/>
          </w:cols>
          <w:pgMar w:left="120" w:top="270" w:right="80"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Ownership</w:t>
      </w:r>
    </w:p>
    <w:p>
      <w:pPr>
        <w:spacing w:after="0" w:line="200" w:lineRule="exact"/>
        <w:rPr>
          <w:sz w:val="20"/>
          <w:szCs w:val="20"/>
          <w:color w:val="auto"/>
        </w:rPr>
      </w:pPr>
    </w:p>
    <w:p>
      <w:pPr>
        <w:sectPr>
          <w:pgSz w:w="12240" w:h="15840" w:orient="portrait"/>
          <w:cols w:equalWidth="0" w:num="2">
            <w:col w:w="560" w:space="640"/>
            <w:col w:w="10840"/>
          </w:cols>
          <w:pgMar w:left="120" w:top="270" w:right="80" w:bottom="1440" w:gutter="0" w:footer="0" w:header="0"/>
          <w:type w:val="continuous"/>
        </w:sectPr>
      </w:pPr>
    </w:p>
    <w:p>
      <w:pPr>
        <w:spacing w:after="0" w:line="67" w:lineRule="exact"/>
        <w:rPr>
          <w:sz w:val="20"/>
          <w:szCs w:val="20"/>
          <w:color w:val="auto"/>
        </w:rPr>
      </w:pPr>
    </w:p>
    <w:tbl>
      <w:tblPr>
        <w:tblLayout w:type="fixed"/>
        <w:tblInd w:w="1340" w:type="dxa"/>
        <w:tblCellMar>
          <w:top w:w="0" w:type="dxa"/>
          <w:left w:w="0" w:type="dxa"/>
          <w:bottom w:w="0" w:type="dxa"/>
          <w:right w:w="0" w:type="dxa"/>
        </w:tblCellMar>
      </w:tblPr>
      <w:tr>
        <w:trPr>
          <w:trHeight w:val="241"/>
        </w:trPr>
        <w:tc>
          <w:tcPr>
            <w:tcW w:w="6560" w:type="dxa"/>
            <w:vAlign w:val="bottom"/>
            <w:gridSpan w:val="3"/>
          </w:tcPr>
          <w:p>
            <w:pPr>
              <w:ind w:left="20"/>
              <w:spacing w:after="0"/>
              <w:rPr>
                <w:sz w:val="20"/>
                <w:szCs w:val="20"/>
                <w:color w:val="auto"/>
              </w:rPr>
            </w:pPr>
            <w:r>
              <w:rPr>
                <w:rFonts w:ascii="Arial" w:cs="Arial" w:eastAsia="Arial" w:hAnsi="Arial"/>
                <w:sz w:val="19"/>
                <w:szCs w:val="19"/>
                <w:color w:val="auto"/>
              </w:rPr>
              <w:t>(a)  Amount beneficially owned as of January 28, 2019:</w:t>
            </w:r>
          </w:p>
        </w:tc>
        <w:tc>
          <w:tcPr>
            <w:tcW w:w="23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86"/>
        </w:trPr>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 L.P.</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VHCP Co-Investment Holdings II, LLC</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III, L.P.</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VHCP Co-Investment Holdings III, LLC</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VHCP Management II, LLC</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VHCP Management III, LLC</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Nimish Shah</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42"/>
        </w:trPr>
        <w:tc>
          <w:tcPr>
            <w:tcW w:w="36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Bong Koh</w:t>
            </w:r>
          </w:p>
        </w:tc>
        <w:tc>
          <w:tcPr>
            <w:tcW w:w="23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Borders>
              <w:bottom w:val="single" w:sz="8" w:color="auto"/>
            </w:tcBorders>
          </w:tcPr>
          <w:p>
            <w:pPr>
              <w:spacing w:after="0"/>
              <w:rPr>
                <w:sz w:val="21"/>
                <w:szCs w:val="21"/>
                <w:color w:val="auto"/>
              </w:rPr>
            </w:pPr>
          </w:p>
        </w:tc>
      </w:tr>
      <w:tr>
        <w:trPr>
          <w:trHeight w:val="279"/>
        </w:trPr>
        <w:tc>
          <w:tcPr>
            <w:tcW w:w="6560" w:type="dxa"/>
            <w:vAlign w:val="bottom"/>
            <w:gridSpan w:val="3"/>
          </w:tcPr>
          <w:p>
            <w:pPr>
              <w:spacing w:after="0"/>
              <w:rPr>
                <w:sz w:val="20"/>
                <w:szCs w:val="20"/>
                <w:color w:val="auto"/>
              </w:rPr>
            </w:pPr>
            <w:r>
              <w:rPr>
                <w:rFonts w:ascii="Arial" w:cs="Arial" w:eastAsia="Arial" w:hAnsi="Arial"/>
                <w:sz w:val="19"/>
                <w:szCs w:val="19"/>
                <w:color w:val="auto"/>
              </w:rPr>
              <w:t>(b)  Percent of class as of January 28, 2019:</w:t>
            </w:r>
          </w:p>
        </w:tc>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 L.P.</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VHCP Co-Investment Holdings II, LLC</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III, L.P.</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VHCP Co-Investment Holdings III, LLC</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VHCP Management II, LLC</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VHCP Management III, LLC</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9"/>
                <w:szCs w:val="19"/>
                <w:color w:val="auto"/>
              </w:rPr>
              <w:t>Nimish Shah</w:t>
            </w:r>
          </w:p>
        </w:tc>
        <w:tc>
          <w:tcPr>
            <w:tcW w:w="230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19"/>
                <w:szCs w:val="19"/>
                <w:color w:val="auto"/>
              </w:rPr>
            </w:pPr>
          </w:p>
        </w:tc>
      </w:tr>
      <w:tr>
        <w:trPr>
          <w:trHeight w:val="241"/>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9"/>
                <w:szCs w:val="19"/>
                <w:color w:val="auto"/>
              </w:rPr>
              <w:t>Bong Koh</w:t>
            </w:r>
          </w:p>
        </w:tc>
        <w:tc>
          <w:tcPr>
            <w:tcW w:w="2300" w:type="dxa"/>
            <w:vAlign w:val="bottom"/>
          </w:tcPr>
          <w:p>
            <w:pPr>
              <w:jc w:val="right"/>
              <w:ind w:right="25"/>
              <w:spacing w:after="0"/>
              <w:rPr>
                <w:sz w:val="20"/>
                <w:szCs w:val="20"/>
                <w:color w:val="auto"/>
              </w:rPr>
            </w:pPr>
            <w:r>
              <w:rPr>
                <w:rFonts w:ascii="Arial" w:cs="Arial" w:eastAsia="Arial" w:hAnsi="Arial"/>
                <w:sz w:val="19"/>
                <w:szCs w:val="19"/>
                <w:color w:val="auto"/>
              </w:rPr>
              <w:t>5.0%</w:t>
            </w: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635</wp:posOffset>
            </wp:positionV>
            <wp:extent cx="65379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37960" cy="8890"/>
                    </a:xfrm>
                    <a:prstGeom prst="rect">
                      <a:avLst/>
                    </a:prstGeom>
                    <a:noFill/>
                  </pic:spPr>
                </pic:pic>
              </a:graphicData>
            </a:graphic>
          </wp:anchor>
        </w:drawing>
      </w:r>
    </w:p>
    <w:p>
      <w:pPr>
        <w:spacing w:after="0" w:line="24"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(c)  Number of shares as to which the person has, as of January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241300</wp:posOffset>
            </wp:positionV>
            <wp:extent cx="65379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3796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20" w:type="dxa"/>
            <w:vAlign w:val="bottom"/>
            <w:gridSpan w:val="3"/>
          </w:tcPr>
          <w:p>
            <w:pPr>
              <w:jc w:val="right"/>
              <w:ind w:right="2905"/>
              <w:spacing w:after="0"/>
              <w:rPr>
                <w:sz w:val="20"/>
                <w:szCs w:val="20"/>
                <w:color w:val="auto"/>
              </w:rPr>
            </w:pPr>
            <w:r>
              <w:rPr>
                <w:rFonts w:ascii="Arial" w:cs="Arial" w:eastAsia="Arial" w:hAnsi="Arial"/>
                <w:sz w:val="19"/>
                <w:szCs w:val="19"/>
                <w:color w:val="auto"/>
              </w:rPr>
              <w:t>(i)   Sole power to vote or to direct the vote</w:t>
            </w:r>
          </w:p>
        </w:tc>
        <w:tc>
          <w:tcPr>
            <w:tcW w:w="1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6"/>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 L.P.</w:t>
            </w:r>
          </w:p>
        </w:tc>
        <w:tc>
          <w:tcPr>
            <w:tcW w:w="18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VHCP Co-Investment Holdings II, LLC</w:t>
            </w:r>
          </w:p>
        </w:tc>
        <w:tc>
          <w:tcPr>
            <w:tcW w:w="1880" w:type="dxa"/>
            <w:vAlign w:val="bottom"/>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III, L.P.</w:t>
            </w:r>
          </w:p>
        </w:tc>
        <w:tc>
          <w:tcPr>
            <w:tcW w:w="18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VHCP Co-Investment Holdings III, LLC</w:t>
            </w:r>
          </w:p>
        </w:tc>
        <w:tc>
          <w:tcPr>
            <w:tcW w:w="1880" w:type="dxa"/>
            <w:vAlign w:val="bottom"/>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VHCP Management II, LLC</w:t>
            </w:r>
          </w:p>
        </w:tc>
        <w:tc>
          <w:tcPr>
            <w:tcW w:w="18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VHCP Management III, LLC</w:t>
            </w:r>
          </w:p>
        </w:tc>
        <w:tc>
          <w:tcPr>
            <w:tcW w:w="1880" w:type="dxa"/>
            <w:vAlign w:val="bottom"/>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Nimish Shah</w:t>
            </w:r>
          </w:p>
        </w:tc>
        <w:tc>
          <w:tcPr>
            <w:tcW w:w="18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23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Bong Koh</w:t>
            </w:r>
          </w:p>
        </w:tc>
        <w:tc>
          <w:tcPr>
            <w:tcW w:w="188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0</w:t>
            </w:r>
          </w:p>
        </w:tc>
        <w:tc>
          <w:tcPr>
            <w:tcW w:w="18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450"/>
        </w:trPr>
        <w:tc>
          <w:tcPr>
            <w:tcW w:w="8320" w:type="dxa"/>
            <w:vAlign w:val="bottom"/>
            <w:gridSpan w:val="3"/>
          </w:tcPr>
          <w:p>
            <w:pPr>
              <w:jc w:val="right"/>
              <w:ind w:right="2145"/>
              <w:spacing w:after="0"/>
              <w:rPr>
                <w:sz w:val="20"/>
                <w:szCs w:val="20"/>
                <w:color w:val="auto"/>
              </w:rPr>
            </w:pPr>
            <w:r>
              <w:rPr>
                <w:rFonts w:ascii="Arial" w:cs="Arial" w:eastAsia="Arial" w:hAnsi="Arial"/>
                <w:sz w:val="19"/>
                <w:szCs w:val="19"/>
                <w:color w:val="auto"/>
              </w:rPr>
              <w:t>11</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23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5000" w:type="dxa"/>
            <w:vAlign w:val="bottom"/>
            <w:tcBorders>
              <w:bottom w:val="single" w:sz="8" w:color="808080"/>
            </w:tcBorders>
          </w:tcPr>
          <w:p>
            <w:pPr>
              <w:spacing w:after="0"/>
              <w:rPr>
                <w:sz w:val="12"/>
                <w:szCs w:val="12"/>
                <w:color w:val="auto"/>
              </w:rPr>
            </w:pPr>
          </w:p>
        </w:tc>
        <w:tc>
          <w:tcPr>
            <w:tcW w:w="1880" w:type="dxa"/>
            <w:vAlign w:val="bottom"/>
            <w:tcBorders>
              <w:bottom w:val="single" w:sz="8" w:color="808080"/>
            </w:tcBorders>
          </w:tcPr>
          <w:p>
            <w:pPr>
              <w:spacing w:after="0"/>
              <w:rPr>
                <w:sz w:val="12"/>
                <w:szCs w:val="12"/>
                <w:color w:val="auto"/>
              </w:rPr>
            </w:pPr>
          </w:p>
        </w:tc>
        <w:tc>
          <w:tcPr>
            <w:tcW w:w="18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70" w:right="80" w:bottom="1440" w:gutter="0" w:footer="0" w:header="0"/>
          <w:type w:val="continuous"/>
        </w:sectPr>
      </w:pPr>
    </w:p>
    <w:bookmarkStart w:id="11" w:name="page12"/>
    <w:bookmarkEnd w:id="11"/>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46" w:lineRule="exact"/>
        <w:rPr>
          <w:sz w:val="20"/>
          <w:szCs w:val="20"/>
          <w:color w:val="auto"/>
        </w:rPr>
      </w:pPr>
    </w:p>
    <w:tbl>
      <w:tblPr>
        <w:tblLayout w:type="fixed"/>
        <w:tblInd w:w="1926" w:type="dxa"/>
        <w:tblCellMar>
          <w:top w:w="0" w:type="dxa"/>
          <w:left w:w="0" w:type="dxa"/>
          <w:bottom w:w="0" w:type="dxa"/>
          <w:right w:w="0" w:type="dxa"/>
        </w:tblCellMar>
      </w:tblPr>
      <w:tr>
        <w:trPr>
          <w:trHeight w:val="241"/>
        </w:trPr>
        <w:tc>
          <w:tcPr>
            <w:tcW w:w="6000" w:type="dxa"/>
            <w:vAlign w:val="bottom"/>
            <w:gridSpan w:val="2"/>
          </w:tcPr>
          <w:p>
            <w:pPr>
              <w:spacing w:after="0"/>
              <w:rPr>
                <w:sz w:val="20"/>
                <w:szCs w:val="20"/>
                <w:color w:val="auto"/>
              </w:rPr>
            </w:pPr>
            <w:r>
              <w:rPr>
                <w:rFonts w:ascii="Arial" w:cs="Arial" w:eastAsia="Arial" w:hAnsi="Arial"/>
                <w:sz w:val="19"/>
                <w:szCs w:val="19"/>
                <w:color w:val="auto"/>
              </w:rPr>
              <w:t>(ii)  Shared power to vote or to direct the vote</w:t>
            </w:r>
          </w:p>
        </w:tc>
        <w:tc>
          <w:tcPr>
            <w:tcW w:w="2280" w:type="dxa"/>
            <w:vAlign w:val="bottom"/>
          </w:tcPr>
          <w:p>
            <w:pPr>
              <w:spacing w:after="0"/>
              <w:rPr>
                <w:sz w:val="20"/>
                <w:szCs w:val="20"/>
                <w:color w:val="auto"/>
              </w:rPr>
            </w:pPr>
          </w:p>
        </w:tc>
      </w:tr>
      <w:tr>
        <w:trPr>
          <w:trHeight w:val="186"/>
        </w:trPr>
        <w:tc>
          <w:tcPr>
            <w:tcW w:w="14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28"/>
        </w:trPr>
        <w:tc>
          <w:tcPr>
            <w:tcW w:w="140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 L.P.</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r>
      <w:tr>
        <w:trPr>
          <w:trHeight w:val="228"/>
        </w:trPr>
        <w:tc>
          <w:tcPr>
            <w:tcW w:w="14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VHCP Co-Investment Holdings II, LLC</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r>
      <w:tr>
        <w:trPr>
          <w:trHeight w:val="228"/>
        </w:trPr>
        <w:tc>
          <w:tcPr>
            <w:tcW w:w="140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III, L.P.</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r>
      <w:tr>
        <w:trPr>
          <w:trHeight w:val="228"/>
        </w:trPr>
        <w:tc>
          <w:tcPr>
            <w:tcW w:w="14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VHCP Co-Investment Holdings III, LLC</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r>
      <w:tr>
        <w:trPr>
          <w:trHeight w:val="228"/>
        </w:trPr>
        <w:tc>
          <w:tcPr>
            <w:tcW w:w="140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VHCP Management II, LLC</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r>
      <w:tr>
        <w:trPr>
          <w:trHeight w:val="228"/>
        </w:trPr>
        <w:tc>
          <w:tcPr>
            <w:tcW w:w="14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VHCP Management III, LLC</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r>
      <w:tr>
        <w:trPr>
          <w:trHeight w:val="228"/>
        </w:trPr>
        <w:tc>
          <w:tcPr>
            <w:tcW w:w="140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Nimish Shah</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r>
      <w:tr>
        <w:trPr>
          <w:trHeight w:val="241"/>
        </w:trPr>
        <w:tc>
          <w:tcPr>
            <w:tcW w:w="14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Bong Koh</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635</wp:posOffset>
            </wp:positionV>
            <wp:extent cx="6121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21400" cy="8890"/>
                    </a:xfrm>
                    <a:prstGeom prst="rect">
                      <a:avLst/>
                    </a:prstGeom>
                    <a:noFill/>
                  </pic:spPr>
                </pic:pic>
              </a:graphicData>
            </a:graphic>
          </wp:anchor>
        </w:drawing>
      </w:r>
    </w:p>
    <w:p>
      <w:pPr>
        <w:spacing w:after="0" w:line="24" w:lineRule="exact"/>
        <w:rPr>
          <w:sz w:val="20"/>
          <w:szCs w:val="20"/>
          <w:color w:val="auto"/>
        </w:rPr>
      </w:pPr>
    </w:p>
    <w:tbl>
      <w:tblPr>
        <w:tblLayout w:type="fixed"/>
        <w:tblInd w:w="1906" w:type="dxa"/>
        <w:tblCellMar>
          <w:top w:w="0" w:type="dxa"/>
          <w:left w:w="0" w:type="dxa"/>
          <w:bottom w:w="0" w:type="dxa"/>
          <w:right w:w="0" w:type="dxa"/>
        </w:tblCellMar>
      </w:tblPr>
      <w:tr>
        <w:trPr>
          <w:trHeight w:val="256"/>
        </w:trPr>
        <w:tc>
          <w:tcPr>
            <w:tcW w:w="6420" w:type="dxa"/>
            <w:vAlign w:val="bottom"/>
            <w:gridSpan w:val="3"/>
          </w:tcPr>
          <w:p>
            <w:pPr>
              <w:spacing w:after="0"/>
              <w:rPr>
                <w:sz w:val="20"/>
                <w:szCs w:val="20"/>
                <w:color w:val="auto"/>
              </w:rPr>
            </w:pPr>
            <w:r>
              <w:rPr>
                <w:rFonts w:ascii="Arial" w:cs="Arial" w:eastAsia="Arial" w:hAnsi="Arial"/>
                <w:sz w:val="19"/>
                <w:szCs w:val="19"/>
                <w:color w:val="auto"/>
              </w:rPr>
              <w:t>(iii)  Sole power to dispose or to direct the disposition of</w:t>
            </w:r>
          </w:p>
        </w:tc>
        <w:tc>
          <w:tcPr>
            <w:tcW w:w="18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186"/>
        </w:trPr>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 L.P.</w:t>
            </w:r>
          </w:p>
        </w:tc>
        <w:tc>
          <w:tcPr>
            <w:tcW w:w="18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VHCP Co-Investment Holdings II, LLC</w:t>
            </w:r>
          </w:p>
        </w:tc>
        <w:tc>
          <w:tcPr>
            <w:tcW w:w="1880" w:type="dxa"/>
            <w:vAlign w:val="bottom"/>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III, L.P.</w:t>
            </w:r>
          </w:p>
        </w:tc>
        <w:tc>
          <w:tcPr>
            <w:tcW w:w="18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VHCP Co-Investment Holdings III, LLC</w:t>
            </w:r>
          </w:p>
        </w:tc>
        <w:tc>
          <w:tcPr>
            <w:tcW w:w="1880" w:type="dxa"/>
            <w:vAlign w:val="bottom"/>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VHCP Management II, LLC</w:t>
            </w:r>
          </w:p>
        </w:tc>
        <w:tc>
          <w:tcPr>
            <w:tcW w:w="18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VHCP Management III, LLC</w:t>
            </w:r>
          </w:p>
        </w:tc>
        <w:tc>
          <w:tcPr>
            <w:tcW w:w="1880" w:type="dxa"/>
            <w:vAlign w:val="bottom"/>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9"/>
                <w:szCs w:val="19"/>
                <w:color w:val="auto"/>
              </w:rPr>
              <w:t>Nimish Shah</w:t>
            </w:r>
          </w:p>
        </w:tc>
        <w:tc>
          <w:tcPr>
            <w:tcW w:w="18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Pr>
          <w:p>
            <w:pPr>
              <w:spacing w:after="0"/>
              <w:rPr>
                <w:sz w:val="19"/>
                <w:szCs w:val="19"/>
                <w:color w:val="auto"/>
              </w:rPr>
            </w:pPr>
          </w:p>
        </w:tc>
      </w:tr>
      <w:tr>
        <w:trPr>
          <w:trHeight w:val="242"/>
        </w:trPr>
        <w:tc>
          <w:tcPr>
            <w:tcW w:w="4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Bong Koh</w:t>
            </w:r>
          </w:p>
        </w:tc>
        <w:tc>
          <w:tcPr>
            <w:tcW w:w="188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0</w:t>
            </w:r>
          </w:p>
        </w:tc>
        <w:tc>
          <w:tcPr>
            <w:tcW w:w="1800" w:type="dxa"/>
            <w:vAlign w:val="bottom"/>
            <w:tcBorders>
              <w:bottom w:val="single" w:sz="8" w:color="auto"/>
            </w:tcBorders>
          </w:tcPr>
          <w:p>
            <w:pPr>
              <w:spacing w:after="0"/>
              <w:rPr>
                <w:sz w:val="21"/>
                <w:szCs w:val="21"/>
                <w:color w:val="auto"/>
              </w:rPr>
            </w:pPr>
          </w:p>
        </w:tc>
      </w:tr>
    </w:tbl>
    <w:p>
      <w:pPr>
        <w:spacing w:after="0" w:line="29" w:lineRule="exact"/>
        <w:rPr>
          <w:sz w:val="20"/>
          <w:szCs w:val="20"/>
          <w:color w:val="auto"/>
        </w:rPr>
      </w:pPr>
    </w:p>
    <w:tbl>
      <w:tblPr>
        <w:tblLayout w:type="fixed"/>
        <w:tblInd w:w="1906" w:type="dxa"/>
        <w:tblCellMar>
          <w:top w:w="0" w:type="dxa"/>
          <w:left w:w="0" w:type="dxa"/>
          <w:bottom w:w="0" w:type="dxa"/>
          <w:right w:w="0" w:type="dxa"/>
        </w:tblCellMar>
      </w:tblPr>
      <w:tr>
        <w:trPr>
          <w:trHeight w:val="256"/>
        </w:trPr>
        <w:tc>
          <w:tcPr>
            <w:tcW w:w="6020" w:type="dxa"/>
            <w:vAlign w:val="bottom"/>
            <w:gridSpan w:val="3"/>
          </w:tcPr>
          <w:p>
            <w:pPr>
              <w:spacing w:after="0"/>
              <w:rPr>
                <w:sz w:val="20"/>
                <w:szCs w:val="20"/>
                <w:color w:val="auto"/>
              </w:rPr>
            </w:pPr>
            <w:r>
              <w:rPr>
                <w:rFonts w:ascii="Arial" w:cs="Arial" w:eastAsia="Arial" w:hAnsi="Arial"/>
                <w:sz w:val="19"/>
                <w:szCs w:val="19"/>
                <w:color w:val="auto"/>
              </w:rPr>
              <w:t>(iv)  Shared power to dispose or to direct the disposition of</w:t>
            </w:r>
          </w:p>
        </w:tc>
        <w:tc>
          <w:tcPr>
            <w:tcW w:w="2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186"/>
        </w:trPr>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 L.P.</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VHCP Co-Investment Holdings II, LLC</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Venrock Healthcare Capital Partners III, L.P.</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VHCP Co-Investment Holdings III, LLC</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VHCP Management II, LLC</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9"/>
                <w:szCs w:val="19"/>
                <w:color w:val="auto"/>
              </w:rPr>
              <w:t>VHCP Management III, LLC</w:t>
            </w:r>
          </w:p>
        </w:tc>
        <w:tc>
          <w:tcPr>
            <w:tcW w:w="2280" w:type="dxa"/>
            <w:vAlign w:val="bottom"/>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28"/>
        </w:trPr>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Nimish Shah</w:t>
            </w:r>
          </w:p>
        </w:tc>
        <w:tc>
          <w:tcPr>
            <w:tcW w:w="2280" w:type="dxa"/>
            <w:vAlign w:val="bottom"/>
            <w:shd w:val="clear" w:color="auto" w:fill="CCEEFF"/>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Pr>
          <w:p>
            <w:pPr>
              <w:spacing w:after="0"/>
              <w:rPr>
                <w:sz w:val="19"/>
                <w:szCs w:val="19"/>
                <w:color w:val="auto"/>
              </w:rPr>
            </w:pPr>
          </w:p>
        </w:tc>
      </w:tr>
      <w:tr>
        <w:trPr>
          <w:trHeight w:val="242"/>
        </w:trPr>
        <w:tc>
          <w:tcPr>
            <w:tcW w:w="4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Bong Koh</w:t>
            </w:r>
          </w:p>
        </w:tc>
        <w:tc>
          <w:tcPr>
            <w:tcW w:w="22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1,640,000(1)</w:t>
            </w:r>
          </w:p>
        </w:tc>
        <w:tc>
          <w:tcPr>
            <w:tcW w:w="18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9291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46" w:right="60" w:hanging="346"/>
        <w:spacing w:after="0" w:line="255" w:lineRule="auto"/>
        <w:tabs>
          <w:tab w:leader="none" w:pos="354"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These shares are owned directly as follows: 407,022 shares are owned by Venrock Healthcare Capital Partners II, L.P., 164,934 shares are owned by VHCP Co-Investment Holdings II, LLC, 971,020 shares are owned by Venrock Healthcare Capital Partners III, L.P. and 97,024 shares are owned by VHCP Co-Investment Holdings III, LLC.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Messrs. Shah and Koh are the managing members of VHCP Management II, LLC and VHCP Management III, LLC.</w:t>
      </w:r>
    </w:p>
    <w:p>
      <w:pPr>
        <w:spacing w:after="0" w:line="198" w:lineRule="exact"/>
        <w:rPr>
          <w:sz w:val="20"/>
          <w:szCs w:val="20"/>
          <w:color w:val="auto"/>
        </w:rPr>
      </w:pPr>
    </w:p>
    <w:p>
      <w:pPr>
        <w:ind w:left="6"/>
        <w:spacing w:after="0"/>
        <w:tabs>
          <w:tab w:leader="none" w:pos="1286"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4" w:lineRule="exact"/>
        <w:rPr>
          <w:sz w:val="20"/>
          <w:szCs w:val="20"/>
          <w:color w:val="auto"/>
        </w:rPr>
      </w:pPr>
    </w:p>
    <w:p>
      <w:pPr>
        <w:ind w:left="6" w:right="8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o.</w:t>
      </w:r>
    </w:p>
    <w:p>
      <w:pPr>
        <w:spacing w:after="0" w:line="178" w:lineRule="exact"/>
        <w:rPr>
          <w:sz w:val="20"/>
          <w:szCs w:val="20"/>
          <w:color w:val="auto"/>
        </w:rPr>
      </w:pPr>
    </w:p>
    <w:p>
      <w:pPr>
        <w:ind w:left="6"/>
        <w:spacing w:after="0"/>
        <w:tabs>
          <w:tab w:leader="none" w:pos="1286"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70" w:right="120" w:bottom="1440" w:gutter="0" w:footer="0" w:header="0"/>
        </w:sectPr>
      </w:pPr>
    </w:p>
    <w:bookmarkStart w:id="12" w:name="page13"/>
    <w:bookmarkEnd w:id="12"/>
    <w:p>
      <w:pPr>
        <w:ind w:left="60"/>
        <w:spacing w:after="0"/>
        <w:rPr>
          <w:sz w:val="20"/>
          <w:szCs w:val="20"/>
          <w:color w:val="auto"/>
        </w:rPr>
      </w:pPr>
      <w:r>
        <w:rPr>
          <w:rFonts w:ascii="Arial" w:cs="Arial" w:eastAsia="Arial" w:hAnsi="Arial"/>
          <w:sz w:val="17"/>
          <w:szCs w:val="17"/>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6250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270" w:right="120" w:bottom="1440" w:gutter="0" w:footer="0" w:header="0"/>
        </w:sectPr>
      </w:pPr>
    </w:p>
    <w:p>
      <w:pPr>
        <w:spacing w:after="0" w:line="326" w:lineRule="exact"/>
        <w:rPr>
          <w:sz w:val="20"/>
          <w:szCs w:val="20"/>
          <w:color w:val="auto"/>
        </w:rPr>
      </w:pPr>
    </w:p>
    <w:p>
      <w:pPr>
        <w:ind w:left="1280" w:hanging="1282"/>
        <w:spacing w:after="0" w:line="282" w:lineRule="auto"/>
        <w:tabs>
          <w:tab w:leader="none" w:pos="126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27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70" w:right="12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u w:val="single" w:color="auto"/>
          <w:color w:val="auto"/>
        </w:rPr>
        <w:t>SIGNATURE</w:t>
      </w:r>
    </w:p>
    <w:p>
      <w:pPr>
        <w:spacing w:after="0" w:line="244" w:lineRule="exact"/>
        <w:rPr>
          <w:sz w:val="20"/>
          <w:szCs w:val="20"/>
          <w:color w:val="auto"/>
        </w:rPr>
      </w:pPr>
    </w:p>
    <w:p>
      <w:pPr>
        <w:ind w:right="380"/>
        <w:spacing w:after="0" w:line="526"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 Dated: January 28,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rPr>
              <w:t>Venrock Healthcare Capital Partners II, L.P.</w:t>
            </w:r>
          </w:p>
        </w:tc>
        <w:tc>
          <w:tcPr>
            <w:tcW w:w="6220" w:type="dxa"/>
            <w:vAlign w:val="bottom"/>
            <w:gridSpan w:val="3"/>
          </w:tcPr>
          <w:p>
            <w:pPr>
              <w:ind w:left="480"/>
              <w:spacing w:after="0"/>
              <w:rPr>
                <w:sz w:val="20"/>
                <w:szCs w:val="20"/>
                <w:color w:val="auto"/>
              </w:rPr>
            </w:pPr>
            <w:r>
              <w:rPr>
                <w:rFonts w:ascii="Arial" w:cs="Arial" w:eastAsia="Arial" w:hAnsi="Arial"/>
                <w:sz w:val="19"/>
                <w:szCs w:val="19"/>
                <w:b w:val="1"/>
                <w:bCs w:val="1"/>
                <w:color w:val="auto"/>
              </w:rPr>
              <w:t>Venrock Healthcare Capital Partners III, L.P.</w:t>
            </w:r>
          </w:p>
        </w:tc>
        <w:tc>
          <w:tcPr>
            <w:tcW w:w="40" w:type="dxa"/>
            <w:vAlign w:val="bottom"/>
          </w:tcPr>
          <w:p>
            <w:pPr>
              <w:spacing w:after="0"/>
              <w:rPr>
                <w:sz w:val="21"/>
                <w:szCs w:val="21"/>
                <w:color w:val="auto"/>
              </w:rPr>
            </w:pPr>
          </w:p>
        </w:tc>
      </w:tr>
      <w:tr>
        <w:trPr>
          <w:trHeight w:val="443"/>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VHCP Management II, LLC</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VHCP Management III, LLC</w:t>
            </w:r>
          </w:p>
        </w:tc>
        <w:tc>
          <w:tcPr>
            <w:tcW w:w="40" w:type="dxa"/>
            <w:vAlign w:val="bottom"/>
          </w:tcPr>
          <w:p>
            <w:pPr>
              <w:spacing w:after="0"/>
              <w:rPr>
                <w:sz w:val="24"/>
                <w:szCs w:val="24"/>
                <w:color w:val="auto"/>
              </w:rPr>
            </w:pPr>
          </w:p>
        </w:tc>
      </w:tr>
      <w:tr>
        <w:trPr>
          <w:trHeight w:val="241"/>
        </w:trPr>
        <w:tc>
          <w:tcPr>
            <w:tcW w:w="380" w:type="dxa"/>
            <w:vAlign w:val="bottom"/>
          </w:tcPr>
          <w:p>
            <w:pPr>
              <w:spacing w:after="0"/>
              <w:rPr>
                <w:sz w:val="20"/>
                <w:szCs w:val="20"/>
                <w:color w:val="auto"/>
              </w:rPr>
            </w:pPr>
            <w:r>
              <w:rPr>
                <w:rFonts w:ascii="Arial" w:cs="Arial" w:eastAsia="Arial" w:hAnsi="Arial"/>
                <w:sz w:val="19"/>
                <w:szCs w:val="19"/>
                <w:color w:val="auto"/>
              </w:rPr>
              <w:t>Its:</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General Partner</w:t>
            </w:r>
          </w:p>
        </w:tc>
        <w:tc>
          <w:tcPr>
            <w:tcW w:w="1040" w:type="dxa"/>
            <w:vAlign w:val="bottom"/>
          </w:tcPr>
          <w:p>
            <w:pPr>
              <w:ind w:left="480"/>
              <w:spacing w:after="0"/>
              <w:rPr>
                <w:sz w:val="20"/>
                <w:szCs w:val="20"/>
                <w:color w:val="auto"/>
              </w:rPr>
            </w:pPr>
            <w:r>
              <w:rPr>
                <w:rFonts w:ascii="Arial" w:cs="Arial" w:eastAsia="Arial" w:hAnsi="Arial"/>
                <w:sz w:val="19"/>
                <w:szCs w:val="19"/>
                <w:color w:val="auto"/>
              </w:rPr>
              <w:t>Its:</w:t>
            </w:r>
          </w:p>
        </w:tc>
        <w:tc>
          <w:tcPr>
            <w:tcW w:w="5180" w:type="dxa"/>
            <w:vAlign w:val="bottom"/>
            <w:gridSpan w:val="2"/>
          </w:tcPr>
          <w:p>
            <w:pPr>
              <w:spacing w:after="0"/>
              <w:rPr>
                <w:sz w:val="20"/>
                <w:szCs w:val="20"/>
                <w:color w:val="auto"/>
              </w:rPr>
            </w:pPr>
            <w:r>
              <w:rPr>
                <w:rFonts w:ascii="Arial" w:cs="Arial" w:eastAsia="Arial" w:hAnsi="Arial"/>
                <w:sz w:val="19"/>
                <w:szCs w:val="19"/>
                <w:color w:val="auto"/>
              </w:rPr>
              <w:t>General Partner</w:t>
            </w:r>
          </w:p>
        </w:tc>
        <w:tc>
          <w:tcPr>
            <w:tcW w:w="40" w:type="dxa"/>
            <w:vAlign w:val="bottom"/>
          </w:tcPr>
          <w:p>
            <w:pPr>
              <w:spacing w:after="0"/>
              <w:rPr>
                <w:sz w:val="20"/>
                <w:szCs w:val="20"/>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52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104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6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4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9"/>
                <w:szCs w:val="19"/>
                <w:color w:val="auto"/>
              </w:rPr>
              <w:t>Its:</w:t>
            </w:r>
          </w:p>
        </w:tc>
        <w:tc>
          <w:tcPr>
            <w:tcW w:w="452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9"/>
                <w:szCs w:val="19"/>
                <w:color w:val="auto"/>
              </w:rPr>
              <w:t>Its:</w:t>
            </w:r>
          </w:p>
        </w:tc>
        <w:tc>
          <w:tcPr>
            <w:tcW w:w="446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40" w:type="dxa"/>
            <w:vAlign w:val="bottom"/>
          </w:tcPr>
          <w:p>
            <w:pPr>
              <w:spacing w:after="0"/>
              <w:rPr>
                <w:sz w:val="20"/>
                <w:szCs w:val="20"/>
                <w:color w:val="auto"/>
              </w:rPr>
            </w:pPr>
          </w:p>
        </w:tc>
      </w:tr>
      <w:tr>
        <w:trPr>
          <w:trHeight w:val="456"/>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rPr>
              <w:t>VHCP Co-Investment Holdings II, LLC</w:t>
            </w:r>
          </w:p>
        </w:tc>
        <w:tc>
          <w:tcPr>
            <w:tcW w:w="6220" w:type="dxa"/>
            <w:vAlign w:val="bottom"/>
            <w:gridSpan w:val="3"/>
          </w:tcPr>
          <w:p>
            <w:pPr>
              <w:ind w:left="480"/>
              <w:spacing w:after="0"/>
              <w:rPr>
                <w:sz w:val="20"/>
                <w:szCs w:val="20"/>
                <w:color w:val="auto"/>
              </w:rPr>
            </w:pPr>
            <w:r>
              <w:rPr>
                <w:rFonts w:ascii="Arial" w:cs="Arial" w:eastAsia="Arial" w:hAnsi="Arial"/>
                <w:sz w:val="19"/>
                <w:szCs w:val="19"/>
                <w:b w:val="1"/>
                <w:bCs w:val="1"/>
                <w:color w:val="auto"/>
              </w:rPr>
              <w:t>VHCP Co-Investment Holdings III, LLC</w:t>
            </w:r>
          </w:p>
        </w:tc>
        <w:tc>
          <w:tcPr>
            <w:tcW w:w="40" w:type="dxa"/>
            <w:vAlign w:val="bottom"/>
          </w:tcPr>
          <w:p>
            <w:pPr>
              <w:spacing w:after="0"/>
              <w:rPr>
                <w:sz w:val="24"/>
                <w:szCs w:val="24"/>
                <w:color w:val="auto"/>
              </w:rPr>
            </w:pPr>
          </w:p>
        </w:tc>
      </w:tr>
      <w:tr>
        <w:trPr>
          <w:trHeight w:val="443"/>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VHCP Management II, LLC</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VHCP Management III, LLC</w:t>
            </w:r>
          </w:p>
        </w:tc>
        <w:tc>
          <w:tcPr>
            <w:tcW w:w="40" w:type="dxa"/>
            <w:vAlign w:val="bottom"/>
          </w:tcPr>
          <w:p>
            <w:pPr>
              <w:spacing w:after="0"/>
              <w:rPr>
                <w:sz w:val="24"/>
                <w:szCs w:val="24"/>
                <w:color w:val="auto"/>
              </w:rPr>
            </w:pPr>
          </w:p>
        </w:tc>
      </w:tr>
      <w:tr>
        <w:trPr>
          <w:trHeight w:val="241"/>
        </w:trPr>
        <w:tc>
          <w:tcPr>
            <w:tcW w:w="380" w:type="dxa"/>
            <w:vAlign w:val="bottom"/>
          </w:tcPr>
          <w:p>
            <w:pPr>
              <w:spacing w:after="0"/>
              <w:rPr>
                <w:sz w:val="20"/>
                <w:szCs w:val="20"/>
                <w:color w:val="auto"/>
              </w:rPr>
            </w:pPr>
            <w:r>
              <w:rPr>
                <w:rFonts w:ascii="Arial" w:cs="Arial" w:eastAsia="Arial" w:hAnsi="Arial"/>
                <w:sz w:val="19"/>
                <w:szCs w:val="19"/>
                <w:color w:val="auto"/>
              </w:rPr>
              <w:t>Its:</w:t>
            </w:r>
          </w:p>
        </w:tc>
        <w:tc>
          <w:tcPr>
            <w:tcW w:w="880" w:type="dxa"/>
            <w:vAlign w:val="bottom"/>
            <w:gridSpan w:val="2"/>
          </w:tcPr>
          <w:p>
            <w:pPr>
              <w:ind w:left="120"/>
              <w:spacing w:after="0"/>
              <w:rPr>
                <w:sz w:val="20"/>
                <w:szCs w:val="20"/>
                <w:color w:val="auto"/>
              </w:rPr>
            </w:pPr>
            <w:r>
              <w:rPr>
                <w:rFonts w:ascii="Arial" w:cs="Arial" w:eastAsia="Arial" w:hAnsi="Arial"/>
                <w:sz w:val="19"/>
                <w:szCs w:val="19"/>
                <w:color w:val="auto"/>
                <w:w w:val="98"/>
              </w:rPr>
              <w:t>Manager</w:t>
            </w:r>
          </w:p>
        </w:tc>
        <w:tc>
          <w:tcPr>
            <w:tcW w:w="4520" w:type="dxa"/>
            <w:vAlign w:val="bottom"/>
          </w:tcPr>
          <w:p>
            <w:pPr>
              <w:spacing w:after="0"/>
              <w:rPr>
                <w:sz w:val="20"/>
                <w:szCs w:val="20"/>
                <w:color w:val="auto"/>
              </w:rPr>
            </w:pPr>
          </w:p>
        </w:tc>
        <w:tc>
          <w:tcPr>
            <w:tcW w:w="1040" w:type="dxa"/>
            <w:vAlign w:val="bottom"/>
          </w:tcPr>
          <w:p>
            <w:pPr>
              <w:ind w:left="480"/>
              <w:spacing w:after="0"/>
              <w:rPr>
                <w:sz w:val="20"/>
                <w:szCs w:val="20"/>
                <w:color w:val="auto"/>
              </w:rPr>
            </w:pPr>
            <w:r>
              <w:rPr>
                <w:rFonts w:ascii="Arial" w:cs="Arial" w:eastAsia="Arial" w:hAnsi="Arial"/>
                <w:sz w:val="19"/>
                <w:szCs w:val="19"/>
                <w:color w:val="auto"/>
              </w:rPr>
              <w:t>Its:</w:t>
            </w:r>
          </w:p>
        </w:tc>
        <w:tc>
          <w:tcPr>
            <w:tcW w:w="720" w:type="dxa"/>
            <w:vAlign w:val="bottom"/>
          </w:tcPr>
          <w:p>
            <w:pPr>
              <w:spacing w:after="0"/>
              <w:rPr>
                <w:sz w:val="20"/>
                <w:szCs w:val="20"/>
                <w:color w:val="auto"/>
              </w:rPr>
            </w:pPr>
            <w:r>
              <w:rPr>
                <w:rFonts w:ascii="Arial" w:cs="Arial" w:eastAsia="Arial" w:hAnsi="Arial"/>
                <w:sz w:val="19"/>
                <w:szCs w:val="19"/>
                <w:color w:val="auto"/>
                <w:w w:val="93"/>
              </w:rPr>
              <w:t>Manager</w:t>
            </w:r>
          </w:p>
        </w:tc>
        <w:tc>
          <w:tcPr>
            <w:tcW w:w="4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52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104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6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4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9"/>
                <w:szCs w:val="19"/>
                <w:color w:val="auto"/>
              </w:rPr>
              <w:t>Its:</w:t>
            </w:r>
          </w:p>
        </w:tc>
        <w:tc>
          <w:tcPr>
            <w:tcW w:w="452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9"/>
                <w:szCs w:val="19"/>
                <w:color w:val="auto"/>
              </w:rPr>
              <w:t>Its:</w:t>
            </w:r>
          </w:p>
        </w:tc>
        <w:tc>
          <w:tcPr>
            <w:tcW w:w="446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40" w:type="dxa"/>
            <w:vAlign w:val="bottom"/>
          </w:tcPr>
          <w:p>
            <w:pPr>
              <w:spacing w:after="0"/>
              <w:rPr>
                <w:sz w:val="20"/>
                <w:szCs w:val="20"/>
                <w:color w:val="auto"/>
              </w:rPr>
            </w:pPr>
          </w:p>
        </w:tc>
      </w:tr>
      <w:tr>
        <w:trPr>
          <w:trHeight w:val="456"/>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rPr>
              <w:t>VHCP Management II, LLC</w:t>
            </w:r>
          </w:p>
        </w:tc>
        <w:tc>
          <w:tcPr>
            <w:tcW w:w="6220" w:type="dxa"/>
            <w:vAlign w:val="bottom"/>
            <w:gridSpan w:val="3"/>
          </w:tcPr>
          <w:p>
            <w:pPr>
              <w:ind w:left="480"/>
              <w:spacing w:after="0"/>
              <w:rPr>
                <w:sz w:val="20"/>
                <w:szCs w:val="20"/>
                <w:color w:val="auto"/>
              </w:rPr>
            </w:pPr>
            <w:r>
              <w:rPr>
                <w:rFonts w:ascii="Arial" w:cs="Arial" w:eastAsia="Arial" w:hAnsi="Arial"/>
                <w:sz w:val="19"/>
                <w:szCs w:val="19"/>
                <w:b w:val="1"/>
                <w:bCs w:val="1"/>
                <w:color w:val="auto"/>
              </w:rPr>
              <w:t>VHCP Management III, LLC</w:t>
            </w:r>
          </w:p>
        </w:tc>
        <w:tc>
          <w:tcPr>
            <w:tcW w:w="40" w:type="dxa"/>
            <w:vAlign w:val="bottom"/>
          </w:tcPr>
          <w:p>
            <w:pPr>
              <w:spacing w:after="0"/>
              <w:rPr>
                <w:sz w:val="24"/>
                <w:szCs w:val="24"/>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52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104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6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4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9"/>
                <w:szCs w:val="19"/>
                <w:color w:val="auto"/>
              </w:rPr>
              <w:t>Its:</w:t>
            </w:r>
          </w:p>
        </w:tc>
        <w:tc>
          <w:tcPr>
            <w:tcW w:w="452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9"/>
                <w:szCs w:val="19"/>
                <w:color w:val="auto"/>
              </w:rPr>
              <w:t>Its:</w:t>
            </w:r>
          </w:p>
        </w:tc>
        <w:tc>
          <w:tcPr>
            <w:tcW w:w="446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40" w:type="dxa"/>
            <w:vAlign w:val="bottom"/>
          </w:tcPr>
          <w:p>
            <w:pPr>
              <w:spacing w:after="0"/>
              <w:rPr>
                <w:sz w:val="20"/>
                <w:szCs w:val="20"/>
                <w:color w:val="auto"/>
              </w:rPr>
            </w:pPr>
          </w:p>
        </w:tc>
      </w:tr>
      <w:tr>
        <w:trPr>
          <w:trHeight w:val="456"/>
        </w:trPr>
        <w:tc>
          <w:tcPr>
            <w:tcW w:w="1260" w:type="dxa"/>
            <w:vAlign w:val="bottom"/>
            <w:gridSpan w:val="3"/>
          </w:tcPr>
          <w:p>
            <w:pPr>
              <w:spacing w:after="0"/>
              <w:rPr>
                <w:sz w:val="20"/>
                <w:szCs w:val="20"/>
                <w:color w:val="auto"/>
              </w:rPr>
            </w:pPr>
            <w:r>
              <w:rPr>
                <w:rFonts w:ascii="Arial" w:cs="Arial" w:eastAsia="Arial" w:hAnsi="Arial"/>
                <w:sz w:val="19"/>
                <w:szCs w:val="19"/>
                <w:b w:val="1"/>
                <w:bCs w:val="1"/>
                <w:color w:val="auto"/>
              </w:rPr>
              <w:t>Nimish Shah</w:t>
            </w:r>
          </w:p>
        </w:tc>
        <w:tc>
          <w:tcPr>
            <w:tcW w:w="4520" w:type="dxa"/>
            <w:vAlign w:val="bottom"/>
          </w:tcPr>
          <w:p>
            <w:pPr>
              <w:spacing w:after="0"/>
              <w:rPr>
                <w:sz w:val="24"/>
                <w:szCs w:val="24"/>
                <w:color w:val="auto"/>
              </w:rPr>
            </w:pPr>
          </w:p>
        </w:tc>
        <w:tc>
          <w:tcPr>
            <w:tcW w:w="1760" w:type="dxa"/>
            <w:vAlign w:val="bottom"/>
            <w:gridSpan w:val="2"/>
          </w:tcPr>
          <w:p>
            <w:pPr>
              <w:ind w:left="480"/>
              <w:spacing w:after="0"/>
              <w:rPr>
                <w:sz w:val="20"/>
                <w:szCs w:val="20"/>
                <w:color w:val="auto"/>
              </w:rPr>
            </w:pPr>
            <w:r>
              <w:rPr>
                <w:rFonts w:ascii="Arial" w:cs="Arial" w:eastAsia="Arial" w:hAnsi="Arial"/>
                <w:sz w:val="19"/>
                <w:szCs w:val="19"/>
                <w:b w:val="1"/>
                <w:bCs w:val="1"/>
                <w:color w:val="auto"/>
              </w:rPr>
              <w:t>Bong Koh</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36"/>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David L. Stepp, as attorney-in-fact</w:t>
            </w:r>
          </w:p>
        </w:tc>
        <w:tc>
          <w:tcPr>
            <w:tcW w:w="1040" w:type="dxa"/>
            <w:vAlign w:val="bottom"/>
          </w:tcPr>
          <w:p>
            <w:pPr>
              <w:spacing w:after="0"/>
              <w:rPr>
                <w:sz w:val="20"/>
                <w:szCs w:val="20"/>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David L. Stepp, as attorney-in-fact</w:t>
            </w:r>
          </w:p>
        </w:tc>
        <w:tc>
          <w:tcPr>
            <w:tcW w:w="40" w:type="dxa"/>
            <w:vAlign w:val="bottom"/>
          </w:tcPr>
          <w:p>
            <w:pPr>
              <w:spacing w:after="0"/>
              <w:rPr>
                <w:sz w:val="20"/>
                <w:szCs w:val="20"/>
                <w:color w:val="auto"/>
              </w:rPr>
            </w:pPr>
          </w:p>
        </w:tc>
      </w:tr>
      <w:tr>
        <w:trPr>
          <w:trHeight w:val="442"/>
        </w:trPr>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14</w:t>
            </w:r>
          </w:p>
        </w:tc>
        <w:tc>
          <w:tcPr>
            <w:tcW w:w="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3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4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70" w:right="80" w:bottom="1440" w:gutter="0" w:footer="0" w:header="0"/>
        </w:sectPr>
      </w:pPr>
    </w:p>
    <w:bookmarkStart w:id="14" w:name="page15"/>
    <w:bookmarkEnd w:id="14"/>
    <w:p>
      <w:pPr>
        <w:ind w:left="66"/>
        <w:spacing w:after="0"/>
        <w:rPr>
          <w:sz w:val="20"/>
          <w:szCs w:val="20"/>
          <w:color w:val="auto"/>
        </w:rPr>
      </w:pPr>
      <w:r>
        <w:rPr>
          <w:rFonts w:ascii="Arial" w:cs="Arial" w:eastAsia="Arial" w:hAnsi="Arial"/>
          <w:sz w:val="19"/>
          <w:szCs w:val="19"/>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8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EXHIBITS</w:t>
      </w:r>
    </w:p>
    <w:p>
      <w:pPr>
        <w:spacing w:after="0" w:line="244" w:lineRule="exact"/>
        <w:rPr>
          <w:sz w:val="20"/>
          <w:szCs w:val="20"/>
          <w:color w:val="auto"/>
        </w:rPr>
      </w:pPr>
    </w:p>
    <w:p>
      <w:pPr>
        <w:ind w:left="386" w:hanging="386"/>
        <w:spacing w:after="0"/>
        <w:tabs>
          <w:tab w:leader="none" w:pos="386" w:val="left"/>
        </w:tabs>
        <w:numPr>
          <w:ilvl w:val="0"/>
          <w:numId w:val="31"/>
        </w:numPr>
        <w:rPr>
          <w:rFonts w:ascii="Arial" w:cs="Arial" w:eastAsia="Arial" w:hAnsi="Arial"/>
          <w:sz w:val="19"/>
          <w:szCs w:val="19"/>
          <w:color w:val="auto"/>
        </w:rPr>
      </w:pPr>
      <w:r>
        <w:rPr>
          <w:rFonts w:ascii="Arial" w:cs="Arial" w:eastAsia="Arial" w:hAnsi="Arial"/>
          <w:sz w:val="19"/>
          <w:szCs w:val="19"/>
          <w:color w:val="auto"/>
        </w:rPr>
        <w:t>Joint Filing Agreement</w:t>
      </w:r>
    </w:p>
    <w:p>
      <w:pPr>
        <w:spacing w:after="0" w:line="237" w:lineRule="exact"/>
        <w:rPr>
          <w:rFonts w:ascii="Arial" w:cs="Arial" w:eastAsia="Arial" w:hAnsi="Arial"/>
          <w:sz w:val="19"/>
          <w:szCs w:val="19"/>
          <w:color w:val="auto"/>
        </w:rPr>
      </w:pPr>
    </w:p>
    <w:p>
      <w:pPr>
        <w:ind w:left="366" w:hanging="366"/>
        <w:spacing w:after="0"/>
        <w:tabs>
          <w:tab w:leader="none" w:pos="366" w:val="left"/>
        </w:tabs>
        <w:numPr>
          <w:ilvl w:val="0"/>
          <w:numId w:val="31"/>
        </w:numPr>
        <w:rPr>
          <w:rFonts w:ascii="Arial" w:cs="Arial" w:eastAsia="Arial" w:hAnsi="Arial"/>
          <w:sz w:val="19"/>
          <w:szCs w:val="19"/>
          <w:color w:val="auto"/>
        </w:rPr>
      </w:pPr>
      <w:r>
        <w:rPr>
          <w:rFonts w:ascii="Arial" w:cs="Arial" w:eastAsia="Arial" w:hAnsi="Arial"/>
          <w:sz w:val="19"/>
          <w:szCs w:val="19"/>
          <w:color w:val="auto"/>
        </w:rPr>
        <w:t>Power of Attorney for Nimish Shah</w:t>
      </w:r>
    </w:p>
    <w:p>
      <w:pPr>
        <w:spacing w:after="0" w:line="237" w:lineRule="exact"/>
        <w:rPr>
          <w:rFonts w:ascii="Arial" w:cs="Arial" w:eastAsia="Arial" w:hAnsi="Arial"/>
          <w:sz w:val="19"/>
          <w:szCs w:val="19"/>
          <w:color w:val="auto"/>
        </w:rPr>
      </w:pPr>
    </w:p>
    <w:p>
      <w:pPr>
        <w:ind w:left="366" w:hanging="366"/>
        <w:spacing w:after="0"/>
        <w:tabs>
          <w:tab w:leader="none" w:pos="366" w:val="left"/>
        </w:tabs>
        <w:numPr>
          <w:ilvl w:val="0"/>
          <w:numId w:val="31"/>
        </w:numPr>
        <w:rPr>
          <w:rFonts w:ascii="Arial" w:cs="Arial" w:eastAsia="Arial" w:hAnsi="Arial"/>
          <w:sz w:val="19"/>
          <w:szCs w:val="19"/>
          <w:color w:val="auto"/>
        </w:rPr>
      </w:pPr>
      <w:r>
        <w:rPr>
          <w:rFonts w:ascii="Arial" w:cs="Arial" w:eastAsia="Arial" w:hAnsi="Arial"/>
          <w:sz w:val="19"/>
          <w:szCs w:val="19"/>
          <w:color w:val="auto"/>
        </w:rPr>
        <w:t>Power of Attorney for Bong Koh</w:t>
      </w:r>
    </w:p>
    <w:p>
      <w:pPr>
        <w:spacing w:after="0" w:line="238" w:lineRule="exact"/>
        <w:rPr>
          <w:sz w:val="20"/>
          <w:szCs w:val="20"/>
          <w:color w:val="auto"/>
        </w:rPr>
      </w:pPr>
    </w:p>
    <w:p>
      <w:pPr>
        <w:jc w:val="right"/>
        <w:ind w:right="458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6"/>
          </w:cols>
          <w:pgMar w:left="114" w:top="270" w:right="1440"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9"/>
          <w:szCs w:val="19"/>
          <w:b w:val="1"/>
          <w:bCs w:val="1"/>
          <w:color w:val="auto"/>
        </w:rPr>
        <w:t>EXHIBIT A</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JOINT FILING AGREEMENT</w:t>
      </w:r>
    </w:p>
    <w:p>
      <w:pPr>
        <w:spacing w:after="0" w:line="238" w:lineRule="exact"/>
        <w:rPr>
          <w:sz w:val="20"/>
          <w:szCs w:val="20"/>
          <w:color w:val="auto"/>
        </w:rPr>
      </w:pPr>
    </w:p>
    <w:p>
      <w:pPr>
        <w:ind w:right="60" w:firstLine="466"/>
        <w:spacing w:after="0" w:line="298" w:lineRule="auto"/>
        <w:rPr>
          <w:sz w:val="20"/>
          <w:szCs w:val="20"/>
          <w:color w:val="auto"/>
        </w:rPr>
      </w:pPr>
      <w:r>
        <w:rPr>
          <w:rFonts w:ascii="Arial" w:cs="Arial" w:eastAsia="Arial" w:hAnsi="Arial"/>
          <w:sz w:val="17"/>
          <w:szCs w:val="17"/>
          <w:color w:val="auto"/>
        </w:rPr>
        <w:t>In accordance with Rule 13d-1(k) under the Securities Exchange Act of 1934, as amended, the undersigned agree to the joint filing on behalf of each of them of a statement on Schedule 13G (including amendments thereto) with respect to the Common Stock of Axsome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In evidence whereof, the undersigned have caused this Agreement to be executed on their behalf this 28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January,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rPr>
              <w:t>Venrock Healthcare Capital Partners II, L.P.</w:t>
            </w:r>
          </w:p>
        </w:tc>
        <w:tc>
          <w:tcPr>
            <w:tcW w:w="6220" w:type="dxa"/>
            <w:vAlign w:val="bottom"/>
            <w:gridSpan w:val="3"/>
          </w:tcPr>
          <w:p>
            <w:pPr>
              <w:ind w:left="480"/>
              <w:spacing w:after="0"/>
              <w:rPr>
                <w:sz w:val="20"/>
                <w:szCs w:val="20"/>
                <w:color w:val="auto"/>
              </w:rPr>
            </w:pPr>
            <w:r>
              <w:rPr>
                <w:rFonts w:ascii="Arial" w:cs="Arial" w:eastAsia="Arial" w:hAnsi="Arial"/>
                <w:sz w:val="19"/>
                <w:szCs w:val="19"/>
                <w:b w:val="1"/>
                <w:bCs w:val="1"/>
                <w:color w:val="auto"/>
              </w:rPr>
              <w:t>Venrock Healthcare Capital Partners III, L.P.</w:t>
            </w:r>
          </w:p>
        </w:tc>
        <w:tc>
          <w:tcPr>
            <w:tcW w:w="40" w:type="dxa"/>
            <w:vAlign w:val="bottom"/>
          </w:tcPr>
          <w:p>
            <w:pPr>
              <w:spacing w:after="0"/>
              <w:rPr>
                <w:sz w:val="21"/>
                <w:szCs w:val="21"/>
                <w:color w:val="auto"/>
              </w:rPr>
            </w:pPr>
          </w:p>
        </w:tc>
      </w:tr>
      <w:tr>
        <w:trPr>
          <w:trHeight w:val="443"/>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VHCP Management II, LLC</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VHCP Management III, LLC</w:t>
            </w:r>
          </w:p>
        </w:tc>
        <w:tc>
          <w:tcPr>
            <w:tcW w:w="40" w:type="dxa"/>
            <w:vAlign w:val="bottom"/>
          </w:tcPr>
          <w:p>
            <w:pPr>
              <w:spacing w:after="0"/>
              <w:rPr>
                <w:sz w:val="24"/>
                <w:szCs w:val="24"/>
                <w:color w:val="auto"/>
              </w:rPr>
            </w:pPr>
          </w:p>
        </w:tc>
      </w:tr>
      <w:tr>
        <w:trPr>
          <w:trHeight w:val="241"/>
        </w:trPr>
        <w:tc>
          <w:tcPr>
            <w:tcW w:w="380" w:type="dxa"/>
            <w:vAlign w:val="bottom"/>
          </w:tcPr>
          <w:p>
            <w:pPr>
              <w:spacing w:after="0"/>
              <w:rPr>
                <w:sz w:val="20"/>
                <w:szCs w:val="20"/>
                <w:color w:val="auto"/>
              </w:rPr>
            </w:pPr>
            <w:r>
              <w:rPr>
                <w:rFonts w:ascii="Arial" w:cs="Arial" w:eastAsia="Arial" w:hAnsi="Arial"/>
                <w:sz w:val="19"/>
                <w:szCs w:val="19"/>
                <w:color w:val="auto"/>
              </w:rPr>
              <w:t>Its:</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General Partner</w:t>
            </w:r>
          </w:p>
        </w:tc>
        <w:tc>
          <w:tcPr>
            <w:tcW w:w="1040" w:type="dxa"/>
            <w:vAlign w:val="bottom"/>
          </w:tcPr>
          <w:p>
            <w:pPr>
              <w:ind w:left="480"/>
              <w:spacing w:after="0"/>
              <w:rPr>
                <w:sz w:val="20"/>
                <w:szCs w:val="20"/>
                <w:color w:val="auto"/>
              </w:rPr>
            </w:pPr>
            <w:r>
              <w:rPr>
                <w:rFonts w:ascii="Arial" w:cs="Arial" w:eastAsia="Arial" w:hAnsi="Arial"/>
                <w:sz w:val="19"/>
                <w:szCs w:val="19"/>
                <w:color w:val="auto"/>
              </w:rPr>
              <w:t>Its:</w:t>
            </w:r>
          </w:p>
        </w:tc>
        <w:tc>
          <w:tcPr>
            <w:tcW w:w="5180" w:type="dxa"/>
            <w:vAlign w:val="bottom"/>
            <w:gridSpan w:val="2"/>
          </w:tcPr>
          <w:p>
            <w:pPr>
              <w:spacing w:after="0"/>
              <w:rPr>
                <w:sz w:val="20"/>
                <w:szCs w:val="20"/>
                <w:color w:val="auto"/>
              </w:rPr>
            </w:pPr>
            <w:r>
              <w:rPr>
                <w:rFonts w:ascii="Arial" w:cs="Arial" w:eastAsia="Arial" w:hAnsi="Arial"/>
                <w:sz w:val="19"/>
                <w:szCs w:val="19"/>
                <w:color w:val="auto"/>
              </w:rPr>
              <w:t>General Partner</w:t>
            </w:r>
          </w:p>
        </w:tc>
        <w:tc>
          <w:tcPr>
            <w:tcW w:w="40" w:type="dxa"/>
            <w:vAlign w:val="bottom"/>
          </w:tcPr>
          <w:p>
            <w:pPr>
              <w:spacing w:after="0"/>
              <w:rPr>
                <w:sz w:val="20"/>
                <w:szCs w:val="20"/>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52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104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6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4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9"/>
                <w:szCs w:val="19"/>
                <w:color w:val="auto"/>
              </w:rPr>
              <w:t>Its:</w:t>
            </w:r>
          </w:p>
        </w:tc>
        <w:tc>
          <w:tcPr>
            <w:tcW w:w="452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9"/>
                <w:szCs w:val="19"/>
                <w:color w:val="auto"/>
              </w:rPr>
              <w:t>Its:</w:t>
            </w:r>
          </w:p>
        </w:tc>
        <w:tc>
          <w:tcPr>
            <w:tcW w:w="446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40" w:type="dxa"/>
            <w:vAlign w:val="bottom"/>
          </w:tcPr>
          <w:p>
            <w:pPr>
              <w:spacing w:after="0"/>
              <w:rPr>
                <w:sz w:val="20"/>
                <w:szCs w:val="20"/>
                <w:color w:val="auto"/>
              </w:rPr>
            </w:pPr>
          </w:p>
        </w:tc>
      </w:tr>
      <w:tr>
        <w:trPr>
          <w:trHeight w:val="456"/>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rPr>
              <w:t>VHCP Co-Investment Holdings II, LLC</w:t>
            </w:r>
          </w:p>
        </w:tc>
        <w:tc>
          <w:tcPr>
            <w:tcW w:w="6220" w:type="dxa"/>
            <w:vAlign w:val="bottom"/>
            <w:gridSpan w:val="3"/>
          </w:tcPr>
          <w:p>
            <w:pPr>
              <w:ind w:left="480"/>
              <w:spacing w:after="0"/>
              <w:rPr>
                <w:sz w:val="20"/>
                <w:szCs w:val="20"/>
                <w:color w:val="auto"/>
              </w:rPr>
            </w:pPr>
            <w:r>
              <w:rPr>
                <w:rFonts w:ascii="Arial" w:cs="Arial" w:eastAsia="Arial" w:hAnsi="Arial"/>
                <w:sz w:val="19"/>
                <w:szCs w:val="19"/>
                <w:b w:val="1"/>
                <w:bCs w:val="1"/>
                <w:color w:val="auto"/>
              </w:rPr>
              <w:t>VHCP Co-Investment Holdings III, LLC</w:t>
            </w:r>
          </w:p>
        </w:tc>
        <w:tc>
          <w:tcPr>
            <w:tcW w:w="40" w:type="dxa"/>
            <w:vAlign w:val="bottom"/>
          </w:tcPr>
          <w:p>
            <w:pPr>
              <w:spacing w:after="0"/>
              <w:rPr>
                <w:sz w:val="24"/>
                <w:szCs w:val="24"/>
                <w:color w:val="auto"/>
              </w:rPr>
            </w:pPr>
          </w:p>
        </w:tc>
      </w:tr>
      <w:tr>
        <w:trPr>
          <w:trHeight w:val="443"/>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VHCP Management II, LLC</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VHCP Management III, LLC</w:t>
            </w:r>
          </w:p>
        </w:tc>
        <w:tc>
          <w:tcPr>
            <w:tcW w:w="40" w:type="dxa"/>
            <w:vAlign w:val="bottom"/>
          </w:tcPr>
          <w:p>
            <w:pPr>
              <w:spacing w:after="0"/>
              <w:rPr>
                <w:sz w:val="24"/>
                <w:szCs w:val="24"/>
                <w:color w:val="auto"/>
              </w:rPr>
            </w:pPr>
          </w:p>
        </w:tc>
      </w:tr>
      <w:tr>
        <w:trPr>
          <w:trHeight w:val="241"/>
        </w:trPr>
        <w:tc>
          <w:tcPr>
            <w:tcW w:w="380" w:type="dxa"/>
            <w:vAlign w:val="bottom"/>
          </w:tcPr>
          <w:p>
            <w:pPr>
              <w:spacing w:after="0"/>
              <w:rPr>
                <w:sz w:val="20"/>
                <w:szCs w:val="20"/>
                <w:color w:val="auto"/>
              </w:rPr>
            </w:pPr>
            <w:r>
              <w:rPr>
                <w:rFonts w:ascii="Arial" w:cs="Arial" w:eastAsia="Arial" w:hAnsi="Arial"/>
                <w:sz w:val="19"/>
                <w:szCs w:val="19"/>
                <w:color w:val="auto"/>
              </w:rPr>
              <w:t>Its:</w:t>
            </w:r>
          </w:p>
        </w:tc>
        <w:tc>
          <w:tcPr>
            <w:tcW w:w="880" w:type="dxa"/>
            <w:vAlign w:val="bottom"/>
            <w:gridSpan w:val="2"/>
          </w:tcPr>
          <w:p>
            <w:pPr>
              <w:ind w:left="120"/>
              <w:spacing w:after="0"/>
              <w:rPr>
                <w:sz w:val="20"/>
                <w:szCs w:val="20"/>
                <w:color w:val="auto"/>
              </w:rPr>
            </w:pPr>
            <w:r>
              <w:rPr>
                <w:rFonts w:ascii="Arial" w:cs="Arial" w:eastAsia="Arial" w:hAnsi="Arial"/>
                <w:sz w:val="19"/>
                <w:szCs w:val="19"/>
                <w:color w:val="auto"/>
                <w:w w:val="98"/>
              </w:rPr>
              <w:t>Manager</w:t>
            </w:r>
          </w:p>
        </w:tc>
        <w:tc>
          <w:tcPr>
            <w:tcW w:w="4520" w:type="dxa"/>
            <w:vAlign w:val="bottom"/>
          </w:tcPr>
          <w:p>
            <w:pPr>
              <w:spacing w:after="0"/>
              <w:rPr>
                <w:sz w:val="20"/>
                <w:szCs w:val="20"/>
                <w:color w:val="auto"/>
              </w:rPr>
            </w:pPr>
          </w:p>
        </w:tc>
        <w:tc>
          <w:tcPr>
            <w:tcW w:w="1040" w:type="dxa"/>
            <w:vAlign w:val="bottom"/>
          </w:tcPr>
          <w:p>
            <w:pPr>
              <w:ind w:left="480"/>
              <w:spacing w:after="0"/>
              <w:rPr>
                <w:sz w:val="20"/>
                <w:szCs w:val="20"/>
                <w:color w:val="auto"/>
              </w:rPr>
            </w:pPr>
            <w:r>
              <w:rPr>
                <w:rFonts w:ascii="Arial" w:cs="Arial" w:eastAsia="Arial" w:hAnsi="Arial"/>
                <w:sz w:val="19"/>
                <w:szCs w:val="19"/>
                <w:color w:val="auto"/>
              </w:rPr>
              <w:t>Its:</w:t>
            </w:r>
          </w:p>
        </w:tc>
        <w:tc>
          <w:tcPr>
            <w:tcW w:w="720" w:type="dxa"/>
            <w:vAlign w:val="bottom"/>
          </w:tcPr>
          <w:p>
            <w:pPr>
              <w:spacing w:after="0"/>
              <w:rPr>
                <w:sz w:val="20"/>
                <w:szCs w:val="20"/>
                <w:color w:val="auto"/>
              </w:rPr>
            </w:pPr>
            <w:r>
              <w:rPr>
                <w:rFonts w:ascii="Arial" w:cs="Arial" w:eastAsia="Arial" w:hAnsi="Arial"/>
                <w:sz w:val="19"/>
                <w:szCs w:val="19"/>
                <w:color w:val="auto"/>
                <w:w w:val="93"/>
              </w:rPr>
              <w:t>Manager</w:t>
            </w:r>
          </w:p>
        </w:tc>
        <w:tc>
          <w:tcPr>
            <w:tcW w:w="4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52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104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6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4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9"/>
                <w:szCs w:val="19"/>
                <w:color w:val="auto"/>
              </w:rPr>
              <w:t>Its:</w:t>
            </w:r>
          </w:p>
        </w:tc>
        <w:tc>
          <w:tcPr>
            <w:tcW w:w="452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9"/>
                <w:szCs w:val="19"/>
                <w:color w:val="auto"/>
              </w:rPr>
              <w:t>Its:</w:t>
            </w:r>
          </w:p>
        </w:tc>
        <w:tc>
          <w:tcPr>
            <w:tcW w:w="446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40" w:type="dxa"/>
            <w:vAlign w:val="bottom"/>
          </w:tcPr>
          <w:p>
            <w:pPr>
              <w:spacing w:after="0"/>
              <w:rPr>
                <w:sz w:val="20"/>
                <w:szCs w:val="20"/>
                <w:color w:val="auto"/>
              </w:rPr>
            </w:pPr>
          </w:p>
        </w:tc>
      </w:tr>
      <w:tr>
        <w:trPr>
          <w:trHeight w:val="456"/>
        </w:trPr>
        <w:tc>
          <w:tcPr>
            <w:tcW w:w="5780" w:type="dxa"/>
            <w:vAlign w:val="bottom"/>
            <w:gridSpan w:val="4"/>
          </w:tcPr>
          <w:p>
            <w:pPr>
              <w:spacing w:after="0"/>
              <w:rPr>
                <w:sz w:val="20"/>
                <w:szCs w:val="20"/>
                <w:color w:val="auto"/>
              </w:rPr>
            </w:pPr>
            <w:r>
              <w:rPr>
                <w:rFonts w:ascii="Arial" w:cs="Arial" w:eastAsia="Arial" w:hAnsi="Arial"/>
                <w:sz w:val="19"/>
                <w:szCs w:val="19"/>
                <w:b w:val="1"/>
                <w:bCs w:val="1"/>
                <w:color w:val="auto"/>
              </w:rPr>
              <w:t>VHCP Management II, LLC</w:t>
            </w:r>
          </w:p>
        </w:tc>
        <w:tc>
          <w:tcPr>
            <w:tcW w:w="6220" w:type="dxa"/>
            <w:vAlign w:val="bottom"/>
            <w:gridSpan w:val="3"/>
          </w:tcPr>
          <w:p>
            <w:pPr>
              <w:ind w:left="480"/>
              <w:spacing w:after="0"/>
              <w:rPr>
                <w:sz w:val="20"/>
                <w:szCs w:val="20"/>
                <w:color w:val="auto"/>
              </w:rPr>
            </w:pPr>
            <w:r>
              <w:rPr>
                <w:rFonts w:ascii="Arial" w:cs="Arial" w:eastAsia="Arial" w:hAnsi="Arial"/>
                <w:sz w:val="19"/>
                <w:szCs w:val="19"/>
                <w:b w:val="1"/>
                <w:bCs w:val="1"/>
                <w:color w:val="auto"/>
              </w:rPr>
              <w:t>VHCP Management III, LLC</w:t>
            </w:r>
          </w:p>
        </w:tc>
        <w:tc>
          <w:tcPr>
            <w:tcW w:w="40" w:type="dxa"/>
            <w:vAlign w:val="bottom"/>
          </w:tcPr>
          <w:p>
            <w:pPr>
              <w:spacing w:after="0"/>
              <w:rPr>
                <w:sz w:val="24"/>
                <w:szCs w:val="24"/>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52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1040" w:type="dxa"/>
            <w:vAlign w:val="bottom"/>
          </w:tcPr>
          <w:p>
            <w:pPr>
              <w:spacing w:after="0"/>
              <w:rPr>
                <w:sz w:val="18"/>
                <w:szCs w:val="18"/>
                <w:color w:val="auto"/>
              </w:rPr>
            </w:pPr>
          </w:p>
        </w:tc>
        <w:tc>
          <w:tcPr>
            <w:tcW w:w="72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460" w:type="dxa"/>
            <w:vAlign w:val="bottom"/>
            <w:tcBorders>
              <w:top w:val="single" w:sz="8" w:color="auto"/>
            </w:tcBorders>
          </w:tcPr>
          <w:p>
            <w:pPr>
              <w:ind w:left="60"/>
              <w:spacing w:after="0" w:line="209" w:lineRule="exact"/>
              <w:rPr>
                <w:sz w:val="20"/>
                <w:szCs w:val="20"/>
                <w:color w:val="auto"/>
              </w:rPr>
            </w:pPr>
            <w:r>
              <w:rPr>
                <w:rFonts w:ascii="Arial" w:cs="Arial" w:eastAsia="Arial" w:hAnsi="Arial"/>
                <w:sz w:val="19"/>
                <w:szCs w:val="19"/>
                <w:color w:val="auto"/>
              </w:rPr>
              <w:t>David L. Stepp</w:t>
            </w:r>
          </w:p>
        </w:tc>
        <w:tc>
          <w:tcPr>
            <w:tcW w:w="40" w:type="dxa"/>
            <w:vAlign w:val="bottom"/>
          </w:tcPr>
          <w:p>
            <w:pPr>
              <w:spacing w:after="0"/>
              <w:rPr>
                <w:sz w:val="18"/>
                <w:szCs w:val="18"/>
                <w:color w:val="auto"/>
              </w:rPr>
            </w:pPr>
          </w:p>
        </w:tc>
      </w:tr>
      <w:tr>
        <w:trPr>
          <w:trHeight w:val="241"/>
        </w:trPr>
        <w:tc>
          <w:tcPr>
            <w:tcW w:w="38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9"/>
                <w:szCs w:val="19"/>
                <w:color w:val="auto"/>
              </w:rPr>
              <w:t>Its:</w:t>
            </w:r>
          </w:p>
        </w:tc>
        <w:tc>
          <w:tcPr>
            <w:tcW w:w="452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9"/>
                <w:szCs w:val="19"/>
                <w:color w:val="auto"/>
              </w:rPr>
              <w:t>Its:</w:t>
            </w:r>
          </w:p>
        </w:tc>
        <w:tc>
          <w:tcPr>
            <w:tcW w:w="4460" w:type="dxa"/>
            <w:vAlign w:val="bottom"/>
          </w:tcPr>
          <w:p>
            <w:pPr>
              <w:ind w:left="60"/>
              <w:spacing w:after="0"/>
              <w:rPr>
                <w:sz w:val="20"/>
                <w:szCs w:val="20"/>
                <w:color w:val="auto"/>
              </w:rPr>
            </w:pPr>
            <w:r>
              <w:rPr>
                <w:rFonts w:ascii="Arial" w:cs="Arial" w:eastAsia="Arial" w:hAnsi="Arial"/>
                <w:sz w:val="19"/>
                <w:szCs w:val="19"/>
                <w:color w:val="auto"/>
              </w:rPr>
              <w:t>Authorized Signatory</w:t>
            </w:r>
          </w:p>
        </w:tc>
        <w:tc>
          <w:tcPr>
            <w:tcW w:w="40" w:type="dxa"/>
            <w:vAlign w:val="bottom"/>
          </w:tcPr>
          <w:p>
            <w:pPr>
              <w:spacing w:after="0"/>
              <w:rPr>
                <w:sz w:val="20"/>
                <w:szCs w:val="20"/>
                <w:color w:val="auto"/>
              </w:rPr>
            </w:pPr>
          </w:p>
        </w:tc>
      </w:tr>
      <w:tr>
        <w:trPr>
          <w:trHeight w:val="456"/>
        </w:trPr>
        <w:tc>
          <w:tcPr>
            <w:tcW w:w="1260" w:type="dxa"/>
            <w:vAlign w:val="bottom"/>
            <w:gridSpan w:val="3"/>
          </w:tcPr>
          <w:p>
            <w:pPr>
              <w:spacing w:after="0"/>
              <w:rPr>
                <w:sz w:val="20"/>
                <w:szCs w:val="20"/>
                <w:color w:val="auto"/>
              </w:rPr>
            </w:pPr>
            <w:r>
              <w:rPr>
                <w:rFonts w:ascii="Arial" w:cs="Arial" w:eastAsia="Arial" w:hAnsi="Arial"/>
                <w:sz w:val="19"/>
                <w:szCs w:val="19"/>
                <w:b w:val="1"/>
                <w:bCs w:val="1"/>
                <w:color w:val="auto"/>
              </w:rPr>
              <w:t>Nimish Shah</w:t>
            </w:r>
          </w:p>
        </w:tc>
        <w:tc>
          <w:tcPr>
            <w:tcW w:w="4520" w:type="dxa"/>
            <w:vAlign w:val="bottom"/>
          </w:tcPr>
          <w:p>
            <w:pPr>
              <w:spacing w:after="0"/>
              <w:rPr>
                <w:sz w:val="24"/>
                <w:szCs w:val="24"/>
                <w:color w:val="auto"/>
              </w:rPr>
            </w:pPr>
          </w:p>
        </w:tc>
        <w:tc>
          <w:tcPr>
            <w:tcW w:w="1760" w:type="dxa"/>
            <w:vAlign w:val="bottom"/>
            <w:gridSpan w:val="2"/>
          </w:tcPr>
          <w:p>
            <w:pPr>
              <w:ind w:left="480"/>
              <w:spacing w:after="0"/>
              <w:rPr>
                <w:sz w:val="20"/>
                <w:szCs w:val="20"/>
                <w:color w:val="auto"/>
              </w:rPr>
            </w:pPr>
            <w:r>
              <w:rPr>
                <w:rFonts w:ascii="Arial" w:cs="Arial" w:eastAsia="Arial" w:hAnsi="Arial"/>
                <w:sz w:val="19"/>
                <w:szCs w:val="19"/>
                <w:b w:val="1"/>
                <w:bCs w:val="1"/>
                <w:color w:val="auto"/>
              </w:rPr>
              <w:t>Bong Koh</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7"/>
        </w:trPr>
        <w:tc>
          <w:tcPr>
            <w:tcW w:w="380" w:type="dxa"/>
            <w:vAlign w:val="bottom"/>
          </w:tcPr>
          <w:p>
            <w:pPr>
              <w:spacing w:after="0"/>
              <w:rPr>
                <w:sz w:val="20"/>
                <w:szCs w:val="20"/>
                <w:color w:val="auto"/>
              </w:rPr>
            </w:pPr>
            <w:r>
              <w:rPr>
                <w:rFonts w:ascii="Arial" w:cs="Arial" w:eastAsia="Arial" w:hAnsi="Arial"/>
                <w:sz w:val="19"/>
                <w:szCs w:val="19"/>
                <w:color w:val="auto"/>
              </w:rPr>
              <w:t>By:</w:t>
            </w:r>
          </w:p>
        </w:tc>
        <w:tc>
          <w:tcPr>
            <w:tcW w:w="5400" w:type="dxa"/>
            <w:vAlign w:val="bottom"/>
            <w:gridSpan w:val="3"/>
          </w:tcPr>
          <w:p>
            <w:pPr>
              <w:ind w:left="120"/>
              <w:spacing w:after="0"/>
              <w:rPr>
                <w:sz w:val="20"/>
                <w:szCs w:val="20"/>
                <w:color w:val="auto"/>
              </w:rPr>
            </w:pPr>
            <w:r>
              <w:rPr>
                <w:rFonts w:ascii="Arial" w:cs="Arial" w:eastAsia="Arial" w:hAnsi="Arial"/>
                <w:sz w:val="19"/>
                <w:szCs w:val="19"/>
                <w:color w:val="auto"/>
              </w:rPr>
              <w:t>/s/ David L. Stepp</w:t>
            </w:r>
          </w:p>
        </w:tc>
        <w:tc>
          <w:tcPr>
            <w:tcW w:w="1040" w:type="dxa"/>
            <w:vAlign w:val="bottom"/>
          </w:tcPr>
          <w:p>
            <w:pPr>
              <w:ind w:left="480"/>
              <w:spacing w:after="0"/>
              <w:rPr>
                <w:sz w:val="20"/>
                <w:szCs w:val="20"/>
                <w:color w:val="auto"/>
              </w:rPr>
            </w:pPr>
            <w:r>
              <w:rPr>
                <w:rFonts w:ascii="Arial" w:cs="Arial" w:eastAsia="Arial" w:hAnsi="Arial"/>
                <w:sz w:val="19"/>
                <w:szCs w:val="19"/>
                <w:color w:val="auto"/>
              </w:rPr>
              <w:t>By:</w:t>
            </w:r>
          </w:p>
        </w:tc>
        <w:tc>
          <w:tcPr>
            <w:tcW w:w="5180" w:type="dxa"/>
            <w:vAlign w:val="bottom"/>
            <w:gridSpan w:val="2"/>
          </w:tcPr>
          <w:p>
            <w:pPr>
              <w:spacing w:after="0"/>
              <w:rPr>
                <w:sz w:val="20"/>
                <w:szCs w:val="20"/>
                <w:color w:val="auto"/>
              </w:rPr>
            </w:pPr>
            <w:r>
              <w:rPr>
                <w:rFonts w:ascii="Arial" w:cs="Arial" w:eastAsia="Arial" w:hAnsi="Arial"/>
                <w:sz w:val="19"/>
                <w:szCs w:val="19"/>
                <w:color w:val="auto"/>
              </w:rPr>
              <w:t>/s/ David L. Stepp</w:t>
            </w:r>
          </w:p>
        </w:tc>
        <w:tc>
          <w:tcPr>
            <w:tcW w:w="40" w:type="dxa"/>
            <w:vAlign w:val="bottom"/>
          </w:tcPr>
          <w:p>
            <w:pPr>
              <w:spacing w:after="0"/>
              <w:rPr>
                <w:sz w:val="24"/>
                <w:szCs w:val="24"/>
                <w:color w:val="auto"/>
              </w:rPr>
            </w:pPr>
          </w:p>
        </w:tc>
      </w:tr>
      <w:tr>
        <w:trPr>
          <w:trHeight w:val="236"/>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David L. Stepp, as attorney-in-fact</w:t>
            </w:r>
          </w:p>
        </w:tc>
        <w:tc>
          <w:tcPr>
            <w:tcW w:w="1040" w:type="dxa"/>
            <w:vAlign w:val="bottom"/>
          </w:tcPr>
          <w:p>
            <w:pPr>
              <w:spacing w:after="0"/>
              <w:rPr>
                <w:sz w:val="20"/>
                <w:szCs w:val="20"/>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David L. Stepp, as attorney-in-fact</w:t>
            </w:r>
          </w:p>
        </w:tc>
        <w:tc>
          <w:tcPr>
            <w:tcW w:w="40" w:type="dxa"/>
            <w:vAlign w:val="bottom"/>
          </w:tcPr>
          <w:p>
            <w:pPr>
              <w:spacing w:after="0"/>
              <w:rPr>
                <w:sz w:val="20"/>
                <w:szCs w:val="20"/>
                <w:color w:val="auto"/>
              </w:rPr>
            </w:pPr>
          </w:p>
        </w:tc>
      </w:tr>
      <w:tr>
        <w:trPr>
          <w:trHeight w:val="442"/>
        </w:trPr>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16</w:t>
            </w:r>
          </w:p>
        </w:tc>
        <w:tc>
          <w:tcPr>
            <w:tcW w:w="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3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5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4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9"/>
          <w:szCs w:val="19"/>
          <w:b w:val="1"/>
          <w:bCs w:val="1"/>
          <w:color w:val="auto"/>
        </w:rPr>
        <w:t>EXHIBIT B</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POWER OF ATTORNEY FOR NIMISH SHAH</w:t>
      </w:r>
    </w:p>
    <w:p>
      <w:pPr>
        <w:spacing w:after="0" w:line="23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KNOW ALL BY THESE PRESENTS, that the undersigned hereby constitutes and appoints each of David L. Stepp, Sherman G. Souther and Lisa D. Harris signing individually, the undersigned’s true and lawful attorney-in fact and agent to:</w:t>
      </w:r>
    </w:p>
    <w:p>
      <w:pPr>
        <w:spacing w:after="0" w:line="184" w:lineRule="exact"/>
        <w:rPr>
          <w:sz w:val="20"/>
          <w:szCs w:val="20"/>
          <w:color w:val="auto"/>
        </w:rPr>
      </w:pPr>
    </w:p>
    <w:p>
      <w:pPr>
        <w:ind w:left="1020" w:hanging="341"/>
        <w:spacing w:after="0" w:line="254" w:lineRule="auto"/>
        <w:tabs>
          <w:tab w:leader="none" w:pos="1043" w:val="left"/>
        </w:tabs>
        <w:numPr>
          <w:ilvl w:val="0"/>
          <w:numId w:val="32"/>
        </w:numPr>
        <w:rPr>
          <w:rFonts w:ascii="Arial" w:cs="Arial" w:eastAsia="Arial" w:hAnsi="Arial"/>
          <w:sz w:val="19"/>
          <w:szCs w:val="19"/>
          <w:color w:val="auto"/>
        </w:rPr>
      </w:pPr>
      <w:r>
        <w:rPr>
          <w:rFonts w:ascii="Arial" w:cs="Arial" w:eastAsia="Arial" w:hAnsi="Arial"/>
          <w:sz w:val="19"/>
          <w:szCs w:val="19"/>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206" w:lineRule="exact"/>
        <w:rPr>
          <w:rFonts w:ascii="Arial" w:cs="Arial" w:eastAsia="Arial" w:hAnsi="Arial"/>
          <w:sz w:val="19"/>
          <w:szCs w:val="19"/>
          <w:color w:val="auto"/>
        </w:rPr>
      </w:pPr>
    </w:p>
    <w:p>
      <w:pPr>
        <w:ind w:left="1020" w:right="40" w:hanging="341"/>
        <w:spacing w:after="0" w:line="259" w:lineRule="auto"/>
        <w:tabs>
          <w:tab w:leader="none" w:pos="105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 this Power of Attorney to be executed as of this 28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January, 2019.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8125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20" w:top="207" w:right="180"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9"/>
          <w:szCs w:val="19"/>
          <w:b w:val="1"/>
          <w:bCs w:val="1"/>
          <w:color w:val="auto"/>
        </w:rPr>
        <w:t>EXHIBIT C</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POWER OF ATTORNEY FOR BONG KOH</w:t>
      </w:r>
    </w:p>
    <w:p>
      <w:pPr>
        <w:spacing w:after="0" w:line="23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KNOW ALL BY THESE PRESENTS, that the undersigned hereby constitutes and appoints each of David L. Stepp, Sherman G. Souther and Lisa D. Harris signing individually, the undersigned’s true and lawful attorney-in fact and agent to:</w:t>
      </w:r>
    </w:p>
    <w:p>
      <w:pPr>
        <w:spacing w:after="0" w:line="184" w:lineRule="exact"/>
        <w:rPr>
          <w:sz w:val="20"/>
          <w:szCs w:val="20"/>
          <w:color w:val="auto"/>
        </w:rPr>
      </w:pPr>
    </w:p>
    <w:p>
      <w:pPr>
        <w:ind w:left="1020" w:hanging="341"/>
        <w:spacing w:after="0" w:line="254" w:lineRule="auto"/>
        <w:tabs>
          <w:tab w:leader="none" w:pos="1043" w:val="left"/>
        </w:tabs>
        <w:numPr>
          <w:ilvl w:val="0"/>
          <w:numId w:val="33"/>
        </w:numPr>
        <w:rPr>
          <w:rFonts w:ascii="Arial" w:cs="Arial" w:eastAsia="Arial" w:hAnsi="Arial"/>
          <w:sz w:val="19"/>
          <w:szCs w:val="19"/>
          <w:color w:val="auto"/>
        </w:rPr>
      </w:pPr>
      <w:r>
        <w:rPr>
          <w:rFonts w:ascii="Arial" w:cs="Arial" w:eastAsia="Arial" w:hAnsi="Arial"/>
          <w:sz w:val="19"/>
          <w:szCs w:val="19"/>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206" w:lineRule="exact"/>
        <w:rPr>
          <w:rFonts w:ascii="Arial" w:cs="Arial" w:eastAsia="Arial" w:hAnsi="Arial"/>
          <w:sz w:val="19"/>
          <w:szCs w:val="19"/>
          <w:color w:val="auto"/>
        </w:rPr>
      </w:pPr>
    </w:p>
    <w:p>
      <w:pPr>
        <w:ind w:left="1020" w:right="40" w:hanging="341"/>
        <w:spacing w:after="0" w:line="259" w:lineRule="auto"/>
        <w:tabs>
          <w:tab w:leader="none" w:pos="1053" w:val="left"/>
        </w:tabs>
        <w:numPr>
          <w:ilvl w:val="0"/>
          <w:numId w:val="33"/>
        </w:numPr>
        <w:rPr>
          <w:rFonts w:ascii="Arial" w:cs="Arial" w:eastAsia="Arial" w:hAnsi="Arial"/>
          <w:sz w:val="19"/>
          <w:szCs w:val="19"/>
          <w:color w:val="auto"/>
        </w:rPr>
      </w:pPr>
      <w:r>
        <w:rPr>
          <w:rFonts w:ascii="Arial" w:cs="Arial" w:eastAsia="Arial" w:hAnsi="Arial"/>
          <w:sz w:val="19"/>
          <w:szCs w:val="19"/>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 this Power of Attorney to be executed as of this 28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January, 2019.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/s/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8125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1940"/>
      </w:cols>
      <w:pgMar w:left="120" w:top="207" w:right="1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o"/>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abstractNum>
  <w:abstractNum w:abstractNumId="2">
    <w:nsid w:val="431BD7B7"/>
    <w:multiLevelType w:val="hybridMultilevel"/>
    <w:lvl w:ilvl="0">
      <w:lvlJc w:val="left"/>
      <w:lvlText w:val="%1"/>
      <w:numFmt w:val="decimal"/>
      <w:start w:val="1"/>
    </w:lvl>
    <w:lvl w:ilvl="1">
      <w:lvlJc w:val="left"/>
      <w:lvlText w:val="%2."/>
      <w:numFmt w:val="decimal"/>
      <w:start w:val="9"/>
    </w:lvl>
  </w:abstractNum>
  <w:abstractNum w:abstractNumId="3">
    <w:nsid w:val="3F2DBA31"/>
    <w:multiLevelType w:val="hybridMultilevel"/>
    <w:lvl w:ilvl="0">
      <w:lvlJc w:val="left"/>
      <w:lvlText w:val="(%1)"/>
      <w:numFmt w:val="decimal"/>
      <w:start w:val="1"/>
    </w:lvl>
    <w:lvl w:ilvl="1">
      <w:lvlJc w:val="left"/>
      <w:lvlText w:val="%2"/>
      <w:numFmt w:val="decimal"/>
      <w:start w:val="1"/>
    </w:lvl>
  </w:abstractNum>
  <w:abstractNum w:abstractNumId="4">
    <w:nsid w:val="7C83E458"/>
    <w:multiLevelType w:val="hybridMultilevel"/>
    <w:lvl w:ilvl="0">
      <w:lvlJc w:val="left"/>
      <w:lvlText w:val="%1."/>
      <w:numFmt w:val="decimal"/>
      <w:start w:val="1"/>
    </w:lvl>
    <w:lvl w:ilvl="1">
      <w:lvlJc w:val="left"/>
      <w:lvlText w:val="(%2)"/>
      <w:numFmt w:val="lowerLetter"/>
      <w:start w:val="1"/>
    </w:lvl>
  </w:abstractNum>
  <w:abstractNum w:abstractNumId="5">
    <w:nsid w:val="257130A3"/>
    <w:multiLevelType w:val="hybridMultilevel"/>
    <w:lvl w:ilvl="0">
      <w:lvlJc w:val="left"/>
      <w:lvlText w:val="%1"/>
      <w:numFmt w:val="decimal"/>
      <w:start w:val="1"/>
    </w:lvl>
    <w:lvl w:ilvl="1">
      <w:lvlJc w:val="left"/>
      <w:lvlText w:val="%2."/>
      <w:numFmt w:val="decimal"/>
      <w:start w:val="9"/>
    </w:lvl>
  </w:abstractNum>
  <w:abstractNum w:abstractNumId="6">
    <w:nsid w:val="62BBD95A"/>
    <w:multiLevelType w:val="hybridMultilevel"/>
    <w:lvl w:ilvl="0">
      <w:lvlJc w:val="left"/>
      <w:lvlText w:val="(%1)"/>
      <w:numFmt w:val="decimal"/>
      <w:start w:val="1"/>
    </w:lvl>
    <w:lvl w:ilvl="1">
      <w:lvlJc w:val="left"/>
      <w:lvlText w:val="%2"/>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1"/>
    </w:lvl>
  </w:abstractNum>
  <w:abstractNum w:abstractNumId="8">
    <w:nsid w:val="628C895D"/>
    <w:multiLevelType w:val="hybridMultilevel"/>
    <w:lvl w:ilvl="0">
      <w:lvlJc w:val="left"/>
      <w:lvlText w:val="%1"/>
      <w:numFmt w:val="decimal"/>
      <w:start w:val="1"/>
    </w:lvl>
    <w:lvl w:ilvl="1">
      <w:lvlJc w:val="left"/>
      <w:lvlText w:val="%2."/>
      <w:numFmt w:val="decimal"/>
      <w:start w:val="9"/>
    </w:lvl>
  </w:abstractNum>
  <w:abstractNum w:abstractNumId="9">
    <w:nsid w:val="333AB105"/>
    <w:multiLevelType w:val="hybridMultilevel"/>
    <w:lvl w:ilvl="0">
      <w:lvlJc w:val="left"/>
      <w:lvlText w:val="(%1)"/>
      <w:numFmt w:val="decimal"/>
      <w:start w:val="1"/>
    </w:lvl>
    <w:lvl w:ilvl="1">
      <w:lvlJc w:val="left"/>
      <w:lvlText w:val="%2"/>
      <w:numFmt w:val="decimal"/>
      <w:start w:val="1"/>
    </w:lvl>
  </w:abstractNum>
  <w:abstractNum w:abstractNumId="10">
    <w:nsid w:val="721DA317"/>
    <w:multiLevelType w:val="hybridMultilevel"/>
    <w:lvl w:ilvl="0">
      <w:lvlJc w:val="left"/>
      <w:lvlText w:val="%1."/>
      <w:numFmt w:val="decimal"/>
      <w:start w:val="1"/>
    </w:lvl>
    <w:lvl w:ilvl="1">
      <w:lvlJc w:val="left"/>
      <w:lvlText w:val="(%2)"/>
      <w:numFmt w:val="lowerLetter"/>
      <w:start w:val="1"/>
    </w:lvl>
  </w:abstractNum>
  <w:abstractNum w:abstractNumId="11">
    <w:nsid w:val="2443A858"/>
    <w:multiLevelType w:val="hybridMultilevel"/>
    <w:lvl w:ilvl="0">
      <w:lvlJc w:val="left"/>
      <w:lvlText w:val="%1"/>
      <w:numFmt w:val="decimal"/>
      <w:start w:val="1"/>
    </w:lvl>
    <w:lvl w:ilvl="1">
      <w:lvlJc w:val="left"/>
      <w:lvlText w:val="%2."/>
      <w:numFmt w:val="decimal"/>
      <w:start w:val="9"/>
    </w:lvl>
  </w:abstractNum>
  <w:abstractNum w:abstractNumId="12">
    <w:nsid w:val="2D1D5AE9"/>
    <w:multiLevelType w:val="hybridMultilevel"/>
    <w:lvl w:ilvl="0">
      <w:lvlJc w:val="left"/>
      <w:lvlText w:val="(%1)"/>
      <w:numFmt w:val="decimal"/>
      <w:start w:val="1"/>
    </w:lvl>
    <w:lvl w:ilvl="1">
      <w:lvlJc w:val="left"/>
      <w:lvlText w:val="%2"/>
      <w:numFmt w:val="decimal"/>
      <w:start w:val="1"/>
    </w:lvl>
  </w:abstractNum>
  <w:abstractNum w:abstractNumId="13">
    <w:nsid w:val="6763845E"/>
    <w:multiLevelType w:val="hybridMultilevel"/>
    <w:lvl w:ilvl="0">
      <w:lvlJc w:val="left"/>
      <w:lvlText w:val="%1."/>
      <w:numFmt w:val="decimal"/>
      <w:start w:val="1"/>
    </w:lvl>
    <w:lvl w:ilvl="1">
      <w:lvlJc w:val="left"/>
      <w:lvlText w:val="(%2)"/>
      <w:numFmt w:val="lowerLetter"/>
      <w:start w:val="1"/>
    </w:lvl>
  </w:abstractNum>
  <w:abstractNum w:abstractNumId="14">
    <w:nsid w:val="75A2A8D4"/>
    <w:multiLevelType w:val="hybridMultilevel"/>
    <w:lvl w:ilvl="0">
      <w:lvlJc w:val="left"/>
      <w:lvlText w:val="%1"/>
      <w:numFmt w:val="decimal"/>
      <w:start w:val="1"/>
    </w:lvl>
    <w:lvl w:ilvl="1">
      <w:lvlJc w:val="left"/>
      <w:lvlText w:val="%2."/>
      <w:numFmt w:val="decimal"/>
      <w:start w:val="9"/>
    </w:lvl>
  </w:abstractNum>
  <w:abstractNum w:abstractNumId="15">
    <w:nsid w:val="8EDBDAB"/>
    <w:multiLevelType w:val="hybridMultilevel"/>
    <w:lvl w:ilvl="0">
      <w:lvlJc w:val="left"/>
      <w:lvlText w:val="(%1)"/>
      <w:numFmt w:val="decimal"/>
      <w:start w:val="1"/>
    </w:lvl>
    <w:lvl w:ilvl="1">
      <w:lvlJc w:val="left"/>
      <w:lvlText w:val="%2"/>
      <w:numFmt w:val="decimal"/>
      <w:start w:val="1"/>
    </w:lvl>
  </w:abstractNum>
  <w:abstractNum w:abstractNumId="16">
    <w:nsid w:val="79838CB2"/>
    <w:multiLevelType w:val="hybridMultilevel"/>
    <w:lvl w:ilvl="0">
      <w:lvlJc w:val="left"/>
      <w:lvlText w:val="%1."/>
      <w:numFmt w:val="decimal"/>
      <w:start w:val="1"/>
    </w:lvl>
    <w:lvl w:ilvl="1">
      <w:lvlJc w:val="left"/>
      <w:lvlText w:val="(%2)"/>
      <w:numFmt w:val="lowerLetter"/>
      <w:start w:val="1"/>
    </w:lvl>
  </w:abstractNum>
  <w:abstractNum w:abstractNumId="17">
    <w:nsid w:val="4353D0CD"/>
    <w:multiLevelType w:val="hybridMultilevel"/>
    <w:lvl w:ilvl="0">
      <w:lvlJc w:val="left"/>
      <w:lvlText w:val="%1"/>
      <w:numFmt w:val="decimal"/>
      <w:start w:val="1"/>
    </w:lvl>
    <w:lvl w:ilvl="1">
      <w:lvlJc w:val="left"/>
      <w:lvlText w:val="%2."/>
      <w:numFmt w:val="decimal"/>
      <w:start w:val="9"/>
    </w:lvl>
  </w:abstractNum>
  <w:abstractNum w:abstractNumId="18">
    <w:nsid w:val="B03E0C6"/>
    <w:multiLevelType w:val="hybridMultilevel"/>
    <w:lvl w:ilvl="0">
      <w:lvlJc w:val="left"/>
      <w:lvlText w:val="(%1)"/>
      <w:numFmt w:val="decimal"/>
      <w:start w:val="1"/>
    </w:lvl>
    <w:lvl w:ilvl="1">
      <w:lvlJc w:val="left"/>
      <w:lvlText w:val="%2"/>
      <w:numFmt w:val="decimal"/>
      <w:start w:val="1"/>
    </w:lvl>
  </w:abstractNum>
  <w:abstractNum w:abstractNumId="19">
    <w:nsid w:val="189A769B"/>
    <w:multiLevelType w:val="hybridMultilevel"/>
    <w:lvl w:ilvl="0">
      <w:lvlJc w:val="left"/>
      <w:lvlText w:val="%1."/>
      <w:numFmt w:val="decimal"/>
      <w:start w:val="1"/>
    </w:lvl>
    <w:lvl w:ilvl="1">
      <w:lvlJc w:val="left"/>
      <w:lvlText w:val="(%2)"/>
      <w:numFmt w:val="lowerLetter"/>
      <w:start w:val="1"/>
    </w:lvl>
  </w:abstractNum>
  <w:abstractNum w:abstractNumId="20">
    <w:nsid w:val="54E49EB4"/>
    <w:multiLevelType w:val="hybridMultilevel"/>
    <w:lvl w:ilvl="0">
      <w:lvlJc w:val="left"/>
      <w:lvlText w:val="%1"/>
      <w:numFmt w:val="decimal"/>
      <w:start w:val="1"/>
    </w:lvl>
    <w:lvl w:ilvl="1">
      <w:lvlJc w:val="left"/>
      <w:lvlText w:val="%2."/>
      <w:numFmt w:val="decimal"/>
      <w:start w:val="9"/>
    </w:lvl>
  </w:abstractNum>
  <w:abstractNum w:abstractNumId="21">
    <w:nsid w:val="71F32454"/>
    <w:multiLevelType w:val="hybridMultilevel"/>
    <w:lvl w:ilvl="0">
      <w:lvlJc w:val="left"/>
      <w:lvlText w:val="(%1)"/>
      <w:numFmt w:val="decimal"/>
      <w:start w:val="1"/>
    </w:lvl>
    <w:lvl w:ilvl="1">
      <w:lvlJc w:val="left"/>
      <w:lvlText w:val="%2"/>
      <w:numFmt w:val="decimal"/>
      <w:start w:val="1"/>
    </w:lvl>
  </w:abstractNum>
  <w:abstractNum w:abstractNumId="22">
    <w:nsid w:val="2CA88611"/>
    <w:multiLevelType w:val="hybridMultilevel"/>
    <w:lvl w:ilvl="0">
      <w:lvlJc w:val="left"/>
      <w:lvlText w:val="%1."/>
      <w:numFmt w:val="decimal"/>
      <w:start w:val="1"/>
    </w:lvl>
    <w:lvl w:ilvl="1">
      <w:lvlJc w:val="left"/>
      <w:lvlText w:val="(%2)"/>
      <w:numFmt w:val="lowerLetter"/>
      <w:start w:val="1"/>
    </w:lvl>
  </w:abstractNum>
  <w:abstractNum w:abstractNumId="23">
    <w:nsid w:val="836C40E"/>
    <w:multiLevelType w:val="hybridMultilevel"/>
    <w:lvl w:ilvl="0">
      <w:lvlJc w:val="left"/>
      <w:lvlText w:val="%1"/>
      <w:numFmt w:val="decimal"/>
      <w:start w:val="1"/>
    </w:lvl>
    <w:lvl w:ilvl="1">
      <w:lvlJc w:val="left"/>
      <w:lvlText w:val="%2."/>
      <w:numFmt w:val="decimal"/>
      <w:start w:val="9"/>
    </w:lvl>
  </w:abstractNum>
  <w:abstractNum w:abstractNumId="24">
    <w:nsid w:val="2901D82"/>
    <w:multiLevelType w:val="hybridMultilevel"/>
    <w:lvl w:ilvl="0">
      <w:lvlJc w:val="left"/>
      <w:lvlText w:val="(%1)"/>
      <w:numFmt w:val="decimal"/>
      <w:start w:val="1"/>
    </w:lvl>
    <w:lvl w:ilvl="1">
      <w:lvlJc w:val="left"/>
      <w:lvlText w:val="%2"/>
      <w:numFmt w:val="decimal"/>
      <w:start w:val="1"/>
    </w:lvl>
  </w:abstractNum>
  <w:abstractNum w:abstractNumId="25">
    <w:nsid w:val="3A95F874"/>
    <w:multiLevelType w:val="hybridMultilevel"/>
    <w:lvl w:ilvl="0">
      <w:lvlJc w:val="left"/>
      <w:lvlText w:val="%1"/>
      <w:numFmt w:val="upperLetter"/>
      <w:start w:val="6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3"/>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upp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2019-12-15T17:56:57Z</dcterms:created>
  <dcterms:modified xsi:type="dcterms:W3CDTF">2019-12-15T17:56:57Z</dcterms:modified>
</cp:coreProperties>
</file>