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February 20, 2024, Axsome Therapeutics, Inc. (the “Company”) issued a press release announcing its financial results for the three months and fiscal year ended December 31, 2023 and provided an update on the Company’s operations. The Company is furnishing a copy of the press release, which is attached hereto as Exhibit 99.1.</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7020" w:type="dxa"/>
            <w:vAlign w:val="bottom"/>
            <w:tcBorders>
              <w:bottom w:val="single" w:sz="8" w:color="auto"/>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February 20, 2024.</w:t>
            </w: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840" w:type="dxa"/>
            <w:vAlign w:val="bottom"/>
            <w:tcBorders>
              <w:right w:val="single" w:sz="8" w:color="0000EE"/>
            </w:tcBorders>
            <w:shd w:val="clear" w:color="auto" w:fill="0000FF"/>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2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February 20, 2024</w:t>
            </w: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5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2460" w:type="dxa"/>
            <w:vAlign w:val="bottom"/>
          </w:tcPr>
          <w:p>
            <w:pPr>
              <w:ind w:left="18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56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2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54"/>
        </w:trPr>
        <w:tc>
          <w:tcPr>
            <w:tcW w:w="56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814070" cy="46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140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Reports Fourth Quarter and Full Year 2023 Financial Results and Provides Business Update</w:t>
      </w:r>
    </w:p>
    <w:p>
      <w:pPr>
        <w:spacing w:after="0" w:line="214" w:lineRule="exact"/>
        <w:rPr>
          <w:sz w:val="20"/>
          <w:szCs w:val="20"/>
          <w:color w:val="auto"/>
        </w:rPr>
      </w:pPr>
    </w:p>
    <w:p>
      <w:pPr>
        <w:jc w:val="center"/>
        <w:spacing w:after="0" w:line="269" w:lineRule="auto"/>
        <w:rPr>
          <w:sz w:val="20"/>
          <w:szCs w:val="20"/>
          <w:color w:val="auto"/>
        </w:rPr>
      </w:pPr>
      <w:r>
        <w:rPr>
          <w:rFonts w:ascii="Arial" w:cs="Arial" w:eastAsia="Arial" w:hAnsi="Arial"/>
          <w:sz w:val="18"/>
          <w:szCs w:val="18"/>
          <w:i w:val="1"/>
          <w:iCs w:val="1"/>
          <w:color w:val="auto"/>
        </w:rPr>
        <w:t>Total 4Q and full year 2023 net product revenue of $71.5 million and $204.9 million, respectively, representing year-over-year growth of 193% and 309%</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Auvelity 4Q and full year 2023 net product sales of $49.0 million and $130.1 million, respectively, during the first full year of launch</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Sunosi 4Q and full year 2023 net product revenue of $22.5 million and $74.8 million, respectively, representing 17% and 67% year-over-year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growth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NDA submission for AXS-14 in fibromyalgia and NDA resubmission for AXS-07 in migraine, both anticipated in 1H 2024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results of the SYMPHONY Phase 3 trial in narcolepsy anticipated in 1Q 2024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results of the ADVANCE-2 Phase 3 trial in Alzheimer’s disease agitation and the FOCUS Phase 3 trial in ADHD expected in 2H 2024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Initiation of Phase 3 trials of solriamfetol in major depressive disorder, binge eating disorder, and shift work disorder expected 1Q 2024</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Feb. 20, 2024 (Globe Newswire) – Axsome Therapeutics, Inc. (NASDAQ: AXSM), a biopharmaceutical company developing and delivering novel therapies for the management of central nervous system (CNS) disorders, today announced reported financial results for the fourth quarter and full year of 2023.</w:t>
      </w:r>
    </w:p>
    <w:p>
      <w:pPr>
        <w:spacing w:after="0" w:line="14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“2023 was a transformational year for Axsome, based on successful commercial execution as well as substantial pipeline advancement and expansion. During our first full year as a commercial company, Auvelity and Sunosi were prescribed for more than 100,000 patients combined. We expanded our Auvelity neuropsychiatry sales force and progressed our NDAs for AXS-07 in migraine and AXS-14 in fibromyalgia. We advanced our Phase 3 trials of AXS-12 in narcolepsy and AXS-05 in Alzheimer’s disease agitation, initiated a Phase 3 pivotal trial program for solriamfetol in ADHD, and announced three additional new indications for solriamfetol,” said Herriot Tabuteau, MD, Chief Executive Officer of Axsome. “We expect to continue the momentum in 2024 as we drive further growth for our two currently marketed products, and potentially submit two NDAs for migraine and fibromyalgia, read out three Phase 3 trials in narcolepsy, Alzheimer’s disease agitation, and ADHD, and, in the near term, initiate an equal number of new pivotal trials in depression, binge eating disorder, and shift work disorder. Enrollment in the SYMPHONY Phase 3 trial of AXS-12 in narcolepsy is now complete and we are on track to report topline results this quarter.”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2023 and Full Year Financial Highlights</w:t>
      </w:r>
    </w:p>
    <w:p>
      <w:pPr>
        <w:spacing w:after="0" w:line="171" w:lineRule="exact"/>
        <w:rPr>
          <w:sz w:val="20"/>
          <w:szCs w:val="20"/>
          <w:color w:val="auto"/>
        </w:rPr>
      </w:pPr>
    </w:p>
    <w:p>
      <w:pPr>
        <w:jc w:val="both"/>
        <w:ind w:left="380" w:hanging="372"/>
        <w:spacing w:after="0" w:line="253"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net product revenues were $71.5 million and $204.9 million for the fourth quarter and full year of 2023, representing year-over-year growth of 193% and 309%, respectively. Total product revenues for the comparable periods in 2022 were $24.4 million and $50.0 million, respectively. Total revenue for the full year of 2023 was $270.6 million, which includes license revenue of $65.7 million from out-licensing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in certain ex-U.S. territories.</w:t>
      </w:r>
    </w:p>
    <w:p>
      <w:pPr>
        <w:spacing w:after="0" w:line="85" w:lineRule="exact"/>
        <w:rPr>
          <w:rFonts w:ascii="Times New Roman" w:cs="Times New Roman" w:eastAsia="Times New Roman" w:hAnsi="Times New Roman"/>
          <w:sz w:val="18"/>
          <w:szCs w:val="18"/>
          <w:color w:val="auto"/>
        </w:rPr>
      </w:pPr>
    </w:p>
    <w:p>
      <w:pPr>
        <w:ind w:left="380" w:hanging="372"/>
        <w:spacing w:after="0" w:line="229"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net product sales were $49.0 million and $130.1 million for the fourth quarter and full year of 2023, the first full year of launch. Auvelity was launched on October 19, 2022, and had U.S. net sales of $5.2 million for the fourth quarter of 2022.</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jc w:val="both"/>
        <w:ind w:left="380" w:hanging="372"/>
        <w:spacing w:after="0" w:line="242"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Sunosi net product revenues were $22.5 million and $74.8 million for the fourth quarter and full year of 2023, representing 17% and 67% year-over-year growth, respectively, consisting of $21.7 million and $72.4 million in net product sales and $0.8 million and $2.4 million in royalty revenue associated with Sunosi sales in out-licensed territories, respectively. Sunosi net sales for the comparable periods in 2022 were $19.2 million and $44.9 million, respectively. The U.S. portion of the acquisition of Sunosi closed in May 2022 and the ex-U.S. portion closed in November of 2022. Total Sunosi revenue for the full year of 2023 was $140.5 million, which includes license revenue of $65.7 million from out-licensing Sunosi in certain ex-U.S. territories.</w:t>
      </w:r>
    </w:p>
    <w:p>
      <w:pPr>
        <w:spacing w:after="0" w:line="69"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costs of revenue were $7.4 million and $26.1 million for the fourth quarter and full year of 2023, respectively. Total costs of revenue for the comparable periods in 2022 was $2.3 million and $5.2 million, respectively. Total cost of revenue for the full year of 2023 included a one-time cost of $5.0 million associated with the upfront fee received for the Sunosi out licensing transaction.</w:t>
      </w:r>
    </w:p>
    <w:p>
      <w:pPr>
        <w:spacing w:after="0" w:line="62" w:lineRule="exact"/>
        <w:rPr>
          <w:rFonts w:ascii="Times New Roman" w:cs="Times New Roman" w:eastAsia="Times New Roman" w:hAnsi="Times New Roman"/>
          <w:sz w:val="18"/>
          <w:szCs w:val="18"/>
          <w:color w:val="auto"/>
        </w:rPr>
      </w:pPr>
    </w:p>
    <w:p>
      <w:pPr>
        <w:jc w:val="both"/>
        <w:ind w:left="380" w:hanging="372"/>
        <w:spacing w:after="0" w:line="243"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$30.8 million and $97.9 million for the fourth quarter and full year of 2023, respectively, compared to $14.7 million and $57.9 million for the comparable periods in 2022, respectively. The increase was primarily related to the FOCUS trial of solriamfetol in ADHD, the advancement of ongoing trials of AXS-05 and AXS-12, manufacturing costs associated with the anticipated NDAs for AXS-07 and AXS-14, post-marketing commitments for Auvelity and Sunosi, and higher personnel costs, including non-cash stock-based compensation.</w:t>
      </w:r>
    </w:p>
    <w:p>
      <w:pPr>
        <w:spacing w:after="0" w:line="71"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Selling, general, and administrative (SG&amp;A) expenses were $86.8 million and $323.1 million for the fourth quarter and full year of 2023, respectively, compared to $61.5 million and $159.3 million for the comparable periods in 2022, respectively. The increase was primarily related to commercialization activities for Auvelity and Sunosi, including sales force and marketing expenses, and higher personnel costs related to organizational growth, including non-cash stock-based compensation.</w:t>
      </w:r>
    </w:p>
    <w:p>
      <w:pPr>
        <w:spacing w:after="0" w:line="136" w:lineRule="exact"/>
        <w:rPr>
          <w:rFonts w:ascii="Times New Roman" w:cs="Times New Roman" w:eastAsia="Times New Roman" w:hAnsi="Times New Roman"/>
          <w:sz w:val="18"/>
          <w:szCs w:val="18"/>
          <w:color w:val="auto"/>
        </w:rPr>
      </w:pPr>
    </w:p>
    <w:p>
      <w:pPr>
        <w:jc w:val="both"/>
        <w:ind w:left="380" w:hanging="372"/>
        <w:spacing w:after="0" w:line="239"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fourth quarter of 2023 was $98.7 million or $(2.08) per share, compared to a net loss of $61.2 million, or $(1.41) per share, for the comparable period in 2022. The net loss in the fourth quarter of 2023 includes $63.7 million in non-cash charges, comprised of $43.2 million in acquisition-related contingent consideration expense reflecting updated sales projections for the recently announced new indications in solriamfetol, $18.9 million of non-cash stock-based compensation expense, and $1.6 million of non-cash intangible asset amortization. Net loss was $239.2 million, or $(5.27) per share, for the full year of 2023, compared to a net loss of $187.1 million, or $(4.60) per share, for the full year of 2022. The net loss for the full year includes total non-cash charges of $117.9 million which includes $62.6 million of stock-based compensation expense, $48.9 million in fair value of contingent consideration expense, and $6.4 million in intangible amortization compared to $37.7 million, $3.3 million, and $4.1 million respectively for the full year 2022.</w:t>
      </w:r>
    </w:p>
    <w:p>
      <w:pPr>
        <w:spacing w:after="0" w:line="15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totaled $386.2 million at December 31, 2023, compared to $200.8 million at December 31, 2022.</w:t>
      </w:r>
    </w:p>
    <w:p>
      <w:pPr>
        <w:spacing w:after="0" w:line="18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Shares of common stock outstanding were 47,351,363 at December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85" w:lineRule="exact"/>
        <w:rPr>
          <w:sz w:val="20"/>
          <w:szCs w:val="20"/>
          <w:color w:val="auto"/>
        </w:rPr>
      </w:pPr>
    </w:p>
    <w:p>
      <w:pPr>
        <w:ind w:left="380" w:hanging="372"/>
        <w:spacing w:after="0" w:line="270"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Axsome believes that its current cash is sufficient to fund anticipated operations into cash flow positivity, based on the current operating plan.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Commercial Highlights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Auvelity</w:t>
      </w:r>
    </w:p>
    <w:p>
      <w:pPr>
        <w:spacing w:after="0" w:line="183" w:lineRule="exact"/>
        <w:rPr>
          <w:sz w:val="20"/>
          <w:szCs w:val="20"/>
          <w:color w:val="auto"/>
        </w:rPr>
      </w:pPr>
    </w:p>
    <w:p>
      <w:pPr>
        <w:ind w:left="38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84,000 prescriptions were written for Auvelity in the fourth quarter of 2023, representing a 23% sequential increase versus the third quarter of 2023.</w:t>
      </w:r>
    </w:p>
    <w:p>
      <w:pPr>
        <w:spacing w:after="0" w:line="113"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previously announced expansion of the Auvelity neuropsychiatry sales force from 162 to 260 representatives is now complete. The sales force expansion along with Axsome’s pioneering, technology-driven Digital Centric Commercialization (DCC™) platform is expected to increase our reach to approximately 44,000 health care providers, who write nearly 90% of new branded antidepressant prescriptions.</w:t>
      </w:r>
    </w:p>
    <w:p>
      <w:pPr>
        <w:spacing w:after="0" w:line="136"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Payer coverage for Auvelity across all channels is stable at approximately 70% of all covered lives. Commercial coverage is at approximately 48%, and Auvelity is a protected class product which must be covered by all payors in the Medicare channel and is covered by all state Medicaid programs. Axsome expects coverage to continue to expand and evolve.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Sunosi</w:t>
      </w:r>
    </w:p>
    <w:p>
      <w:pPr>
        <w:spacing w:after="0" w:line="169" w:lineRule="exact"/>
        <w:rPr>
          <w:sz w:val="20"/>
          <w:szCs w:val="20"/>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42,000 prescriptions were written for Sunosi in the U.S. in the fourth quarter of 2023, representing an 18% increase versus the fourth quarter of 2022 and a 2% sequential increase versus the third quarter of 2023.</w:t>
      </w:r>
    </w:p>
    <w:p>
      <w:pPr>
        <w:spacing w:after="0" w:line="154"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Sunosi maintains broad payer coverage in the commercial channel with 95% of lives covered. Currently 83% of total lives across all channels are covered.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Pipeline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Axsome is advancing an industry-leading neuroscience portfolio encompassing five innovative, late-stage, patent-protected product candidates for 10 serious psychiatric and neurologic conditions, which affect more than 150 million people in the U.S. alone. Recent and anticipated progress for key pipeline programs is summarized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AXS-05 (dextromethorphan-bupropion) is Axsome’s novel, oral, investigational NMDA receptor antagonist and sigma-1 agonist being developed for Alzheimer’s disease (AD) agitation and smoking cessation. AXS-05 has been granted U.S. Food and Drug Administration (FDA) Breakthrough Therapy designation for AD agitation.</w:t>
      </w:r>
    </w:p>
    <w:p>
      <w:pPr>
        <w:spacing w:after="0" w:line="142" w:lineRule="exact"/>
        <w:rPr>
          <w:sz w:val="20"/>
          <w:szCs w:val="20"/>
          <w:color w:val="auto"/>
        </w:rPr>
      </w:pPr>
    </w:p>
    <w:p>
      <w:pPr>
        <w:jc w:val="both"/>
        <w:ind w:left="380" w:hanging="372"/>
        <w:spacing w:after="0" w:line="246"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The Company is conducting the ADVANCE-2 study, a Phase 3, placebo-controlled, parallel group trial</w:t>
      </w:r>
      <w:r>
        <w:rPr>
          <w:rFonts w:ascii="Arial" w:cs="Arial" w:eastAsia="Arial" w:hAnsi="Arial"/>
          <w:sz w:val="18"/>
          <w:szCs w:val="18"/>
          <w:b w:val="1"/>
          <w:bCs w:val="1"/>
          <w:color w:val="auto"/>
        </w:rPr>
        <w:t xml:space="preserve"> </w:t>
      </w:r>
      <w:r>
        <w:rPr>
          <w:rFonts w:ascii="Arial" w:cs="Arial" w:eastAsia="Arial" w:hAnsi="Arial"/>
          <w:sz w:val="18"/>
          <w:szCs w:val="18"/>
          <w:color w:val="auto"/>
        </w:rPr>
        <w:t>to assess the efficacy and safety of AXS-05 for the treatment of AD agitation. Patients completing ADVANCE-2 may enter a long-term open label safety extension trial. Based on anticipated enrollment trends and recent changes to treatment market dynamics, the Company now anticipates completion of ADVANCE-2 in the second half of 2024.</w:t>
      </w:r>
    </w:p>
    <w:p>
      <w:pPr>
        <w:spacing w:after="0" w:line="136"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initiate a pivotal Phase 2/3 trial in this indication in 2024.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for the acute treatment of migraine.</w:t>
      </w:r>
    </w:p>
    <w:p>
      <w:pPr>
        <w:spacing w:after="0" w:line="127" w:lineRule="exact"/>
        <w:rPr>
          <w:sz w:val="20"/>
          <w:szCs w:val="20"/>
          <w:color w:val="auto"/>
        </w:rPr>
      </w:pPr>
    </w:p>
    <w:p>
      <w:pPr>
        <w:jc w:val="both"/>
        <w:ind w:left="380" w:hanging="372"/>
        <w:spacing w:after="0" w:line="246"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Manufacturing activities related to the planned resubmission of the New Drug Application (NDA) for AXS-07 for the acute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continue to progress. The Company continues to anticipate resubmission of the NDA in the first half of 2024. No additional clinical efficacy or safety trials have been requested by the FDA for a resubmission of the NDA. The Company expects the NDA resubmission to be designated as Class 2 which would be subject to a six-month review.</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AXS-12 (reboxetine) is Axsome’s novel, oral, potent, investigational highly selective norepinephrine reuptake inhibitor for the treatment of narcolepsy. AXS-12 has been granted FDA Orphan Drug designation for the treatment of narcolepsy.</w:t>
      </w:r>
    </w:p>
    <w:p>
      <w:pPr>
        <w:spacing w:after="0" w:line="127" w:lineRule="exact"/>
        <w:rPr>
          <w:sz w:val="20"/>
          <w:szCs w:val="20"/>
          <w:color w:val="auto"/>
        </w:rPr>
      </w:pPr>
    </w:p>
    <w:p>
      <w:pPr>
        <w:jc w:val="both"/>
        <w:ind w:left="380" w:hanging="372"/>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Enrollment in the SYMPHONY study, a Phase 3 randomized, multicenter, double-blind, placebo-controlled, parallel-group</w:t>
      </w:r>
      <w:r>
        <w:rPr>
          <w:rFonts w:ascii="Arial" w:cs="Arial" w:eastAsia="Arial" w:hAnsi="Arial"/>
          <w:sz w:val="18"/>
          <w:szCs w:val="18"/>
          <w:b w:val="1"/>
          <w:bCs w:val="1"/>
          <w:color w:val="auto"/>
        </w:rPr>
        <w:t xml:space="preserve"> </w:t>
      </w:r>
      <w:r>
        <w:rPr>
          <w:rFonts w:ascii="Arial" w:cs="Arial" w:eastAsia="Arial" w:hAnsi="Arial"/>
          <w:sz w:val="18"/>
          <w:szCs w:val="18"/>
          <w:color w:val="auto"/>
        </w:rPr>
        <w:t>trial of AXS-12 in the treatment of narcolepsy has been completed. The Company is on track to announce topline results for SYMPHONY in the first quarter of 2024.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6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AXS-14 (esreboxetine) is Axsome’s novel, oral, potent, highly selective investigational norepinephrine reuptake inhibitor for the management of fibromyalgia. Esreboxetine, the SS-enantiomer of reboxetine, is more potent and selective than racemic reboxetine.</w:t>
      </w:r>
    </w:p>
    <w:p>
      <w:pPr>
        <w:spacing w:after="0" w:line="127" w:lineRule="exact"/>
        <w:rPr>
          <w:sz w:val="20"/>
          <w:szCs w:val="20"/>
          <w:color w:val="auto"/>
        </w:rPr>
      </w:pPr>
    </w:p>
    <w:p>
      <w:pPr>
        <w:jc w:val="both"/>
        <w:ind w:left="38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Axsome is compiling the NDA for AXS-14 for the management of fibromyalgia. The Company is on track to submit the</w:t>
      </w:r>
      <w:r>
        <w:rPr>
          <w:rFonts w:ascii="Arial" w:cs="Arial" w:eastAsia="Arial" w:hAnsi="Arial"/>
          <w:sz w:val="18"/>
          <w:szCs w:val="18"/>
          <w:b w:val="1"/>
          <w:bCs w:val="1"/>
          <w:color w:val="auto"/>
        </w:rPr>
        <w:t xml:space="preserve"> </w:t>
      </w:r>
      <w:r>
        <w:rPr>
          <w:rFonts w:ascii="Arial" w:cs="Arial" w:eastAsia="Arial" w:hAnsi="Arial"/>
          <w:sz w:val="18"/>
          <w:szCs w:val="18"/>
          <w:color w:val="auto"/>
        </w:rPr>
        <w:t>NDA in the first half of 2024. AXS-14 has previously met the primary endpoints and demonstrated positive and statistically significant results in a Phase 3 and in a Phase 2 trial for the management of fibromyalgia.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Solriamfetol</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Solriamfetol is Axsome’s dopamine and norepinephrine reuptake inhibitor and TAAR1 agonist in development for the treatment of attention deficit hyperactivity disorder (ADHD), major depressive disorder (MDD), binge eating disorder (BED), and excessive sleepiness associated with shift work disorder (SWD).</w:t>
      </w:r>
    </w:p>
    <w:p>
      <w:pPr>
        <w:spacing w:after="0" w:line="142" w:lineRule="exact"/>
        <w:rPr>
          <w:sz w:val="20"/>
          <w:szCs w:val="20"/>
          <w:color w:val="auto"/>
        </w:rPr>
      </w:pPr>
    </w:p>
    <w:p>
      <w:pPr>
        <w:jc w:val="both"/>
        <w:ind w:left="380" w:hanging="372"/>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Attention Deficit Hyperactivity Disorder: </w:t>
      </w:r>
      <w:r>
        <w:rPr>
          <w:rFonts w:ascii="Arial" w:cs="Arial" w:eastAsia="Arial" w:hAnsi="Arial"/>
          <w:sz w:val="18"/>
          <w:szCs w:val="18"/>
          <w:color w:val="auto"/>
        </w:rPr>
        <w:t>Axsome is conducting the FOCUS study, a Phase 3, randomized, double-blind, placebo-controlled, multicenter trial to assess the efficacy and safety of solriamfetol for the treatment of ADHD in adults. The Company anticipates topline results from the FOCUS trial in the second half of 2024.</w:t>
      </w:r>
    </w:p>
    <w:p>
      <w:pPr>
        <w:spacing w:after="0" w:line="130"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Major Depressive Disorder: </w:t>
      </w:r>
      <w:r>
        <w:rPr>
          <w:rFonts w:ascii="Arial" w:cs="Arial" w:eastAsia="Arial" w:hAnsi="Arial"/>
          <w:sz w:val="18"/>
          <w:szCs w:val="18"/>
          <w:color w:val="auto"/>
        </w:rPr>
        <w:t>The Company plans to initiate a Phase 3 trial of solriamfetol for the treatment of MDD in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2024.</w:t>
      </w:r>
    </w:p>
    <w:p>
      <w:pPr>
        <w:spacing w:after="0" w:line="113"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Binge Eating Disorder: </w:t>
      </w:r>
      <w:r>
        <w:rPr>
          <w:rFonts w:ascii="Arial" w:cs="Arial" w:eastAsia="Arial" w:hAnsi="Arial"/>
          <w:sz w:val="18"/>
          <w:szCs w:val="18"/>
          <w:color w:val="auto"/>
        </w:rPr>
        <w:t>The Company plans to initiate a Phase 3 trial of solriamfetol for the treatment of BED in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2024.</w:t>
      </w:r>
    </w:p>
    <w:p>
      <w:pPr>
        <w:spacing w:after="0" w:line="127"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Shift Work Disorder: </w:t>
      </w:r>
      <w:r>
        <w:rPr>
          <w:rFonts w:ascii="Arial" w:cs="Arial" w:eastAsia="Arial" w:hAnsi="Arial"/>
          <w:sz w:val="18"/>
          <w:szCs w:val="18"/>
          <w:color w:val="auto"/>
        </w:rPr>
        <w:t>The Company plans to initiate a Phase 3 trial of solriamfetol for the treatment of excessive sleepiness (ES)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SWD in the first quarter of 2024.</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Anticipated Milestones</w:t>
      </w:r>
    </w:p>
    <w:p>
      <w:pPr>
        <w:spacing w:after="0" w:line="104"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Regulatory and Commercial:</w:t>
      </w:r>
    </w:p>
    <w:p>
      <w:pPr>
        <w:spacing w:after="0" w:line="116" w:lineRule="exact"/>
        <w:rPr>
          <w:sz w:val="20"/>
          <w:szCs w:val="20"/>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AXS-07 for migraine, NDA resubmission (1H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AXS-14 for fibromyalgia, NDA submission (1H 2024)</w:t>
      </w:r>
    </w:p>
    <w:p>
      <w:pPr>
        <w:spacing w:after="0" w:line="19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Topline Results:</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SYMPHONY trial of AXS-12 in narcolepsy (1Q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ADVANCE-2 trial of AXS-05 for Alzheimer’s disease agitation (2H 2024)</w:t>
      </w:r>
    </w:p>
    <w:p>
      <w:pPr>
        <w:spacing w:after="0" w:line="19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FOCUS trial of solriamfetol in attention deficit hyperactivity disorder (ADHD) in adults (2H 2024)</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Initiations:</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in major depressive disorder (MDD) (1Q 2024)</w:t>
      </w:r>
    </w:p>
    <w:p>
      <w:pPr>
        <w:spacing w:after="0" w:line="197"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for binge eating disorder (BED) (1Q 2024)</w:t>
      </w:r>
    </w:p>
    <w:p>
      <w:pPr>
        <w:spacing w:after="0" w:line="116"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Phase 3 trial of solriamfetol in shift work disorder (SWD) (1Q 2024)</w:t>
      </w:r>
    </w:p>
    <w:p>
      <w:pPr>
        <w:spacing w:after="0" w:line="18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Pivotal Phase 2/3 trial of AXS-05 for smoking cessation (2024)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will host a conference call and webcast today at 8:00 AM Eastern to discuss fourth quarter and full year 2023 financial results as well as to provide a corporate update. To participate in the live conference call, please dial (877) 405-1239 (toll-free domestic). The live webcast can be accessed on the "Webcasts &amp; Presentations" page of the "Investors" section of the Company’s website at axsome.com. A replay of the webcast will be available for approximately 30 days following the live event.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0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0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jc w:val="both"/>
        <w:spacing w:after="0" w:line="237" w:lineRule="auto"/>
        <w:rPr>
          <w:sz w:val="20"/>
          <w:szCs w:val="20"/>
          <w:color w:val="auto"/>
        </w:rPr>
      </w:pPr>
      <w:r>
        <w:rPr>
          <w:rFonts w:ascii="Arial" w:cs="Arial" w:eastAsia="Arial" w:hAnsi="Arial"/>
          <w:sz w:val="18"/>
          <w:szCs w:val="18"/>
          <w:color w:val="auto"/>
        </w:rPr>
        <w:t>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for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386,193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200,842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receivables,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504,263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245,642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53,286</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59,661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100" w:type="dxa"/>
            <w:vAlign w:val="bottom"/>
          </w:tcPr>
          <w:p>
            <w:pPr>
              <w:spacing w:after="0"/>
              <w:rPr>
                <w:sz w:val="20"/>
                <w:szCs w:val="20"/>
                <w:color w:val="auto"/>
              </w:rPr>
            </w:pPr>
          </w:p>
        </w:tc>
      </w:tr>
      <w:tr>
        <w:trPr>
          <w:trHeight w:val="27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588,236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331,476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40,679</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90,501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51,631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138,854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96,561</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payable, long-term</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94,259</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397,259</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221,920</w:t>
            </w:r>
          </w:p>
        </w:tc>
        <w:tc>
          <w:tcPr>
            <w:tcW w:w="100" w:type="dxa"/>
            <w:vAlign w:val="bottom"/>
            <w:tcBorders>
              <w:top w:val="single" w:sz="8" w:color="CFF0FC"/>
            </w:tcBorders>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per share (150,000,000 shares authorized, 47,351,363 and</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43,498,617 shares issued and outstanding at December 31, 2023 and December 31, 2022,</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705,885</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(835,571 )</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(596,333 )</w:t>
            </w:r>
          </w:p>
        </w:tc>
      </w:tr>
      <w:tr>
        <w:trPr>
          <w:trHeight w:val="237"/>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190,977</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109,556</w:t>
            </w:r>
          </w:p>
        </w:tc>
        <w:tc>
          <w:tcPr>
            <w:tcW w:w="100" w:type="dxa"/>
            <w:vAlign w:val="bottom"/>
            <w:tcBorders>
              <w:top w:val="single" w:sz="8" w:color="CFF0FC"/>
            </w:tcBorders>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588,236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331,476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-3274060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-3256915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-2322195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-1696720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4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87"/>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70,747</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24,372</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License revenue</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revenue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71,531</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24,372</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5,198</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30,803</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57,947</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86,810</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159,254</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in fair value of contingent consideration</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84,289</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502,425</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229,836</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(98,273 )</w:t>
            </w:r>
          </w:p>
        </w:tc>
        <w:tc>
          <w:tcPr>
            <w:tcW w:w="3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(59,917 )</w:t>
            </w:r>
          </w:p>
        </w:tc>
        <w:tc>
          <w:tcPr>
            <w:tcW w:w="2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(231,825 )</w:t>
            </w:r>
          </w:p>
        </w:tc>
        <w:tc>
          <w:tcPr>
            <w:tcW w:w="3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(179,799 )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(703 )</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(1,323 )</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(6,453 )</w:t>
            </w:r>
          </w:p>
        </w:tc>
        <w:tc>
          <w:tcPr>
            <w:tcW w:w="3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(7,335 )</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(98,976 )</w:t>
            </w: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(61,240 )</w:t>
            </w:r>
          </w:p>
        </w:tc>
        <w:tc>
          <w:tcPr>
            <w:tcW w:w="2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(238,278 )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(187,134 )</w:t>
            </w: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(960 )</w:t>
            </w:r>
          </w:p>
        </w:tc>
        <w:tc>
          <w:tcPr>
            <w:tcW w:w="3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(98,651 )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(61,240 )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(239,238 )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(187,134 )</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(5.27 )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(4.60 )</w:t>
            </w: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2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47,329,782</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43,447,309</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45,425,212</w:t>
            </w:r>
          </w:p>
        </w:tc>
        <w:tc>
          <w:tcPr>
            <w:tcW w:w="24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40,655,941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-2270760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-2270760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-2270760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-1336675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-1336675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-1336675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-385445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-367665</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-385445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-367665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-385445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-367665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rPr>
          <w:sz w:val="20"/>
          <w:szCs w:val="20"/>
          <w:color w:val="auto"/>
        </w:rPr>
      </w:pPr>
      <w:r>
        <w:rPr>
          <w:rFonts w:ascii="Arial" w:cs="Arial" w:eastAsia="Arial" w:hAnsi="Arial"/>
          <w:sz w:val="18"/>
          <w:szCs w:val="18"/>
          <w:color w:val="auto"/>
        </w:rPr>
        <w:t>Tel: 212-332-3243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mjacobson@axsome.com</w:t>
      </w:r>
    </w:p>
    <w:p>
      <w:pPr>
        <w:spacing w:after="0"/>
        <w:rPr>
          <w:sz w:val="20"/>
          <w:szCs w:val="20"/>
          <w:color w:val="auto"/>
        </w:rPr>
      </w:pPr>
      <w:r>
        <w:rPr>
          <w:rFonts w:ascii="Arial" w:cs="Arial" w:eastAsia="Arial" w:hAnsi="Arial"/>
          <w:sz w:val="18"/>
          <w:szCs w:val="18"/>
          <w:color w:val="auto"/>
        </w:rPr>
        <w:t>www.axsome.com</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Communications</w:t>
      </w:r>
    </w:p>
    <w:p>
      <w:pPr>
        <w:spacing w:after="0" w:line="234"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rPr>
          <w:sz w:val="20"/>
          <w:szCs w:val="20"/>
          <w:color w:val="auto"/>
        </w:rPr>
      </w:pPr>
      <w:r>
        <w:rPr>
          <w:rFonts w:ascii="Arial" w:cs="Arial" w:eastAsia="Arial" w:hAnsi="Arial"/>
          <w:sz w:val="18"/>
          <w:szCs w:val="18"/>
          <w:color w:val="auto"/>
        </w:rPr>
        <w:t>Tel: 929-837-1065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dopland@axsome.com</w:t>
      </w: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2024-02-20T06:10:39Z</dcterms:created>
  <dcterms:modified xsi:type="dcterms:W3CDTF">2024-02-20T06:10:39Z</dcterms:modified>
</cp:coreProperties>
</file>