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Jacobson Mark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Operating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0"/>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60,880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45.14</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60,880</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03/16/2030</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60,880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18,645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18,645</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18,645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17, 2024.</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17, 2024. Vested shares will be delivered to the reporting person upon the earlier of (i) the closing of a Change in Control (as defined in the Issuer's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Mark Jacobson</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03/19/2020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812"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2020-03-19T20:21:07Z</dcterms:created>
  <dcterms:modified xsi:type="dcterms:W3CDTF">2020-03-19T20:21:07Z</dcterms:modified>
</cp:coreProperties>
</file>