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As filed with the Securities and Exchange Commission on May 11, 2020</w:t>
      </w:r>
    </w:p>
    <w:p>
      <w:pPr>
        <w:spacing w:after="0" w:line="26" w:lineRule="exact"/>
        <w:rPr>
          <w:sz w:val="24"/>
          <w:szCs w:val="24"/>
          <w:color w:val="auto"/>
        </w:rPr>
      </w:pPr>
    </w:p>
    <w:p>
      <w:pPr>
        <w:jc w:val="right"/>
        <w:ind w:right="219"/>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15875</wp:posOffset>
            </wp:positionV>
            <wp:extent cx="545211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52110" cy="342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58420</wp:posOffset>
            </wp:positionV>
            <wp:extent cx="54521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29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2174240</wp:posOffset>
            </wp:positionH>
            <wp:positionV relativeFrom="paragraph">
              <wp:posOffset>77470</wp:posOffset>
            </wp:positionV>
            <wp:extent cx="13716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S-8</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REGISTRATION STATEMENT</w:t>
      </w:r>
    </w:p>
    <w:p>
      <w:pPr>
        <w:jc w:val="center"/>
        <w:spacing w:after="0"/>
        <w:rPr>
          <w:sz w:val="20"/>
          <w:szCs w:val="20"/>
          <w:color w:val="auto"/>
        </w:rPr>
      </w:pPr>
      <w:r>
        <w:rPr>
          <w:rFonts w:ascii="Arial" w:cs="Arial" w:eastAsia="Arial" w:hAnsi="Arial"/>
          <w:sz w:val="20"/>
          <w:szCs w:val="20"/>
          <w:b w:val="1"/>
          <w:bCs w:val="1"/>
          <w:color w:val="auto"/>
        </w:rPr>
        <w:t>Under</w:t>
      </w:r>
    </w:p>
    <w:p>
      <w:pPr>
        <w:jc w:val="center"/>
        <w:spacing w:after="0"/>
        <w:rPr>
          <w:sz w:val="20"/>
          <w:szCs w:val="20"/>
          <w:color w:val="auto"/>
        </w:rPr>
      </w:pPr>
      <w:r>
        <w:rPr>
          <w:rFonts w:ascii="Arial" w:cs="Arial" w:eastAsia="Arial" w:hAnsi="Arial"/>
          <w:sz w:val="20"/>
          <w:szCs w:val="20"/>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2174240</wp:posOffset>
            </wp:positionH>
            <wp:positionV relativeFrom="paragraph">
              <wp:posOffset>68580</wp:posOffset>
            </wp:positionV>
            <wp:extent cx="13716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AXSOME THERAPEUTICS,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9019"/>
          </w:cols>
          <w:pgMar w:left="1440" w:top="234" w:right="1440" w:bottom="1440" w:gutter="0" w:footer="0" w:header="0"/>
        </w:sectPr>
      </w:pPr>
    </w:p>
    <w:p>
      <w:pPr>
        <w:spacing w:after="0" w:line="8" w:lineRule="exact"/>
        <w:rPr>
          <w:sz w:val="24"/>
          <w:szCs w:val="24"/>
          <w:color w:val="auto"/>
        </w:rPr>
      </w:pPr>
    </w:p>
    <w:p>
      <w:pPr>
        <w:ind w:left="200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45-4241907</w:t>
      </w:r>
    </w:p>
    <w:p>
      <w:pPr>
        <w:spacing w:after="0" w:line="78" w:lineRule="exact"/>
        <w:rPr>
          <w:sz w:val="24"/>
          <w:szCs w:val="24"/>
          <w:color w:val="auto"/>
        </w:rPr>
      </w:pPr>
    </w:p>
    <w:p>
      <w:pPr>
        <w:sectPr>
          <w:pgSz w:w="11900" w:h="16838" w:orient="portrait"/>
          <w:cols w:equalWidth="0" w:num="2">
            <w:col w:w="5580" w:space="720"/>
            <w:col w:w="2719"/>
          </w:cols>
          <w:pgMar w:left="1440" w:top="234" w:right="1440" w:bottom="1440" w:gutter="0" w:footer="0" w:header="0"/>
          <w:type w:val="continuous"/>
        </w:sectPr>
      </w:pPr>
    </w:p>
    <w:p>
      <w:pPr>
        <w:ind w:left="1460"/>
        <w:spacing w:after="0"/>
        <w:rPr>
          <w:sz w:val="20"/>
          <w:szCs w:val="20"/>
          <w:color w:val="auto"/>
        </w:rPr>
      </w:pPr>
      <w:r>
        <w:rPr>
          <w:rFonts w:ascii="Arial" w:cs="Arial" w:eastAsia="Arial" w:hAnsi="Arial"/>
          <w:sz w:val="14"/>
          <w:szCs w:val="14"/>
          <w:color w:val="auto"/>
        </w:rPr>
        <w:t>(State or other jurisdiction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71" w:lineRule="exact"/>
        <w:rPr>
          <w:sz w:val="24"/>
          <w:szCs w:val="24"/>
          <w:color w:val="auto"/>
        </w:rPr>
      </w:pPr>
    </w:p>
    <w:p>
      <w:pPr>
        <w:sectPr>
          <w:pgSz w:w="11900" w:h="16838" w:orient="portrait"/>
          <w:cols w:equalWidth="0" w:num="2">
            <w:col w:w="4860" w:space="720"/>
            <w:col w:w="3439"/>
          </w:cols>
          <w:pgMar w:left="1440" w:top="234" w:right="1440" w:bottom="1440" w:gutter="0" w:footer="0" w:header="0"/>
          <w:type w:val="continuous"/>
        </w:sectPr>
      </w:pPr>
    </w:p>
    <w:p>
      <w:pPr>
        <w:ind w:left="1260"/>
        <w:spacing w:after="0"/>
        <w:rPr>
          <w:sz w:val="20"/>
          <w:szCs w:val="20"/>
          <w:color w:val="auto"/>
        </w:rPr>
      </w:pPr>
      <w:r>
        <w:rPr>
          <w:rFonts w:ascii="Arial" w:cs="Arial" w:eastAsia="Arial" w:hAnsi="Arial"/>
          <w:sz w:val="15"/>
          <w:szCs w:val="15"/>
          <w:color w:val="auto"/>
        </w:rPr>
        <w:t>of incorporation or organization)</w:t>
      </w:r>
    </w:p>
    <w:p>
      <w:pPr>
        <w:sectPr>
          <w:pgSz w:w="11900" w:h="16838" w:orient="portrait"/>
          <w:cols w:equalWidth="0" w:num="1">
            <w:col w:w="9019"/>
          </w:cols>
          <w:pgMar w:left="1440" w:top="234" w:right="1440" w:bottom="1440" w:gutter="0" w:footer="0" w:header="0"/>
          <w:type w:val="continuous"/>
        </w:sectPr>
      </w:pPr>
    </w:p>
    <w:p>
      <w:pPr>
        <w:spacing w:after="0" w:line="67" w:lineRule="exact"/>
        <w:rPr>
          <w:sz w:val="24"/>
          <w:szCs w:val="24"/>
          <w:color w:val="auto"/>
        </w:rPr>
      </w:pPr>
    </w:p>
    <w:p>
      <w:pPr>
        <w:ind w:left="4180" w:right="4019" w:hanging="172"/>
        <w:spacing w:after="0" w:line="307" w:lineRule="auto"/>
        <w:tabs>
          <w:tab w:leader="none" w:pos="4298" w:val="left"/>
        </w:tabs>
        <w:numPr>
          <w:ilvl w:val="0"/>
          <w:numId w:val="1"/>
        </w:numPr>
        <w:rPr>
          <w:rFonts w:ascii="Arial" w:cs="Arial" w:eastAsia="Arial" w:hAnsi="Arial"/>
          <w:sz w:val="14"/>
          <w:szCs w:val="14"/>
          <w:b w:val="1"/>
          <w:bCs w:val="1"/>
          <w:color w:val="auto"/>
        </w:rPr>
      </w:pPr>
      <w:r>
        <w:rPr>
          <w:rFonts w:ascii="Arial" w:cs="Arial" w:eastAsia="Arial" w:hAnsi="Arial"/>
          <w:sz w:val="14"/>
          <w:szCs w:val="14"/>
          <w:b w:val="1"/>
          <w:bCs w:val="1"/>
          <w:color w:val="auto"/>
        </w:rPr>
        <w:t>Broadway 3rd Floor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New York, New York 10038</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2174240</wp:posOffset>
            </wp:positionH>
            <wp:positionV relativeFrom="paragraph">
              <wp:posOffset>84455</wp:posOffset>
            </wp:positionV>
            <wp:extent cx="13716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Axsome Therapeutics, Inc. 2015 Omnibus Incentive Compensation Plan</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(Full title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2174240</wp:posOffset>
            </wp:positionH>
            <wp:positionV relativeFrom="paragraph">
              <wp:posOffset>84455</wp:posOffset>
            </wp:positionV>
            <wp:extent cx="13716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220"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Herriot Tabuteau, M.D.</w:t>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19"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Axsome Therapeutics, Inc.</w:t>
      </w:r>
    </w:p>
    <w:p>
      <w:pPr>
        <w:spacing w:after="0" w:line="19" w:lineRule="exact"/>
        <w:rPr>
          <w:sz w:val="24"/>
          <w:szCs w:val="24"/>
          <w:color w:val="auto"/>
        </w:rPr>
      </w:pPr>
    </w:p>
    <w:p>
      <w:pPr>
        <w:ind w:left="4180" w:right="4039" w:hanging="192"/>
        <w:spacing w:after="0" w:line="301" w:lineRule="auto"/>
        <w:tabs>
          <w:tab w:leader="none" w:pos="4278" w:val="left"/>
        </w:tabs>
        <w:numPr>
          <w:ilvl w:val="0"/>
          <w:numId w:val="2"/>
        </w:numPr>
        <w:rPr>
          <w:rFonts w:ascii="Arial" w:cs="Arial" w:eastAsia="Arial" w:hAnsi="Arial"/>
          <w:sz w:val="14"/>
          <w:szCs w:val="14"/>
          <w:b w:val="1"/>
          <w:bCs w:val="1"/>
          <w:color w:val="auto"/>
        </w:rPr>
      </w:pPr>
      <w:r>
        <w:rPr>
          <w:rFonts w:ascii="Arial" w:cs="Arial" w:eastAsia="Arial" w:hAnsi="Arial"/>
          <w:sz w:val="14"/>
          <w:szCs w:val="14"/>
          <w:b w:val="1"/>
          <w:bCs w:val="1"/>
          <w:color w:val="auto"/>
        </w:rPr>
        <w:t>Broadway 3rd Floor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New York, New York 10038</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(Name and address of agent for service)</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(212) 332-3241</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2174240</wp:posOffset>
            </wp:positionH>
            <wp:positionV relativeFrom="paragraph">
              <wp:posOffset>84455</wp:posOffset>
            </wp:positionV>
            <wp:extent cx="13716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Copies to:</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Emilio Ragosa</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DLA Piper LLP (US)</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51 John F. Kennedy Parkway, Suite 120</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Short Hills, New Jersey 07078</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Telephone: (973) 520-2550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2174240</wp:posOffset>
            </wp:positionH>
            <wp:positionV relativeFrom="paragraph">
              <wp:posOffset>84455</wp:posOffset>
            </wp:positionV>
            <wp:extent cx="13716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224" w:lineRule="exact"/>
        <w:rPr>
          <w:sz w:val="24"/>
          <w:szCs w:val="24"/>
          <w:color w:val="auto"/>
        </w:rPr>
      </w:pPr>
    </w:p>
    <w:p>
      <w:pPr>
        <w:jc w:val="both"/>
        <w:ind w:left="200" w:right="579" w:firstLine="518"/>
        <w:spacing w:after="0" w:line="33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46" w:lineRule="exact"/>
        <w:rPr>
          <w:sz w:val="24"/>
          <w:szCs w:val="24"/>
          <w:color w:val="auto"/>
        </w:rPr>
      </w:pPr>
    </w:p>
    <w:tbl>
      <w:tblPr>
        <w:tblLayout w:type="fixed"/>
        <w:tblInd w:w="1540" w:type="dxa"/>
        <w:tblCellMar>
          <w:top w:w="0" w:type="dxa"/>
          <w:left w:w="0" w:type="dxa"/>
          <w:bottom w:w="0" w:type="dxa"/>
          <w:right w:w="0" w:type="dxa"/>
        </w:tblCellMar>
      </w:tblPr>
      <w:tr>
        <w:trPr>
          <w:trHeight w:val="243"/>
        </w:trPr>
        <w:tc>
          <w:tcPr>
            <w:tcW w:w="2820" w:type="dxa"/>
            <w:vAlign w:val="bottom"/>
          </w:tcPr>
          <w:p>
            <w:pPr>
              <w:jc w:val="center"/>
              <w:ind w:right="1279"/>
              <w:spacing w:after="0"/>
              <w:rPr>
                <w:sz w:val="20"/>
                <w:szCs w:val="20"/>
                <w:color w:val="auto"/>
              </w:rPr>
            </w:pPr>
            <w:r>
              <w:rPr>
                <w:rFonts w:ascii="Arial" w:cs="Arial" w:eastAsia="Arial" w:hAnsi="Arial"/>
                <w:sz w:val="16"/>
                <w:szCs w:val="16"/>
                <w:color w:val="auto"/>
                <w:w w:val="92"/>
              </w:rPr>
              <w:t>Large accelerated filer</w:t>
            </w:r>
          </w:p>
        </w:tc>
        <w:tc>
          <w:tcPr>
            <w:tcW w:w="3320" w:type="dxa"/>
            <w:vAlign w:val="bottom"/>
          </w:tcPr>
          <w:p>
            <w:pPr>
              <w:jc w:val="center"/>
              <w:ind w:left="1279"/>
              <w:spacing w:after="0" w:line="184" w:lineRule="exact"/>
              <w:rPr>
                <w:sz w:val="20"/>
                <w:szCs w:val="20"/>
                <w:color w:val="auto"/>
              </w:rPr>
            </w:pPr>
            <w:r>
              <w:rPr>
                <w:rFonts w:ascii="Arial" w:cs="Arial" w:eastAsia="Arial" w:hAnsi="Arial"/>
                <w:sz w:val="16"/>
                <w:szCs w:val="16"/>
                <w:color w:val="auto"/>
                <w:w w:val="94"/>
              </w:rPr>
              <w:t xml:space="preserve">Accelerated filer </w:t>
            </w:r>
            <w:r>
              <w:rPr>
                <w:rFonts w:ascii="MS PGothic" w:cs="MS PGothic" w:eastAsia="MS PGothic" w:hAnsi="MS PGothic"/>
                <w:sz w:val="16"/>
                <w:szCs w:val="16"/>
                <w:color w:val="auto"/>
                <w:w w:val="94"/>
              </w:rPr>
              <w:t>☒</w:t>
            </w:r>
          </w:p>
        </w:tc>
      </w:tr>
      <w:tr>
        <w:trPr>
          <w:trHeight w:val="243"/>
        </w:trPr>
        <w:tc>
          <w:tcPr>
            <w:tcW w:w="2820" w:type="dxa"/>
            <w:vAlign w:val="bottom"/>
          </w:tcPr>
          <w:p>
            <w:pPr>
              <w:jc w:val="center"/>
              <w:ind w:right="1279"/>
              <w:spacing w:after="0"/>
              <w:rPr>
                <w:sz w:val="20"/>
                <w:szCs w:val="20"/>
                <w:color w:val="auto"/>
              </w:rPr>
            </w:pPr>
            <w:r>
              <w:rPr>
                <w:rFonts w:ascii="Arial" w:cs="Arial" w:eastAsia="Arial" w:hAnsi="Arial"/>
                <w:sz w:val="16"/>
                <w:szCs w:val="16"/>
                <w:color w:val="auto"/>
                <w:w w:val="93"/>
              </w:rPr>
              <w:t>Non-accelerated filer</w:t>
            </w:r>
          </w:p>
        </w:tc>
        <w:tc>
          <w:tcPr>
            <w:tcW w:w="3320" w:type="dxa"/>
            <w:vAlign w:val="bottom"/>
          </w:tcPr>
          <w:p>
            <w:pPr>
              <w:jc w:val="center"/>
              <w:ind w:left="1279"/>
              <w:spacing w:after="0" w:line="184" w:lineRule="exact"/>
              <w:rPr>
                <w:sz w:val="20"/>
                <w:szCs w:val="20"/>
                <w:color w:val="auto"/>
              </w:rPr>
            </w:pPr>
            <w:r>
              <w:rPr>
                <w:rFonts w:ascii="Arial" w:cs="Arial" w:eastAsia="Arial" w:hAnsi="Arial"/>
                <w:sz w:val="16"/>
                <w:szCs w:val="16"/>
                <w:color w:val="auto"/>
                <w:w w:val="92"/>
              </w:rPr>
              <w:t xml:space="preserve">Smaller reporting company </w:t>
            </w:r>
            <w:r>
              <w:rPr>
                <w:rFonts w:ascii="MS PGothic" w:cs="MS PGothic" w:eastAsia="MS PGothic" w:hAnsi="MS PGothic"/>
                <w:sz w:val="16"/>
                <w:szCs w:val="16"/>
                <w:color w:val="auto"/>
                <w:w w:val="92"/>
              </w:rPr>
              <w:t>☒</w:t>
            </w:r>
          </w:p>
        </w:tc>
      </w:tr>
      <w:tr>
        <w:trPr>
          <w:trHeight w:val="254"/>
        </w:trPr>
        <w:tc>
          <w:tcPr>
            <w:tcW w:w="2820" w:type="dxa"/>
            <w:vAlign w:val="bottom"/>
          </w:tcPr>
          <w:p>
            <w:pPr>
              <w:spacing w:after="0"/>
              <w:rPr>
                <w:sz w:val="22"/>
                <w:szCs w:val="22"/>
                <w:color w:val="auto"/>
              </w:rPr>
            </w:pPr>
          </w:p>
        </w:tc>
        <w:tc>
          <w:tcPr>
            <w:tcW w:w="3320" w:type="dxa"/>
            <w:vAlign w:val="bottom"/>
          </w:tcPr>
          <w:p>
            <w:pPr>
              <w:jc w:val="center"/>
              <w:ind w:left="1279"/>
              <w:spacing w:after="0" w:line="184" w:lineRule="exact"/>
              <w:rPr>
                <w:sz w:val="20"/>
                <w:szCs w:val="20"/>
                <w:color w:val="auto"/>
              </w:rPr>
            </w:pPr>
            <w:r>
              <w:rPr>
                <w:rFonts w:ascii="Arial" w:cs="Arial" w:eastAsia="Arial" w:hAnsi="Arial"/>
                <w:sz w:val="16"/>
                <w:szCs w:val="16"/>
                <w:color w:val="auto"/>
                <w:w w:val="92"/>
              </w:rPr>
              <w:t xml:space="preserve">Emerging growth company </w:t>
            </w:r>
            <w:r>
              <w:rPr>
                <w:rFonts w:ascii="MS PGothic" w:cs="MS PGothic" w:eastAsia="MS PGothic" w:hAnsi="MS PGothic"/>
                <w:sz w:val="16"/>
                <w:szCs w:val="16"/>
                <w:color w:val="auto"/>
                <w:w w:val="92"/>
              </w:rPr>
              <w:t>☒</w:t>
            </w:r>
          </w:p>
        </w:tc>
      </w:tr>
    </w:tbl>
    <w:p>
      <w:pPr>
        <w:spacing w:after="0" w:line="221" w:lineRule="exact"/>
        <w:rPr>
          <w:sz w:val="24"/>
          <w:szCs w:val="24"/>
          <w:color w:val="auto"/>
        </w:rPr>
      </w:pPr>
    </w:p>
    <w:p>
      <w:pPr>
        <w:ind w:left="200" w:right="659" w:firstLine="518"/>
        <w:spacing w:after="0" w:line="21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464820</wp:posOffset>
            </wp:positionV>
            <wp:extent cx="545211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234" w:right="1440"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6"/>
          <w:szCs w:val="16"/>
          <w:b w:val="1"/>
          <w:bCs w:val="1"/>
          <w:color w:val="auto"/>
        </w:rPr>
        <w:t>CALCULATION OF REGISTRATION FEE</w:t>
      </w:r>
    </w:p>
    <w:p>
      <w:pPr>
        <w:spacing w:after="0" w:line="296" w:lineRule="exact"/>
        <w:rPr>
          <w:sz w:val="20"/>
          <w:szCs w:val="20"/>
          <w:color w:val="auto"/>
        </w:rPr>
      </w:pPr>
    </w:p>
    <w:tbl>
      <w:tblPr>
        <w:tblLayout w:type="fixed"/>
        <w:tblInd w:w="220" w:type="dxa"/>
        <w:tblCellMar>
          <w:top w:w="0" w:type="dxa"/>
          <w:left w:w="0" w:type="dxa"/>
          <w:bottom w:w="0" w:type="dxa"/>
          <w:right w:w="0" w:type="dxa"/>
        </w:tblCellMar>
      </w:tblPr>
      <w:tr>
        <w:trPr>
          <w:trHeight w:val="144"/>
        </w:trPr>
        <w:tc>
          <w:tcPr>
            <w:tcW w:w="344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center"/>
              <w:ind w:right="133"/>
              <w:spacing w:after="0" w:line="144" w:lineRule="exact"/>
              <w:rPr>
                <w:sz w:val="20"/>
                <w:szCs w:val="20"/>
                <w:color w:val="auto"/>
              </w:rPr>
            </w:pPr>
            <w:r>
              <w:rPr>
                <w:rFonts w:ascii="Arial" w:cs="Arial" w:eastAsia="Arial" w:hAnsi="Arial"/>
                <w:sz w:val="13"/>
                <w:szCs w:val="13"/>
                <w:b w:val="1"/>
                <w:bCs w:val="1"/>
                <w:color w:val="auto"/>
                <w:w w:val="83"/>
              </w:rPr>
              <w:t>Proposed</w:t>
            </w:r>
          </w:p>
        </w:tc>
        <w:tc>
          <w:tcPr>
            <w:tcW w:w="1300" w:type="dxa"/>
            <w:vAlign w:val="bottom"/>
            <w:tcBorders>
              <w:top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3"/>
              </w:rPr>
              <w:t>Proposed</w:t>
            </w:r>
          </w:p>
        </w:tc>
        <w:tc>
          <w:tcPr>
            <w:tcW w:w="1040" w:type="dxa"/>
            <w:vAlign w:val="bottom"/>
            <w:tcBorders>
              <w:top w:val="single" w:sz="8" w:color="auto"/>
            </w:tcBorders>
          </w:tcPr>
          <w:p>
            <w:pPr>
              <w:spacing w:after="0"/>
              <w:rPr>
                <w:sz w:val="12"/>
                <w:szCs w:val="12"/>
                <w:color w:val="auto"/>
              </w:rPr>
            </w:pPr>
          </w:p>
        </w:tc>
      </w:tr>
      <w:tr>
        <w:trPr>
          <w:trHeight w:val="135"/>
        </w:trPr>
        <w:tc>
          <w:tcPr>
            <w:tcW w:w="34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jc w:val="center"/>
              <w:ind w:right="153"/>
              <w:spacing w:after="0" w:line="135" w:lineRule="exact"/>
              <w:rPr>
                <w:sz w:val="20"/>
                <w:szCs w:val="20"/>
                <w:color w:val="auto"/>
              </w:rPr>
            </w:pPr>
            <w:r>
              <w:rPr>
                <w:rFonts w:ascii="Arial" w:cs="Arial" w:eastAsia="Arial" w:hAnsi="Arial"/>
                <w:sz w:val="13"/>
                <w:szCs w:val="13"/>
                <w:b w:val="1"/>
                <w:bCs w:val="1"/>
                <w:color w:val="auto"/>
                <w:w w:val="93"/>
              </w:rPr>
              <w:t>Maximum</w:t>
            </w:r>
          </w:p>
        </w:tc>
        <w:tc>
          <w:tcPr>
            <w:tcW w:w="13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Maximum</w:t>
            </w: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Amount of</w:t>
            </w:r>
          </w:p>
        </w:tc>
      </w:tr>
      <w:tr>
        <w:trPr>
          <w:trHeight w:val="135"/>
        </w:trPr>
        <w:tc>
          <w:tcPr>
            <w:tcW w:w="3440" w:type="dxa"/>
            <w:vAlign w:val="bottom"/>
          </w:tcPr>
          <w:p>
            <w:pPr>
              <w:spacing w:after="0"/>
              <w:rPr>
                <w:sz w:val="11"/>
                <w:szCs w:val="11"/>
                <w:color w:val="auto"/>
              </w:rPr>
            </w:pPr>
          </w:p>
        </w:tc>
        <w:tc>
          <w:tcPr>
            <w:tcW w:w="1560" w:type="dxa"/>
            <w:vAlign w:val="bottom"/>
          </w:tcPr>
          <w:p>
            <w:pPr>
              <w:ind w:left="460"/>
              <w:spacing w:after="0" w:line="135" w:lineRule="exact"/>
              <w:rPr>
                <w:sz w:val="20"/>
                <w:szCs w:val="20"/>
                <w:color w:val="auto"/>
              </w:rPr>
            </w:pPr>
            <w:r>
              <w:rPr>
                <w:rFonts w:ascii="Arial" w:cs="Arial" w:eastAsia="Arial" w:hAnsi="Arial"/>
                <w:sz w:val="13"/>
                <w:szCs w:val="13"/>
                <w:b w:val="1"/>
                <w:bCs w:val="1"/>
                <w:color w:val="auto"/>
              </w:rPr>
              <w:t>Amount to be</w:t>
            </w:r>
          </w:p>
        </w:tc>
        <w:tc>
          <w:tcPr>
            <w:tcW w:w="220" w:type="dxa"/>
            <w:vAlign w:val="bottom"/>
          </w:tcPr>
          <w:p>
            <w:pPr>
              <w:spacing w:after="0"/>
              <w:rPr>
                <w:sz w:val="11"/>
                <w:szCs w:val="11"/>
                <w:color w:val="auto"/>
              </w:rPr>
            </w:pPr>
          </w:p>
        </w:tc>
        <w:tc>
          <w:tcPr>
            <w:tcW w:w="1020" w:type="dxa"/>
            <w:vAlign w:val="bottom"/>
          </w:tcPr>
          <w:p>
            <w:pPr>
              <w:jc w:val="center"/>
              <w:ind w:right="153"/>
              <w:spacing w:after="0" w:line="135" w:lineRule="exact"/>
              <w:rPr>
                <w:sz w:val="20"/>
                <w:szCs w:val="20"/>
                <w:color w:val="auto"/>
              </w:rPr>
            </w:pPr>
            <w:r>
              <w:rPr>
                <w:rFonts w:ascii="Arial" w:cs="Arial" w:eastAsia="Arial" w:hAnsi="Arial"/>
                <w:sz w:val="13"/>
                <w:szCs w:val="13"/>
                <w:b w:val="1"/>
                <w:bCs w:val="1"/>
                <w:color w:val="auto"/>
                <w:w w:val="88"/>
              </w:rPr>
              <w:t>Offering Price</w:t>
            </w:r>
          </w:p>
        </w:tc>
        <w:tc>
          <w:tcPr>
            <w:tcW w:w="13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Aggregate Offering</w:t>
            </w: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Registration</w:t>
            </w:r>
          </w:p>
        </w:tc>
      </w:tr>
      <w:tr>
        <w:trPr>
          <w:trHeight w:val="153"/>
        </w:trPr>
        <w:tc>
          <w:tcPr>
            <w:tcW w:w="3440" w:type="dxa"/>
            <w:vAlign w:val="bottom"/>
            <w:tcBorders>
              <w:bottom w:val="single" w:sz="8" w:color="auto"/>
            </w:tcBorders>
          </w:tcPr>
          <w:p>
            <w:pPr>
              <w:ind w:left="700"/>
              <w:spacing w:after="0"/>
              <w:rPr>
                <w:sz w:val="20"/>
                <w:szCs w:val="20"/>
                <w:color w:val="auto"/>
              </w:rPr>
            </w:pPr>
            <w:r>
              <w:rPr>
                <w:rFonts w:ascii="Arial" w:cs="Arial" w:eastAsia="Arial" w:hAnsi="Arial"/>
                <w:sz w:val="13"/>
                <w:szCs w:val="13"/>
                <w:b w:val="1"/>
                <w:bCs w:val="1"/>
                <w:color w:val="auto"/>
              </w:rPr>
              <w:t>Title of Securities to be Registered (1)</w:t>
            </w:r>
          </w:p>
        </w:tc>
        <w:tc>
          <w:tcPr>
            <w:tcW w:w="1560" w:type="dxa"/>
            <w:vAlign w:val="bottom"/>
            <w:tcBorders>
              <w:bottom w:val="single" w:sz="8" w:color="auto"/>
            </w:tcBorders>
          </w:tcPr>
          <w:p>
            <w:pPr>
              <w:ind w:left="480"/>
              <w:spacing w:after="0"/>
              <w:rPr>
                <w:sz w:val="20"/>
                <w:szCs w:val="20"/>
                <w:color w:val="auto"/>
              </w:rPr>
            </w:pPr>
            <w:r>
              <w:rPr>
                <w:rFonts w:ascii="Arial" w:cs="Arial" w:eastAsia="Arial" w:hAnsi="Arial"/>
                <w:sz w:val="13"/>
                <w:szCs w:val="13"/>
                <w:b w:val="1"/>
                <w:bCs w:val="1"/>
                <w:color w:val="auto"/>
              </w:rPr>
              <w:t>Registered(2)</w:t>
            </w: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153"/>
              <w:spacing w:after="0"/>
              <w:rPr>
                <w:sz w:val="20"/>
                <w:szCs w:val="20"/>
                <w:color w:val="auto"/>
              </w:rPr>
            </w:pPr>
            <w:r>
              <w:rPr>
                <w:rFonts w:ascii="Arial" w:cs="Arial" w:eastAsia="Arial" w:hAnsi="Arial"/>
                <w:sz w:val="13"/>
                <w:szCs w:val="13"/>
                <w:b w:val="1"/>
                <w:bCs w:val="1"/>
                <w:color w:val="auto"/>
                <w:w w:val="88"/>
              </w:rPr>
              <w:t>Per Share(3)</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Price(3)</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Fee</w:t>
            </w:r>
          </w:p>
        </w:tc>
      </w:tr>
      <w:tr>
        <w:trPr>
          <w:trHeight w:val="186"/>
        </w:trPr>
        <w:tc>
          <w:tcPr>
            <w:tcW w:w="3440" w:type="dxa"/>
            <w:vAlign w:val="bottom"/>
          </w:tcPr>
          <w:p>
            <w:pPr>
              <w:spacing w:after="0"/>
              <w:rPr>
                <w:sz w:val="20"/>
                <w:szCs w:val="20"/>
                <w:color w:val="auto"/>
              </w:rPr>
            </w:pPr>
            <w:r>
              <w:rPr>
                <w:rFonts w:ascii="Arial" w:cs="Arial" w:eastAsia="Arial" w:hAnsi="Arial"/>
                <w:sz w:val="16"/>
                <w:szCs w:val="16"/>
                <w:color w:val="auto"/>
              </w:rPr>
              <w:t>Common stock, $0.0001 par value, to be issued</w:t>
            </w:r>
          </w:p>
        </w:tc>
        <w:tc>
          <w:tcPr>
            <w:tcW w:w="1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3"/>
        </w:trPr>
        <w:tc>
          <w:tcPr>
            <w:tcW w:w="3440" w:type="dxa"/>
            <w:vAlign w:val="bottom"/>
          </w:tcPr>
          <w:p>
            <w:pPr>
              <w:ind w:left="180"/>
              <w:spacing w:after="0"/>
              <w:rPr>
                <w:sz w:val="20"/>
                <w:szCs w:val="20"/>
                <w:color w:val="auto"/>
              </w:rPr>
            </w:pPr>
            <w:r>
              <w:rPr>
                <w:rFonts w:ascii="Arial" w:cs="Arial" w:eastAsia="Arial" w:hAnsi="Arial"/>
                <w:sz w:val="16"/>
                <w:szCs w:val="16"/>
                <w:color w:val="auto"/>
              </w:rPr>
              <w:t>pursuant to the Registrant’s 2015 Omnibus</w:t>
            </w: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0"/>
        </w:trPr>
        <w:tc>
          <w:tcPr>
            <w:tcW w:w="3440" w:type="dxa"/>
            <w:vAlign w:val="bottom"/>
          </w:tcPr>
          <w:p>
            <w:pPr>
              <w:ind w:left="180"/>
              <w:spacing w:after="0"/>
              <w:rPr>
                <w:sz w:val="20"/>
                <w:szCs w:val="20"/>
                <w:color w:val="auto"/>
              </w:rPr>
            </w:pPr>
            <w:r>
              <w:rPr>
                <w:rFonts w:ascii="Arial" w:cs="Arial" w:eastAsia="Arial" w:hAnsi="Arial"/>
                <w:sz w:val="16"/>
                <w:szCs w:val="16"/>
                <w:color w:val="auto"/>
              </w:rPr>
              <w:t>Incentive Compensation Plan</w:t>
            </w:r>
          </w:p>
        </w:tc>
        <w:tc>
          <w:tcPr>
            <w:tcW w:w="1560" w:type="dxa"/>
            <w:vAlign w:val="bottom"/>
          </w:tcPr>
          <w:p>
            <w:pPr>
              <w:ind w:left="360"/>
              <w:spacing w:after="0"/>
              <w:rPr>
                <w:sz w:val="20"/>
                <w:szCs w:val="20"/>
                <w:color w:val="auto"/>
              </w:rPr>
            </w:pPr>
            <w:r>
              <w:rPr>
                <w:rFonts w:ascii="Arial" w:cs="Arial" w:eastAsia="Arial" w:hAnsi="Arial"/>
                <w:sz w:val="16"/>
                <w:szCs w:val="16"/>
                <w:color w:val="auto"/>
                <w:w w:val="95"/>
              </w:rPr>
              <w:t>1,477,328 shares</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3"/>
              <w:spacing w:after="0"/>
              <w:rPr>
                <w:sz w:val="20"/>
                <w:szCs w:val="20"/>
                <w:color w:val="auto"/>
              </w:rPr>
            </w:pPr>
            <w:r>
              <w:rPr>
                <w:rFonts w:ascii="Arial" w:cs="Arial" w:eastAsia="Arial" w:hAnsi="Arial"/>
                <w:sz w:val="16"/>
                <w:szCs w:val="16"/>
                <w:color w:val="auto"/>
              </w:rPr>
              <w:t>90.88</w:t>
            </w:r>
          </w:p>
        </w:tc>
        <w:tc>
          <w:tcPr>
            <w:tcW w:w="1300" w:type="dxa"/>
            <w:vAlign w:val="bottom"/>
          </w:tcPr>
          <w:p>
            <w:pPr>
              <w:jc w:val="right"/>
              <w:ind w:right="33"/>
              <w:spacing w:after="0"/>
              <w:rPr>
                <w:sz w:val="20"/>
                <w:szCs w:val="20"/>
                <w:color w:val="auto"/>
              </w:rPr>
            </w:pPr>
            <w:r>
              <w:rPr>
                <w:rFonts w:ascii="Arial" w:cs="Arial" w:eastAsia="Arial" w:hAnsi="Arial"/>
                <w:sz w:val="16"/>
                <w:szCs w:val="16"/>
                <w:color w:val="auto"/>
                <w:w w:val="98"/>
              </w:rPr>
              <w:t>$134,259,568.64</w:t>
            </w:r>
          </w:p>
        </w:tc>
        <w:tc>
          <w:tcPr>
            <w:tcW w:w="1040" w:type="dxa"/>
            <w:vAlign w:val="bottom"/>
          </w:tcPr>
          <w:p>
            <w:pPr>
              <w:jc w:val="center"/>
              <w:spacing w:after="0"/>
              <w:rPr>
                <w:sz w:val="20"/>
                <w:szCs w:val="20"/>
                <w:color w:val="auto"/>
              </w:rPr>
            </w:pPr>
            <w:r>
              <w:rPr>
                <w:rFonts w:ascii="Arial" w:cs="Arial" w:eastAsia="Arial" w:hAnsi="Arial"/>
                <w:sz w:val="16"/>
                <w:szCs w:val="16"/>
                <w:color w:val="auto"/>
                <w:w w:val="96"/>
              </w:rPr>
              <w:t>$  17,426.89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3810</wp:posOffset>
            </wp:positionV>
            <wp:extent cx="545211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pacing w:after="0" w:line="3" w:lineRule="exact"/>
        <w:rPr>
          <w:sz w:val="20"/>
          <w:szCs w:val="20"/>
          <w:color w:val="auto"/>
        </w:rPr>
      </w:pPr>
    </w:p>
    <w:p>
      <w:pPr>
        <w:ind w:left="860" w:right="219" w:hanging="651"/>
        <w:spacing w:after="0" w:line="265" w:lineRule="auto"/>
        <w:tabs>
          <w:tab w:leader="none" w:pos="441" w:val="left"/>
        </w:tabs>
        <w:numPr>
          <w:ilvl w:val="0"/>
          <w:numId w:val="3"/>
        </w:numPr>
        <w:rPr>
          <w:rFonts w:ascii="Arial" w:cs="Arial" w:eastAsia="Arial" w:hAnsi="Arial"/>
          <w:sz w:val="16"/>
          <w:szCs w:val="16"/>
          <w:color w:val="auto"/>
        </w:rPr>
      </w:pPr>
      <w:r>
        <w:rPr>
          <w:rFonts w:ascii="Arial" w:cs="Arial" w:eastAsia="Arial" w:hAnsi="Arial"/>
          <w:sz w:val="16"/>
          <w:szCs w:val="16"/>
          <w:color w:val="auto"/>
        </w:rPr>
        <w:t>This registration statement (the “Registration Statement”) covers shares of the Registrant’s common stock, $0.0001 par value per share (“Common Stock”), which are issuable pursuant to the Registrant’s 2015 Omnibus Incentive Compensation Plan (the “2015 Plan”).</w:t>
      </w:r>
    </w:p>
    <w:p>
      <w:pPr>
        <w:spacing w:after="0" w:line="1" w:lineRule="exact"/>
        <w:rPr>
          <w:rFonts w:ascii="Arial" w:cs="Arial" w:eastAsia="Arial" w:hAnsi="Arial"/>
          <w:sz w:val="16"/>
          <w:szCs w:val="16"/>
          <w:color w:val="auto"/>
        </w:rPr>
      </w:pPr>
    </w:p>
    <w:p>
      <w:pPr>
        <w:ind w:left="860" w:right="399" w:hanging="651"/>
        <w:spacing w:after="0" w:line="264" w:lineRule="auto"/>
        <w:tabs>
          <w:tab w:leader="none" w:pos="441" w:val="left"/>
        </w:tabs>
        <w:numPr>
          <w:ilvl w:val="0"/>
          <w:numId w:val="3"/>
        </w:numPr>
        <w:rPr>
          <w:rFonts w:ascii="Arial" w:cs="Arial" w:eastAsia="Arial" w:hAnsi="Arial"/>
          <w:sz w:val="16"/>
          <w:szCs w:val="16"/>
          <w:color w:val="auto"/>
        </w:rPr>
      </w:pPr>
      <w:r>
        <w:rPr>
          <w:rFonts w:ascii="Arial" w:cs="Arial" w:eastAsia="Arial" w:hAnsi="Arial"/>
          <w:sz w:val="16"/>
          <w:szCs w:val="16"/>
          <w:color w:val="auto"/>
        </w:rPr>
        <w:t>This Registration Statement shall also cover any additional shares of Common Stock which become issuable under the 2015 Plan by reason of any stock dividend, stock split, recapitalization or other similar transaction effected without the Registrant’s receipt of consideration which results in an increase in the number of the outstanding shares of Registrant’s Common Stock.</w:t>
      </w:r>
    </w:p>
    <w:p>
      <w:pPr>
        <w:ind w:left="860" w:right="259" w:hanging="651"/>
        <w:spacing w:after="0" w:line="276" w:lineRule="auto"/>
        <w:tabs>
          <w:tab w:leader="none" w:pos="441" w:val="left"/>
        </w:tabs>
        <w:numPr>
          <w:ilvl w:val="0"/>
          <w:numId w:val="3"/>
        </w:numPr>
        <w:rPr>
          <w:rFonts w:ascii="Arial" w:cs="Arial" w:eastAsia="Arial" w:hAnsi="Arial"/>
          <w:sz w:val="16"/>
          <w:szCs w:val="16"/>
          <w:color w:val="auto"/>
        </w:rPr>
      </w:pPr>
      <w:r>
        <w:rPr>
          <w:rFonts w:ascii="Arial" w:cs="Arial" w:eastAsia="Arial" w:hAnsi="Arial"/>
          <w:sz w:val="16"/>
          <w:szCs w:val="16"/>
          <w:color w:val="auto"/>
        </w:rPr>
        <w:t>Calculated solely for purposes of this offering under Rule 457(h) of the Securities Act of 1933, as amended (the “1933 Act”), on the basis of the average of the high and low prices per share of Registrant’s Common Stock on May 7, 2020 as reported by The Nasdaq Stock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55245</wp:posOffset>
            </wp:positionV>
            <wp:extent cx="545211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52110" cy="2603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629285</wp:posOffset>
            </wp:positionV>
            <wp:extent cx="545211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1048385</wp:posOffset>
            </wp:positionH>
            <wp:positionV relativeFrom="page">
              <wp:posOffset>88900</wp:posOffset>
            </wp:positionV>
            <wp:extent cx="545211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56" w:lineRule="exact"/>
        <w:rPr>
          <w:sz w:val="20"/>
          <w:szCs w:val="20"/>
          <w:color w:val="auto"/>
        </w:rPr>
      </w:pPr>
    </w:p>
    <w:p>
      <w:pPr>
        <w:ind w:left="200" w:right="239" w:firstLine="648"/>
        <w:spacing w:after="0" w:line="269" w:lineRule="auto"/>
        <w:rPr>
          <w:sz w:val="20"/>
          <w:szCs w:val="20"/>
          <w:color w:val="auto"/>
        </w:rPr>
      </w:pPr>
      <w:r>
        <w:rPr>
          <w:rFonts w:ascii="Arial" w:cs="Arial" w:eastAsia="Arial" w:hAnsi="Arial"/>
          <w:sz w:val="17"/>
          <w:szCs w:val="17"/>
          <w:color w:val="auto"/>
        </w:rPr>
        <w:t>This Registration Statement relates to the registration of an additional 1,477,328 shares (the “Shares”) of the common stock, par value $0.0001 per share, of Axsome Therapeutics, Inc. (the “Registrant”). The Shares are securities of the same class and relate to the same employee benefit plan, the 2015 Omnibus Incentive Compensation Plan, as those registered pursuant to the Registrant’s registration statements on Form S-8, previously filed with the Securities and Exchange Commission on December 16, 2015, March 29, 2017, August 13, 2018 and March 15, 2019. In accordance with General Instruction E of Form S-8, the contents of the Registrant’s registration statements on Form S-8 (File Nos. 333-208579, 333-217002, 333-226824 and 333-230296) filed with the Securities and Exchange Commission on December 16, 2015, March 29, 2017, August 13, 2018 and March 15, 2019 are incorporated herein by reference and the information required by Part II is omitted, except as supplemented by the information set forth below.</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Item 8. </w:t>
      </w:r>
      <w:r>
        <w:rPr>
          <w:rFonts w:ascii="Arial" w:cs="Arial" w:eastAsia="Arial" w:hAnsi="Arial"/>
          <w:sz w:val="18"/>
          <w:szCs w:val="18"/>
          <w:u w:val="single" w:color="auto"/>
          <w:color w:val="auto"/>
        </w:rPr>
        <w:t>Exhibits</w:t>
      </w:r>
    </w:p>
    <w:p>
      <w:pPr>
        <w:spacing w:after="0" w:line="2"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5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520" w:type="dxa"/>
            <w:vAlign w:val="bottom"/>
            <w:vMerge w:val="restart"/>
          </w:tcPr>
          <w:p>
            <w:pPr>
              <w:ind w:left="2060"/>
              <w:spacing w:after="0"/>
              <w:rPr>
                <w:sz w:val="20"/>
                <w:szCs w:val="20"/>
                <w:color w:val="auto"/>
              </w:rPr>
            </w:pPr>
            <w:r>
              <w:rPr>
                <w:rFonts w:ascii="Arial" w:cs="Arial" w:eastAsia="Arial" w:hAnsi="Arial"/>
                <w:sz w:val="14"/>
                <w:szCs w:val="14"/>
                <w:b w:val="1"/>
                <w:bCs w:val="1"/>
                <w:color w:val="auto"/>
                <w:w w:val="94"/>
              </w:rPr>
              <w:t>Exhibit</w:t>
            </w:r>
          </w:p>
        </w:tc>
        <w:tc>
          <w:tcPr>
            <w:tcW w:w="0" w:type="dxa"/>
            <w:vAlign w:val="bottom"/>
          </w:tcPr>
          <w:p>
            <w:pPr>
              <w:spacing w:after="0"/>
              <w:rPr>
                <w:sz w:val="1"/>
                <w:szCs w:val="1"/>
                <w:color w:val="auto"/>
              </w:rPr>
            </w:pPr>
          </w:p>
        </w:tc>
      </w:tr>
      <w:tr>
        <w:trPr>
          <w:trHeight w:val="186"/>
        </w:trPr>
        <w:tc>
          <w:tcPr>
            <w:tcW w:w="256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2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-8890</wp:posOffset>
            </wp:positionV>
            <wp:extent cx="54521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207" w:lineRule="exact"/>
        <w:rPr>
          <w:sz w:val="20"/>
          <w:szCs w:val="20"/>
          <w:color w:val="auto"/>
        </w:rPr>
      </w:pPr>
    </w:p>
    <w:p>
      <w:pPr>
        <w:ind w:left="480"/>
        <w:spacing w:after="0"/>
        <w:tabs>
          <w:tab w:leader="none" w:pos="1320" w:val="left"/>
        </w:tabs>
        <w:rPr>
          <w:rFonts w:ascii="Arial" w:cs="Arial" w:eastAsia="Arial" w:hAnsi="Arial"/>
          <w:sz w:val="16"/>
          <w:szCs w:val="16"/>
          <w:u w:val="single" w:color="auto"/>
          <w:color w:val="0000EE"/>
        </w:rPr>
      </w:pPr>
      <w:r>
        <w:rPr>
          <w:rFonts w:ascii="Arial" w:cs="Arial" w:eastAsia="Arial" w:hAnsi="Arial"/>
          <w:sz w:val="18"/>
          <w:szCs w:val="18"/>
          <w:color w:val="auto"/>
        </w:rPr>
        <w:t>5.1*</w:t>
      </w:r>
      <w:r>
        <w:rPr>
          <w:sz w:val="20"/>
          <w:szCs w:val="20"/>
          <w:color w:val="auto"/>
        </w:rPr>
        <w:tab/>
      </w:r>
      <w:hyperlink w:anchor="page7">
        <w:r>
          <w:rPr>
            <w:rFonts w:ascii="Arial" w:cs="Arial" w:eastAsia="Arial" w:hAnsi="Arial"/>
            <w:sz w:val="16"/>
            <w:szCs w:val="16"/>
            <w:u w:val="single" w:color="auto"/>
            <w:color w:val="0000EE"/>
          </w:rPr>
          <w:t>Opinion and Consent of DLA Piper LLP (US).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14605</wp:posOffset>
            </wp:positionV>
            <wp:extent cx="42602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260215" cy="8255"/>
                    </a:xfrm>
                    <a:prstGeom prst="rect">
                      <a:avLst/>
                    </a:prstGeom>
                    <a:noFill/>
                  </pic:spPr>
                </pic:pic>
              </a:graphicData>
            </a:graphic>
          </wp:anchor>
        </w:drawing>
      </w:r>
    </w:p>
    <w:p>
      <w:pPr>
        <w:spacing w:after="0" w:line="259" w:lineRule="exact"/>
        <w:rPr>
          <w:sz w:val="20"/>
          <w:szCs w:val="20"/>
          <w:color w:val="auto"/>
        </w:rPr>
      </w:pPr>
    </w:p>
    <w:p>
      <w:pPr>
        <w:ind w:left="440"/>
        <w:spacing w:after="0"/>
        <w:tabs>
          <w:tab w:leader="none" w:pos="1320"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7">
        <w:r>
          <w:rPr>
            <w:rFonts w:ascii="Arial" w:cs="Arial" w:eastAsia="Arial" w:hAnsi="Arial"/>
            <w:sz w:val="16"/>
            <w:szCs w:val="16"/>
            <w:u w:val="single" w:color="auto"/>
            <w:color w:val="0000EE"/>
          </w:rPr>
          <w:t>Consent of DLA Piper LLP (US) is contained in Exhibit 5.1.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14605</wp:posOffset>
            </wp:positionV>
            <wp:extent cx="42602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260215" cy="8255"/>
                    </a:xfrm>
                    <a:prstGeom prst="rect">
                      <a:avLst/>
                    </a:prstGeom>
                    <a:noFill/>
                  </pic:spPr>
                </pic:pic>
              </a:graphicData>
            </a:graphic>
          </wp:anchor>
        </w:drawing>
      </w:r>
    </w:p>
    <w:p>
      <w:pPr>
        <w:spacing w:after="0" w:line="259" w:lineRule="exact"/>
        <w:rPr>
          <w:sz w:val="20"/>
          <w:szCs w:val="20"/>
          <w:color w:val="auto"/>
        </w:rPr>
      </w:pPr>
    </w:p>
    <w:p>
      <w:pPr>
        <w:ind w:left="440"/>
        <w:spacing w:after="0"/>
        <w:tabs>
          <w:tab w:leader="none" w:pos="1320" w:val="left"/>
        </w:tabs>
        <w:rPr>
          <w:rFonts w:ascii="Arial" w:cs="Arial" w:eastAsia="Arial" w:hAnsi="Arial"/>
          <w:sz w:val="16"/>
          <w:szCs w:val="16"/>
          <w:u w:val="single" w:color="auto"/>
          <w:color w:val="0000EE"/>
        </w:rPr>
      </w:pPr>
      <w:r>
        <w:rPr>
          <w:rFonts w:ascii="Arial" w:cs="Arial" w:eastAsia="Arial" w:hAnsi="Arial"/>
          <w:sz w:val="18"/>
          <w:szCs w:val="18"/>
          <w:color w:val="auto"/>
        </w:rPr>
        <w:t>23.2*</w:t>
      </w:r>
      <w:r>
        <w:rPr>
          <w:sz w:val="20"/>
          <w:szCs w:val="20"/>
          <w:color w:val="auto"/>
        </w:rPr>
        <w:tab/>
      </w:r>
      <w:hyperlink w:anchor="page8">
        <w:r>
          <w:rPr>
            <w:rFonts w:ascii="Arial" w:cs="Arial" w:eastAsia="Arial" w:hAnsi="Arial"/>
            <w:sz w:val="16"/>
            <w:szCs w:val="16"/>
            <w:u w:val="single" w:color="auto"/>
            <w:color w:val="0000EE"/>
          </w:rPr>
          <w:t>Consent of Ernst &amp; Young LLP, Independent Registered Public Accounting Firm.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14605</wp:posOffset>
            </wp:positionV>
            <wp:extent cx="42602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260215" cy="8255"/>
                    </a:xfrm>
                    <a:prstGeom prst="rect">
                      <a:avLst/>
                    </a:prstGeom>
                    <a:noFill/>
                  </pic:spPr>
                </pic:pic>
              </a:graphicData>
            </a:graphic>
          </wp:anchor>
        </w:drawing>
      </w:r>
    </w:p>
    <w:p>
      <w:pPr>
        <w:spacing w:after="0" w:line="259" w:lineRule="exact"/>
        <w:rPr>
          <w:sz w:val="20"/>
          <w:szCs w:val="20"/>
          <w:color w:val="auto"/>
        </w:rPr>
      </w:pPr>
    </w:p>
    <w:p>
      <w:pPr>
        <w:ind w:left="440"/>
        <w:spacing w:after="0"/>
        <w:tabs>
          <w:tab w:leader="none" w:pos="1320" w:val="left"/>
        </w:tabs>
        <w:rPr>
          <w:rFonts w:ascii="Arial" w:cs="Arial" w:eastAsia="Arial" w:hAnsi="Arial"/>
          <w:sz w:val="16"/>
          <w:szCs w:val="16"/>
          <w:u w:val="single" w:color="auto"/>
          <w:color w:val="0000EE"/>
        </w:rPr>
      </w:pPr>
      <w:r>
        <w:rPr>
          <w:rFonts w:ascii="Arial" w:cs="Arial" w:eastAsia="Arial" w:hAnsi="Arial"/>
          <w:sz w:val="18"/>
          <w:szCs w:val="18"/>
          <w:color w:val="auto"/>
        </w:rPr>
        <w:t>24.1*</w:t>
      </w:r>
      <w:r>
        <w:rPr>
          <w:sz w:val="20"/>
          <w:szCs w:val="20"/>
          <w:color w:val="auto"/>
        </w:rPr>
        <w:tab/>
      </w:r>
      <w:hyperlink w:anchor="page6">
        <w:r>
          <w:rPr>
            <w:rFonts w:ascii="Arial" w:cs="Arial" w:eastAsia="Arial" w:hAnsi="Arial"/>
            <w:sz w:val="16"/>
            <w:szCs w:val="16"/>
            <w:u w:val="single" w:color="auto"/>
            <w:color w:val="0000EE"/>
          </w:rPr>
          <w:t>Power of Attorney. Reference is made to page 4 of this Registration Statement.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14605</wp:posOffset>
            </wp:positionV>
            <wp:extent cx="42602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260215" cy="8890"/>
                    </a:xfrm>
                    <a:prstGeom prst="rect">
                      <a:avLst/>
                    </a:prstGeom>
                    <a:noFill/>
                  </pic:spPr>
                </pic:pic>
              </a:graphicData>
            </a:graphic>
          </wp:anchor>
        </w:drawing>
      </w:r>
    </w:p>
    <w:p>
      <w:pPr>
        <w:spacing w:after="0" w:line="259" w:lineRule="exact"/>
        <w:rPr>
          <w:sz w:val="20"/>
          <w:szCs w:val="20"/>
          <w:color w:val="auto"/>
        </w:rPr>
      </w:pPr>
    </w:p>
    <w:p>
      <w:pPr>
        <w:ind w:left="1340" w:right="1079" w:hanging="850"/>
        <w:spacing w:after="0" w:line="286" w:lineRule="auto"/>
        <w:tabs>
          <w:tab w:leader="none" w:pos="1320" w:val="left"/>
        </w:tabs>
        <w:rPr>
          <w:rFonts w:ascii="Arial" w:cs="Arial" w:eastAsia="Arial" w:hAnsi="Arial"/>
          <w:sz w:val="17"/>
          <w:szCs w:val="17"/>
          <w:u w:val="single" w:color="auto"/>
          <w:color w:val="0000EE"/>
        </w:rPr>
      </w:pPr>
      <w:r>
        <w:rPr>
          <w:rFonts w:ascii="Arial" w:cs="Arial" w:eastAsia="Arial" w:hAnsi="Arial"/>
          <w:sz w:val="18"/>
          <w:szCs w:val="18"/>
          <w:color w:val="auto"/>
        </w:rPr>
        <w:t>99.1</w:t>
      </w:r>
      <w:r>
        <w:rPr>
          <w:sz w:val="20"/>
          <w:szCs w:val="20"/>
          <w:color w:val="auto"/>
        </w:rPr>
        <w:tab/>
      </w:r>
      <w:hyperlink r:id="rId26">
        <w:r>
          <w:rPr>
            <w:rFonts w:ascii="Arial" w:cs="Arial" w:eastAsia="Arial" w:hAnsi="Arial"/>
            <w:sz w:val="17"/>
            <w:szCs w:val="17"/>
            <w:u w:val="single" w:color="auto"/>
            <w:color w:val="0000EE"/>
          </w:rPr>
          <w:t>Axsome Therapeutics, Inc. 2015 Omnibus Incentive Compensation Plan (Incorporated by</w:t>
        </w:r>
      </w:hyperlink>
      <w:r>
        <w:rPr>
          <w:rFonts w:ascii="Arial" w:cs="Arial" w:eastAsia="Arial" w:hAnsi="Arial"/>
          <w:sz w:val="17"/>
          <w:szCs w:val="17"/>
          <w:u w:val="single" w:color="auto"/>
          <w:color w:val="0000EE"/>
        </w:rPr>
        <w:t xml:space="preserve"> </w:t>
      </w:r>
      <w:hyperlink r:id="rId26">
        <w:r>
          <w:rPr>
            <w:rFonts w:ascii="Arial" w:cs="Arial" w:eastAsia="Arial" w:hAnsi="Arial"/>
            <w:sz w:val="17"/>
            <w:szCs w:val="17"/>
            <w:u w:val="single" w:color="auto"/>
            <w:color w:val="0000EE"/>
          </w:rPr>
          <w:t>reference, Exhibit 10.6 to Registrant’s First Amendment of Registration Statement on Form</w:t>
        </w:r>
      </w:hyperlink>
      <w:r>
        <w:rPr>
          <w:rFonts w:ascii="Arial" w:cs="Arial" w:eastAsia="Arial" w:hAnsi="Arial"/>
          <w:sz w:val="17"/>
          <w:szCs w:val="17"/>
          <w:u w:val="single" w:color="auto"/>
          <w:color w:val="0000EE"/>
        </w:rPr>
        <w:t xml:space="preserve"> </w:t>
      </w:r>
      <w:hyperlink r:id="rId26">
        <w:r>
          <w:rPr>
            <w:rFonts w:ascii="Arial" w:cs="Arial" w:eastAsia="Arial" w:hAnsi="Arial"/>
            <w:sz w:val="17"/>
            <w:szCs w:val="17"/>
            <w:u w:val="single" w:color="auto"/>
            <w:color w:val="0000EE"/>
          </w:rPr>
          <w:t>S-1, File No. 333-207393, filed on November 2, 2015.)</w:t>
        </w:r>
      </w:hyperlink>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854075</wp:posOffset>
            </wp:positionH>
            <wp:positionV relativeFrom="paragraph">
              <wp:posOffset>-22225</wp:posOffset>
            </wp:positionV>
            <wp:extent cx="42602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4260215" cy="8255"/>
                    </a:xfrm>
                    <a:prstGeom prst="rect">
                      <a:avLst/>
                    </a:prstGeom>
                    <a:noFill/>
                  </pic:spPr>
                </pic:pic>
              </a:graphicData>
            </a:graphic>
          </wp:anchor>
        </w:drawing>
      </w:r>
    </w:p>
    <w:p>
      <w:pPr>
        <w:spacing w:after="0" w:line="186" w:lineRule="exact"/>
        <w:rPr>
          <w:rFonts w:ascii="Arial" w:cs="Arial" w:eastAsia="Arial" w:hAnsi="Arial"/>
          <w:sz w:val="17"/>
          <w:szCs w:val="17"/>
          <w:u w:val="single" w:color="auto"/>
          <w:color w:val="0000EE"/>
        </w:rPr>
      </w:pPr>
    </w:p>
    <w:p>
      <w:pPr>
        <w:ind w:left="1340" w:right="999" w:hanging="850"/>
        <w:spacing w:after="0" w:line="263" w:lineRule="auto"/>
        <w:tabs>
          <w:tab w:leader="none" w:pos="1320" w:val="left"/>
        </w:tabs>
        <w:rPr>
          <w:rFonts w:ascii="Arial" w:cs="Arial" w:eastAsia="Arial" w:hAnsi="Arial"/>
          <w:sz w:val="18"/>
          <w:szCs w:val="18"/>
          <w:u w:val="single" w:color="auto"/>
          <w:color w:val="0000EE"/>
        </w:rPr>
      </w:pPr>
      <w:r>
        <w:rPr>
          <w:rFonts w:ascii="Arial" w:cs="Arial" w:eastAsia="Arial" w:hAnsi="Arial"/>
          <w:sz w:val="18"/>
          <w:szCs w:val="18"/>
          <w:color w:val="auto"/>
        </w:rPr>
        <w:t>99.2</w:t>
      </w:r>
      <w:r>
        <w:rPr>
          <w:sz w:val="20"/>
          <w:szCs w:val="20"/>
          <w:color w:val="auto"/>
        </w:rPr>
        <w:tab/>
      </w:r>
      <w:hyperlink r:id="rId28">
        <w:r>
          <w:rPr>
            <w:rFonts w:ascii="Arial" w:cs="Arial" w:eastAsia="Arial" w:hAnsi="Arial"/>
            <w:sz w:val="18"/>
            <w:szCs w:val="18"/>
            <w:u w:val="single" w:color="auto"/>
            <w:color w:val="0000EE"/>
          </w:rPr>
          <w:t>2015 Omnibus Incentive Compensation Plan, Form of Stock Option Agreement.</w:t>
        </w:r>
      </w:hyperlink>
      <w:r>
        <w:rPr>
          <w:rFonts w:ascii="Arial" w:cs="Arial" w:eastAsia="Arial" w:hAnsi="Arial"/>
          <w:sz w:val="18"/>
          <w:szCs w:val="18"/>
          <w:u w:val="single" w:color="auto"/>
          <w:color w:val="0000EE"/>
        </w:rPr>
        <w:t xml:space="preserve"> </w:t>
      </w:r>
      <w:hyperlink r:id="rId28">
        <w:r>
          <w:rPr>
            <w:rFonts w:ascii="Arial" w:cs="Arial" w:eastAsia="Arial" w:hAnsi="Arial"/>
            <w:sz w:val="18"/>
            <w:szCs w:val="18"/>
            <w:u w:val="single" w:color="auto"/>
            <w:color w:val="0000EE"/>
          </w:rPr>
          <w:t>(Incorporated by reference, Exhibit 99.2 to Registrant’s Registration Statement on Form S-8,</w:t>
        </w:r>
      </w:hyperlink>
      <w:r>
        <w:rPr>
          <w:rFonts w:ascii="Arial" w:cs="Arial" w:eastAsia="Arial" w:hAnsi="Arial"/>
          <w:sz w:val="18"/>
          <w:szCs w:val="18"/>
          <w:u w:val="single" w:color="auto"/>
          <w:color w:val="0000EE"/>
        </w:rPr>
        <w:t xml:space="preserve"> </w:t>
      </w:r>
      <w:hyperlink r:id="rId28">
        <w:r>
          <w:rPr>
            <w:rFonts w:ascii="Arial" w:cs="Arial" w:eastAsia="Arial" w:hAnsi="Arial"/>
            <w:sz w:val="18"/>
            <w:szCs w:val="18"/>
            <w:u w:val="single" w:color="auto"/>
            <w:color w:val="0000EE"/>
          </w:rPr>
          <w:t>File No. 333-208579, filed on December 16, 2015.)</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854075</wp:posOffset>
            </wp:positionH>
            <wp:positionV relativeFrom="paragraph">
              <wp:posOffset>-10795</wp:posOffset>
            </wp:positionV>
            <wp:extent cx="42602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4260215" cy="8255"/>
                    </a:xfrm>
                    <a:prstGeom prst="rect">
                      <a:avLst/>
                    </a:prstGeom>
                    <a:noFill/>
                  </pic:spPr>
                </pic:pic>
              </a:graphicData>
            </a:graphic>
          </wp:anchor>
        </w:drawing>
      </w:r>
    </w:p>
    <w:p>
      <w:pPr>
        <w:spacing w:after="0" w:line="204" w:lineRule="exact"/>
        <w:rPr>
          <w:rFonts w:ascii="Arial" w:cs="Arial" w:eastAsia="Arial" w:hAnsi="Arial"/>
          <w:sz w:val="18"/>
          <w:szCs w:val="18"/>
          <w:u w:val="single" w:color="auto"/>
          <w:color w:val="0000EE"/>
        </w:rPr>
      </w:pPr>
    </w:p>
    <w:p>
      <w:pPr>
        <w:ind w:left="1340" w:right="859" w:hanging="895"/>
        <w:spacing w:after="0" w:line="277" w:lineRule="auto"/>
        <w:tabs>
          <w:tab w:leader="none" w:pos="1320" w:val="left"/>
        </w:tabs>
        <w:rPr>
          <w:rFonts w:ascii="Arial" w:cs="Arial" w:eastAsia="Arial" w:hAnsi="Arial"/>
          <w:sz w:val="18"/>
          <w:szCs w:val="18"/>
          <w:u w:val="single" w:color="auto"/>
          <w:color w:val="0000EE"/>
        </w:rPr>
      </w:pPr>
      <w:r>
        <w:rPr>
          <w:rFonts w:ascii="Arial" w:cs="Arial" w:eastAsia="Arial" w:hAnsi="Arial"/>
          <w:sz w:val="18"/>
          <w:szCs w:val="18"/>
          <w:color w:val="auto"/>
        </w:rPr>
        <w:t>99.3*</w:t>
      </w:r>
      <w:r>
        <w:rPr>
          <w:sz w:val="20"/>
          <w:szCs w:val="20"/>
          <w:color w:val="auto"/>
        </w:rPr>
        <w:tab/>
      </w:r>
      <w:hyperlink w:anchor="page9">
        <w:r>
          <w:rPr>
            <w:rFonts w:ascii="Arial" w:cs="Arial" w:eastAsia="Arial" w:hAnsi="Arial"/>
            <w:sz w:val="18"/>
            <w:szCs w:val="18"/>
            <w:u w:val="single" w:color="auto"/>
            <w:color w:val="0000EE"/>
          </w:rPr>
          <w:t>2015 Omnibus Incentive Compensation Plan, Form of Restricted Stock Unit Agreement (Non-</w:t>
        </w:r>
      </w:hyperlink>
      <w:hyperlink w:anchor="page9">
        <w:r>
          <w:rPr>
            <w:rFonts w:ascii="Arial" w:cs="Arial" w:eastAsia="Arial" w:hAnsi="Arial"/>
            <w:sz w:val="18"/>
            <w:szCs w:val="18"/>
            <w:u w:val="single" w:color="auto"/>
            <w:color w:val="0000EE"/>
          </w:rPr>
          <w:t>Executives)</w:t>
        </w:r>
      </w:hyperlink>
    </w:p>
    <w:p>
      <w:pPr>
        <w:spacing w:after="0" w:line="197" w:lineRule="exact"/>
        <w:rPr>
          <w:sz w:val="20"/>
          <w:szCs w:val="20"/>
          <w:color w:val="auto"/>
        </w:rPr>
      </w:pPr>
    </w:p>
    <w:p>
      <w:pPr>
        <w:ind w:left="1340" w:right="439" w:hanging="895"/>
        <w:spacing w:after="0" w:line="277" w:lineRule="auto"/>
        <w:tabs>
          <w:tab w:leader="none" w:pos="1320" w:val="left"/>
        </w:tabs>
        <w:rPr>
          <w:rFonts w:ascii="Arial" w:cs="Arial" w:eastAsia="Arial" w:hAnsi="Arial"/>
          <w:sz w:val="18"/>
          <w:szCs w:val="18"/>
          <w:u w:val="single" w:color="auto"/>
          <w:color w:val="0000EE"/>
        </w:rPr>
      </w:pPr>
      <w:r>
        <w:rPr>
          <w:rFonts w:ascii="Arial" w:cs="Arial" w:eastAsia="Arial" w:hAnsi="Arial"/>
          <w:sz w:val="18"/>
          <w:szCs w:val="18"/>
          <w:color w:val="auto"/>
        </w:rPr>
        <w:t>99.4*</w:t>
      </w:r>
      <w:r>
        <w:rPr>
          <w:sz w:val="20"/>
          <w:szCs w:val="20"/>
          <w:color w:val="auto"/>
        </w:rPr>
        <w:tab/>
      </w:r>
      <w:hyperlink w:anchor="page16">
        <w:r>
          <w:rPr>
            <w:rFonts w:ascii="Arial" w:cs="Arial" w:eastAsia="Arial" w:hAnsi="Arial"/>
            <w:sz w:val="18"/>
            <w:szCs w:val="18"/>
            <w:u w:val="single" w:color="auto"/>
            <w:color w:val="0000EE"/>
          </w:rPr>
          <w:t>2015 Omnibus Incentive Compensation Plan, Form of Restricted Stock Unit Agreement (Executives</w:t>
        </w:r>
      </w:hyperlink>
      <w:r>
        <w:rPr>
          <w:rFonts w:ascii="Arial" w:cs="Arial" w:eastAsia="Arial" w:hAnsi="Arial"/>
          <w:sz w:val="18"/>
          <w:szCs w:val="18"/>
          <w:u w:val="single" w:color="auto"/>
          <w:color w:val="0000EE"/>
        </w:rPr>
        <w:t xml:space="preserve"> </w:t>
      </w:r>
      <w:hyperlink w:anchor="page16">
        <w:r>
          <w:rPr>
            <w:rFonts w:ascii="Arial" w:cs="Arial" w:eastAsia="Arial" w:hAnsi="Arial"/>
            <w:sz w:val="18"/>
            <w:szCs w:val="18"/>
            <w:u w:val="single" w:color="auto"/>
            <w:color w:val="0000EE"/>
          </w:rPr>
          <w:t>and Non-Employee Directors)</w:t>
        </w:r>
      </w:hyperlink>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631825</wp:posOffset>
            </wp:positionV>
            <wp:extent cx="545211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1048385</wp:posOffset>
            </wp:positionH>
            <wp:positionV relativeFrom="page">
              <wp:posOffset>88900</wp:posOffset>
            </wp:positionV>
            <wp:extent cx="545211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left="200" w:right="239" w:firstLine="1296"/>
        <w:spacing w:after="0" w:line="259"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New York, State of New York on this 11</w:t>
      </w:r>
      <w:r>
        <w:rPr>
          <w:rFonts w:ascii="Arial" w:cs="Arial" w:eastAsia="Arial" w:hAnsi="Arial"/>
          <w:sz w:val="8"/>
          <w:szCs w:val="8"/>
          <w:color w:val="auto"/>
        </w:rPr>
        <w:t>th</w:t>
      </w:r>
      <w:r>
        <w:rPr>
          <w:rFonts w:ascii="Arial" w:cs="Arial" w:eastAsia="Arial" w:hAnsi="Arial"/>
          <w:sz w:val="18"/>
          <w:szCs w:val="18"/>
          <w:color w:val="auto"/>
        </w:rPr>
        <w:t xml:space="preserve"> day of May, 2020.</w:t>
      </w:r>
    </w:p>
    <w:p>
      <w:pPr>
        <w:spacing w:after="0" w:line="2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AXSOME THERAPEUTICS, INC.</w:t>
      </w:r>
    </w:p>
    <w:p>
      <w:pPr>
        <w:spacing w:after="0" w:line="200" w:lineRule="exact"/>
        <w:rPr>
          <w:sz w:val="20"/>
          <w:szCs w:val="20"/>
          <w:color w:val="auto"/>
        </w:rPr>
      </w:pPr>
    </w:p>
    <w:p>
      <w:pPr>
        <w:spacing w:after="0" w:line="32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Herriot Tabuteau, M.D.</w:t>
      </w:r>
    </w:p>
    <w:p>
      <w:pPr>
        <w:spacing w:after="0" w:line="50"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-130175</wp:posOffset>
            </wp:positionV>
            <wp:extent cx="25031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i w:val="1"/>
          <w:iCs w:val="1"/>
          <w:color w:val="auto"/>
        </w:rPr>
        <w:t>Chief Executive Officer</w:t>
      </w:r>
    </w:p>
    <w:p>
      <w:pPr>
        <w:spacing w:after="0" w:line="247" w:lineRule="exact"/>
        <w:rPr>
          <w:sz w:val="20"/>
          <w:szCs w:val="20"/>
          <w:color w:val="auto"/>
        </w:rPr>
      </w:pPr>
    </w:p>
    <w:p>
      <w:pPr>
        <w:ind w:left="3500"/>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KNOW ALL PERSONS BY THESE PRESENTS:</w:t>
      </w:r>
    </w:p>
    <w:p>
      <w:pPr>
        <w:spacing w:after="0" w:line="121" w:lineRule="exact"/>
        <w:rPr>
          <w:sz w:val="20"/>
          <w:szCs w:val="20"/>
          <w:color w:val="auto"/>
        </w:rPr>
      </w:pPr>
    </w:p>
    <w:p>
      <w:pPr>
        <w:ind w:left="200" w:right="239" w:firstLine="1296"/>
        <w:spacing w:after="0" w:line="269" w:lineRule="auto"/>
        <w:rPr>
          <w:sz w:val="20"/>
          <w:szCs w:val="20"/>
          <w:color w:val="auto"/>
        </w:rPr>
      </w:pPr>
      <w:r>
        <w:rPr>
          <w:rFonts w:ascii="Arial" w:cs="Arial" w:eastAsia="Arial" w:hAnsi="Arial"/>
          <w:sz w:val="17"/>
          <w:szCs w:val="17"/>
          <w:color w:val="auto"/>
        </w:rPr>
        <w:t>That each person whose signature appears below constitutes and appoints Herriot Tabuteau, M.D., Chief Executive Officer, and Nick Pizzie, Chief Financial Officer, and each of them, as such person’s true and lawful attorneys-in-fact and agents, with full power of substitution and resubstitution, for such person and in such person’s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such person might or could do in person, hereby ratifying and confirming all that said attorneys-in-fact and agents, or any of them, or their or his or her substitutes, may lawfully do or cause to be done by virtue thereof.</w:t>
      </w:r>
    </w:p>
    <w:p>
      <w:pPr>
        <w:spacing w:after="0" w:line="77" w:lineRule="exact"/>
        <w:rPr>
          <w:sz w:val="20"/>
          <w:szCs w:val="20"/>
          <w:color w:val="auto"/>
        </w:rPr>
      </w:pPr>
    </w:p>
    <w:p>
      <w:pPr>
        <w:ind w:left="200" w:right="359" w:firstLine="1296"/>
        <w:spacing w:after="0" w:line="263"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80" w:type="dxa"/>
            <w:vAlign w:val="bottom"/>
          </w:tcPr>
          <w:p>
            <w:pPr>
              <w:spacing w:after="0"/>
              <w:rPr>
                <w:sz w:val="14"/>
                <w:szCs w:val="14"/>
                <w:color w:val="auto"/>
              </w:rPr>
            </w:pPr>
          </w:p>
        </w:tc>
        <w:tc>
          <w:tcPr>
            <w:tcW w:w="3240" w:type="dxa"/>
            <w:vAlign w:val="bottom"/>
            <w:tcBorders>
              <w:bottom w:val="single" w:sz="8" w:color="auto"/>
            </w:tcBorders>
          </w:tcPr>
          <w:p>
            <w:pPr>
              <w:ind w:left="1480"/>
              <w:spacing w:after="0"/>
              <w:rPr>
                <w:sz w:val="20"/>
                <w:szCs w:val="20"/>
                <w:color w:val="auto"/>
              </w:rPr>
            </w:pPr>
            <w:r>
              <w:rPr>
                <w:rFonts w:ascii="Arial" w:cs="Arial" w:eastAsia="Arial" w:hAnsi="Arial"/>
                <w:sz w:val="14"/>
                <w:szCs w:val="14"/>
                <w:b w:val="1"/>
                <w:bCs w:val="1"/>
                <w:color w:val="auto"/>
              </w:rPr>
              <w:t>Title</w:t>
            </w:r>
          </w:p>
        </w:tc>
        <w:tc>
          <w:tcPr>
            <w:tcW w:w="260" w:type="dxa"/>
            <w:vAlign w:val="bottom"/>
          </w:tcPr>
          <w:p>
            <w:pPr>
              <w:spacing w:after="0"/>
              <w:rPr>
                <w:sz w:val="14"/>
                <w:szCs w:val="14"/>
                <w:color w:val="auto"/>
              </w:rPr>
            </w:pPr>
          </w:p>
        </w:tc>
        <w:tc>
          <w:tcPr>
            <w:tcW w:w="172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438"/>
        </w:trPr>
        <w:tc>
          <w:tcPr>
            <w:tcW w:w="3080" w:type="dxa"/>
            <w:vAlign w:val="bottom"/>
          </w:tcPr>
          <w:p>
            <w:pPr>
              <w:jc w:val="center"/>
              <w:spacing w:after="0"/>
              <w:rPr>
                <w:sz w:val="20"/>
                <w:szCs w:val="20"/>
                <w:color w:val="auto"/>
              </w:rPr>
            </w:pPr>
            <w:r>
              <w:rPr>
                <w:rFonts w:ascii="Arial" w:cs="Arial" w:eastAsia="Arial" w:hAnsi="Arial"/>
                <w:sz w:val="18"/>
                <w:szCs w:val="18"/>
                <w:color w:val="auto"/>
                <w:w w:val="92"/>
              </w:rPr>
              <w:t>/s/ Herriot Tabuteau, M.D.</w:t>
            </w:r>
          </w:p>
        </w:tc>
        <w:tc>
          <w:tcPr>
            <w:tcW w:w="280" w:type="dxa"/>
            <w:vAlign w:val="bottom"/>
          </w:tcPr>
          <w:p>
            <w:pPr>
              <w:spacing w:after="0"/>
              <w:rPr>
                <w:sz w:val="24"/>
                <w:szCs w:val="24"/>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Chief Executive Officer and Chairman of</w:t>
            </w:r>
          </w:p>
        </w:tc>
        <w:tc>
          <w:tcPr>
            <w:tcW w:w="1720" w:type="dxa"/>
            <w:vAlign w:val="bottom"/>
          </w:tcPr>
          <w:p>
            <w:pPr>
              <w:ind w:left="720"/>
              <w:spacing w:after="0"/>
              <w:rPr>
                <w:sz w:val="20"/>
                <w:szCs w:val="20"/>
                <w:color w:val="auto"/>
              </w:rPr>
            </w:pPr>
            <w:r>
              <w:rPr>
                <w:rFonts w:ascii="Arial" w:cs="Arial" w:eastAsia="Arial" w:hAnsi="Arial"/>
                <w:sz w:val="18"/>
                <w:szCs w:val="18"/>
                <w:color w:val="auto"/>
                <w:w w:val="89"/>
              </w:rPr>
              <w:t>May 11, 2020</w:t>
            </w:r>
          </w:p>
        </w:tc>
        <w:tc>
          <w:tcPr>
            <w:tcW w:w="0" w:type="dxa"/>
            <w:vAlign w:val="bottom"/>
          </w:tcPr>
          <w:p>
            <w:pPr>
              <w:spacing w:after="0"/>
              <w:rPr>
                <w:sz w:val="1"/>
                <w:szCs w:val="1"/>
                <w:color w:val="auto"/>
              </w:rPr>
            </w:pPr>
          </w:p>
        </w:tc>
      </w:tr>
      <w:tr>
        <w:trPr>
          <w:trHeight w:val="41"/>
        </w:trPr>
        <w:tc>
          <w:tcPr>
            <w:tcW w:w="3080" w:type="dxa"/>
            <w:vAlign w:val="bottom"/>
            <w:tcBorders>
              <w:bottom w:val="single" w:sz="8" w:color="auto"/>
            </w:tcBorders>
          </w:tcPr>
          <w:p>
            <w:pPr>
              <w:spacing w:after="0"/>
              <w:rPr>
                <w:sz w:val="3"/>
                <w:szCs w:val="3"/>
                <w:color w:val="auto"/>
              </w:rPr>
            </w:pPr>
          </w:p>
        </w:tc>
        <w:tc>
          <w:tcPr>
            <w:tcW w:w="280" w:type="dxa"/>
            <w:vAlign w:val="bottom"/>
            <w:vMerge w:val="restart"/>
          </w:tcPr>
          <w:p>
            <w:pPr>
              <w:spacing w:after="0"/>
              <w:rPr>
                <w:sz w:val="3"/>
                <w:szCs w:val="3"/>
                <w:color w:val="auto"/>
              </w:rPr>
            </w:pPr>
          </w:p>
        </w:tc>
        <w:tc>
          <w:tcPr>
            <w:tcW w:w="3500" w:type="dxa"/>
            <w:vAlign w:val="bottom"/>
            <w:gridSpan w:val="2"/>
            <w:vMerge w:val="restart"/>
          </w:tcPr>
          <w:p>
            <w:pPr>
              <w:spacing w:after="0"/>
              <w:rPr>
                <w:sz w:val="20"/>
                <w:szCs w:val="20"/>
                <w:color w:val="auto"/>
              </w:rPr>
            </w:pPr>
            <w:r>
              <w:rPr>
                <w:rFonts w:ascii="Arial" w:cs="Arial" w:eastAsia="Arial" w:hAnsi="Arial"/>
                <w:sz w:val="18"/>
                <w:szCs w:val="18"/>
                <w:color w:val="auto"/>
              </w:rPr>
              <w:t>the Board (Principal Executive Officer)</w:t>
            </w:r>
          </w:p>
        </w:tc>
        <w:tc>
          <w:tcPr>
            <w:tcW w:w="1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3080" w:type="dxa"/>
            <w:vAlign w:val="bottom"/>
          </w:tcPr>
          <w:p>
            <w:pPr>
              <w:jc w:val="center"/>
              <w:spacing w:after="0"/>
              <w:rPr>
                <w:sz w:val="20"/>
                <w:szCs w:val="20"/>
                <w:color w:val="auto"/>
              </w:rPr>
            </w:pPr>
            <w:r>
              <w:rPr>
                <w:rFonts w:ascii="Arial" w:cs="Arial" w:eastAsia="Arial" w:hAnsi="Arial"/>
                <w:sz w:val="18"/>
                <w:szCs w:val="18"/>
                <w:color w:val="auto"/>
                <w:w w:val="91"/>
              </w:rPr>
              <w:t>Herriot Tabuteau, M.D.</w:t>
            </w:r>
          </w:p>
        </w:tc>
        <w:tc>
          <w:tcPr>
            <w:tcW w:w="280" w:type="dxa"/>
            <w:vAlign w:val="bottom"/>
            <w:vMerge w:val="continue"/>
          </w:tcPr>
          <w:p>
            <w:pPr>
              <w:spacing w:after="0"/>
              <w:rPr>
                <w:sz w:val="19"/>
                <w:szCs w:val="19"/>
                <w:color w:val="auto"/>
              </w:rPr>
            </w:pPr>
          </w:p>
        </w:tc>
        <w:tc>
          <w:tcPr>
            <w:tcW w:w="3500" w:type="dxa"/>
            <w:vAlign w:val="bottom"/>
            <w:gridSpan w:val="2"/>
            <w:vMerge w:val="continue"/>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Nick Pizzie, CPA, MBA</w:t>
            </w:r>
          </w:p>
        </w:tc>
        <w:tc>
          <w:tcPr>
            <w:tcW w:w="280" w:type="dxa"/>
            <w:vAlign w:val="bottom"/>
          </w:tcPr>
          <w:p>
            <w:pPr>
              <w:spacing w:after="0"/>
              <w:rPr>
                <w:sz w:val="24"/>
                <w:szCs w:val="24"/>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1720" w:type="dxa"/>
            <w:vAlign w:val="bottom"/>
          </w:tcPr>
          <w:p>
            <w:pPr>
              <w:ind w:left="720"/>
              <w:spacing w:after="0"/>
              <w:rPr>
                <w:sz w:val="20"/>
                <w:szCs w:val="20"/>
                <w:color w:val="auto"/>
              </w:rPr>
            </w:pPr>
            <w:r>
              <w:rPr>
                <w:rFonts w:ascii="Arial" w:cs="Arial" w:eastAsia="Arial" w:hAnsi="Arial"/>
                <w:sz w:val="18"/>
                <w:szCs w:val="18"/>
                <w:color w:val="auto"/>
                <w:w w:val="89"/>
              </w:rPr>
              <w:t>May 11, 2020</w:t>
            </w:r>
          </w:p>
        </w:tc>
        <w:tc>
          <w:tcPr>
            <w:tcW w:w="0" w:type="dxa"/>
            <w:vAlign w:val="bottom"/>
          </w:tcPr>
          <w:p>
            <w:pPr>
              <w:spacing w:after="0"/>
              <w:rPr>
                <w:sz w:val="1"/>
                <w:szCs w:val="1"/>
                <w:color w:val="auto"/>
              </w:rPr>
            </w:pPr>
          </w:p>
        </w:tc>
      </w:tr>
      <w:tr>
        <w:trPr>
          <w:trHeight w:val="224"/>
        </w:trPr>
        <w:tc>
          <w:tcPr>
            <w:tcW w:w="3080" w:type="dxa"/>
            <w:vAlign w:val="bottom"/>
          </w:tcPr>
          <w:p>
            <w:pPr>
              <w:jc w:val="center"/>
              <w:spacing w:after="0"/>
              <w:rPr>
                <w:sz w:val="20"/>
                <w:szCs w:val="20"/>
                <w:color w:val="auto"/>
              </w:rPr>
            </w:pPr>
            <w:r>
              <w:rPr>
                <w:rFonts w:ascii="Arial" w:cs="Arial" w:eastAsia="Arial" w:hAnsi="Arial"/>
                <w:sz w:val="18"/>
                <w:szCs w:val="18"/>
                <w:color w:val="auto"/>
                <w:w w:val="95"/>
              </w:rPr>
              <w:t>Nick Pizzie, CPA, MBA</w:t>
            </w:r>
          </w:p>
        </w:tc>
        <w:tc>
          <w:tcPr>
            <w:tcW w:w="280" w:type="dxa"/>
            <w:vAlign w:val="bottom"/>
          </w:tcPr>
          <w:p>
            <w:pPr>
              <w:spacing w:after="0"/>
              <w:rPr>
                <w:sz w:val="19"/>
                <w:szCs w:val="19"/>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Mark Coleman, M.D.</w:t>
            </w:r>
          </w:p>
        </w:tc>
        <w:tc>
          <w:tcPr>
            <w:tcW w:w="280" w:type="dxa"/>
            <w:vAlign w:val="bottom"/>
          </w:tcPr>
          <w:p>
            <w:pPr>
              <w:spacing w:after="0"/>
              <w:rPr>
                <w:sz w:val="24"/>
                <w:szCs w:val="24"/>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20" w:type="dxa"/>
            <w:vAlign w:val="bottom"/>
          </w:tcPr>
          <w:p>
            <w:pPr>
              <w:ind w:left="720"/>
              <w:spacing w:after="0"/>
              <w:rPr>
                <w:sz w:val="20"/>
                <w:szCs w:val="20"/>
                <w:color w:val="auto"/>
              </w:rPr>
            </w:pPr>
            <w:r>
              <w:rPr>
                <w:rFonts w:ascii="Arial" w:cs="Arial" w:eastAsia="Arial" w:hAnsi="Arial"/>
                <w:sz w:val="18"/>
                <w:szCs w:val="18"/>
                <w:color w:val="auto"/>
                <w:w w:val="89"/>
              </w:rPr>
              <w:t>May 11, 2020</w:t>
            </w:r>
          </w:p>
        </w:tc>
        <w:tc>
          <w:tcPr>
            <w:tcW w:w="0" w:type="dxa"/>
            <w:vAlign w:val="bottom"/>
          </w:tcPr>
          <w:p>
            <w:pPr>
              <w:spacing w:after="0"/>
              <w:rPr>
                <w:sz w:val="1"/>
                <w:szCs w:val="1"/>
                <w:color w:val="auto"/>
              </w:rPr>
            </w:pPr>
          </w:p>
        </w:tc>
      </w:tr>
      <w:tr>
        <w:trPr>
          <w:trHeight w:val="224"/>
        </w:trPr>
        <w:tc>
          <w:tcPr>
            <w:tcW w:w="3080" w:type="dxa"/>
            <w:vAlign w:val="bottom"/>
          </w:tcPr>
          <w:p>
            <w:pPr>
              <w:jc w:val="center"/>
              <w:spacing w:after="0"/>
              <w:rPr>
                <w:sz w:val="20"/>
                <w:szCs w:val="20"/>
                <w:color w:val="auto"/>
              </w:rPr>
            </w:pPr>
            <w:r>
              <w:rPr>
                <w:rFonts w:ascii="Arial" w:cs="Arial" w:eastAsia="Arial" w:hAnsi="Arial"/>
                <w:sz w:val="18"/>
                <w:szCs w:val="18"/>
                <w:color w:val="auto"/>
                <w:w w:val="94"/>
              </w:rPr>
              <w:t>Mark Coleman, M.D.</w:t>
            </w:r>
          </w:p>
        </w:tc>
        <w:tc>
          <w:tcPr>
            <w:tcW w:w="2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Roger Jeffs, Ph.D.</w:t>
            </w:r>
          </w:p>
        </w:tc>
        <w:tc>
          <w:tcPr>
            <w:tcW w:w="280" w:type="dxa"/>
            <w:vAlign w:val="bottom"/>
          </w:tcPr>
          <w:p>
            <w:pPr>
              <w:spacing w:after="0"/>
              <w:rPr>
                <w:sz w:val="24"/>
                <w:szCs w:val="24"/>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20" w:type="dxa"/>
            <w:vAlign w:val="bottom"/>
          </w:tcPr>
          <w:p>
            <w:pPr>
              <w:ind w:left="720"/>
              <w:spacing w:after="0"/>
              <w:rPr>
                <w:sz w:val="20"/>
                <w:szCs w:val="20"/>
                <w:color w:val="auto"/>
              </w:rPr>
            </w:pPr>
            <w:r>
              <w:rPr>
                <w:rFonts w:ascii="Arial" w:cs="Arial" w:eastAsia="Arial" w:hAnsi="Arial"/>
                <w:sz w:val="18"/>
                <w:szCs w:val="18"/>
                <w:color w:val="auto"/>
                <w:w w:val="89"/>
              </w:rPr>
              <w:t>May 11, 2020</w:t>
            </w:r>
          </w:p>
        </w:tc>
        <w:tc>
          <w:tcPr>
            <w:tcW w:w="0" w:type="dxa"/>
            <w:vAlign w:val="bottom"/>
          </w:tcPr>
          <w:p>
            <w:pPr>
              <w:spacing w:after="0"/>
              <w:rPr>
                <w:sz w:val="1"/>
                <w:szCs w:val="1"/>
                <w:color w:val="auto"/>
              </w:rPr>
            </w:pPr>
          </w:p>
        </w:tc>
      </w:tr>
      <w:tr>
        <w:trPr>
          <w:trHeight w:val="224"/>
        </w:trPr>
        <w:tc>
          <w:tcPr>
            <w:tcW w:w="3080" w:type="dxa"/>
            <w:vAlign w:val="bottom"/>
          </w:tcPr>
          <w:p>
            <w:pPr>
              <w:jc w:val="center"/>
              <w:spacing w:after="0"/>
              <w:rPr>
                <w:sz w:val="20"/>
                <w:szCs w:val="20"/>
                <w:color w:val="auto"/>
              </w:rPr>
            </w:pPr>
            <w:r>
              <w:rPr>
                <w:rFonts w:ascii="Arial" w:cs="Arial" w:eastAsia="Arial" w:hAnsi="Arial"/>
                <w:sz w:val="18"/>
                <w:szCs w:val="18"/>
                <w:color w:val="auto"/>
                <w:w w:val="89"/>
              </w:rPr>
              <w:t>Roger Jeffs, Ph.D.</w:t>
            </w:r>
          </w:p>
        </w:tc>
        <w:tc>
          <w:tcPr>
            <w:tcW w:w="2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Myrtle Potter</w:t>
            </w:r>
          </w:p>
        </w:tc>
        <w:tc>
          <w:tcPr>
            <w:tcW w:w="280" w:type="dxa"/>
            <w:vAlign w:val="bottom"/>
          </w:tcPr>
          <w:p>
            <w:pPr>
              <w:spacing w:after="0"/>
              <w:rPr>
                <w:sz w:val="24"/>
                <w:szCs w:val="24"/>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20" w:type="dxa"/>
            <w:vAlign w:val="bottom"/>
          </w:tcPr>
          <w:p>
            <w:pPr>
              <w:ind w:left="720"/>
              <w:spacing w:after="0"/>
              <w:rPr>
                <w:sz w:val="20"/>
                <w:szCs w:val="20"/>
                <w:color w:val="auto"/>
              </w:rPr>
            </w:pPr>
            <w:r>
              <w:rPr>
                <w:rFonts w:ascii="Arial" w:cs="Arial" w:eastAsia="Arial" w:hAnsi="Arial"/>
                <w:sz w:val="18"/>
                <w:szCs w:val="18"/>
                <w:color w:val="auto"/>
                <w:w w:val="89"/>
              </w:rPr>
              <w:t>May 11, 2020</w:t>
            </w:r>
          </w:p>
        </w:tc>
        <w:tc>
          <w:tcPr>
            <w:tcW w:w="0" w:type="dxa"/>
            <w:vAlign w:val="bottom"/>
          </w:tcPr>
          <w:p>
            <w:pPr>
              <w:spacing w:after="0"/>
              <w:rPr>
                <w:sz w:val="1"/>
                <w:szCs w:val="1"/>
                <w:color w:val="auto"/>
              </w:rPr>
            </w:pPr>
          </w:p>
        </w:tc>
      </w:tr>
      <w:tr>
        <w:trPr>
          <w:trHeight w:val="224"/>
        </w:trPr>
        <w:tc>
          <w:tcPr>
            <w:tcW w:w="3080" w:type="dxa"/>
            <w:vAlign w:val="bottom"/>
          </w:tcPr>
          <w:p>
            <w:pPr>
              <w:jc w:val="center"/>
              <w:spacing w:after="0"/>
              <w:rPr>
                <w:sz w:val="20"/>
                <w:szCs w:val="20"/>
                <w:color w:val="auto"/>
              </w:rPr>
            </w:pPr>
            <w:r>
              <w:rPr>
                <w:rFonts w:ascii="Arial" w:cs="Arial" w:eastAsia="Arial" w:hAnsi="Arial"/>
                <w:sz w:val="18"/>
                <w:szCs w:val="18"/>
                <w:color w:val="auto"/>
                <w:w w:val="94"/>
              </w:rPr>
              <w:t>Myrtle Potter</w:t>
            </w:r>
          </w:p>
        </w:tc>
        <w:tc>
          <w:tcPr>
            <w:tcW w:w="2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Mark Saad</w:t>
            </w:r>
          </w:p>
        </w:tc>
        <w:tc>
          <w:tcPr>
            <w:tcW w:w="280" w:type="dxa"/>
            <w:vAlign w:val="bottom"/>
          </w:tcPr>
          <w:p>
            <w:pPr>
              <w:spacing w:after="0"/>
              <w:rPr>
                <w:sz w:val="24"/>
                <w:szCs w:val="24"/>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20" w:type="dxa"/>
            <w:vAlign w:val="bottom"/>
          </w:tcPr>
          <w:p>
            <w:pPr>
              <w:ind w:left="720"/>
              <w:spacing w:after="0"/>
              <w:rPr>
                <w:sz w:val="20"/>
                <w:szCs w:val="20"/>
                <w:color w:val="auto"/>
              </w:rPr>
            </w:pPr>
            <w:r>
              <w:rPr>
                <w:rFonts w:ascii="Arial" w:cs="Arial" w:eastAsia="Arial" w:hAnsi="Arial"/>
                <w:sz w:val="18"/>
                <w:szCs w:val="18"/>
                <w:color w:val="auto"/>
                <w:w w:val="89"/>
              </w:rPr>
              <w:t>May 11, 2020</w:t>
            </w:r>
          </w:p>
        </w:tc>
        <w:tc>
          <w:tcPr>
            <w:tcW w:w="0" w:type="dxa"/>
            <w:vAlign w:val="bottom"/>
          </w:tcPr>
          <w:p>
            <w:pPr>
              <w:spacing w:after="0"/>
              <w:rPr>
                <w:sz w:val="1"/>
                <w:szCs w:val="1"/>
                <w:color w:val="auto"/>
              </w:rPr>
            </w:pPr>
          </w:p>
        </w:tc>
      </w:tr>
      <w:tr>
        <w:trPr>
          <w:trHeight w:val="224"/>
        </w:trPr>
        <w:tc>
          <w:tcPr>
            <w:tcW w:w="3080" w:type="dxa"/>
            <w:vAlign w:val="bottom"/>
          </w:tcPr>
          <w:p>
            <w:pPr>
              <w:jc w:val="center"/>
              <w:spacing w:after="0"/>
              <w:rPr>
                <w:sz w:val="20"/>
                <w:szCs w:val="20"/>
                <w:color w:val="auto"/>
              </w:rPr>
            </w:pPr>
            <w:r>
              <w:rPr>
                <w:rFonts w:ascii="Arial" w:cs="Arial" w:eastAsia="Arial" w:hAnsi="Arial"/>
                <w:sz w:val="18"/>
                <w:szCs w:val="18"/>
                <w:color w:val="auto"/>
                <w:w w:val="89"/>
              </w:rPr>
              <w:t>Mark Saad</w:t>
            </w:r>
          </w:p>
        </w:tc>
        <w:tc>
          <w:tcPr>
            <w:tcW w:w="2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89"/>
        </w:trPr>
        <w:tc>
          <w:tcPr>
            <w:tcW w:w="30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1" w:right="1440" w:bottom="1440" w:gutter="0" w:footer="0" w:header="0"/>
        </w:sectPr>
      </w:pPr>
    </w:p>
    <w:bookmarkStart w:id="6" w:name="page7"/>
    <w:bookmarkEnd w:id="6"/>
    <w:p>
      <w:pPr>
        <w:jc w:val="right"/>
        <w:ind w:right="219"/>
        <w:spacing w:after="0"/>
        <w:rPr>
          <w:sz w:val="20"/>
          <w:szCs w:val="20"/>
          <w:color w:val="auto"/>
        </w:rPr>
      </w:pPr>
      <w:r>
        <w:rPr>
          <w:rFonts w:ascii="Arial" w:cs="Arial" w:eastAsia="Arial" w:hAnsi="Arial"/>
          <w:sz w:val="18"/>
          <w:szCs w:val="18"/>
          <w:b w:val="1"/>
          <w:bCs w:val="1"/>
          <w:color w:val="auto"/>
        </w:rPr>
        <w:t>Exhibit 5.1</w:t>
      </w:r>
    </w:p>
    <w:p>
      <w:pPr>
        <w:spacing w:after="0" w:line="256" w:lineRule="exact"/>
        <w:rPr>
          <w:sz w:val="20"/>
          <w:szCs w:val="20"/>
          <w:color w:val="auto"/>
        </w:rPr>
      </w:pPr>
    </w:p>
    <w:p>
      <w:pPr>
        <w:jc w:val="right"/>
        <w:ind w:right="219"/>
        <w:spacing w:after="0"/>
        <w:rPr>
          <w:sz w:val="20"/>
          <w:szCs w:val="20"/>
          <w:color w:val="auto"/>
        </w:rPr>
      </w:pPr>
      <w:r>
        <w:rPr>
          <w:rFonts w:ascii="Arial" w:cs="Arial" w:eastAsia="Arial" w:hAnsi="Arial"/>
          <w:sz w:val="18"/>
          <w:szCs w:val="18"/>
          <w:color w:val="auto"/>
        </w:rPr>
        <w:t>DLA Piper LLP (US)</w:t>
      </w:r>
    </w:p>
    <w:p>
      <w:pPr>
        <w:spacing w:after="0" w:line="23" w:lineRule="exact"/>
        <w:rPr>
          <w:sz w:val="20"/>
          <w:szCs w:val="20"/>
          <w:color w:val="auto"/>
        </w:rPr>
      </w:pPr>
    </w:p>
    <w:p>
      <w:pPr>
        <w:jc w:val="right"/>
        <w:ind w:right="219"/>
        <w:spacing w:after="0"/>
        <w:rPr>
          <w:sz w:val="20"/>
          <w:szCs w:val="20"/>
          <w:color w:val="auto"/>
        </w:rPr>
      </w:pPr>
      <w:r>
        <w:rPr>
          <w:rFonts w:ascii="Arial" w:cs="Arial" w:eastAsia="Arial" w:hAnsi="Arial"/>
          <w:sz w:val="18"/>
          <w:szCs w:val="18"/>
          <w:color w:val="auto"/>
        </w:rPr>
        <w:t>51 John F. Kennedy Parkway, Suite 120</w:t>
      </w:r>
    </w:p>
    <w:p>
      <w:pPr>
        <w:spacing w:after="0" w:line="9" w:lineRule="exact"/>
        <w:rPr>
          <w:sz w:val="20"/>
          <w:szCs w:val="20"/>
          <w:color w:val="auto"/>
        </w:rPr>
      </w:pPr>
    </w:p>
    <w:p>
      <w:pPr>
        <w:jc w:val="right"/>
        <w:ind w:right="219"/>
        <w:spacing w:after="0"/>
        <w:rPr>
          <w:sz w:val="20"/>
          <w:szCs w:val="20"/>
          <w:color w:val="auto"/>
        </w:rPr>
      </w:pPr>
      <w:r>
        <w:rPr>
          <w:rFonts w:ascii="Arial" w:cs="Arial" w:eastAsia="Arial" w:hAnsi="Arial"/>
          <w:sz w:val="18"/>
          <w:szCs w:val="18"/>
          <w:color w:val="auto"/>
        </w:rPr>
        <w:t>Short Hills, New Jersey 07078</w:t>
      </w:r>
    </w:p>
    <w:p>
      <w:pPr>
        <w:spacing w:after="0" w:line="9" w:lineRule="exact"/>
        <w:rPr>
          <w:sz w:val="20"/>
          <w:szCs w:val="20"/>
          <w:color w:val="auto"/>
        </w:rPr>
      </w:pPr>
    </w:p>
    <w:p>
      <w:pPr>
        <w:jc w:val="right"/>
        <w:ind w:right="219"/>
        <w:spacing w:after="0"/>
        <w:rPr>
          <w:sz w:val="20"/>
          <w:szCs w:val="20"/>
          <w:color w:val="auto"/>
        </w:rPr>
      </w:pPr>
      <w:r>
        <w:rPr>
          <w:rFonts w:ascii="Arial" w:cs="Arial" w:eastAsia="Arial" w:hAnsi="Arial"/>
          <w:sz w:val="18"/>
          <w:szCs w:val="18"/>
          <w:color w:val="auto"/>
        </w:rPr>
        <w:t>www.dlapiper.com</w:t>
      </w:r>
    </w:p>
    <w:p>
      <w:pPr>
        <w:spacing w:after="0" w:line="238" w:lineRule="exact"/>
        <w:rPr>
          <w:sz w:val="20"/>
          <w:szCs w:val="20"/>
          <w:color w:val="auto"/>
        </w:rPr>
      </w:pPr>
    </w:p>
    <w:p>
      <w:pPr>
        <w:jc w:val="right"/>
        <w:ind w:right="219"/>
        <w:spacing w:after="0"/>
        <w:rPr>
          <w:sz w:val="20"/>
          <w:szCs w:val="20"/>
          <w:color w:val="auto"/>
        </w:rPr>
      </w:pPr>
      <w:r>
        <w:rPr>
          <w:rFonts w:ascii="Arial" w:cs="Arial" w:eastAsia="Arial" w:hAnsi="Arial"/>
          <w:sz w:val="18"/>
          <w:szCs w:val="18"/>
          <w:color w:val="auto"/>
        </w:rPr>
        <w:t>T: 973-520-2550</w:t>
      </w:r>
    </w:p>
    <w:p>
      <w:pPr>
        <w:spacing w:after="0" w:line="23" w:lineRule="exact"/>
        <w:rPr>
          <w:sz w:val="20"/>
          <w:szCs w:val="20"/>
          <w:color w:val="auto"/>
        </w:rPr>
      </w:pPr>
    </w:p>
    <w:p>
      <w:pPr>
        <w:jc w:val="right"/>
        <w:ind w:right="219"/>
        <w:spacing w:after="0"/>
        <w:rPr>
          <w:sz w:val="20"/>
          <w:szCs w:val="20"/>
          <w:color w:val="auto"/>
        </w:rPr>
      </w:pPr>
      <w:r>
        <w:rPr>
          <w:rFonts w:ascii="Arial" w:cs="Arial" w:eastAsia="Arial" w:hAnsi="Arial"/>
          <w:sz w:val="18"/>
          <w:szCs w:val="18"/>
          <w:color w:val="auto"/>
        </w:rPr>
        <w:t>F: 973-520-2551</w:t>
      </w:r>
    </w:p>
    <w:p>
      <w:pPr>
        <w:spacing w:after="0" w:line="238" w:lineRule="exact"/>
        <w:rPr>
          <w:sz w:val="20"/>
          <w:szCs w:val="20"/>
          <w:color w:val="auto"/>
        </w:rPr>
      </w:pPr>
    </w:p>
    <w:p>
      <w:pPr>
        <w:jc w:val="right"/>
        <w:ind w:right="219"/>
        <w:spacing w:after="0"/>
        <w:rPr>
          <w:sz w:val="20"/>
          <w:szCs w:val="20"/>
          <w:color w:val="auto"/>
        </w:rPr>
      </w:pPr>
      <w:r>
        <w:rPr>
          <w:rFonts w:ascii="Arial" w:cs="Arial" w:eastAsia="Arial" w:hAnsi="Arial"/>
          <w:sz w:val="18"/>
          <w:szCs w:val="18"/>
          <w:color w:val="auto"/>
        </w:rPr>
        <w:t>Attorneys Responsible for Short Hills Office:</w:t>
      </w:r>
    </w:p>
    <w:p>
      <w:pPr>
        <w:spacing w:after="0" w:line="252" w:lineRule="exact"/>
        <w:rPr>
          <w:sz w:val="20"/>
          <w:szCs w:val="20"/>
          <w:color w:val="auto"/>
        </w:rPr>
      </w:pPr>
    </w:p>
    <w:p>
      <w:pPr>
        <w:jc w:val="right"/>
        <w:ind w:right="219"/>
        <w:spacing w:after="0"/>
        <w:rPr>
          <w:sz w:val="20"/>
          <w:szCs w:val="20"/>
          <w:color w:val="auto"/>
        </w:rPr>
      </w:pPr>
      <w:r>
        <w:rPr>
          <w:rFonts w:ascii="Arial" w:cs="Arial" w:eastAsia="Arial" w:hAnsi="Arial"/>
          <w:sz w:val="18"/>
          <w:szCs w:val="18"/>
          <w:color w:val="auto"/>
        </w:rPr>
        <w:t>Andrew P. Gilbert</w:t>
      </w:r>
    </w:p>
    <w:p>
      <w:pPr>
        <w:spacing w:after="0" w:line="23" w:lineRule="exact"/>
        <w:rPr>
          <w:sz w:val="20"/>
          <w:szCs w:val="20"/>
          <w:color w:val="auto"/>
        </w:rPr>
      </w:pPr>
    </w:p>
    <w:p>
      <w:pPr>
        <w:jc w:val="right"/>
        <w:ind w:right="219"/>
        <w:spacing w:after="0"/>
        <w:rPr>
          <w:sz w:val="20"/>
          <w:szCs w:val="20"/>
          <w:color w:val="auto"/>
        </w:rPr>
      </w:pPr>
      <w:r>
        <w:rPr>
          <w:rFonts w:ascii="Arial" w:cs="Arial" w:eastAsia="Arial" w:hAnsi="Arial"/>
          <w:sz w:val="18"/>
          <w:szCs w:val="18"/>
          <w:color w:val="auto"/>
        </w:rPr>
        <w:t>Michael E. Helmer</w:t>
      </w:r>
    </w:p>
    <w:p>
      <w:pPr>
        <w:spacing w:after="0" w:line="3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May 11, 2020</w:t>
      </w:r>
    </w:p>
    <w:p>
      <w:pPr>
        <w:spacing w:after="0" w:line="34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Axsome Therapeutics, Inc.</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200 Broadway, 3</w:t>
      </w:r>
      <w:r>
        <w:rPr>
          <w:rFonts w:ascii="Arial" w:cs="Arial" w:eastAsia="Arial" w:hAnsi="Arial"/>
          <w:sz w:val="18"/>
          <w:szCs w:val="18"/>
          <w:color w:val="auto"/>
          <w:vertAlign w:val="superscript"/>
        </w:rPr>
        <w:t>rd</w:t>
      </w:r>
      <w:r>
        <w:rPr>
          <w:rFonts w:ascii="Arial" w:cs="Arial" w:eastAsia="Arial" w:hAnsi="Arial"/>
          <w:sz w:val="18"/>
          <w:szCs w:val="18"/>
          <w:color w:val="auto"/>
        </w:rPr>
        <w:t xml:space="preserve"> Floor</w:t>
      </w:r>
    </w:p>
    <w:p>
      <w:pPr>
        <w:spacing w:after="0" w:line="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New York, New York 10038</w:t>
      </w:r>
    </w:p>
    <w:p>
      <w:pPr>
        <w:spacing w:after="0" w:line="2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 Axsome Therapeutics, Inc. – Registration Statement on Form 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14605</wp:posOffset>
            </wp:positionV>
            <wp:extent cx="471487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471487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Dear Ladies and Gentlemen:</w:t>
      </w:r>
    </w:p>
    <w:p>
      <w:pPr>
        <w:spacing w:after="0" w:line="77" w:lineRule="exact"/>
        <w:rPr>
          <w:sz w:val="20"/>
          <w:szCs w:val="20"/>
          <w:color w:val="auto"/>
        </w:rPr>
      </w:pPr>
    </w:p>
    <w:p>
      <w:pPr>
        <w:jc w:val="both"/>
        <w:ind w:left="200" w:right="219" w:firstLine="441"/>
        <w:spacing w:after="0" w:line="255" w:lineRule="auto"/>
        <w:rPr>
          <w:sz w:val="20"/>
          <w:szCs w:val="20"/>
          <w:color w:val="auto"/>
        </w:rPr>
      </w:pPr>
      <w:r>
        <w:rPr>
          <w:rFonts w:ascii="Arial" w:cs="Arial" w:eastAsia="Arial" w:hAnsi="Arial"/>
          <w:sz w:val="18"/>
          <w:szCs w:val="18"/>
          <w:color w:val="auto"/>
        </w:rPr>
        <w:t>We have acted as counsel to Axsome Therapeutics, Inc., a Delaware corporation (the “Company”), in connection with the preparation of a Registration Statement on Form S-8 (the “Registration Statement”) under the Securities Act of 1933, as amended (the “Act”). The Registration Statement relates to the registration of 1,477,328 shares (the “Plan Shares”) of the Company’s common stock, par value $0.0001 per share (the “Common Stock”), issuable under the Axsome Therapeutics, Inc. 2015 Omnibus Incentive Compensation Plan (the “2015 Plan”), as referenced in the Registration Statement.</w:t>
      </w:r>
    </w:p>
    <w:p>
      <w:pPr>
        <w:spacing w:after="0" w:line="84" w:lineRule="exact"/>
        <w:rPr>
          <w:sz w:val="20"/>
          <w:szCs w:val="20"/>
          <w:color w:val="auto"/>
        </w:rPr>
      </w:pPr>
    </w:p>
    <w:p>
      <w:pPr>
        <w:jc w:val="both"/>
        <w:ind w:left="200" w:right="219" w:firstLine="441"/>
        <w:spacing w:after="0" w:line="259" w:lineRule="auto"/>
        <w:rPr>
          <w:sz w:val="20"/>
          <w:szCs w:val="20"/>
          <w:color w:val="auto"/>
        </w:rPr>
      </w:pPr>
      <w:r>
        <w:rPr>
          <w:rFonts w:ascii="Arial" w:cs="Arial" w:eastAsia="Arial" w:hAnsi="Arial"/>
          <w:sz w:val="18"/>
          <w:szCs w:val="18"/>
          <w:color w:val="auto"/>
        </w:rPr>
        <w:t>In connection with this opinion letter, we have examined the Registration Statement and originals, or copies certified or otherwise identified to our satisfaction, of the Amended and Restated Certificate of Incorporation and the Amended and Restated Bylaws of the Company and such other documents, records and other instruments as we have deemed appropriate for purposes of the opinion set forth herein.</w:t>
      </w:r>
    </w:p>
    <w:p>
      <w:pPr>
        <w:spacing w:after="0" w:line="79" w:lineRule="exact"/>
        <w:rPr>
          <w:sz w:val="20"/>
          <w:szCs w:val="20"/>
          <w:color w:val="auto"/>
        </w:rPr>
      </w:pPr>
    </w:p>
    <w:p>
      <w:pPr>
        <w:jc w:val="both"/>
        <w:ind w:left="200" w:right="219" w:firstLine="441"/>
        <w:spacing w:after="0" w:line="259" w:lineRule="auto"/>
        <w:rPr>
          <w:sz w:val="20"/>
          <w:szCs w:val="20"/>
          <w:color w:val="auto"/>
        </w:rPr>
      </w:pPr>
      <w:r>
        <w:rPr>
          <w:rFonts w:ascii="Arial" w:cs="Arial" w:eastAsia="Arial" w:hAnsi="Arial"/>
          <w:sz w:val="18"/>
          <w:szCs w:val="18"/>
          <w:color w:val="auto"/>
        </w:rPr>
        <w:t>We have assumed the genuineness of all signatures, the legal capacity of all natural persons, the authenticity of the documents submitted to us as originals, the conformity with the originals of all documents submitted to us as certified, facsimile or photostatic copies and the authenticity of the originals of all documents submitted to us as copies.</w:t>
      </w:r>
    </w:p>
    <w:p>
      <w:pPr>
        <w:spacing w:after="0" w:line="79" w:lineRule="exact"/>
        <w:rPr>
          <w:sz w:val="20"/>
          <w:szCs w:val="20"/>
          <w:color w:val="auto"/>
        </w:rPr>
      </w:pPr>
    </w:p>
    <w:p>
      <w:pPr>
        <w:jc w:val="both"/>
        <w:ind w:left="200" w:right="219" w:firstLine="441"/>
        <w:spacing w:after="0" w:line="263" w:lineRule="auto"/>
        <w:rPr>
          <w:sz w:val="20"/>
          <w:szCs w:val="20"/>
          <w:color w:val="auto"/>
        </w:rPr>
      </w:pPr>
      <w:r>
        <w:rPr>
          <w:rFonts w:ascii="Arial" w:cs="Arial" w:eastAsia="Arial" w:hAnsi="Arial"/>
          <w:sz w:val="18"/>
          <w:szCs w:val="18"/>
          <w:color w:val="auto"/>
        </w:rPr>
        <w:t>Based upon the foregoing, we are of the opinion that the Plan Shares have been duly authorized and, when and to the extent issued in accordance with the terms of the 2015 Plan and any award agreement entered into under the 2015 Plan, the Plan Shares will be validly issued, fully paid and nonassessable.</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opinion expressed herein is limited to the Delaware General Corporation Law.</w:t>
      </w:r>
    </w:p>
    <w:p>
      <w:pPr>
        <w:spacing w:after="0" w:line="117" w:lineRule="exact"/>
        <w:rPr>
          <w:sz w:val="20"/>
          <w:szCs w:val="20"/>
          <w:color w:val="auto"/>
        </w:rPr>
      </w:pPr>
    </w:p>
    <w:p>
      <w:pPr>
        <w:jc w:val="both"/>
        <w:ind w:left="200" w:right="219" w:firstLine="441"/>
        <w:spacing w:after="0" w:line="311" w:lineRule="auto"/>
        <w:rPr>
          <w:sz w:val="20"/>
          <w:szCs w:val="20"/>
          <w:color w:val="auto"/>
        </w:rPr>
      </w:pPr>
      <w:r>
        <w:rPr>
          <w:rFonts w:ascii="Arial" w:cs="Arial" w:eastAsia="Arial" w:hAnsi="Arial"/>
          <w:sz w:val="16"/>
          <w:szCs w:val="16"/>
          <w:color w:val="auto"/>
        </w:rPr>
        <w:t>We hereby consent to the use of this opinion as Exhibit 5.1 to the Registration Statement. In giving such consent, we do not hereby admit that we are acting within the category of persons whose consent is required under Section 7 of the Act or the rules or regulations of the U.S. Securities and Exchange Commission thereunder.</w:t>
      </w:r>
    </w:p>
    <w:p>
      <w:pPr>
        <w:spacing w:after="0" w:line="37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 DLA Piper LLP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608965</wp:posOffset>
            </wp:positionV>
            <wp:extent cx="545211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 w:name="page8"/>
    <w:bookmarkEnd w:id="7"/>
    <w:p>
      <w:pPr>
        <w:ind w:left="7580"/>
        <w:spacing w:after="0"/>
        <w:rPr>
          <w:sz w:val="20"/>
          <w:szCs w:val="20"/>
          <w:color w:val="auto"/>
        </w:rPr>
      </w:pPr>
      <w:r>
        <w:rPr>
          <w:rFonts w:ascii="Arial" w:cs="Arial" w:eastAsia="Arial" w:hAnsi="Arial"/>
          <w:sz w:val="21"/>
          <w:szCs w:val="21"/>
          <w:b w:val="1"/>
          <w:bCs w:val="1"/>
          <w:color w:val="auto"/>
        </w:rPr>
        <w:t>Exhibit 23.2</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184" w:lineRule="exact"/>
        <w:rPr>
          <w:sz w:val="20"/>
          <w:szCs w:val="20"/>
          <w:color w:val="auto"/>
        </w:rPr>
      </w:pPr>
    </w:p>
    <w:p>
      <w:pPr>
        <w:jc w:val="both"/>
        <w:ind w:left="200" w:right="219"/>
        <w:spacing w:after="0" w:line="235" w:lineRule="auto"/>
        <w:rPr>
          <w:sz w:val="20"/>
          <w:szCs w:val="20"/>
          <w:color w:val="auto"/>
        </w:rPr>
      </w:pPr>
      <w:r>
        <w:rPr>
          <w:rFonts w:ascii="Arial" w:cs="Arial" w:eastAsia="Arial" w:hAnsi="Arial"/>
          <w:sz w:val="17"/>
          <w:szCs w:val="17"/>
          <w:color w:val="333333"/>
        </w:rPr>
        <w:t>We consent to the incorporation by reference in the Registration Statement (Form S-8) pertaining to the Axsome Therapeutics, Inc. 2015 Omnibus Incentive Compensation Plan of our report dated March 12, 2020, with respect to the consolidated financial statements of Axsome Therapeutics, Inc. included in its Annual Report (Form 10-K) for the year ended December 31, 2019, filed with the Securities and Exchange Commission.</w:t>
      </w:r>
    </w:p>
    <w:p>
      <w:pPr>
        <w:spacing w:after="0" w:line="200" w:lineRule="exact"/>
        <w:rPr>
          <w:sz w:val="20"/>
          <w:szCs w:val="20"/>
          <w:color w:val="auto"/>
        </w:rPr>
      </w:pPr>
    </w:p>
    <w:p>
      <w:pPr>
        <w:spacing w:after="0" w:line="353" w:lineRule="exact"/>
        <w:rPr>
          <w:sz w:val="20"/>
          <w:szCs w:val="20"/>
          <w:color w:val="auto"/>
        </w:rPr>
      </w:pPr>
    </w:p>
    <w:p>
      <w:pPr>
        <w:ind w:left="200"/>
        <w:spacing w:after="0"/>
        <w:rPr>
          <w:sz w:val="20"/>
          <w:szCs w:val="20"/>
          <w:color w:val="auto"/>
        </w:rPr>
      </w:pPr>
      <w:r>
        <w:rPr>
          <w:rFonts w:ascii="Arial" w:cs="Arial" w:eastAsia="Arial" w:hAnsi="Arial"/>
          <w:sz w:val="22"/>
          <w:szCs w:val="22"/>
          <w:color w:val="auto"/>
        </w:rPr>
        <w:t>/s/ Ernst &amp; Young LLP</w:t>
      </w:r>
    </w:p>
    <w:p>
      <w:pPr>
        <w:ind w:left="200"/>
        <w:spacing w:after="0" w:line="204" w:lineRule="auto"/>
        <w:rPr>
          <w:sz w:val="20"/>
          <w:szCs w:val="20"/>
          <w:color w:val="auto"/>
        </w:rPr>
      </w:pPr>
      <w:r>
        <w:rPr>
          <w:rFonts w:ascii="Arial" w:cs="Arial" w:eastAsia="Arial" w:hAnsi="Arial"/>
          <w:sz w:val="22"/>
          <w:szCs w:val="22"/>
          <w:color w:val="auto"/>
        </w:rPr>
        <w:t>New York, NY</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22"/>
          <w:szCs w:val="22"/>
          <w:color w:val="auto"/>
        </w:rPr>
        <w:t>May 11,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1007110</wp:posOffset>
            </wp:positionV>
            <wp:extent cx="545211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8" w:name="page9"/>
    <w:bookmarkEnd w:id="8"/>
    <w:p>
      <w:pPr>
        <w:jc w:val="right"/>
        <w:ind w:right="219"/>
        <w:spacing w:after="0"/>
        <w:rPr>
          <w:sz w:val="20"/>
          <w:szCs w:val="20"/>
          <w:color w:val="auto"/>
        </w:rPr>
      </w:pPr>
      <w:r>
        <w:rPr>
          <w:rFonts w:ascii="Arial" w:cs="Arial" w:eastAsia="Arial" w:hAnsi="Arial"/>
          <w:sz w:val="18"/>
          <w:szCs w:val="18"/>
          <w:b w:val="1"/>
          <w:bCs w:val="1"/>
          <w:color w:val="auto"/>
        </w:rPr>
        <w:t>Exhibit 99.3</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Axsome Therapeutics, Inc.</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Unit Notice</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w:t>
      </w:r>
    </w:p>
    <w:p>
      <w:pPr>
        <w:jc w:val="center"/>
        <w:ind w:right="19"/>
        <w:spacing w:after="0" w:line="234" w:lineRule="auto"/>
        <w:rPr>
          <w:sz w:val="20"/>
          <w:szCs w:val="20"/>
          <w:color w:val="auto"/>
        </w:rPr>
      </w:pPr>
      <w:r>
        <w:rPr>
          <w:rFonts w:ascii="Arial" w:cs="Arial" w:eastAsia="Arial" w:hAnsi="Arial"/>
          <w:sz w:val="18"/>
          <w:szCs w:val="18"/>
          <w:b w:val="1"/>
          <w:bCs w:val="1"/>
          <w:color w:val="auto"/>
        </w:rPr>
        <w:t>Axsome Therapeutics, Inc.</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2015 Omnibus Incentive Compensation Plan</w:t>
      </w:r>
    </w:p>
    <w:p>
      <w:pPr>
        <w:spacing w:after="0" w:line="200" w:lineRule="exact"/>
        <w:rPr>
          <w:sz w:val="20"/>
          <w:szCs w:val="20"/>
          <w:color w:val="auto"/>
        </w:rPr>
      </w:pP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11430</wp:posOffset>
            </wp:positionV>
            <wp:extent cx="24942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left="200" w:right="219"/>
        <w:spacing w:after="0" w:line="239" w:lineRule="auto"/>
        <w:rPr>
          <w:sz w:val="20"/>
          <w:szCs w:val="20"/>
          <w:color w:val="auto"/>
        </w:rPr>
      </w:pPr>
      <w:r>
        <w:rPr>
          <w:rFonts w:ascii="Arial" w:cs="Arial" w:eastAsia="Arial" w:hAnsi="Arial"/>
          <w:sz w:val="18"/>
          <w:szCs w:val="18"/>
          <w:color w:val="auto"/>
        </w:rPr>
        <w:t>This Notice evidences the award of restricted Stock Units (each, an “</w:t>
      </w:r>
      <w:r>
        <w:rPr>
          <w:rFonts w:ascii="Arial" w:cs="Arial" w:eastAsia="Arial" w:hAnsi="Arial"/>
          <w:sz w:val="18"/>
          <w:szCs w:val="18"/>
          <w:b w:val="1"/>
          <w:bCs w:val="1"/>
          <w:i w:val="1"/>
          <w:iCs w:val="1"/>
          <w:color w:val="auto"/>
        </w:rPr>
        <w:t>RSU</w:t>
      </w:r>
      <w:r>
        <w:rPr>
          <w:rFonts w:ascii="Arial" w:cs="Arial" w:eastAsia="Arial" w:hAnsi="Arial"/>
          <w:sz w:val="18"/>
          <w:szCs w:val="18"/>
          <w:color w:val="auto"/>
        </w:rPr>
        <w:t>,” and collectively, the “</w:t>
      </w:r>
      <w:r>
        <w:rPr>
          <w:rFonts w:ascii="Arial" w:cs="Arial" w:eastAsia="Arial" w:hAnsi="Arial"/>
          <w:sz w:val="18"/>
          <w:szCs w:val="18"/>
          <w:b w:val="1"/>
          <w:bCs w:val="1"/>
          <w:i w:val="1"/>
          <w:iCs w:val="1"/>
          <w:color w:val="auto"/>
        </w:rPr>
        <w:t>RSUs</w:t>
      </w:r>
      <w:r>
        <w:rPr>
          <w:rFonts w:ascii="Arial" w:cs="Arial" w:eastAsia="Arial" w:hAnsi="Arial"/>
          <w:sz w:val="18"/>
          <w:szCs w:val="18"/>
          <w:color w:val="auto"/>
        </w:rPr>
        <w:t>”) of Axsome Therapeutics,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that have been granted to you pursuant to the Axsome Therapeutics, Inc. 2015 Omnibus Incentive Compensation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and conditioned upon your agreement to the terms of the attached Stock Unit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This Notice constitutes part of and is subject to the terms and provisions of the Agreement and the Plan, which are incorporated by reference herein. Each RSU is equivalent in value to one share of the Company Stock and represents the Company’s commitment to issue one share of Company Stock at a future date, subject to the terms of the Agreement and the Plan. The RSUs are credited to a separate account maintained for you on the books and records of the Company (the "</w:t>
      </w:r>
      <w:r>
        <w:rPr>
          <w:rFonts w:ascii="Arial" w:cs="Arial" w:eastAsia="Arial" w:hAnsi="Arial"/>
          <w:sz w:val="18"/>
          <w:szCs w:val="18"/>
          <w:b w:val="1"/>
          <w:bCs w:val="1"/>
          <w:i w:val="1"/>
          <w:iCs w:val="1"/>
          <w:color w:val="auto"/>
        </w:rPr>
        <w:t>Account</w:t>
      </w:r>
      <w:r>
        <w:rPr>
          <w:rFonts w:ascii="Arial" w:cs="Arial" w:eastAsia="Arial" w:hAnsi="Arial"/>
          <w:sz w:val="18"/>
          <w:szCs w:val="18"/>
          <w:color w:val="auto"/>
        </w:rPr>
        <w:t>"). All amounts credited to the Account will continue for all purposes to be part of the general assets of the Company.</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Grant Date</w:t>
      </w:r>
      <w:r>
        <w:rPr>
          <w:rFonts w:ascii="Arial" w:cs="Arial" w:eastAsia="Arial" w:hAnsi="Arial"/>
          <w:sz w:val="18"/>
          <w:szCs w:val="18"/>
          <w:color w:val="auto"/>
        </w:rPr>
        <w:t>: ___________</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Number of RSUs</w:t>
      </w:r>
      <w:r>
        <w:rPr>
          <w:rFonts w:ascii="Arial" w:cs="Arial" w:eastAsia="Arial" w:hAnsi="Arial"/>
          <w:sz w:val="18"/>
          <w:szCs w:val="18"/>
          <w:color w:val="auto"/>
        </w:rPr>
        <w:t>:</w:t>
      </w:r>
    </w:p>
    <w:p>
      <w:pPr>
        <w:spacing w:after="0" w:line="212" w:lineRule="exact"/>
        <w:rPr>
          <w:sz w:val="20"/>
          <w:szCs w:val="20"/>
          <w:color w:val="auto"/>
        </w:rPr>
      </w:pPr>
    </w:p>
    <w:p>
      <w:pPr>
        <w:jc w:val="both"/>
        <w:ind w:left="200" w:right="219"/>
        <w:spacing w:after="0"/>
        <w:rPr>
          <w:sz w:val="20"/>
          <w:szCs w:val="20"/>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 All of the RSUs are nonvested and forfeitable as of the Grant Date. So long as your employment or service is continuous from the Grant Date through the applicable date upon which vesting is scheduled to occur:</w:t>
      </w:r>
    </w:p>
    <w:p>
      <w:pPr>
        <w:spacing w:after="0" w:line="203" w:lineRule="exact"/>
        <w:rPr>
          <w:sz w:val="20"/>
          <w:szCs w:val="20"/>
          <w:color w:val="auto"/>
        </w:rPr>
      </w:pPr>
    </w:p>
    <w:p>
      <w:pPr>
        <w:jc w:val="both"/>
        <w:ind w:left="860" w:right="879"/>
        <w:spacing w:after="0" w:line="238" w:lineRule="auto"/>
        <w:rPr>
          <w:sz w:val="20"/>
          <w:szCs w:val="20"/>
          <w:color w:val="auto"/>
        </w:rPr>
      </w:pPr>
      <w:r>
        <w:rPr>
          <w:rFonts w:ascii="Arial" w:cs="Arial" w:eastAsia="Arial" w:hAnsi="Arial"/>
          <w:sz w:val="18"/>
          <w:szCs w:val="18"/>
          <w:color w:val="auto"/>
        </w:rPr>
        <w:t>twenty-five percent (25%) of the RSUs will be exercisable on the first anniversary of the Grant Date (the “</w:t>
      </w:r>
      <w:r>
        <w:rPr>
          <w:rFonts w:ascii="Arial" w:cs="Arial" w:eastAsia="Arial" w:hAnsi="Arial"/>
          <w:sz w:val="18"/>
          <w:szCs w:val="18"/>
          <w:u w:val="single" w:color="auto"/>
          <w:color w:val="auto"/>
        </w:rPr>
        <w:t>Initial Vesting Date</w:t>
      </w:r>
      <w:r>
        <w:rPr>
          <w:rFonts w:ascii="Arial" w:cs="Arial" w:eastAsia="Arial" w:hAnsi="Arial"/>
          <w:sz w:val="18"/>
          <w:szCs w:val="18"/>
          <w:color w:val="auto"/>
        </w:rPr>
        <w:t>”) and as to an additional twenty-five percent (25%) of the original number of RSUs at the end of each successive full twelve (12) month period following the Initial Vesting Date such that 100% of the RSUs will be vested and nonforfeitable on the fourth anniversary of the Grant Date.</w:t>
      </w:r>
    </w:p>
    <w:p>
      <w:pPr>
        <w:spacing w:after="0" w:line="189" w:lineRule="exact"/>
        <w:rPr>
          <w:sz w:val="20"/>
          <w:szCs w:val="20"/>
          <w:color w:val="auto"/>
        </w:rPr>
      </w:pPr>
    </w:p>
    <w:p>
      <w:pPr>
        <w:jc w:val="both"/>
        <w:ind w:left="540" w:right="879" w:firstLine="648"/>
        <w:spacing w:after="0" w:line="243" w:lineRule="auto"/>
        <w:rPr>
          <w:sz w:val="20"/>
          <w:szCs w:val="20"/>
          <w:color w:val="auto"/>
        </w:rPr>
      </w:pPr>
      <w:r>
        <w:rPr>
          <w:rFonts w:ascii="Arial" w:cs="Arial" w:eastAsia="Arial" w:hAnsi="Arial"/>
          <w:sz w:val="18"/>
          <w:szCs w:val="18"/>
          <w:color w:val="auto"/>
        </w:rPr>
        <w:t>Notwithstanding the foregoing, if your employment or service with the Company is terminated coincident with or within one year following a Change of Control by the Company or its successor without Cause, the RSUs that are unvested as of the date of termination will immediately become 100%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539750</wp:posOffset>
            </wp:positionV>
            <wp:extent cx="545211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54521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20"/>
        <w:spacing w:after="0"/>
        <w:tabs>
          <w:tab w:leader="none" w:pos="6200" w:val="left"/>
        </w:tabs>
        <w:rPr>
          <w:sz w:val="20"/>
          <w:szCs w:val="20"/>
          <w:color w:val="auto"/>
        </w:rPr>
      </w:pPr>
      <w:r>
        <w:rPr>
          <w:rFonts w:ascii="Arial" w:cs="Arial" w:eastAsia="Arial" w:hAnsi="Arial"/>
          <w:sz w:val="18"/>
          <w:szCs w:val="18"/>
          <w:color w:val="auto"/>
        </w:rPr>
        <w:t>Axsome Therapeutics, Inc.</w:t>
      </w:r>
      <w:r>
        <w:rPr>
          <w:sz w:val="20"/>
          <w:szCs w:val="20"/>
          <w:color w:val="auto"/>
        </w:rPr>
        <w:tab/>
      </w: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271780</wp:posOffset>
            </wp:positionV>
            <wp:extent cx="545211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200" w:right="219"/>
        <w:spacing w:after="0"/>
        <w:rPr>
          <w:sz w:val="20"/>
          <w:szCs w:val="20"/>
          <w:color w:val="auto"/>
        </w:rPr>
      </w:pPr>
      <w:r>
        <w:rPr>
          <w:rFonts w:ascii="Arial" w:cs="Arial" w:eastAsia="Arial" w:hAnsi="Arial"/>
          <w:sz w:val="18"/>
          <w:szCs w:val="18"/>
          <w:color w:val="auto"/>
        </w:rPr>
        <w:t>I acknowledge that I have carefully read the Agreement and the prospectus for the Plan. I agree to be bound by all of the provisions set forth in those documents. I also consent to electronic delivery of all notices or other information with respect to the RSUs or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266065</wp:posOffset>
            </wp:positionV>
            <wp:extent cx="545211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545211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320"/>
        <w:spacing w:after="0"/>
        <w:tabs>
          <w:tab w:leader="none" w:pos="6200" w:val="left"/>
        </w:tabs>
        <w:rPr>
          <w:sz w:val="20"/>
          <w:szCs w:val="20"/>
          <w:color w:val="auto"/>
        </w:rPr>
      </w:pPr>
      <w:r>
        <w:rPr>
          <w:rFonts w:ascii="Arial" w:cs="Arial" w:eastAsia="Arial" w:hAnsi="Arial"/>
          <w:sz w:val="18"/>
          <w:szCs w:val="18"/>
          <w:color w:val="auto"/>
        </w:rPr>
        <w:t>Signature of Grantee</w:t>
      </w:r>
      <w:r>
        <w:rPr>
          <w:sz w:val="20"/>
          <w:szCs w:val="20"/>
          <w:color w:val="auto"/>
        </w:rPr>
        <w:tab/>
      </w: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915035</wp:posOffset>
            </wp:positionV>
            <wp:extent cx="545211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64" w:right="1440"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Axsome Therapeutics, Inc.</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Unit Agreement</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w:t>
      </w:r>
    </w:p>
    <w:p>
      <w:pPr>
        <w:jc w:val="center"/>
        <w:ind w:right="19"/>
        <w:spacing w:after="0" w:line="234" w:lineRule="auto"/>
        <w:rPr>
          <w:sz w:val="20"/>
          <w:szCs w:val="20"/>
          <w:color w:val="auto"/>
        </w:rPr>
      </w:pPr>
      <w:r>
        <w:rPr>
          <w:rFonts w:ascii="Arial" w:cs="Arial" w:eastAsia="Arial" w:hAnsi="Arial"/>
          <w:sz w:val="18"/>
          <w:szCs w:val="18"/>
          <w:b w:val="1"/>
          <w:bCs w:val="1"/>
          <w:color w:val="auto"/>
        </w:rPr>
        <w:t>Axsome Therapeutics, Inc.</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2015 Omnibus Incentive Compensation Plan</w:t>
      </w:r>
    </w:p>
    <w:p>
      <w:pPr>
        <w:spacing w:after="0" w:line="212" w:lineRule="exact"/>
        <w:rPr>
          <w:sz w:val="20"/>
          <w:szCs w:val="20"/>
          <w:color w:val="auto"/>
        </w:rPr>
      </w:pPr>
    </w:p>
    <w:p>
      <w:pPr>
        <w:ind w:left="200" w:right="239" w:firstLine="657"/>
        <w:spacing w:after="0" w:line="261" w:lineRule="auto"/>
        <w:tabs>
          <w:tab w:leader="none" w:pos="1538"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Terminology</w:t>
      </w:r>
      <w:r>
        <w:rPr>
          <w:rFonts w:ascii="Arial" w:cs="Arial" w:eastAsia="Arial" w:hAnsi="Arial"/>
          <w:sz w:val="18"/>
          <w:szCs w:val="18"/>
          <w:color w:val="auto"/>
        </w:rPr>
        <w:t>. Unless otherwise provided in this Agreement, capitalized terms used herein are defined in the Glossary at the end of this Agreement.</w:t>
      </w:r>
    </w:p>
    <w:p>
      <w:pPr>
        <w:spacing w:after="0" w:line="184" w:lineRule="exact"/>
        <w:rPr>
          <w:rFonts w:ascii="Arial" w:cs="Arial" w:eastAsia="Arial" w:hAnsi="Arial"/>
          <w:sz w:val="18"/>
          <w:szCs w:val="18"/>
          <w:color w:val="auto"/>
        </w:rPr>
      </w:pPr>
    </w:p>
    <w:p>
      <w:pPr>
        <w:jc w:val="both"/>
        <w:ind w:left="200" w:right="219" w:firstLine="657"/>
        <w:spacing w:after="0" w:line="241" w:lineRule="auto"/>
        <w:tabs>
          <w:tab w:leader="none" w:pos="1538"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All of the RSUs are nonvested and forfeitable as of the Grant Date. So long as your service or employment is continuous from the Grant Date through the applicable date upon which vesting is scheduled to occur, the RSUs will become vested and nonforfeitable in accordance with the vesting schedule set forth in the Notice. Except for the circumstances, if any, described in the Notice, none of the RSUs will become vested and nonforfeitable after your service or employment ceases.</w:t>
      </w:r>
    </w:p>
    <w:p>
      <w:pPr>
        <w:spacing w:after="0" w:line="202" w:lineRule="exact"/>
        <w:rPr>
          <w:rFonts w:ascii="Arial" w:cs="Arial" w:eastAsia="Arial" w:hAnsi="Arial"/>
          <w:sz w:val="18"/>
          <w:szCs w:val="18"/>
          <w:color w:val="auto"/>
        </w:rPr>
      </w:pPr>
    </w:p>
    <w:p>
      <w:pPr>
        <w:jc w:val="both"/>
        <w:ind w:left="200" w:right="219" w:firstLine="657"/>
        <w:spacing w:after="0" w:line="241" w:lineRule="auto"/>
        <w:tabs>
          <w:tab w:leader="none" w:pos="1538"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or Service</w:t>
      </w:r>
      <w:r>
        <w:rPr>
          <w:rFonts w:ascii="Arial" w:cs="Arial" w:eastAsia="Arial" w:hAnsi="Arial"/>
          <w:sz w:val="18"/>
          <w:szCs w:val="18"/>
          <w:color w:val="auto"/>
        </w:rPr>
        <w:t>. Unless otherwise provided in the Notice, if your service or employment with the Company ceases for any reason, all RSUs that are not then vested and nonforfeitable will be forfeited to the Company immediately and automatically upon such cessation without payment of any consideration therefor and you will have no further right, title or interest in or to such RSUs or the underlying shares of Company Stock.</w:t>
      </w:r>
    </w:p>
    <w:p>
      <w:pPr>
        <w:spacing w:after="0" w:line="202" w:lineRule="exact"/>
        <w:rPr>
          <w:rFonts w:ascii="Arial" w:cs="Arial" w:eastAsia="Arial" w:hAnsi="Arial"/>
          <w:sz w:val="18"/>
          <w:szCs w:val="18"/>
          <w:color w:val="auto"/>
        </w:rPr>
      </w:pPr>
    </w:p>
    <w:p>
      <w:pPr>
        <w:jc w:val="both"/>
        <w:ind w:left="200" w:right="219" w:firstLine="657"/>
        <w:spacing w:after="0"/>
        <w:tabs>
          <w:tab w:leader="none" w:pos="1538"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r>
        <w:rPr>
          <w:rFonts w:ascii="Arial" w:cs="Arial" w:eastAsia="Arial" w:hAnsi="Arial"/>
          <w:sz w:val="18"/>
          <w:szCs w:val="18"/>
          <w:color w:val="auto"/>
        </w:rPr>
        <w:t>. Neither this Agreement nor any of the RSUs may be assigned, transferred, pledged, hypothecated or disposed of in any way, whether by operation of law or otherwise, and the RSUs shall not be subject to execution, attachment or similar process. All rights with respect to this Agreement and the RSUs shall be exercisable during your lifetime only by you or your guardian or legal representative. Notwithstanding the foregoing, the RSUs may be transferred upon your death by last will and testament or under the laws of descent and distribution.</w:t>
      </w:r>
    </w:p>
    <w:p>
      <w:pPr>
        <w:spacing w:after="0" w:line="202" w:lineRule="exact"/>
        <w:rPr>
          <w:rFonts w:ascii="Arial" w:cs="Arial" w:eastAsia="Arial" w:hAnsi="Arial"/>
          <w:sz w:val="18"/>
          <w:szCs w:val="18"/>
          <w:color w:val="auto"/>
        </w:rPr>
      </w:pPr>
    </w:p>
    <w:p>
      <w:pPr>
        <w:ind w:left="1540" w:hanging="683"/>
        <w:spacing w:after="0"/>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Settlement of RSUs</w:t>
      </w:r>
      <w:r>
        <w:rPr>
          <w:rFonts w:ascii="Arial" w:cs="Arial" w:eastAsia="Arial" w:hAnsi="Arial"/>
          <w:sz w:val="18"/>
          <w:szCs w:val="18"/>
          <w:color w:val="auto"/>
        </w:rPr>
        <w:t>.</w:t>
      </w:r>
    </w:p>
    <w:p>
      <w:pPr>
        <w:spacing w:after="0" w:line="225" w:lineRule="exact"/>
        <w:rPr>
          <w:sz w:val="20"/>
          <w:szCs w:val="20"/>
          <w:color w:val="auto"/>
        </w:rPr>
      </w:pPr>
    </w:p>
    <w:p>
      <w:pPr>
        <w:jc w:val="both"/>
        <w:ind w:left="200" w:right="219" w:firstLine="657"/>
        <w:spacing w:after="0" w:line="238" w:lineRule="auto"/>
        <w:tabs>
          <w:tab w:leader="none" w:pos="1554"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Manner of Settlement</w:t>
      </w:r>
      <w:r>
        <w:rPr>
          <w:rFonts w:ascii="Arial" w:cs="Arial" w:eastAsia="Arial" w:hAnsi="Arial"/>
          <w:sz w:val="18"/>
          <w:szCs w:val="18"/>
          <w:color w:val="auto"/>
        </w:rPr>
        <w:t>. You are not required to make any monetary payment (other than applicable tax withholding, if required) as a condition to settlement of the RSUs. The Company will issue to you, in settlement of your RSUs and subject to the provisions of Section 6 below, the number of whole shares of Company Stock that equals the number of whole RSUs that become vested, and such vested RSUs will terminate and cease to be outstanding upon such issuance of the shares. Upon issuance of such shares, the Company will determine the form of delivery (e.g., a stock certificate or electronic entry evidencing such shares) and may deliver such shares on your behalf electronically to the Company’s designated stock plan administrator or such other broker-dealer as the Company may choose at its sole discretion, within reason.</w:t>
      </w:r>
    </w:p>
    <w:p>
      <w:pPr>
        <w:spacing w:after="0" w:line="204" w:lineRule="exact"/>
        <w:rPr>
          <w:rFonts w:ascii="Arial" w:cs="Arial" w:eastAsia="Arial" w:hAnsi="Arial"/>
          <w:sz w:val="18"/>
          <w:szCs w:val="18"/>
          <w:color w:val="auto"/>
        </w:rPr>
      </w:pPr>
    </w:p>
    <w:p>
      <w:pPr>
        <w:jc w:val="both"/>
        <w:ind w:left="200" w:right="219" w:firstLine="657"/>
        <w:spacing w:after="0"/>
        <w:tabs>
          <w:tab w:leader="none" w:pos="1554"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Timing of Settlement</w:t>
      </w:r>
      <w:r>
        <w:rPr>
          <w:rFonts w:ascii="Arial" w:cs="Arial" w:eastAsia="Arial" w:hAnsi="Arial"/>
          <w:sz w:val="18"/>
          <w:szCs w:val="18"/>
          <w:color w:val="auto"/>
        </w:rPr>
        <w:t>. Your RSUs will be settled by the Company, via the issuance of Company Stock as described herein, on the date that the RSUs become vested and nonforfeitable. However, if a scheduled issuance date falls on a Saturday, Sunday or federal holiday, such issuance date shall instead fall on the next following day that the principal executive offices of the Company are open for business. In all cases, the issuance and delivery of shares under this Agreement is intended to comply with Treasury Regulation 1.409A-1(b)(4) and shall be construed and administered in such a manner.</w:t>
      </w:r>
    </w:p>
    <w:p>
      <w:pPr>
        <w:spacing w:after="0" w:line="203" w:lineRule="exact"/>
        <w:rPr>
          <w:sz w:val="20"/>
          <w:szCs w:val="20"/>
          <w:color w:val="auto"/>
        </w:rPr>
      </w:pPr>
    </w:p>
    <w:p>
      <w:pPr>
        <w:jc w:val="both"/>
        <w:ind w:left="200" w:right="219" w:firstLine="657"/>
        <w:spacing w:after="0" w:line="236" w:lineRule="auto"/>
        <w:tabs>
          <w:tab w:leader="none" w:pos="1538" w:val="left"/>
        </w:tabs>
        <w:numPr>
          <w:ilvl w:val="1"/>
          <w:numId w:val="6"/>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On or before the time you receive a distribution of the shares subject to your RSUs, or at any time thereafter as requested by the Company, you hereby authorize any required withholding from the Company Stock issuable to you and/or otherwise agree to make adequate provision in cash for any sums required to satisfy the federal, state, local and foreign tax withholding obligations of the Company or any Affiliate which arise in connection with your RSUs (the “</w:t>
      </w:r>
      <w:r>
        <w:rPr>
          <w:rFonts w:ascii="Arial" w:cs="Arial" w:eastAsia="Arial" w:hAnsi="Arial"/>
          <w:sz w:val="18"/>
          <w:szCs w:val="18"/>
          <w:b w:val="1"/>
          <w:bCs w:val="1"/>
          <w:i w:val="1"/>
          <w:iCs w:val="1"/>
          <w:color w:val="auto"/>
        </w:rPr>
        <w:t>Withholding Taxes</w:t>
      </w:r>
      <w:r>
        <w:rPr>
          <w:rFonts w:ascii="Arial" w:cs="Arial" w:eastAsia="Arial" w:hAnsi="Arial"/>
          <w:sz w:val="18"/>
          <w:szCs w:val="18"/>
          <w:color w:val="auto"/>
        </w:rPr>
        <w:t>”). Additionally, the Company may, in its sole discretion, satisfy all or any portion of the Withholding Taxes obligation relating to your RSUs by any of the following means or by a combination of such means: (i) withholding from any compensation otherwise payable to you by the Company; (ii) causing you to tender a cash payment;</w:t>
      </w:r>
    </w:p>
    <w:p>
      <w:pPr>
        <w:spacing w:after="0" w:line="5" w:lineRule="exact"/>
        <w:rPr>
          <w:rFonts w:ascii="Arial" w:cs="Arial" w:eastAsia="Arial" w:hAnsi="Arial"/>
          <w:sz w:val="18"/>
          <w:szCs w:val="18"/>
          <w:color w:val="auto"/>
        </w:rPr>
      </w:pPr>
    </w:p>
    <w:p>
      <w:pPr>
        <w:ind w:left="200" w:right="219" w:firstLine="9"/>
        <w:spacing w:after="0" w:line="246" w:lineRule="auto"/>
        <w:tabs>
          <w:tab w:leader="none" w:pos="496"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permitting you to enter into a “same day sale” commitment with a broker-dealer that is a member of the Financial Industry Regulatory Authority (a “</w:t>
      </w:r>
      <w:r>
        <w:rPr>
          <w:rFonts w:ascii="Arial" w:cs="Arial" w:eastAsia="Arial" w:hAnsi="Arial"/>
          <w:sz w:val="18"/>
          <w:szCs w:val="18"/>
          <w:b w:val="1"/>
          <w:bCs w:val="1"/>
          <w:i w:val="1"/>
          <w:iCs w:val="1"/>
          <w:color w:val="auto"/>
        </w:rPr>
        <w:t>FINRA Dealer</w:t>
      </w:r>
      <w:r>
        <w:rPr>
          <w:rFonts w:ascii="Arial" w:cs="Arial" w:eastAsia="Arial" w:hAnsi="Arial"/>
          <w:sz w:val="18"/>
          <w:szCs w:val="18"/>
          <w:color w:val="auto"/>
        </w:rPr>
        <w:t>”) whereby you irrevocably elect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622935</wp:posOffset>
            </wp:positionV>
            <wp:extent cx="545211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10" w:name="page11"/>
    <w:bookmarkEnd w:id="10"/>
    <w:p>
      <w:pPr>
        <w:jc w:val="both"/>
        <w:ind w:left="200" w:right="219"/>
        <w:spacing w:after="0"/>
        <w:rPr>
          <w:sz w:val="20"/>
          <w:szCs w:val="20"/>
          <w:color w:val="auto"/>
        </w:rPr>
      </w:pPr>
      <w:r>
        <w:rPr>
          <w:rFonts w:ascii="Arial" w:cs="Arial" w:eastAsia="Arial" w:hAnsi="Arial"/>
          <w:sz w:val="18"/>
          <w:szCs w:val="18"/>
          <w:color w:val="auto"/>
        </w:rPr>
        <w:t>to sell a portion of the shares to be delivered under the Agreement to satisfy the Withholding Taxes and whereby the FINRA Dealer irrevocably commits to forward the proceeds necessary to satisfy the Withholding Taxes directly to the Company; or (iv) withholding shares of Company Stock from the shares of Company Stock issued or otherwise issuable to you in connection with the RSUs with a Fair Market Value (measured as of the date shares of Company Stock are issued to you pursuant to Section 5) equal to the amount of such Withholding Taxes; provided, however, that the number of such shares of Company Stock so withheld shall not exceed the amount necessary to satisfy the Company’s required tax withholding obligations using the minimum statutory withholding rates for federal, state, local and foreign tax purposes, including payroll taxes, that are applicable to supplemental taxable income. Unless the tax withholding obligations of the Company are satisfied, the Company shall have no obligation to deliver to you any Company Stock. In the event the Company’s obligation to withhold arises prior to the delivery to you of Company Stock or it is determined after the delivery of Company Stock to you that the amount of the Company’s withholding obligation was greater than the amount withheld by the Company, you agree to indemnify and hold the Company harmless from any failure by the Company to withhold the proper amount.</w:t>
      </w:r>
    </w:p>
    <w:p>
      <w:pPr>
        <w:spacing w:after="0" w:line="356" w:lineRule="exact"/>
        <w:rPr>
          <w:sz w:val="20"/>
          <w:szCs w:val="20"/>
          <w:color w:val="auto"/>
        </w:rPr>
      </w:pPr>
    </w:p>
    <w:p>
      <w:pPr>
        <w:ind w:left="1540" w:hanging="683"/>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Adjustments for Corporate Transactions and Other Events</w:t>
      </w:r>
      <w:r>
        <w:rPr>
          <w:rFonts w:ascii="Arial" w:cs="Arial" w:eastAsia="Arial" w:hAnsi="Arial"/>
          <w:sz w:val="18"/>
          <w:szCs w:val="18"/>
          <w:color w:val="auto"/>
        </w:rPr>
        <w:t>.</w:t>
      </w:r>
    </w:p>
    <w:p>
      <w:pPr>
        <w:spacing w:after="0" w:line="225" w:lineRule="exact"/>
        <w:rPr>
          <w:sz w:val="20"/>
          <w:szCs w:val="20"/>
          <w:color w:val="auto"/>
        </w:rPr>
      </w:pPr>
    </w:p>
    <w:p>
      <w:pPr>
        <w:jc w:val="both"/>
        <w:ind w:left="200" w:right="219" w:firstLine="657"/>
        <w:spacing w:after="0"/>
        <w:tabs>
          <w:tab w:leader="none" w:pos="1554"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Stock Dividend, Stock Split and Reverse Stock Split</w:t>
      </w:r>
      <w:r>
        <w:rPr>
          <w:rFonts w:ascii="Arial" w:cs="Arial" w:eastAsia="Arial" w:hAnsi="Arial"/>
          <w:sz w:val="18"/>
          <w:szCs w:val="18"/>
          <w:color w:val="auto"/>
        </w:rPr>
        <w:t>. Upon a stock dividend of, or stock split or reverse stock split or other event described in Section 4(d) of the Plan affecting, the Company Stock, the number of outstanding RSUs shall, without further action of the Administrator, be adjusted to reflect such event; provided, however, that any fractional RSUs resulting from any such adjustment shall be eliminated. Adjustments under this paragraph will be made by the Administrator, whose determination as to what adjustments, if any, will be made and the extent thereof will be final, binding and conclusive.</w:t>
      </w:r>
    </w:p>
    <w:p>
      <w:pPr>
        <w:spacing w:after="0" w:line="202" w:lineRule="exact"/>
        <w:rPr>
          <w:rFonts w:ascii="Arial" w:cs="Arial" w:eastAsia="Arial" w:hAnsi="Arial"/>
          <w:sz w:val="18"/>
          <w:szCs w:val="18"/>
          <w:color w:val="auto"/>
        </w:rPr>
      </w:pPr>
    </w:p>
    <w:p>
      <w:pPr>
        <w:jc w:val="both"/>
        <w:ind w:left="200" w:right="219" w:firstLine="657"/>
        <w:spacing w:after="0"/>
        <w:tabs>
          <w:tab w:leader="none" w:pos="1554"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Merger, Consolidation and Other Events</w:t>
      </w:r>
      <w:r>
        <w:rPr>
          <w:rFonts w:ascii="Arial" w:cs="Arial" w:eastAsia="Arial" w:hAnsi="Arial"/>
          <w:sz w:val="18"/>
          <w:szCs w:val="18"/>
          <w:color w:val="auto"/>
        </w:rPr>
        <w:t>. If the Company shall be the surviving or resulting corporation in any merger or consolidation and the Company Stock shall be converted into other securities, the RSUs shall pertain to and apply to the securities to which a holder of the number of shares of Company Stock subject to the RSUs would have been entitled. If the stockholders of the Company receive by reason of any distribution in total or partial liquidation or pursuant to any merger of the Company or acquisition of its assets, securities of another entity or other property (including cash), then the rights of the Company under this Agreement shall inure to the benefit of the Company’s successor, and this Agreement shall apply to the securities or other property (including cash) to which a holder of the number of shares of Company Stock subject to the RSUs would have been entitled, in the same manner and to the same extent as the RSUs.</w:t>
      </w:r>
    </w:p>
    <w:p>
      <w:pPr>
        <w:spacing w:after="0" w:line="392" w:lineRule="exact"/>
        <w:rPr>
          <w:sz w:val="20"/>
          <w:szCs w:val="20"/>
          <w:color w:val="auto"/>
        </w:rPr>
      </w:pPr>
    </w:p>
    <w:p>
      <w:pPr>
        <w:jc w:val="both"/>
        <w:ind w:left="200" w:right="219" w:firstLine="657"/>
        <w:spacing w:after="0" w:line="207" w:lineRule="exact"/>
        <w:tabs>
          <w:tab w:leader="none" w:pos="1538"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Non</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Guarantee of Employment or Service Relationship</w:t>
      </w:r>
      <w:r>
        <w:rPr>
          <w:rFonts w:ascii="Arial" w:cs="Arial" w:eastAsia="Arial" w:hAnsi="Arial"/>
          <w:sz w:val="18"/>
          <w:szCs w:val="18"/>
          <w:color w:val="auto"/>
        </w:rPr>
        <w:t>. Nothing in the Plan or this Agreement shall alter your at</w:t>
      </w:r>
      <w:r>
        <w:rPr>
          <w:rFonts w:ascii="MS PGothic" w:cs="MS PGothic" w:eastAsia="MS PGothic" w:hAnsi="MS PGothic"/>
          <w:sz w:val="18"/>
          <w:szCs w:val="18"/>
          <w:color w:val="auto"/>
        </w:rPr>
        <w:t>‑</w:t>
      </w:r>
      <w:r>
        <w:rPr>
          <w:rFonts w:ascii="Arial" w:cs="Arial" w:eastAsia="Arial" w:hAnsi="Arial"/>
          <w:sz w:val="18"/>
          <w:szCs w:val="18"/>
          <w:color w:val="auto"/>
        </w:rPr>
        <w:t>will or other employment status or other service relationship with the Company, nor be construed as a contract of employment or service relationship between the Company and you, or as a contractual right of you to continue in the employ of, or in a service relationship with, the Company for any period of time, or as a limitation of the right of the Company to discharge you at any time with or without cause or notice and whether or not such discharge results in the forfeiture of any nonvested and forfeitable RSUs or any other adverse effect on your interests under the Plan.</w:t>
      </w:r>
    </w:p>
    <w:p>
      <w:pPr>
        <w:spacing w:after="0" w:line="204" w:lineRule="exact"/>
        <w:rPr>
          <w:rFonts w:ascii="Arial" w:cs="Arial" w:eastAsia="Arial" w:hAnsi="Arial"/>
          <w:sz w:val="18"/>
          <w:szCs w:val="18"/>
          <w:color w:val="auto"/>
        </w:rPr>
      </w:pPr>
    </w:p>
    <w:p>
      <w:pPr>
        <w:jc w:val="both"/>
        <w:ind w:left="200" w:right="219" w:firstLine="657"/>
        <w:spacing w:after="0" w:line="248" w:lineRule="auto"/>
        <w:tabs>
          <w:tab w:leader="none" w:pos="1538"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Rights as Stockholder</w:t>
      </w:r>
      <w:r>
        <w:rPr>
          <w:rFonts w:ascii="Arial" w:cs="Arial" w:eastAsia="Arial" w:hAnsi="Arial"/>
          <w:sz w:val="18"/>
          <w:szCs w:val="18"/>
          <w:color w:val="auto"/>
        </w:rPr>
        <w:t>. You shall not have any of the rights of a stockholder with respect to any shares of Company Stock that may be issued in settlement of the RSUs until such shares of Company Stock have been issued to you.</w:t>
      </w:r>
    </w:p>
    <w:p>
      <w:pPr>
        <w:spacing w:after="0" w:line="195" w:lineRule="exact"/>
        <w:rPr>
          <w:rFonts w:ascii="Arial" w:cs="Arial" w:eastAsia="Arial" w:hAnsi="Arial"/>
          <w:sz w:val="18"/>
          <w:szCs w:val="18"/>
          <w:color w:val="auto"/>
        </w:rPr>
      </w:pPr>
    </w:p>
    <w:p>
      <w:pPr>
        <w:jc w:val="both"/>
        <w:ind w:left="200" w:right="219" w:firstLine="657"/>
        <w:spacing w:after="0" w:line="239" w:lineRule="auto"/>
        <w:tabs>
          <w:tab w:leader="none" w:pos="1638"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The Company’s Rights</w:t>
      </w:r>
      <w:r>
        <w:rPr>
          <w:rFonts w:ascii="Arial" w:cs="Arial" w:eastAsia="Arial" w:hAnsi="Arial"/>
          <w:sz w:val="18"/>
          <w:szCs w:val="18"/>
          <w:color w:val="auto"/>
        </w:rPr>
        <w:t>. The existence of the RSUs shall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other stocks with preference ahead of or convertible into, or otherwise affecting the Company Stock or the rights thereof, or the dissolution or liquidation of the Company, or any sale or transfer of all or any part of the Company's assets or business, or any other corporate act or proceeding, whether of a similar character or otherwise.</w:t>
      </w:r>
    </w:p>
    <w:p>
      <w:pPr>
        <w:spacing w:after="0" w:line="204" w:lineRule="exact"/>
        <w:rPr>
          <w:rFonts w:ascii="Arial" w:cs="Arial" w:eastAsia="Arial" w:hAnsi="Arial"/>
          <w:sz w:val="18"/>
          <w:szCs w:val="18"/>
          <w:color w:val="auto"/>
        </w:rPr>
      </w:pPr>
    </w:p>
    <w:p>
      <w:pPr>
        <w:jc w:val="both"/>
        <w:ind w:left="200" w:right="219" w:firstLine="657"/>
        <w:spacing w:after="0" w:line="244" w:lineRule="auto"/>
        <w:tabs>
          <w:tab w:leader="none" w:pos="1638"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Restrictions on Issuance of Shares</w:t>
      </w:r>
      <w:r>
        <w:rPr>
          <w:rFonts w:ascii="Arial" w:cs="Arial" w:eastAsia="Arial" w:hAnsi="Arial"/>
          <w:sz w:val="18"/>
          <w:szCs w:val="18"/>
          <w:color w:val="auto"/>
        </w:rPr>
        <w:t>. The issuance of shares of Company Stock upon settlement of the RSUs shall be subject to and in compliance with all applicable requirements of federal, state, or foreign law with respect to such securities. No shares of Company Stock may be issued hereunder</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340360</wp:posOffset>
            </wp:positionV>
            <wp:extent cx="545211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82" w:right="1440" w:bottom="1440" w:gutter="0" w:footer="0" w:header="0"/>
        </w:sectPr>
      </w:pPr>
    </w:p>
    <w:bookmarkStart w:id="11" w:name="page12"/>
    <w:bookmarkEnd w:id="11"/>
    <w:p>
      <w:pPr>
        <w:jc w:val="both"/>
        <w:ind w:left="200" w:right="219"/>
        <w:spacing w:after="0" w:line="236" w:lineRule="auto"/>
        <w:rPr>
          <w:sz w:val="20"/>
          <w:szCs w:val="20"/>
          <w:color w:val="auto"/>
        </w:rPr>
      </w:pPr>
      <w:r>
        <w:rPr>
          <w:rFonts w:ascii="Arial" w:cs="Arial" w:eastAsia="Arial" w:hAnsi="Arial"/>
          <w:sz w:val="18"/>
          <w:szCs w:val="18"/>
          <w:color w:val="auto"/>
        </w:rPr>
        <w:t>if the issuance of such shares would constitute a violation of any applicable federal, state, or foreign securities laws or other law or regulations or the requirements of any stock exchange or market system upon which the Company Stock may then be listed. The inability of the Company to obtain from any regulatory body having jurisdiction the authority, if any, deemed by the Company’s legal counsel to be necessary to the lawful issuance of any shares subject to the RSUs shall relieve the Company of any liability in respect of the failure to issue such shares as to which such requisite authority shall not have been obtained. As a condition to the settlement of the RSUs, the Company may require you to satisfy any qualifications that may be necessary or appropriate, to evidence compliance with any applicable law or regulation, and to make any representation or warranty with respect thereto as may be requested by the Company.</w:t>
      </w:r>
    </w:p>
    <w:p>
      <w:pPr>
        <w:spacing w:after="0" w:line="206" w:lineRule="exact"/>
        <w:rPr>
          <w:sz w:val="20"/>
          <w:szCs w:val="20"/>
          <w:color w:val="auto"/>
        </w:rPr>
      </w:pPr>
    </w:p>
    <w:p>
      <w:pPr>
        <w:jc w:val="both"/>
        <w:ind w:left="200" w:right="219" w:firstLine="657"/>
        <w:spacing w:after="0" w:line="237" w:lineRule="auto"/>
        <w:tabs>
          <w:tab w:leader="none" w:pos="1638"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made or given pursuant to this Agreement shall be given in writing and shall be deemed effectively given upon receipt or, in the case of notices delivered by the Company to you, five (5) days after deposit in the United States mail, postage prepaid, addressed to you at the last address you provided to the Company, or in the case of notices delivered to the Company by you, addressed to the Administrator, care of the Company for the attention of its Secretary at its principal executive office or, in either case, if the receiving party consents in advance, transmitted and received via telecopy or via such other electronic transmission mechanism as may be available to the parties. Notwithstanding the foregoing, the Company may, in its sole discretion, decide to deliver any documents related to participation in the Plan and this award of RSUs by electronic means or to request your consent to participate in the Plan or accept this award of RSUs by electronic means. You hereby consent to receive such documents by electronic delivery and, if requested, to agree to participate in the Plan through an on-line or electronic system established and maintained by the Company or another third party designated by the Company.</w:t>
      </w:r>
    </w:p>
    <w:p>
      <w:pPr>
        <w:spacing w:after="0" w:line="204" w:lineRule="exact"/>
        <w:rPr>
          <w:rFonts w:ascii="Arial" w:cs="Arial" w:eastAsia="Arial" w:hAnsi="Arial"/>
          <w:sz w:val="18"/>
          <w:szCs w:val="18"/>
          <w:color w:val="auto"/>
        </w:rPr>
      </w:pPr>
    </w:p>
    <w:p>
      <w:pPr>
        <w:jc w:val="both"/>
        <w:ind w:left="200" w:right="219" w:firstLine="657"/>
        <w:spacing w:after="0" w:line="241" w:lineRule="auto"/>
        <w:tabs>
          <w:tab w:leader="none" w:pos="1638"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the relevant Notice and the Plan, contains the entire agreement between the parties with respect to the RSUs granted hereunder. Any oral or written agreements, representations, warranties, written inducements, or other communications made prior to the execution of this Agreement with respect to the RSUs granted hereunder shall be void and ineffective for all purposes.</w:t>
      </w:r>
    </w:p>
    <w:p>
      <w:pPr>
        <w:spacing w:after="0" w:line="202" w:lineRule="exact"/>
        <w:rPr>
          <w:rFonts w:ascii="Arial" w:cs="Arial" w:eastAsia="Arial" w:hAnsi="Arial"/>
          <w:sz w:val="18"/>
          <w:szCs w:val="18"/>
          <w:color w:val="auto"/>
        </w:rPr>
      </w:pPr>
    </w:p>
    <w:p>
      <w:pPr>
        <w:jc w:val="both"/>
        <w:ind w:left="200" w:right="219" w:firstLine="657"/>
        <w:spacing w:after="0" w:line="243" w:lineRule="auto"/>
        <w:tabs>
          <w:tab w:leader="none" w:pos="1638"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This Agreement may be amended from time to time by the Administrator in its discretion;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Agreement may not be modified in any manner that would have a materially adverse effect on the RSUs as determined in the discretion of the Administrator, except as provided in the Plan or in a written document signed by each of the parties hereto.</w:t>
      </w:r>
    </w:p>
    <w:p>
      <w:pPr>
        <w:spacing w:after="0" w:line="201" w:lineRule="exact"/>
        <w:rPr>
          <w:rFonts w:ascii="Arial" w:cs="Arial" w:eastAsia="Arial" w:hAnsi="Arial"/>
          <w:sz w:val="18"/>
          <w:szCs w:val="18"/>
          <w:color w:val="auto"/>
        </w:rPr>
      </w:pPr>
    </w:p>
    <w:p>
      <w:pPr>
        <w:jc w:val="both"/>
        <w:ind w:left="200" w:right="219" w:firstLine="657"/>
        <w:spacing w:after="0" w:line="236" w:lineRule="auto"/>
        <w:tabs>
          <w:tab w:leader="none" w:pos="1638"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Recoupment Policy. You agree that, subject to the requirements of applicable law, if you breach any restrictive covenant agreement between you and the Company or you otherwise engage in activities that constitute Cause either while employed by, or providing service to, the Company or within two years thereafter, the RSU shall terminate, and the Company may rescind any delivery of shares upon vesting or settlement, as applicable on such terms as the Committee shall determine, including the right to require that in the event of any such rescission, (a) you shall return to the Company the shares received upon settlement of the RSU or, (b) if you no longer owns the shares, you shall pay to the Company the amount of any gain realized or payment received as a result of any sale or other disposition of the shares (or, in the event you transfer the shares by gift or otherwise without consideration, the Fair Market Value of the shares on the date of the breach of any restrictive covenant agreement or activity constituting Cause). You agree that payment shall be made in such manner and on such terms and conditions as may be required by the Committee and you shall be entitled to set off against the amount of any such payment any amounts otherwise owed to you by the Company. In addition, you agree that the RSU shall be subject to any applicable clawback or recoupment policies, share trading policies and other policies that may be implemented by the Board from time to time.</w:t>
      </w:r>
    </w:p>
    <w:p>
      <w:pPr>
        <w:spacing w:after="0" w:line="214" w:lineRule="exact"/>
        <w:rPr>
          <w:sz w:val="20"/>
          <w:szCs w:val="20"/>
          <w:color w:val="auto"/>
        </w:rPr>
      </w:pPr>
    </w:p>
    <w:p>
      <w:pPr>
        <w:jc w:val="both"/>
        <w:ind w:left="200" w:right="219" w:firstLine="648"/>
        <w:spacing w:after="0" w:line="237" w:lineRule="auto"/>
        <w:rPr>
          <w:sz w:val="20"/>
          <w:szCs w:val="20"/>
          <w:color w:val="auto"/>
        </w:rPr>
      </w:pPr>
      <w:r>
        <w:rPr>
          <w:rFonts w:ascii="Arial" w:cs="Arial" w:eastAsia="Arial" w:hAnsi="Arial"/>
          <w:sz w:val="18"/>
          <w:szCs w:val="18"/>
          <w:u w:val="single" w:color="auto"/>
          <w:color w:val="auto"/>
        </w:rPr>
        <w:t>409A Savings Clause</w:t>
      </w:r>
      <w:r>
        <w:rPr>
          <w:rFonts w:ascii="Arial" w:cs="Arial" w:eastAsia="Arial" w:hAnsi="Arial"/>
          <w:sz w:val="18"/>
          <w:szCs w:val="18"/>
          <w:color w:val="auto"/>
        </w:rPr>
        <w:t>. This Agreement and the RSUs granted hereunder are intended to either fit within the “short-term deferral” exemption from Section 409A of the Code as set forth in Treasury Regulation Section 1.409A-1(b)(4) or comply with Section 409A. Notwithstanding the foregoing, if it is determined that the RSUs fail to satisfy the requirements of the short-term deferral rule and are otherwise deferred compensation subject to Section 409A, and if you are a “Specified Employee” (within the meaning set forth Section 409A(a)(2)(B)(i) of the Code) as of the date of your separation from service (within the meaning of</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340360</wp:posOffset>
            </wp:positionV>
            <wp:extent cx="545211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82" w:right="1440" w:bottom="1440" w:gutter="0" w:footer="0" w:header="0"/>
        </w:sectPr>
      </w:pPr>
    </w:p>
    <w:bookmarkStart w:id="12" w:name="page13"/>
    <w:bookmarkEnd w:id="12"/>
    <w:p>
      <w:pPr>
        <w:jc w:val="both"/>
        <w:ind w:left="200" w:right="219"/>
        <w:spacing w:after="0" w:line="237" w:lineRule="auto"/>
        <w:rPr>
          <w:sz w:val="20"/>
          <w:szCs w:val="20"/>
          <w:color w:val="auto"/>
        </w:rPr>
      </w:pPr>
      <w:r>
        <w:rPr>
          <w:rFonts w:ascii="Arial" w:cs="Arial" w:eastAsia="Arial" w:hAnsi="Arial"/>
          <w:sz w:val="18"/>
          <w:szCs w:val="18"/>
          <w:color w:val="auto"/>
        </w:rPr>
        <w:t>Treasury Regulation Section 1.409A-1(h)), then the issuance of any shares that would otherwise be made upon the date of the separation from service or within the first six (6) months thereafter will not be made on the originally scheduled date(s) and will instead be issued in a lump sum on the date that is six (6) months and one day after the date of the separation from service, but if and only if such delay in the issuance of the shares is necessary to avoid the imposition of additional taxation on you in respect of the shares under Section 409A of the Code. Each installment of shares that vests is intended to constitute a “separate payment” for purposes of Section 409A of the Code and Treasury Regulation Section 1.409A-2(b)(2).</w:t>
      </w:r>
    </w:p>
    <w:p>
      <w:pPr>
        <w:spacing w:after="0" w:line="203" w:lineRule="exact"/>
        <w:rPr>
          <w:sz w:val="20"/>
          <w:szCs w:val="20"/>
          <w:color w:val="auto"/>
        </w:rPr>
      </w:pPr>
    </w:p>
    <w:p>
      <w:pPr>
        <w:jc w:val="both"/>
        <w:ind w:left="200" w:right="219" w:firstLine="657"/>
        <w:spacing w:after="0" w:line="241" w:lineRule="auto"/>
        <w:tabs>
          <w:tab w:leader="none" w:pos="1584"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No Obligation to Minimize Taxes</w:t>
      </w:r>
      <w:r>
        <w:rPr>
          <w:rFonts w:ascii="Arial" w:cs="Arial" w:eastAsia="Arial" w:hAnsi="Arial"/>
          <w:sz w:val="18"/>
          <w:szCs w:val="18"/>
          <w:color w:val="auto"/>
        </w:rPr>
        <w:t>. The Company has no duty or obligation to minimize the tax consequences to you of this award of RSUs and shall not be liable to you for any adverse tax consequences to you arising in connection with this award. You are hereby advised to consult with your own personal tax, financial and/or legal advisors regarding the tax consequences of this award and by signing the Notice, you have agreed that you have done so or knowingly and voluntarily declined to do so.</w:t>
      </w:r>
    </w:p>
    <w:p>
      <w:pPr>
        <w:spacing w:after="0" w:line="202" w:lineRule="exact"/>
        <w:rPr>
          <w:rFonts w:ascii="Arial" w:cs="Arial" w:eastAsia="Arial" w:hAnsi="Arial"/>
          <w:sz w:val="18"/>
          <w:szCs w:val="18"/>
          <w:color w:val="auto"/>
        </w:rPr>
      </w:pPr>
    </w:p>
    <w:p>
      <w:pPr>
        <w:jc w:val="both"/>
        <w:ind w:left="200" w:right="219" w:firstLine="657"/>
        <w:spacing w:after="0" w:line="241" w:lineRule="auto"/>
        <w:tabs>
          <w:tab w:leader="none" w:pos="1638"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Conformity with Plan</w:t>
      </w:r>
      <w:r>
        <w:rPr>
          <w:rFonts w:ascii="Arial" w:cs="Arial" w:eastAsia="Arial" w:hAnsi="Arial"/>
          <w:sz w:val="18"/>
          <w:szCs w:val="18"/>
          <w:color w:val="auto"/>
        </w:rPr>
        <w:t>. This Agreement is intended to conform in all respects with, and is subject to all applicable provisions of, the Plan. Inconsistencies between this Agreement and the Plan shall be resolved in accordance with the terms of the Plan. In the event of any ambiguity in this Agreement or any matters as to which this Agreement is silent, the Plan shall govern. A copy of the Plan is available upon request to the Administrator.</w:t>
      </w:r>
    </w:p>
    <w:p>
      <w:pPr>
        <w:spacing w:after="0" w:line="202" w:lineRule="exact"/>
        <w:rPr>
          <w:rFonts w:ascii="Arial" w:cs="Arial" w:eastAsia="Arial" w:hAnsi="Arial"/>
          <w:sz w:val="18"/>
          <w:szCs w:val="18"/>
          <w:color w:val="auto"/>
        </w:rPr>
      </w:pPr>
    </w:p>
    <w:p>
      <w:pPr>
        <w:jc w:val="both"/>
        <w:ind w:left="200" w:right="219" w:firstLine="657"/>
        <w:spacing w:after="0" w:line="248" w:lineRule="auto"/>
        <w:tabs>
          <w:tab w:leader="none" w:pos="1638"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No Funding</w:t>
      </w:r>
      <w:r>
        <w:rPr>
          <w:rFonts w:ascii="Arial" w:cs="Arial" w:eastAsia="Arial" w:hAnsi="Arial"/>
          <w:sz w:val="18"/>
          <w:szCs w:val="18"/>
          <w:color w:val="auto"/>
        </w:rPr>
        <w:t>. This Agreement constitutes an unfunded and unsecured promise by the Company to issue shares of Company Stock in the future in accordance with its terms. You have the status of a general unsecured creditor of the Company as a result of receiving the grant of RSUs.</w:t>
      </w:r>
    </w:p>
    <w:p>
      <w:pPr>
        <w:spacing w:after="0" w:line="195" w:lineRule="exact"/>
        <w:rPr>
          <w:rFonts w:ascii="Arial" w:cs="Arial" w:eastAsia="Arial" w:hAnsi="Arial"/>
          <w:sz w:val="18"/>
          <w:szCs w:val="18"/>
          <w:color w:val="auto"/>
        </w:rPr>
      </w:pPr>
    </w:p>
    <w:p>
      <w:pPr>
        <w:jc w:val="both"/>
        <w:ind w:left="200" w:right="219" w:firstLine="657"/>
        <w:spacing w:after="0" w:line="241" w:lineRule="auto"/>
        <w:tabs>
          <w:tab w:leader="none" w:pos="1584"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Effect on Other Employee Benefit Plans</w:t>
      </w:r>
      <w:r>
        <w:rPr>
          <w:rFonts w:ascii="Arial" w:cs="Arial" w:eastAsia="Arial" w:hAnsi="Arial"/>
          <w:sz w:val="18"/>
          <w:szCs w:val="18"/>
          <w:color w:val="auto"/>
        </w:rPr>
        <w:t>. The value of the RSUs subject to this Agreement shall not be included as compensation, earnings, salaries, or other similar terms used when calculating your benefits under any employee benefit plan sponsored by the Company, except as such plan otherwise expressly provides. The Company expressly reserves its rights to amend, modify, or terminate any of the Company’s employee benefit plans.</w:t>
      </w:r>
    </w:p>
    <w:p>
      <w:pPr>
        <w:spacing w:after="0" w:line="202" w:lineRule="exact"/>
        <w:rPr>
          <w:rFonts w:ascii="Arial" w:cs="Arial" w:eastAsia="Arial" w:hAnsi="Arial"/>
          <w:sz w:val="18"/>
          <w:szCs w:val="18"/>
          <w:color w:val="auto"/>
        </w:rPr>
      </w:pPr>
    </w:p>
    <w:p>
      <w:pPr>
        <w:jc w:val="both"/>
        <w:ind w:left="200" w:right="219" w:firstLine="657"/>
        <w:spacing w:after="0" w:line="238" w:lineRule="auto"/>
        <w:tabs>
          <w:tab w:leader="none" w:pos="1638"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construction and effect of this Agreement, and of any determinations or decisions made by the Administrator relating to this Agreement, and the rights of any and all persons having or claiming to have any interest under this Agreement, shall be determined exclusively in accordance with the laws of the State of Delaware, without regard to its provisions concerning the applicability of laws of other jurisdictions. As a condition of this Agreement, you agree that you will not bring any action arising under, as a result of, pursuant to or relating to, this Agreement in any court other than a federal or state court in the districts which include Delaware, and you hereby agree and submit to the personal jurisdiction of any federal court located in the district which includes Delaware or any state court in the district which includes Delaware. You further agree that you will not deny or attempt to defeat such personal jurisdiction or object to venue by motion or other request for leave from any such court.</w:t>
      </w:r>
    </w:p>
    <w:p>
      <w:pPr>
        <w:spacing w:after="0" w:line="201" w:lineRule="exact"/>
        <w:rPr>
          <w:rFonts w:ascii="Arial" w:cs="Arial" w:eastAsia="Arial" w:hAnsi="Arial"/>
          <w:sz w:val="18"/>
          <w:szCs w:val="18"/>
          <w:color w:val="auto"/>
        </w:rPr>
      </w:pPr>
    </w:p>
    <w:p>
      <w:pPr>
        <w:jc w:val="both"/>
        <w:ind w:left="200" w:right="219" w:firstLine="657"/>
        <w:spacing w:after="0" w:line="238" w:lineRule="auto"/>
        <w:tabs>
          <w:tab w:leader="none" w:pos="1638"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Resolution of Disputes</w:t>
      </w:r>
      <w:r>
        <w:rPr>
          <w:rFonts w:ascii="Arial" w:cs="Arial" w:eastAsia="Arial" w:hAnsi="Arial"/>
          <w:sz w:val="18"/>
          <w:szCs w:val="18"/>
          <w:color w:val="auto"/>
        </w:rPr>
        <w:t>. Any dispute or disagreement which shall arise under, or as a result of, or pursuant to or relating to, this Agreement shall be determined by the Administrator in good faith in its absolute and uncontrolled discretion, and any such determination or any other determination by the Administrator under or pursuant to this Agreement and any interpretation by the Administrator of the terms of this Agreement, will be final, binding and conclusive on all persons affected thereby. You agree that before you may bring any legal action arising under, as a result of, pursuant to or relating to, this Agreement you will first exhaust your administrative remedies before the Administrator. You further agree that in the event that the Administrator does not resolve any dispute or disagreement arising under, as a result of, pursuant to or relating to, this Agreement to your satisfaction, no legal action may be commenced or maintained relating to this Agreement more than twenty-four (24) months after the Administrator’s decision.</w:t>
      </w:r>
    </w:p>
    <w:p>
      <w:pPr>
        <w:spacing w:after="0" w:line="201" w:lineRule="exact"/>
        <w:rPr>
          <w:rFonts w:ascii="Arial" w:cs="Arial" w:eastAsia="Arial" w:hAnsi="Arial"/>
          <w:sz w:val="18"/>
          <w:szCs w:val="18"/>
          <w:color w:val="auto"/>
        </w:rPr>
      </w:pPr>
    </w:p>
    <w:p>
      <w:pPr>
        <w:ind w:left="200" w:right="219" w:firstLine="657"/>
        <w:spacing w:after="0" w:line="261" w:lineRule="auto"/>
        <w:tabs>
          <w:tab w:leader="none" w:pos="1638"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Agreement are for reference purposes only and shall not affect the meaning or interpretation of this Agreement.</w:t>
      </w:r>
    </w:p>
    <w:p>
      <w:pPr>
        <w:spacing w:after="0" w:line="184" w:lineRule="exact"/>
        <w:rPr>
          <w:rFonts w:ascii="Arial" w:cs="Arial" w:eastAsia="Arial" w:hAnsi="Arial"/>
          <w:sz w:val="18"/>
          <w:szCs w:val="18"/>
          <w:color w:val="auto"/>
        </w:rPr>
      </w:pPr>
    </w:p>
    <w:p>
      <w:pPr>
        <w:jc w:val="both"/>
        <w:ind w:left="200" w:right="219" w:firstLine="657"/>
        <w:spacing w:after="0" w:line="248" w:lineRule="auto"/>
        <w:tabs>
          <w:tab w:leader="none" w:pos="1638"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Electronic Delivery of Documents</w:t>
      </w:r>
      <w:r>
        <w:rPr>
          <w:rFonts w:ascii="Arial" w:cs="Arial" w:eastAsia="Arial" w:hAnsi="Arial"/>
          <w:sz w:val="18"/>
          <w:szCs w:val="18"/>
          <w:color w:val="auto"/>
        </w:rPr>
        <w:t>. By your signing the Notice, you (i) consent to the electronic delivery of this Agreement, all information with respect to the Plan and the RSUs, and any reports of the Company provided generally to the Company’s stockholders; (ii) acknowledge that you may receive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340360</wp:posOffset>
            </wp:positionV>
            <wp:extent cx="545211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82" w:right="1440" w:bottom="1440" w:gutter="0" w:footer="0" w:header="0"/>
        </w:sectPr>
      </w:pPr>
    </w:p>
    <w:bookmarkStart w:id="13" w:name="page14"/>
    <w:bookmarkEnd w:id="13"/>
    <w:p>
      <w:pPr>
        <w:jc w:val="both"/>
        <w:ind w:left="200" w:right="219"/>
        <w:spacing w:after="0" w:line="238" w:lineRule="auto"/>
        <w:rPr>
          <w:sz w:val="20"/>
          <w:szCs w:val="20"/>
          <w:color w:val="auto"/>
        </w:rPr>
      </w:pPr>
      <w:r>
        <w:rPr>
          <w:rFonts w:ascii="Arial" w:cs="Arial" w:eastAsia="Arial" w:hAnsi="Arial"/>
          <w:sz w:val="18"/>
          <w:szCs w:val="18"/>
          <w:color w:val="auto"/>
        </w:rPr>
        <w:t>from the Company a paper copy of any documents delivered electronically at no cost to you by contacting the Company by telephone or in writing; (iii) further acknowledge that you may revoke your consent to the electronic delivery of documents at any time by notifying the Company of such revoked consent by telephone, postal service or electronic mail; and (iv) further acknowledge that you understand that you are not required to consent to electronic delivery of documents.</w:t>
      </w:r>
    </w:p>
    <w:p>
      <w:pPr>
        <w:spacing w:after="0" w:line="202" w:lineRule="exact"/>
        <w:rPr>
          <w:sz w:val="20"/>
          <w:szCs w:val="20"/>
          <w:color w:val="auto"/>
        </w:rPr>
      </w:pPr>
    </w:p>
    <w:p>
      <w:pPr>
        <w:ind w:left="1640" w:hanging="783"/>
        <w:spacing w:after="0"/>
        <w:tabs>
          <w:tab w:leader="none" w:pos="164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No  Future  Entitlement</w:t>
      </w:r>
      <w:r>
        <w:rPr>
          <w:rFonts w:ascii="Arial" w:cs="Arial" w:eastAsia="Arial" w:hAnsi="Arial"/>
          <w:sz w:val="18"/>
          <w:szCs w:val="18"/>
          <w:color w:val="auto"/>
        </w:rPr>
        <w:t>.   By  your  signing  the  Notice,  you  acknowledge  and  agree</w:t>
      </w:r>
    </w:p>
    <w:p>
      <w:pPr>
        <w:spacing w:after="0" w:line="9" w:lineRule="exact"/>
        <w:rPr>
          <w:rFonts w:ascii="Arial" w:cs="Arial" w:eastAsia="Arial" w:hAnsi="Arial"/>
          <w:sz w:val="18"/>
          <w:szCs w:val="18"/>
          <w:color w:val="auto"/>
        </w:rPr>
      </w:pPr>
    </w:p>
    <w:p>
      <w:pPr>
        <w:jc w:val="both"/>
        <w:ind w:left="200" w:right="219"/>
        <w:spacing w:after="0" w:line="235" w:lineRule="auto"/>
        <w:rPr>
          <w:rFonts w:ascii="Arial" w:cs="Arial" w:eastAsia="Arial" w:hAnsi="Arial"/>
          <w:sz w:val="18"/>
          <w:szCs w:val="18"/>
          <w:color w:val="auto"/>
        </w:rPr>
      </w:pPr>
      <w:r>
        <w:rPr>
          <w:rFonts w:ascii="Arial" w:cs="Arial" w:eastAsia="Arial" w:hAnsi="Arial"/>
          <w:sz w:val="18"/>
          <w:szCs w:val="18"/>
          <w:color w:val="auto"/>
        </w:rPr>
        <w:t>that: (i) the grant of a restricted stock unit award is a one-time benefit which does not create any contractual or other right to receive future grants of restricted stock units, or compensation in lieu of restricted stock units, even if restricted stock units have been granted repeatedly in the past; (ii) all determinations with respect to any such future grants and the terms thereof will be at the sole discretion of the Committee; (iii) the value of the restricted stock units is an extraordinary item of compensation which is outside the scope of your employment contract, if any; (iv) the value of the restricted stock units is not part of normal or expected compensation or salary for any purpose, including, but not limited to, calculating any termination, severance, resignation, redundancy, end of service payments or similar payments, or bonuses, long-service awards, pension or retirement benefits; (v) the vesting of the restricted stock units ceases upon termination of Service with the Company or transfer of employment from the Company, or other cessation of eligibility for any reason, except as may otherwise be explicitly provided in this Agreement; (vi) the Company does not guarantee any future value of the restricted stock units; and (vii) no claim or entitlement to compensation or damages arises if the restricted stock units decrease or do not increase in value and you irrevocably release the Company from any such claim that does arise.</w:t>
      </w:r>
    </w:p>
    <w:p>
      <w:pPr>
        <w:spacing w:after="0" w:line="213" w:lineRule="exact"/>
        <w:rPr>
          <w:rFonts w:ascii="Arial" w:cs="Arial" w:eastAsia="Arial" w:hAnsi="Arial"/>
          <w:sz w:val="18"/>
          <w:szCs w:val="18"/>
          <w:color w:val="auto"/>
        </w:rPr>
      </w:pPr>
    </w:p>
    <w:p>
      <w:pPr>
        <w:jc w:val="both"/>
        <w:ind w:left="200" w:right="219" w:firstLine="657"/>
        <w:spacing w:after="0" w:line="236" w:lineRule="auto"/>
        <w:tabs>
          <w:tab w:leader="none" w:pos="1638"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Personal Data</w:t>
      </w:r>
      <w:r>
        <w:rPr>
          <w:rFonts w:ascii="Arial" w:cs="Arial" w:eastAsia="Arial" w:hAnsi="Arial"/>
          <w:sz w:val="18"/>
          <w:szCs w:val="18"/>
          <w:color w:val="auto"/>
        </w:rPr>
        <w:t>. For purposes of the implementation, administration and management of the restricted stock units or the effectuation of any acquisition, equity or debt financing, joint venture, merger, reorganization, consolidation, recapitalization, business combination, liquidation, dissolution, share exchange, sale of stock, sale of material assets or other similar corporate transaction involving the Company (a “</w:t>
      </w:r>
      <w:r>
        <w:rPr>
          <w:rFonts w:ascii="Arial" w:cs="Arial" w:eastAsia="Arial" w:hAnsi="Arial"/>
          <w:sz w:val="18"/>
          <w:szCs w:val="18"/>
          <w:b w:val="1"/>
          <w:bCs w:val="1"/>
          <w:i w:val="1"/>
          <w:iCs w:val="1"/>
          <w:color w:val="auto"/>
        </w:rPr>
        <w:t>Corporate Transaction</w:t>
      </w:r>
      <w:r>
        <w:rPr>
          <w:rFonts w:ascii="Arial" w:cs="Arial" w:eastAsia="Arial" w:hAnsi="Arial"/>
          <w:sz w:val="18"/>
          <w:szCs w:val="18"/>
          <w:color w:val="auto"/>
        </w:rPr>
        <w:t>”), you consent, by execution of the Notice, to the collection, receipt, use, retention and transfer, in electronic or other form, of your personal data by and among the Company and its third party vendors or any potential party to a potential Corporate Transaction. You understand that personal data (including but not limited to, name, home address, telephone number, employee number, employment status, social security number, tax identification number, date of birth, nationality, job and payroll location, data for tax withholding purposes and shares awarded, cancelled, vested and unvested) may be transferred to third parties assisting in the implementation, administration and management of the restricted stock units or the effectuation of a Corporate Transaction and you expressly authorize such transfer as well as the retention, use, and the subsequent transfer of the data by the recipient(s). You understand that these recipients may be located in your country or elsewhere, and that the recipient’s country may have different data privacy laws and protections than your country. You understand that data will be held only as long as is necessary to implement, administer and manage the restricted stock units or effect a Corporate Transaction. You understand that you may, at any time, request a list with the names and addresses of any potential recipients of the personal data, view data, request additional information about the storage and processing of data, require any necessary amendments to data or refuse or withdraw the consents herein, in any case without cost, by contacting in writing the Company’s Secretary. You understand, however, that refusing or withdrawing your consent may affect your ability to accept a restricted stock unit award.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Glossary begins on next page</w:t>
      </w:r>
      <w:r>
        <w:rPr>
          <w:rFonts w:ascii="Arial" w:cs="Arial" w:eastAsia="Arial" w:hAnsi="Arial"/>
          <w:sz w:val="18"/>
          <w:szCs w:val="18"/>
          <w:color w:val="auto"/>
        </w:rPr>
        <w:t>}</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340360</wp:posOffset>
            </wp:positionV>
            <wp:extent cx="545211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82" w:right="1440"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color w:val="auto"/>
        </w:rPr>
        <w:t>GLOSSARY</w:t>
      </w:r>
    </w:p>
    <w:p>
      <w:pPr>
        <w:spacing w:after="0" w:line="298" w:lineRule="exact"/>
        <w:rPr>
          <w:sz w:val="20"/>
          <w:szCs w:val="20"/>
          <w:color w:val="auto"/>
        </w:rPr>
      </w:pPr>
    </w:p>
    <w:p>
      <w:pPr>
        <w:ind w:left="2860" w:hanging="1355"/>
        <w:spacing w:after="0"/>
        <w:tabs>
          <w:tab w:leader="none" w:pos="2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Administrator</w:t>
      </w:r>
      <w:r>
        <w:rPr>
          <w:rFonts w:ascii="Arial" w:cs="Arial" w:eastAsia="Arial" w:hAnsi="Arial"/>
          <w:sz w:val="18"/>
          <w:szCs w:val="18"/>
          <w:color w:val="auto"/>
        </w:rPr>
        <w:t>” means the Committee as defined in the Plan.</w:t>
      </w:r>
    </w:p>
    <w:p>
      <w:pPr>
        <w:spacing w:after="0" w:line="225" w:lineRule="exact"/>
        <w:rPr>
          <w:rFonts w:ascii="Arial" w:cs="Arial" w:eastAsia="Arial" w:hAnsi="Arial"/>
          <w:sz w:val="18"/>
          <w:szCs w:val="18"/>
          <w:color w:val="auto"/>
        </w:rPr>
      </w:pPr>
    </w:p>
    <w:p>
      <w:pPr>
        <w:ind w:left="200" w:right="239" w:firstLine="1305"/>
        <w:spacing w:after="0" w:line="287" w:lineRule="auto"/>
        <w:tabs>
          <w:tab w:leader="none" w:pos="285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means this document, as amended from time to time, together with the Plan which is incorporated herein by reference.</w:t>
      </w:r>
    </w:p>
    <w:p>
      <w:pPr>
        <w:spacing w:after="0" w:line="152" w:lineRule="exact"/>
        <w:rPr>
          <w:rFonts w:ascii="Arial" w:cs="Arial" w:eastAsia="Arial" w:hAnsi="Arial"/>
          <w:sz w:val="18"/>
          <w:szCs w:val="18"/>
          <w:color w:val="auto"/>
        </w:rPr>
      </w:pPr>
    </w:p>
    <w:p>
      <w:pPr>
        <w:ind w:left="2900" w:hanging="1395"/>
        <w:spacing w:after="0"/>
        <w:tabs>
          <w:tab w:leader="none" w:pos="290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b w:val="1"/>
          <w:bCs w:val="1"/>
          <w:color w:val="auto"/>
        </w:rPr>
        <w:t xml:space="preserve"> </w:t>
      </w:r>
      <w:r>
        <w:rPr>
          <w:rFonts w:ascii="Arial" w:cs="Arial" w:eastAsia="Arial" w:hAnsi="Arial"/>
          <w:sz w:val="19"/>
          <w:szCs w:val="19"/>
          <w:color w:val="auto"/>
        </w:rPr>
        <w:t>has the meaning set forth in the Plan.</w:t>
      </w:r>
    </w:p>
    <w:p>
      <w:pPr>
        <w:spacing w:after="0" w:line="213" w:lineRule="exact"/>
        <w:rPr>
          <w:rFonts w:ascii="Arial" w:cs="Arial" w:eastAsia="Arial" w:hAnsi="Arial"/>
          <w:sz w:val="18"/>
          <w:szCs w:val="18"/>
          <w:color w:val="auto"/>
        </w:rPr>
      </w:pPr>
    </w:p>
    <w:p>
      <w:pPr>
        <w:ind w:left="2860" w:hanging="1355"/>
        <w:spacing w:after="0"/>
        <w:tabs>
          <w:tab w:leader="none" w:pos="28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Change of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shall have the meaning set forth in the Plan.</w:t>
      </w:r>
    </w:p>
    <w:p>
      <w:pPr>
        <w:spacing w:after="0" w:line="225" w:lineRule="exact"/>
        <w:rPr>
          <w:sz w:val="20"/>
          <w:szCs w:val="20"/>
          <w:color w:val="auto"/>
        </w:rPr>
      </w:pPr>
    </w:p>
    <w:p>
      <w:pPr>
        <w:jc w:val="both"/>
        <w:ind w:left="200" w:right="219" w:firstLine="1296"/>
        <w:spacing w:after="0" w:line="287"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 and the Treasury regulations and other guidance promulgated thereunder.</w:t>
      </w:r>
    </w:p>
    <w:p>
      <w:pPr>
        <w:spacing w:after="0" w:line="15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b w:val="1"/>
          <w:bCs w:val="1"/>
          <w:color w:val="auto"/>
        </w:rPr>
        <w:t>Company Stock</w:t>
      </w:r>
      <w:r>
        <w:rPr>
          <w:rFonts w:ascii="Arial" w:cs="Arial" w:eastAsia="Arial" w:hAnsi="Arial"/>
          <w:sz w:val="18"/>
          <w:szCs w:val="18"/>
          <w:color w:val="auto"/>
        </w:rPr>
        <w:t>” shall mean common stock of the Company.</w:t>
      </w:r>
    </w:p>
    <w:p>
      <w:pPr>
        <w:spacing w:after="0" w:line="225" w:lineRule="exact"/>
        <w:rPr>
          <w:sz w:val="20"/>
          <w:szCs w:val="20"/>
          <w:color w:val="auto"/>
        </w:rPr>
      </w:pPr>
    </w:p>
    <w:p>
      <w:pPr>
        <w:jc w:val="both"/>
        <w:ind w:left="200" w:right="219" w:firstLine="1296"/>
        <w:spacing w:after="0" w:line="268" w:lineRule="auto"/>
        <w:rPr>
          <w:sz w:val="20"/>
          <w:szCs w:val="20"/>
          <w:color w:val="auto"/>
        </w:rPr>
      </w:pPr>
      <w:r>
        <w:rPr>
          <w:rFonts w:ascii="Arial" w:cs="Arial" w:eastAsia="Arial" w:hAnsi="Arial"/>
          <w:sz w:val="18"/>
          <w:szCs w:val="18"/>
          <w:color w:val="auto"/>
        </w:rPr>
        <w:t xml:space="preserve">(g)“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Axsome Therapeutics, Inc., and shall include all its successors except where the context otherwise requires. For purposes of determining whether a Change of Control has occurred, Company shall mean only Axsome Therapeutics, Inc.</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(h)“ </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has the meaning set forth in the Plan.</w:t>
      </w:r>
    </w:p>
    <w:p>
      <w:pPr>
        <w:spacing w:after="0" w:line="225" w:lineRule="exact"/>
        <w:rPr>
          <w:sz w:val="20"/>
          <w:szCs w:val="20"/>
          <w:color w:val="auto"/>
        </w:rPr>
      </w:pPr>
    </w:p>
    <w:p>
      <w:pPr>
        <w:jc w:val="both"/>
        <w:ind w:left="200" w:right="219" w:firstLine="1296"/>
        <w:spacing w:after="0" w:line="287" w:lineRule="auto"/>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b w:val="1"/>
          <w:bCs w:val="1"/>
          <w:i w:val="1"/>
          <w:iCs w:val="1"/>
          <w:color w:val="auto"/>
        </w:rPr>
        <w:t>Grant Date</w:t>
      </w:r>
      <w:r>
        <w:rPr>
          <w:rFonts w:ascii="Arial" w:cs="Arial" w:eastAsia="Arial" w:hAnsi="Arial"/>
          <w:sz w:val="18"/>
          <w:szCs w:val="18"/>
          <w:color w:val="auto"/>
        </w:rPr>
        <w:t>” means the effective date of a grant of RSUs made to you as set forth in the relevant Notice.</w:t>
      </w:r>
    </w:p>
    <w:p>
      <w:pPr>
        <w:spacing w:after="0" w:line="153" w:lineRule="exact"/>
        <w:rPr>
          <w:sz w:val="20"/>
          <w:szCs w:val="20"/>
          <w:color w:val="auto"/>
        </w:rPr>
      </w:pPr>
    </w:p>
    <w:p>
      <w:pPr>
        <w:jc w:val="both"/>
        <w:ind w:left="200" w:right="219" w:firstLine="1296"/>
        <w:spacing w:after="0" w:line="287" w:lineRule="auto"/>
        <w:rPr>
          <w:sz w:val="20"/>
          <w:szCs w:val="20"/>
          <w:color w:val="auto"/>
        </w:rPr>
      </w:pPr>
      <w:r>
        <w:rPr>
          <w:rFonts w:ascii="Arial" w:cs="Arial" w:eastAsia="Arial" w:hAnsi="Arial"/>
          <w:sz w:val="18"/>
          <w:szCs w:val="18"/>
          <w:color w:val="auto"/>
        </w:rPr>
        <w:t xml:space="preserve">(j)“ </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means the statement, letter or other written notification provided to you by the Company setting forth the terms of a grant of RSUs made to you.</w:t>
      </w:r>
    </w:p>
    <w:p>
      <w:pPr>
        <w:spacing w:after="0" w:line="153" w:lineRule="exact"/>
        <w:rPr>
          <w:sz w:val="20"/>
          <w:szCs w:val="20"/>
          <w:color w:val="auto"/>
        </w:rPr>
      </w:pPr>
    </w:p>
    <w:p>
      <w:pPr>
        <w:jc w:val="both"/>
        <w:ind w:left="200" w:right="239" w:firstLine="1296"/>
        <w:spacing w:after="0" w:line="287" w:lineRule="auto"/>
        <w:rPr>
          <w:sz w:val="20"/>
          <w:szCs w:val="20"/>
          <w:color w:val="auto"/>
        </w:rPr>
      </w:pPr>
      <w:r>
        <w:rPr>
          <w:rFonts w:ascii="Arial" w:cs="Arial" w:eastAsia="Arial" w:hAnsi="Arial"/>
          <w:sz w:val="18"/>
          <w:szCs w:val="18"/>
          <w:color w:val="auto"/>
        </w:rPr>
        <w:t xml:space="preserve">(k)“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the Axsome Therapeutics, Inc. 2015 Omnibus Incentive Compensation Plan, as in effect from time to time.</w:t>
      </w:r>
    </w:p>
    <w:p>
      <w:pPr>
        <w:spacing w:after="0" w:line="153" w:lineRule="exact"/>
        <w:rPr>
          <w:sz w:val="20"/>
          <w:szCs w:val="20"/>
          <w:color w:val="auto"/>
        </w:rPr>
      </w:pPr>
    </w:p>
    <w:p>
      <w:pPr>
        <w:jc w:val="both"/>
        <w:ind w:left="200" w:right="219" w:firstLine="1296"/>
        <w:spacing w:after="0" w:line="287" w:lineRule="auto"/>
        <w:rPr>
          <w:sz w:val="20"/>
          <w:szCs w:val="20"/>
          <w:color w:val="auto"/>
        </w:rPr>
      </w:pPr>
      <w:r>
        <w:rPr>
          <w:rFonts w:ascii="Arial" w:cs="Arial" w:eastAsia="Arial" w:hAnsi="Arial"/>
          <w:sz w:val="18"/>
          <w:szCs w:val="18"/>
          <w:color w:val="auto"/>
        </w:rPr>
        <w:t xml:space="preserve">(l)“ </w:t>
      </w:r>
      <w:r>
        <w:rPr>
          <w:rFonts w:ascii="Arial" w:cs="Arial" w:eastAsia="Arial" w:hAnsi="Arial"/>
          <w:sz w:val="18"/>
          <w:szCs w:val="18"/>
          <w:b w:val="1"/>
          <w:bCs w:val="1"/>
          <w:i w:val="1"/>
          <w:iCs w:val="1"/>
          <w:color w:val="auto"/>
        </w:rPr>
        <w:t>RSU</w:t>
      </w:r>
      <w:r>
        <w:rPr>
          <w:rFonts w:ascii="Arial" w:cs="Arial" w:eastAsia="Arial" w:hAnsi="Arial"/>
          <w:sz w:val="18"/>
          <w:szCs w:val="18"/>
          <w:color w:val="auto"/>
        </w:rPr>
        <w:t>” means the Company’s commitment to issue one share of Company Stock at a future date, subject to the terms of the Agreement and the Plan.</w:t>
      </w:r>
    </w:p>
    <w:p>
      <w:pPr>
        <w:spacing w:after="0" w:line="153" w:lineRule="exact"/>
        <w:rPr>
          <w:sz w:val="20"/>
          <w:szCs w:val="20"/>
          <w:color w:val="auto"/>
        </w:rPr>
      </w:pPr>
    </w:p>
    <w:p>
      <w:pPr>
        <w:jc w:val="both"/>
        <w:ind w:left="200" w:right="219" w:firstLine="1305"/>
        <w:spacing w:after="0" w:line="247" w:lineRule="auto"/>
        <w:tabs>
          <w:tab w:leader="none" w:pos="2953"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You</w:t>
      </w:r>
      <w:r>
        <w:rPr>
          <w:rFonts w:ascii="Arial" w:cs="Arial" w:eastAsia="Arial" w:hAnsi="Arial"/>
          <w:sz w:val="18"/>
          <w:szCs w:val="18"/>
          <w:color w:val="auto"/>
        </w:rPr>
        <w:t>” or “</w:t>
      </w:r>
      <w:r>
        <w:rPr>
          <w:rFonts w:ascii="Arial" w:cs="Arial" w:eastAsia="Arial" w:hAnsi="Arial"/>
          <w:sz w:val="18"/>
          <w:szCs w:val="18"/>
          <w:b w:val="1"/>
          <w:bCs w:val="1"/>
          <w:i w:val="1"/>
          <w:iCs w:val="1"/>
          <w:color w:val="auto"/>
        </w:rPr>
        <w:t>Your</w:t>
      </w:r>
      <w:r>
        <w:rPr>
          <w:rFonts w:ascii="Arial" w:cs="Arial" w:eastAsia="Arial" w:hAnsi="Arial"/>
          <w:sz w:val="18"/>
          <w:szCs w:val="18"/>
          <w:color w:val="auto"/>
        </w:rPr>
        <w:t>” means the recipient of the RSUs as reflected on the applicable Notice. Whenever the word “you” or “your” is used in any provision of this Agreement under circumstances where the provision should logically be construed, as determined by the Administrator, to apply to the estate, personal representative, or beneficiary to whom the RSUs may be transferred by will or by the laws of descent and distribution, the words “you” and “your” shall be deemed to include such person.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End of Agreement</w:t>
      </w:r>
      <w:r>
        <w:rPr>
          <w:rFonts w:ascii="Arial" w:cs="Arial" w:eastAsia="Arial" w:hAnsi="Arial"/>
          <w:sz w:val="18"/>
          <w:szCs w:val="18"/>
          <w:color w:val="auto"/>
        </w:rPr>
        <w:t>}</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340360</wp:posOffset>
            </wp:positionV>
            <wp:extent cx="545211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82" w:right="1440" w:bottom="1440" w:gutter="0" w:footer="0" w:header="0"/>
        </w:sectPr>
      </w:pPr>
    </w:p>
    <w:bookmarkStart w:id="15" w:name="page16"/>
    <w:bookmarkEnd w:id="15"/>
    <w:p>
      <w:pPr>
        <w:jc w:val="right"/>
        <w:ind w:right="219"/>
        <w:spacing w:after="0"/>
        <w:rPr>
          <w:sz w:val="20"/>
          <w:szCs w:val="20"/>
          <w:color w:val="auto"/>
        </w:rPr>
      </w:pPr>
      <w:r>
        <w:rPr>
          <w:rFonts w:ascii="Arial" w:cs="Arial" w:eastAsia="Arial" w:hAnsi="Arial"/>
          <w:sz w:val="18"/>
          <w:szCs w:val="18"/>
          <w:b w:val="1"/>
          <w:bCs w:val="1"/>
          <w:color w:val="auto"/>
        </w:rPr>
        <w:t>Exhibit 99.4</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Axsome Therapeutics, Inc.</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Unit Notice</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w:t>
      </w:r>
    </w:p>
    <w:p>
      <w:pPr>
        <w:jc w:val="center"/>
        <w:ind w:right="19"/>
        <w:spacing w:after="0" w:line="234" w:lineRule="auto"/>
        <w:rPr>
          <w:sz w:val="20"/>
          <w:szCs w:val="20"/>
          <w:color w:val="auto"/>
        </w:rPr>
      </w:pPr>
      <w:r>
        <w:rPr>
          <w:rFonts w:ascii="Arial" w:cs="Arial" w:eastAsia="Arial" w:hAnsi="Arial"/>
          <w:sz w:val="18"/>
          <w:szCs w:val="18"/>
          <w:b w:val="1"/>
          <w:bCs w:val="1"/>
          <w:color w:val="auto"/>
        </w:rPr>
        <w:t>Axsome Therapeutics, Inc.</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2015 Omnibus Incentive Compensation Plan</w:t>
      </w:r>
    </w:p>
    <w:p>
      <w:pPr>
        <w:spacing w:after="0" w:line="200" w:lineRule="exact"/>
        <w:rPr>
          <w:sz w:val="20"/>
          <w:szCs w:val="20"/>
          <w:color w:val="auto"/>
        </w:rPr>
      </w:pP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11430</wp:posOffset>
            </wp:positionV>
            <wp:extent cx="24942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left="200" w:right="219"/>
        <w:spacing w:after="0" w:line="239" w:lineRule="auto"/>
        <w:rPr>
          <w:sz w:val="20"/>
          <w:szCs w:val="20"/>
          <w:color w:val="auto"/>
        </w:rPr>
      </w:pPr>
      <w:r>
        <w:rPr>
          <w:rFonts w:ascii="Arial" w:cs="Arial" w:eastAsia="Arial" w:hAnsi="Arial"/>
          <w:sz w:val="18"/>
          <w:szCs w:val="18"/>
          <w:color w:val="auto"/>
        </w:rPr>
        <w:t>This Notice evidences the award of restricted Stock Units (each, an “</w:t>
      </w:r>
      <w:r>
        <w:rPr>
          <w:rFonts w:ascii="Arial" w:cs="Arial" w:eastAsia="Arial" w:hAnsi="Arial"/>
          <w:sz w:val="18"/>
          <w:szCs w:val="18"/>
          <w:b w:val="1"/>
          <w:bCs w:val="1"/>
          <w:i w:val="1"/>
          <w:iCs w:val="1"/>
          <w:color w:val="auto"/>
        </w:rPr>
        <w:t>RSU</w:t>
      </w:r>
      <w:r>
        <w:rPr>
          <w:rFonts w:ascii="Arial" w:cs="Arial" w:eastAsia="Arial" w:hAnsi="Arial"/>
          <w:sz w:val="18"/>
          <w:szCs w:val="18"/>
          <w:color w:val="auto"/>
        </w:rPr>
        <w:t>,” and collectively, the “</w:t>
      </w:r>
      <w:r>
        <w:rPr>
          <w:rFonts w:ascii="Arial" w:cs="Arial" w:eastAsia="Arial" w:hAnsi="Arial"/>
          <w:sz w:val="18"/>
          <w:szCs w:val="18"/>
          <w:b w:val="1"/>
          <w:bCs w:val="1"/>
          <w:i w:val="1"/>
          <w:iCs w:val="1"/>
          <w:color w:val="auto"/>
        </w:rPr>
        <w:t>RSUs</w:t>
      </w:r>
      <w:r>
        <w:rPr>
          <w:rFonts w:ascii="Arial" w:cs="Arial" w:eastAsia="Arial" w:hAnsi="Arial"/>
          <w:sz w:val="18"/>
          <w:szCs w:val="18"/>
          <w:color w:val="auto"/>
        </w:rPr>
        <w:t>”) of Axsome Therapeutics,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that have been granted to you pursuant to the Axsome Therapeutics, Inc. 2015 Omnibus Incentive Compensation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and conditioned upon your agreement to the terms of the attached Stock Unit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This Notice constitutes part of and is subject to the terms and provisions of the Agreement and the Plan, which are incorporated by reference herein. Each RSU is equivalent in value to one share of the Company Stock and represents the Company’s commitment to issue one share of Company Stock at a future date, subject to the terms of the Agreement and the Plan. The RSUs are credited to a separate account maintained for you on the books and records of the Company (the "</w:t>
      </w:r>
      <w:r>
        <w:rPr>
          <w:rFonts w:ascii="Arial" w:cs="Arial" w:eastAsia="Arial" w:hAnsi="Arial"/>
          <w:sz w:val="18"/>
          <w:szCs w:val="18"/>
          <w:b w:val="1"/>
          <w:bCs w:val="1"/>
          <w:i w:val="1"/>
          <w:iCs w:val="1"/>
          <w:color w:val="auto"/>
        </w:rPr>
        <w:t>Account</w:t>
      </w:r>
      <w:r>
        <w:rPr>
          <w:rFonts w:ascii="Arial" w:cs="Arial" w:eastAsia="Arial" w:hAnsi="Arial"/>
          <w:sz w:val="18"/>
          <w:szCs w:val="18"/>
          <w:color w:val="auto"/>
        </w:rPr>
        <w:t>"). All amounts credited to the Account will continue for all purposes to be part of the general assets of the Company.</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Grant Date</w:t>
      </w:r>
      <w:r>
        <w:rPr>
          <w:rFonts w:ascii="Arial" w:cs="Arial" w:eastAsia="Arial" w:hAnsi="Arial"/>
          <w:sz w:val="18"/>
          <w:szCs w:val="18"/>
          <w:color w:val="auto"/>
        </w:rPr>
        <w:t>: ___________</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Number of RSUs</w:t>
      </w:r>
      <w:r>
        <w:rPr>
          <w:rFonts w:ascii="Arial" w:cs="Arial" w:eastAsia="Arial" w:hAnsi="Arial"/>
          <w:sz w:val="18"/>
          <w:szCs w:val="18"/>
          <w:color w:val="auto"/>
        </w:rPr>
        <w:t>:</w:t>
      </w:r>
    </w:p>
    <w:p>
      <w:pPr>
        <w:spacing w:after="0" w:line="212" w:lineRule="exact"/>
        <w:rPr>
          <w:sz w:val="20"/>
          <w:szCs w:val="20"/>
          <w:color w:val="auto"/>
        </w:rPr>
      </w:pPr>
    </w:p>
    <w:p>
      <w:pPr>
        <w:jc w:val="both"/>
        <w:ind w:left="200" w:right="219"/>
        <w:spacing w:after="0"/>
        <w:rPr>
          <w:sz w:val="20"/>
          <w:szCs w:val="20"/>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 All of the RSUs are nonvested and forfeitable as of the Grant Date. So long as your employment or service is continuous from the Grant Date through the applicable date upon which vesting is scheduled to occur:</w:t>
      </w:r>
    </w:p>
    <w:p>
      <w:pPr>
        <w:spacing w:after="0" w:line="203" w:lineRule="exact"/>
        <w:rPr>
          <w:sz w:val="20"/>
          <w:szCs w:val="20"/>
          <w:color w:val="auto"/>
        </w:rPr>
      </w:pPr>
    </w:p>
    <w:p>
      <w:pPr>
        <w:jc w:val="both"/>
        <w:ind w:left="860" w:right="879"/>
        <w:spacing w:after="0" w:line="238" w:lineRule="auto"/>
        <w:rPr>
          <w:sz w:val="20"/>
          <w:szCs w:val="20"/>
          <w:color w:val="auto"/>
        </w:rPr>
      </w:pPr>
      <w:r>
        <w:rPr>
          <w:rFonts w:ascii="Arial" w:cs="Arial" w:eastAsia="Arial" w:hAnsi="Arial"/>
          <w:sz w:val="18"/>
          <w:szCs w:val="18"/>
          <w:color w:val="auto"/>
        </w:rPr>
        <w:t>twenty-five percent (25%) of the RSUs will be vested on the first anniversary of the Grant Date (the “</w:t>
      </w:r>
      <w:r>
        <w:rPr>
          <w:rFonts w:ascii="Arial" w:cs="Arial" w:eastAsia="Arial" w:hAnsi="Arial"/>
          <w:sz w:val="18"/>
          <w:szCs w:val="18"/>
          <w:u w:val="single" w:color="auto"/>
          <w:color w:val="auto"/>
        </w:rPr>
        <w:t>Initial Vesting Date</w:t>
      </w:r>
      <w:r>
        <w:rPr>
          <w:rFonts w:ascii="Arial" w:cs="Arial" w:eastAsia="Arial" w:hAnsi="Arial"/>
          <w:sz w:val="18"/>
          <w:szCs w:val="18"/>
          <w:color w:val="auto"/>
        </w:rPr>
        <w:t>”) and as to an additional twenty-five percent (25%) of the original number of RSUs on each anniversary of each such date following the Initial Vesting Date such that 100% of the RSUs will be vested and nonforfeitable on the fourth anniversary of the Grant Date.</w:t>
      </w:r>
    </w:p>
    <w:p>
      <w:pPr>
        <w:spacing w:after="0" w:line="189" w:lineRule="exact"/>
        <w:rPr>
          <w:sz w:val="20"/>
          <w:szCs w:val="20"/>
          <w:color w:val="auto"/>
        </w:rPr>
      </w:pPr>
    </w:p>
    <w:p>
      <w:pPr>
        <w:jc w:val="both"/>
        <w:ind w:left="540" w:right="879" w:firstLine="648"/>
        <w:spacing w:after="0" w:line="243" w:lineRule="auto"/>
        <w:rPr>
          <w:sz w:val="20"/>
          <w:szCs w:val="20"/>
          <w:color w:val="auto"/>
        </w:rPr>
      </w:pPr>
      <w:r>
        <w:rPr>
          <w:rFonts w:ascii="Arial" w:cs="Arial" w:eastAsia="Arial" w:hAnsi="Arial"/>
          <w:sz w:val="18"/>
          <w:szCs w:val="18"/>
          <w:color w:val="auto"/>
        </w:rPr>
        <w:t>Notwithstanding the foregoing, if your employment or service with the Company is terminated coincident with or within one year following a Change of Control by the Company or its successor without Cause, the RSUs that are unvested as of the date of termination will immediately become 100%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539750</wp:posOffset>
            </wp:positionV>
            <wp:extent cx="54521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20"/>
        <w:spacing w:after="0"/>
        <w:tabs>
          <w:tab w:leader="none" w:pos="6200" w:val="left"/>
        </w:tabs>
        <w:rPr>
          <w:sz w:val="20"/>
          <w:szCs w:val="20"/>
          <w:color w:val="auto"/>
        </w:rPr>
      </w:pPr>
      <w:r>
        <w:rPr>
          <w:rFonts w:ascii="Arial" w:cs="Arial" w:eastAsia="Arial" w:hAnsi="Arial"/>
          <w:sz w:val="18"/>
          <w:szCs w:val="18"/>
          <w:color w:val="auto"/>
        </w:rPr>
        <w:t>Axsome Therapeutics, Inc.</w:t>
      </w:r>
      <w:r>
        <w:rPr>
          <w:sz w:val="20"/>
          <w:szCs w:val="20"/>
          <w:color w:val="auto"/>
        </w:rPr>
        <w:tab/>
      </w: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271780</wp:posOffset>
            </wp:positionV>
            <wp:extent cx="545211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200" w:right="219"/>
        <w:spacing w:after="0"/>
        <w:rPr>
          <w:sz w:val="20"/>
          <w:szCs w:val="20"/>
          <w:color w:val="auto"/>
        </w:rPr>
      </w:pPr>
      <w:r>
        <w:rPr>
          <w:rFonts w:ascii="Arial" w:cs="Arial" w:eastAsia="Arial" w:hAnsi="Arial"/>
          <w:sz w:val="18"/>
          <w:szCs w:val="18"/>
          <w:color w:val="auto"/>
        </w:rPr>
        <w:t>I acknowledge that I have carefully read the Agreement and the prospectus for the Plan. I agree to be bound by all of the provisions set forth in those documents. I also consent to electronic delivery of all notices or other information with respect to the RSUs or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266065</wp:posOffset>
            </wp:positionV>
            <wp:extent cx="54521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320"/>
        <w:spacing w:after="0"/>
        <w:tabs>
          <w:tab w:leader="none" w:pos="6200" w:val="left"/>
        </w:tabs>
        <w:rPr>
          <w:sz w:val="20"/>
          <w:szCs w:val="20"/>
          <w:color w:val="auto"/>
        </w:rPr>
      </w:pPr>
      <w:r>
        <w:rPr>
          <w:rFonts w:ascii="Arial" w:cs="Arial" w:eastAsia="Arial" w:hAnsi="Arial"/>
          <w:sz w:val="18"/>
          <w:szCs w:val="18"/>
          <w:color w:val="auto"/>
        </w:rPr>
        <w:t>Signature of Grantee</w:t>
      </w:r>
      <w:r>
        <w:rPr>
          <w:sz w:val="20"/>
          <w:szCs w:val="20"/>
          <w:color w:val="auto"/>
        </w:rPr>
        <w:tab/>
      </w: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871855</wp:posOffset>
            </wp:positionV>
            <wp:extent cx="545211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Axsome Therapeutics, Inc.</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Unit Agreement</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w:t>
      </w:r>
    </w:p>
    <w:p>
      <w:pPr>
        <w:jc w:val="center"/>
        <w:ind w:right="19"/>
        <w:spacing w:after="0" w:line="234" w:lineRule="auto"/>
        <w:rPr>
          <w:sz w:val="20"/>
          <w:szCs w:val="20"/>
          <w:color w:val="auto"/>
        </w:rPr>
      </w:pPr>
      <w:r>
        <w:rPr>
          <w:rFonts w:ascii="Arial" w:cs="Arial" w:eastAsia="Arial" w:hAnsi="Arial"/>
          <w:sz w:val="18"/>
          <w:szCs w:val="18"/>
          <w:b w:val="1"/>
          <w:bCs w:val="1"/>
          <w:color w:val="auto"/>
        </w:rPr>
        <w:t>Axsome Therapeutics, Inc.</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2015 Omnibus Incentive Compensation Plan</w:t>
      </w:r>
    </w:p>
    <w:p>
      <w:pPr>
        <w:spacing w:after="0" w:line="212" w:lineRule="exact"/>
        <w:rPr>
          <w:sz w:val="20"/>
          <w:szCs w:val="20"/>
          <w:color w:val="auto"/>
        </w:rPr>
      </w:pPr>
    </w:p>
    <w:p>
      <w:pPr>
        <w:ind w:left="200" w:right="239" w:firstLine="657"/>
        <w:spacing w:after="0" w:line="261" w:lineRule="auto"/>
        <w:tabs>
          <w:tab w:leader="none" w:pos="1538"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Terminology</w:t>
      </w:r>
      <w:r>
        <w:rPr>
          <w:rFonts w:ascii="Arial" w:cs="Arial" w:eastAsia="Arial" w:hAnsi="Arial"/>
          <w:sz w:val="18"/>
          <w:szCs w:val="18"/>
          <w:color w:val="auto"/>
        </w:rPr>
        <w:t>. Unless otherwise provided in this Agreement, capitalized terms used herein are defined in the Glossary at the end of this Agreement.</w:t>
      </w:r>
    </w:p>
    <w:p>
      <w:pPr>
        <w:spacing w:after="0" w:line="184" w:lineRule="exact"/>
        <w:rPr>
          <w:rFonts w:ascii="Arial" w:cs="Arial" w:eastAsia="Arial" w:hAnsi="Arial"/>
          <w:sz w:val="18"/>
          <w:szCs w:val="18"/>
          <w:color w:val="auto"/>
        </w:rPr>
      </w:pPr>
    </w:p>
    <w:p>
      <w:pPr>
        <w:jc w:val="both"/>
        <w:ind w:left="200" w:right="219" w:firstLine="657"/>
        <w:spacing w:after="0" w:line="241" w:lineRule="auto"/>
        <w:tabs>
          <w:tab w:leader="none" w:pos="1538"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All of the RSUs are nonvested and forfeitable as of the Grant Date. So long as your service or employment is continuous from the Grant Date through the applicable date upon which vesting is scheduled to occur, the RSUs will become vested and nonforfeitable in accordance with the vesting schedule set forth in the Notice. Except for the circumstances, if any, described in the Notice, none of the RSUs will become vested and nonforfeitable after your service or employment ceases.</w:t>
      </w:r>
    </w:p>
    <w:p>
      <w:pPr>
        <w:spacing w:after="0" w:line="202" w:lineRule="exact"/>
        <w:rPr>
          <w:rFonts w:ascii="Arial" w:cs="Arial" w:eastAsia="Arial" w:hAnsi="Arial"/>
          <w:sz w:val="18"/>
          <w:szCs w:val="18"/>
          <w:color w:val="auto"/>
        </w:rPr>
      </w:pPr>
    </w:p>
    <w:p>
      <w:pPr>
        <w:jc w:val="both"/>
        <w:ind w:left="200" w:right="219" w:firstLine="657"/>
        <w:spacing w:after="0" w:line="241" w:lineRule="auto"/>
        <w:tabs>
          <w:tab w:leader="none" w:pos="1538"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or Service</w:t>
      </w:r>
      <w:r>
        <w:rPr>
          <w:rFonts w:ascii="Arial" w:cs="Arial" w:eastAsia="Arial" w:hAnsi="Arial"/>
          <w:sz w:val="18"/>
          <w:szCs w:val="18"/>
          <w:color w:val="auto"/>
        </w:rPr>
        <w:t>. Unless otherwise provided in the Notice, if your service or employment with the Company ceases for any reason, all RSUs that are not then vested and nonforfeitable will be forfeited to the Company immediately and automatically upon such cessation without payment of any consideration therefor and you will have no further right, title or interest in or to such RSUs or the underlying shares of Company Stock.</w:t>
      </w:r>
    </w:p>
    <w:p>
      <w:pPr>
        <w:spacing w:after="0" w:line="202" w:lineRule="exact"/>
        <w:rPr>
          <w:rFonts w:ascii="Arial" w:cs="Arial" w:eastAsia="Arial" w:hAnsi="Arial"/>
          <w:sz w:val="18"/>
          <w:szCs w:val="18"/>
          <w:color w:val="auto"/>
        </w:rPr>
      </w:pPr>
    </w:p>
    <w:p>
      <w:pPr>
        <w:jc w:val="both"/>
        <w:ind w:left="200" w:right="219" w:firstLine="657"/>
        <w:spacing w:after="0"/>
        <w:tabs>
          <w:tab w:leader="none" w:pos="1538"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r>
        <w:rPr>
          <w:rFonts w:ascii="Arial" w:cs="Arial" w:eastAsia="Arial" w:hAnsi="Arial"/>
          <w:sz w:val="18"/>
          <w:szCs w:val="18"/>
          <w:color w:val="auto"/>
        </w:rPr>
        <w:t>. Neither this Agreement nor any of the RSUs may be assigned, transferred, pledged, hypothecated or disposed of in any way, whether by operation of law or otherwise, and the RSUs shall not be subject to execution, attachment or similar process. All rights with respect to this Agreement and the RSUs shall be vested during your lifetime only by you or your guardian or legal representative. Notwithstanding the foregoing, the RSUs may be transferred upon your death by last will and testament or under the laws of descent and distribution.</w:t>
      </w:r>
    </w:p>
    <w:p>
      <w:pPr>
        <w:spacing w:after="0" w:line="202" w:lineRule="exact"/>
        <w:rPr>
          <w:rFonts w:ascii="Arial" w:cs="Arial" w:eastAsia="Arial" w:hAnsi="Arial"/>
          <w:sz w:val="18"/>
          <w:szCs w:val="18"/>
          <w:color w:val="auto"/>
        </w:rPr>
      </w:pPr>
    </w:p>
    <w:p>
      <w:pPr>
        <w:ind w:left="1540" w:hanging="683"/>
        <w:spacing w:after="0"/>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Settlement of RSUs</w:t>
      </w:r>
      <w:r>
        <w:rPr>
          <w:rFonts w:ascii="Arial" w:cs="Arial" w:eastAsia="Arial" w:hAnsi="Arial"/>
          <w:sz w:val="18"/>
          <w:szCs w:val="18"/>
          <w:color w:val="auto"/>
        </w:rPr>
        <w:t>.</w:t>
      </w:r>
    </w:p>
    <w:p>
      <w:pPr>
        <w:spacing w:after="0" w:line="225" w:lineRule="exact"/>
        <w:rPr>
          <w:sz w:val="20"/>
          <w:szCs w:val="20"/>
          <w:color w:val="auto"/>
        </w:rPr>
      </w:pPr>
    </w:p>
    <w:p>
      <w:pPr>
        <w:jc w:val="both"/>
        <w:ind w:left="200" w:right="219" w:firstLine="657"/>
        <w:spacing w:after="0" w:line="238" w:lineRule="auto"/>
        <w:tabs>
          <w:tab w:leader="none" w:pos="1554"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Manner of Settlement</w:t>
      </w:r>
      <w:r>
        <w:rPr>
          <w:rFonts w:ascii="Arial" w:cs="Arial" w:eastAsia="Arial" w:hAnsi="Arial"/>
          <w:sz w:val="18"/>
          <w:szCs w:val="18"/>
          <w:color w:val="auto"/>
        </w:rPr>
        <w:t>. You are not required to make any monetary payment (other than applicable tax withholding, if required) as a condition to settlement of the RSUs. The Company will issue to you, in settlement of your vested RSUs and subject to the provisions of Section 6 below, the number of whole shares of Company Stock that equals the number of whole RSUs that become vested, and such vested RSUs will terminate and cease to be outstanding upon such issuance of the shares. Upon issuance of such shares, the Company will determine the form of delivery (e.g., a stock certificate or electronic entry evidencing such shares) and may deliver such shares on your behalf electronically to the Company’s designated stock plan administrator or such other broker-dealer as the Company may choose at its sole discretion, within reason.</w:t>
      </w:r>
    </w:p>
    <w:p>
      <w:pPr>
        <w:spacing w:after="0" w:line="204" w:lineRule="exact"/>
        <w:rPr>
          <w:rFonts w:ascii="Arial" w:cs="Arial" w:eastAsia="Arial" w:hAnsi="Arial"/>
          <w:sz w:val="18"/>
          <w:szCs w:val="18"/>
          <w:color w:val="auto"/>
        </w:rPr>
      </w:pPr>
    </w:p>
    <w:p>
      <w:pPr>
        <w:jc w:val="both"/>
        <w:ind w:left="200" w:right="219" w:firstLine="657"/>
        <w:spacing w:after="0" w:line="242" w:lineRule="auto"/>
        <w:tabs>
          <w:tab w:leader="none" w:pos="1554"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Timing of Settlement</w:t>
      </w:r>
      <w:r>
        <w:rPr>
          <w:rFonts w:ascii="Arial" w:cs="Arial" w:eastAsia="Arial" w:hAnsi="Arial"/>
          <w:sz w:val="18"/>
          <w:szCs w:val="18"/>
          <w:color w:val="auto"/>
        </w:rPr>
        <w:t>. Your vested RSUs will be settled by the Company, via the issuance of Company Stock as described herein, on the earliest of one of the following events: (1) Change of Control;</w:t>
      </w:r>
    </w:p>
    <w:p>
      <w:pPr>
        <w:spacing w:after="0" w:line="1" w:lineRule="exact"/>
        <w:rPr>
          <w:rFonts w:ascii="Arial" w:cs="Arial" w:eastAsia="Arial" w:hAnsi="Arial"/>
          <w:sz w:val="18"/>
          <w:szCs w:val="18"/>
          <w:color w:val="auto"/>
        </w:rPr>
      </w:pPr>
    </w:p>
    <w:p>
      <w:pPr>
        <w:jc w:val="both"/>
        <w:ind w:left="200" w:right="219" w:firstLine="9"/>
        <w:spacing w:after="0" w:line="237" w:lineRule="auto"/>
        <w:tabs>
          <w:tab w:leader="none" w:pos="503" w:val="left"/>
        </w:tabs>
        <w:numPr>
          <w:ilvl w:val="0"/>
          <w:numId w:val="18"/>
        </w:numPr>
        <w:rPr>
          <w:rFonts w:ascii="Arial" w:cs="Arial" w:eastAsia="Arial" w:hAnsi="Arial"/>
          <w:sz w:val="18"/>
          <w:szCs w:val="18"/>
          <w:color w:val="auto"/>
        </w:rPr>
      </w:pPr>
      <w:r>
        <w:rPr>
          <w:rFonts w:ascii="Arial" w:cs="Arial" w:eastAsia="Arial" w:hAnsi="Arial"/>
          <w:sz w:val="18"/>
          <w:szCs w:val="18"/>
          <w:color w:val="auto"/>
        </w:rPr>
        <w:t>your “separation from service” as defined in Section 409A and applicable regulations and guidance thereunder (“Section 409A”), including your termination due to death or Disability; or (3) the seventh (7th) anniversary of the Grant Date. However, if a scheduled issuance date falls on a Saturday, Sunday or federal holiday, such issuance date shall instead fall on the next following day that the principal executive offices of the Company are open for business. In all cases, the issuance and delivery of shares under this Agreement is intended to comply with Section 409A and shall be construed and administered in such a manner.</w:t>
      </w:r>
    </w:p>
    <w:p>
      <w:pPr>
        <w:spacing w:after="0" w:line="203" w:lineRule="exact"/>
        <w:rPr>
          <w:sz w:val="20"/>
          <w:szCs w:val="20"/>
          <w:color w:val="auto"/>
        </w:rPr>
      </w:pPr>
    </w:p>
    <w:p>
      <w:pPr>
        <w:jc w:val="both"/>
        <w:ind w:left="200" w:right="219" w:firstLine="657"/>
        <w:spacing w:after="0" w:line="239" w:lineRule="auto"/>
        <w:tabs>
          <w:tab w:leader="none" w:pos="1538"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On or before the time you receive a distribution of the shares subject to your RSUs, or at any time before or thereafter as requested by the Company, you hereby authorize any required withholding from the Company Stock issuable to you and/or otherwise agree to make adequate provision in cash for any sums required to satisfy the federal, state, local and foreign tax withholding obligations of the Company or any Affiliate which arise in connection with your RSUs (the “</w:t>
      </w:r>
      <w:r>
        <w:rPr>
          <w:rFonts w:ascii="Arial" w:cs="Arial" w:eastAsia="Arial" w:hAnsi="Arial"/>
          <w:sz w:val="18"/>
          <w:szCs w:val="18"/>
          <w:b w:val="1"/>
          <w:bCs w:val="1"/>
          <w:i w:val="1"/>
          <w:iCs w:val="1"/>
          <w:color w:val="auto"/>
        </w:rPr>
        <w:t>Withholding</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Taxes</w:t>
      </w:r>
      <w:r>
        <w:rPr>
          <w:rFonts w:ascii="Arial" w:cs="Arial" w:eastAsia="Arial" w:hAnsi="Arial"/>
          <w:sz w:val="18"/>
          <w:szCs w:val="18"/>
          <w:color w:val="auto"/>
        </w:rPr>
        <w:t>”). Additionally, the Company may, in its sole discretion, satisfy all or any portion of the Withholding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Taxes obligation relating to your RSUs by any of the following means or by a combination of such means: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584835</wp:posOffset>
            </wp:positionV>
            <wp:extent cx="545211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7" w:name="page18"/>
    <w:bookmarkEnd w:id="17"/>
    <w:p>
      <w:pPr>
        <w:jc w:val="both"/>
        <w:ind w:left="200" w:right="219" w:firstLine="9"/>
        <w:spacing w:after="0"/>
        <w:tabs>
          <w:tab w:leader="none" w:pos="4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withholding from any compensation otherwise payable to you by the Company; (ii) causing you to tender a cash payment; (iii) permitting you to enter into a “same day sale” commitment with a broker-dealer that is a member of the Financial Industry Regulatory Authority (a “</w:t>
      </w:r>
      <w:r>
        <w:rPr>
          <w:rFonts w:ascii="Arial" w:cs="Arial" w:eastAsia="Arial" w:hAnsi="Arial"/>
          <w:sz w:val="18"/>
          <w:szCs w:val="18"/>
          <w:b w:val="1"/>
          <w:bCs w:val="1"/>
          <w:i w:val="1"/>
          <w:iCs w:val="1"/>
          <w:color w:val="auto"/>
        </w:rPr>
        <w:t>FINRA Dealer</w:t>
      </w:r>
      <w:r>
        <w:rPr>
          <w:rFonts w:ascii="Arial" w:cs="Arial" w:eastAsia="Arial" w:hAnsi="Arial"/>
          <w:sz w:val="18"/>
          <w:szCs w:val="18"/>
          <w:color w:val="auto"/>
        </w:rPr>
        <w:t>”) whereby you irrevocably elect to sell a portion of the shares to be delivered under the Agreement to satisfy the Withholding Taxes and whereby the FINRA Dealer irrevocably commits to forward the proceeds necessary to satisfy the Withholding Taxes directly to the Company; or (iv) withholding shares of Company Stock from the shares of Company Stock issued or otherwise issuable to you in connection with the RSUs with a Fair Market Value (measured as of the date shares of Company Stock are issued to you pursuant to Section 5) equal to the amount of such Withholding Taxes; provided, however, that the number of such shares of Company Stock so withheld shall not exceed the amount necessary to satisfy the Company’s required tax withholding obligations using the minimum statutory withholding rates for federal, state, local and foreign tax purposes, including payroll taxes, that are applicable to supplemental taxable income. Unless the tax withholding obligations of the Company are satisfied, the Company shall have no obligation to deliver to you any Company Stock. In the event the Company’s obligation to withhold arises prior to the delivery to you of Company Stock or it is determined after the delivery of Company Stock to you that the amount of the Company’s withholding obligation was greater than the amount withheld by the Company, you agree to indemnify and hold the Company harmless from any failure by the Company to withhold the proper amount.</w:t>
      </w:r>
    </w:p>
    <w:p>
      <w:pPr>
        <w:spacing w:after="0" w:line="341" w:lineRule="exact"/>
        <w:rPr>
          <w:rFonts w:ascii="Arial" w:cs="Arial" w:eastAsia="Arial" w:hAnsi="Arial"/>
          <w:sz w:val="18"/>
          <w:szCs w:val="18"/>
          <w:color w:val="auto"/>
        </w:rPr>
      </w:pPr>
    </w:p>
    <w:p>
      <w:pPr>
        <w:ind w:left="1540" w:hanging="683"/>
        <w:spacing w:after="0"/>
        <w:tabs>
          <w:tab w:leader="none" w:pos="1540"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Adjustments for Corporate Transactions and Other Events</w:t>
      </w:r>
      <w:r>
        <w:rPr>
          <w:rFonts w:ascii="Arial" w:cs="Arial" w:eastAsia="Arial" w:hAnsi="Arial"/>
          <w:sz w:val="18"/>
          <w:szCs w:val="18"/>
          <w:color w:val="auto"/>
        </w:rPr>
        <w:t>.</w:t>
      </w:r>
    </w:p>
    <w:p>
      <w:pPr>
        <w:spacing w:after="0" w:line="225" w:lineRule="exact"/>
        <w:rPr>
          <w:sz w:val="20"/>
          <w:szCs w:val="20"/>
          <w:color w:val="auto"/>
        </w:rPr>
      </w:pPr>
    </w:p>
    <w:p>
      <w:pPr>
        <w:jc w:val="both"/>
        <w:ind w:left="200" w:right="219" w:firstLine="657"/>
        <w:spacing w:after="0"/>
        <w:tabs>
          <w:tab w:leader="none" w:pos="1554"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Stock Dividend, Stock Split and Reverse Stock Split</w:t>
      </w:r>
      <w:r>
        <w:rPr>
          <w:rFonts w:ascii="Arial" w:cs="Arial" w:eastAsia="Arial" w:hAnsi="Arial"/>
          <w:sz w:val="18"/>
          <w:szCs w:val="18"/>
          <w:color w:val="auto"/>
        </w:rPr>
        <w:t>. Upon a stock dividend of, or stock split or reverse stock split or other event described in Section 4(d) of the Plan affecting, the Company Stock, the number of outstanding RSUs shall, without further action of the Administrator, be adjusted to reflect such event; provided, however, that any fractional RSUs resulting from any such adjustment shall be eliminated. Adjustments under this paragraph will be made by the Administrator, whose determination as to what adjustments, if any, will be made and the extent thereof will be final, binding and conclusive.</w:t>
      </w:r>
    </w:p>
    <w:p>
      <w:pPr>
        <w:spacing w:after="0" w:line="202" w:lineRule="exact"/>
        <w:rPr>
          <w:rFonts w:ascii="Arial" w:cs="Arial" w:eastAsia="Arial" w:hAnsi="Arial"/>
          <w:sz w:val="18"/>
          <w:szCs w:val="18"/>
          <w:color w:val="auto"/>
        </w:rPr>
      </w:pPr>
    </w:p>
    <w:p>
      <w:pPr>
        <w:jc w:val="both"/>
        <w:ind w:left="200" w:right="219" w:firstLine="657"/>
        <w:spacing w:after="0"/>
        <w:tabs>
          <w:tab w:leader="none" w:pos="1554"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Merger, Consolidation and Other Events</w:t>
      </w:r>
      <w:r>
        <w:rPr>
          <w:rFonts w:ascii="Arial" w:cs="Arial" w:eastAsia="Arial" w:hAnsi="Arial"/>
          <w:sz w:val="18"/>
          <w:szCs w:val="18"/>
          <w:color w:val="auto"/>
        </w:rPr>
        <w:t>. If the Company shall be the surviving or resulting corporation in any merger or consolidation and the Company Stock shall be converted into other securities, the RSUs shall pertain to and apply to the securities to which a holder of the number of shares of Company Stock subject to the RSUs would have been entitled. If the stockholders of the Company receive by reason of any distribution in total or partial liquidation or pursuant to any merger of the Company or acquisition of its assets, securities of another entity or other property (including cash), then the rights of the Company under this Agreement shall inure to the benefit of the Company’s successor, and this Agreement shall apply to the securities or other property (including cash) to which a holder of the number of shares of Company Stock subject to the RSUs would have been entitled, in the same manner and to the same extent as the RSUs.</w:t>
      </w:r>
    </w:p>
    <w:p>
      <w:pPr>
        <w:spacing w:after="0" w:line="392" w:lineRule="exact"/>
        <w:rPr>
          <w:sz w:val="20"/>
          <w:szCs w:val="20"/>
          <w:color w:val="auto"/>
        </w:rPr>
      </w:pPr>
    </w:p>
    <w:p>
      <w:pPr>
        <w:jc w:val="both"/>
        <w:ind w:left="200" w:right="219" w:firstLine="657"/>
        <w:spacing w:after="0" w:line="207" w:lineRule="exact"/>
        <w:tabs>
          <w:tab w:leader="none" w:pos="1538"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Non</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Guarantee of Employment or Service Relationship</w:t>
      </w:r>
      <w:r>
        <w:rPr>
          <w:rFonts w:ascii="Arial" w:cs="Arial" w:eastAsia="Arial" w:hAnsi="Arial"/>
          <w:sz w:val="18"/>
          <w:szCs w:val="18"/>
          <w:color w:val="auto"/>
        </w:rPr>
        <w:t>. Nothing in the Plan or this Agreement shall alter your at</w:t>
      </w:r>
      <w:r>
        <w:rPr>
          <w:rFonts w:ascii="MS PGothic" w:cs="MS PGothic" w:eastAsia="MS PGothic" w:hAnsi="MS PGothic"/>
          <w:sz w:val="18"/>
          <w:szCs w:val="18"/>
          <w:color w:val="auto"/>
        </w:rPr>
        <w:t>‑</w:t>
      </w:r>
      <w:r>
        <w:rPr>
          <w:rFonts w:ascii="Arial" w:cs="Arial" w:eastAsia="Arial" w:hAnsi="Arial"/>
          <w:sz w:val="18"/>
          <w:szCs w:val="18"/>
          <w:color w:val="auto"/>
        </w:rPr>
        <w:t>will or other employment status or other service relationship with the Company, nor be construed as a contract of employment or service relationship between the Company and you, or as a contractual right of you to continue in the employ of, or in a service relationship with, the Company for any period of time, or as a limitation of the right of the Company to discharge you at any time with or without cause or notice and whether or not such discharge results in the forfeiture of any nonvested and forfeitable RSUs or any other adverse effect on your interests under the Plan.</w:t>
      </w:r>
    </w:p>
    <w:p>
      <w:pPr>
        <w:spacing w:after="0" w:line="204" w:lineRule="exact"/>
        <w:rPr>
          <w:rFonts w:ascii="Arial" w:cs="Arial" w:eastAsia="Arial" w:hAnsi="Arial"/>
          <w:sz w:val="18"/>
          <w:szCs w:val="18"/>
          <w:color w:val="auto"/>
        </w:rPr>
      </w:pPr>
    </w:p>
    <w:p>
      <w:pPr>
        <w:jc w:val="both"/>
        <w:ind w:left="200" w:right="219" w:firstLine="657"/>
        <w:spacing w:after="0" w:line="248" w:lineRule="auto"/>
        <w:tabs>
          <w:tab w:leader="none" w:pos="1538"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Rights as Stockholder</w:t>
      </w:r>
      <w:r>
        <w:rPr>
          <w:rFonts w:ascii="Arial" w:cs="Arial" w:eastAsia="Arial" w:hAnsi="Arial"/>
          <w:sz w:val="18"/>
          <w:szCs w:val="18"/>
          <w:color w:val="auto"/>
        </w:rPr>
        <w:t>. You shall not have any of the rights of a stockholder with respect to any shares of Company Stock that may be issued in settlement of the RSUs until such shares of Company Stock have been issued to you.</w:t>
      </w:r>
    </w:p>
    <w:p>
      <w:pPr>
        <w:spacing w:after="0" w:line="195" w:lineRule="exact"/>
        <w:rPr>
          <w:rFonts w:ascii="Arial" w:cs="Arial" w:eastAsia="Arial" w:hAnsi="Arial"/>
          <w:sz w:val="18"/>
          <w:szCs w:val="18"/>
          <w:color w:val="auto"/>
        </w:rPr>
      </w:pPr>
    </w:p>
    <w:p>
      <w:pPr>
        <w:jc w:val="both"/>
        <w:ind w:left="200" w:right="219" w:firstLine="657"/>
        <w:spacing w:after="0" w:line="239" w:lineRule="auto"/>
        <w:tabs>
          <w:tab w:leader="none" w:pos="1638"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The Company’s Rights</w:t>
      </w:r>
      <w:r>
        <w:rPr>
          <w:rFonts w:ascii="Arial" w:cs="Arial" w:eastAsia="Arial" w:hAnsi="Arial"/>
          <w:sz w:val="18"/>
          <w:szCs w:val="18"/>
          <w:color w:val="auto"/>
        </w:rPr>
        <w:t>. The existence of the RSUs shall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other stocks with preference ahead of or convertible into, or otherwise affecting the Company Stock or the rights thereof, or the dissolution or liquidation of the Company, or any sale or transfer of all or any part of the Company's assets or business, or any other corporate act or proceeding, whether of a similar character or otherwise.</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340360</wp:posOffset>
            </wp:positionV>
            <wp:extent cx="545211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18" w:name="page19"/>
    <w:bookmarkEnd w:id="18"/>
    <w:p>
      <w:pPr>
        <w:jc w:val="both"/>
        <w:ind w:left="200" w:right="219" w:firstLine="657"/>
        <w:spacing w:after="0" w:line="237" w:lineRule="auto"/>
        <w:tabs>
          <w:tab w:leader="none" w:pos="1638"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Restrictions on Issuance of Shares</w:t>
      </w:r>
      <w:r>
        <w:rPr>
          <w:rFonts w:ascii="Arial" w:cs="Arial" w:eastAsia="Arial" w:hAnsi="Arial"/>
          <w:sz w:val="18"/>
          <w:szCs w:val="18"/>
          <w:color w:val="auto"/>
        </w:rPr>
        <w:t>. The issuance of shares of Company Stock upon settlement of the RSUs shall be subject to and in compliance with all applicable requirements of federal, state, or foreign law with respect to such securities. No shares of Company Stock may be issued hereunder if the issuance of such shares would constitute a violation of any applicable federal, state, or foreign securities laws or other law or regulations or the requirements of any stock exchange or market system upon which the Company Stock may then be listed. The inability of the Company to obtain from any regulatory body having jurisdiction the authority, if any, deemed by the Company’s legal counsel to be necessary to the lawful issuance of any shares subject to the RSUs shall relieve the Company of any liability in respect of the failure to issue such shares as to which such requisite authority shall not have been obtained. As a condition to the settlement of the RSUs, the Company may require you to satisfy any qualifications that may be necessary or appropriate, to evidence compliance with any applicable law or regulation, and to make any representation or warranty with respect thereto as may be requested by the Company.</w:t>
      </w:r>
    </w:p>
    <w:p>
      <w:pPr>
        <w:spacing w:after="0" w:line="203" w:lineRule="exact"/>
        <w:rPr>
          <w:rFonts w:ascii="Arial" w:cs="Arial" w:eastAsia="Arial" w:hAnsi="Arial"/>
          <w:sz w:val="18"/>
          <w:szCs w:val="18"/>
          <w:color w:val="auto"/>
        </w:rPr>
      </w:pPr>
    </w:p>
    <w:p>
      <w:pPr>
        <w:jc w:val="both"/>
        <w:ind w:left="200" w:right="219" w:firstLine="657"/>
        <w:spacing w:after="0" w:line="237" w:lineRule="auto"/>
        <w:tabs>
          <w:tab w:leader="none" w:pos="1638"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made or given pursuant to this Agreement shall be given in writing and shall be deemed effectively given upon receipt or, in the case of notices delivered by the Company to you, five (5) days after deposit in the United States mail, postage prepaid, addressed to you at the last address you provided to the Company, or in the case of notices delivered to the Company by you, addressed to the Administrator, care of the Company for the attention of its Secretary at its principal executive office or, in either case, if the receiving party consents in advance, transmitted and received via telecopy or via such other electronic transmission mechanism as may be available to the parties. Notwithstanding the foregoing, the Company may, in its sole discretion, decide to deliver any documents related to participation in the Plan and this award of RSUs by electronic means or to request your consent to participate in the Plan or accept this award of RSUs by electronic means. You hereby consent to receive such documents by electronic delivery and, if requested, to agree to participate in the Plan through an on-line or electronic system established and maintained by the Company or another third party designated by the Company.</w:t>
      </w:r>
    </w:p>
    <w:p>
      <w:pPr>
        <w:spacing w:after="0" w:line="204" w:lineRule="exact"/>
        <w:rPr>
          <w:rFonts w:ascii="Arial" w:cs="Arial" w:eastAsia="Arial" w:hAnsi="Arial"/>
          <w:sz w:val="18"/>
          <w:szCs w:val="18"/>
          <w:color w:val="auto"/>
        </w:rPr>
      </w:pPr>
    </w:p>
    <w:p>
      <w:pPr>
        <w:jc w:val="both"/>
        <w:ind w:left="200" w:right="219" w:firstLine="657"/>
        <w:spacing w:after="0" w:line="241" w:lineRule="auto"/>
        <w:tabs>
          <w:tab w:leader="none" w:pos="1638"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the relevant Notice and the Plan, contains the entire agreement between the parties with respect to the RSUs granted hereunder. Any oral or written agreements, representations, warranties, written inducements, or other communications made prior to the execution of this Agreement with respect to the RSUs granted hereunder shall be void and ineffective for all purposes.</w:t>
      </w:r>
    </w:p>
    <w:p>
      <w:pPr>
        <w:spacing w:after="0" w:line="202" w:lineRule="exact"/>
        <w:rPr>
          <w:rFonts w:ascii="Arial" w:cs="Arial" w:eastAsia="Arial" w:hAnsi="Arial"/>
          <w:sz w:val="18"/>
          <w:szCs w:val="18"/>
          <w:color w:val="auto"/>
        </w:rPr>
      </w:pPr>
    </w:p>
    <w:p>
      <w:pPr>
        <w:jc w:val="both"/>
        <w:ind w:left="200" w:right="219" w:firstLine="657"/>
        <w:spacing w:after="0" w:line="243" w:lineRule="auto"/>
        <w:tabs>
          <w:tab w:leader="none" w:pos="1638"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This Agreement may be amended from time to time by the Administrator in its discretion;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Agreement may not be modified in a manner that would have a materially adverse effect on the RSUs as determined in the discretion of the Administrator, except as provided in the Plan or in a written document signed by each of the parties hereto.</w:t>
      </w:r>
    </w:p>
    <w:p>
      <w:pPr>
        <w:spacing w:after="0" w:line="201" w:lineRule="exact"/>
        <w:rPr>
          <w:rFonts w:ascii="Arial" w:cs="Arial" w:eastAsia="Arial" w:hAnsi="Arial"/>
          <w:sz w:val="18"/>
          <w:szCs w:val="18"/>
          <w:color w:val="auto"/>
        </w:rPr>
      </w:pPr>
    </w:p>
    <w:p>
      <w:pPr>
        <w:jc w:val="both"/>
        <w:ind w:left="200" w:right="219" w:firstLine="657"/>
        <w:spacing w:after="0" w:line="236" w:lineRule="auto"/>
        <w:tabs>
          <w:tab w:leader="none" w:pos="1638"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Recoupment Policy</w:t>
      </w:r>
      <w:r>
        <w:rPr>
          <w:rFonts w:ascii="Arial" w:cs="Arial" w:eastAsia="Arial" w:hAnsi="Arial"/>
          <w:sz w:val="18"/>
          <w:szCs w:val="18"/>
          <w:color w:val="auto"/>
        </w:rPr>
        <w:t>. You agree that, subject to the requirements of applicable law, if you breach any restrictive covenant agreement between you and the Company or you otherwise engage in activities that constitute Cause either while employed by, or providing service to, the Company or within two years thereafter, the RSU shall terminate, and the Company may rescind any delivery of shares upon vesting or settlement, as applicable on such terms as the Committee shall determine, including the right to require that in the event of any such rescission, (a) you shall return to the Company the shares received upon settlement of the RSU or, (b) if you no longer owns the shares, you shall pay to the Company the amount of any gain realized or payment received as a result of any sale or other disposition of the shares (or, in the event you transfer the shares by gift or otherwise without consideration, the Fair Market Value of the shares on the date of the breach of any restrictive covenant agreement or activity constituting Cause). You agree that payment shall be made in such manner and on such terms and conditions as may be required by the Committee and you shall be entitled to set off against the amount of any such payment any amounts otherwise owed to you by the Company. In addition, you agree that the RSU shall be subject to any applicable clawback or recoupment policies, share trading policies and other policies that may be implemented by the Board from time to time.</w:t>
      </w:r>
    </w:p>
    <w:p>
      <w:pPr>
        <w:spacing w:after="0" w:line="214" w:lineRule="exact"/>
        <w:rPr>
          <w:sz w:val="20"/>
          <w:szCs w:val="20"/>
          <w:color w:val="auto"/>
        </w:rPr>
      </w:pPr>
    </w:p>
    <w:p>
      <w:pPr>
        <w:jc w:val="both"/>
        <w:ind w:left="200" w:right="219" w:firstLine="648"/>
        <w:spacing w:after="0" w:line="238" w:lineRule="auto"/>
        <w:rPr>
          <w:sz w:val="20"/>
          <w:szCs w:val="20"/>
          <w:color w:val="auto"/>
        </w:rPr>
      </w:pPr>
      <w:r>
        <w:rPr>
          <w:rFonts w:ascii="Arial" w:cs="Arial" w:eastAsia="Arial" w:hAnsi="Arial"/>
          <w:sz w:val="18"/>
          <w:szCs w:val="18"/>
          <w:u w:val="single" w:color="auto"/>
          <w:color w:val="auto"/>
        </w:rPr>
        <w:t>409A Savings Clause</w:t>
      </w:r>
      <w:r>
        <w:rPr>
          <w:rFonts w:ascii="Arial" w:cs="Arial" w:eastAsia="Arial" w:hAnsi="Arial"/>
          <w:sz w:val="18"/>
          <w:szCs w:val="18"/>
          <w:color w:val="auto"/>
        </w:rPr>
        <w:t>. This Agreement and the RSUs granted hereunder are intended to either fit within the “short-term deferral” exemption from Section 409A of the Code as set forth in Treasury Regulation Section 1.409A-1(b)(4) or comply with Section 409A. Notwithstanding the foregoing, if it is determined that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340360</wp:posOffset>
            </wp:positionV>
            <wp:extent cx="545211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19" w:name="page20"/>
    <w:bookmarkEnd w:id="19"/>
    <w:p>
      <w:pPr>
        <w:jc w:val="both"/>
        <w:ind w:left="200" w:right="219"/>
        <w:spacing w:after="0" w:line="234" w:lineRule="auto"/>
        <w:rPr>
          <w:sz w:val="20"/>
          <w:szCs w:val="20"/>
          <w:color w:val="auto"/>
        </w:rPr>
      </w:pPr>
      <w:r>
        <w:rPr>
          <w:rFonts w:ascii="Arial" w:cs="Arial" w:eastAsia="Arial" w:hAnsi="Arial"/>
          <w:sz w:val="18"/>
          <w:szCs w:val="18"/>
          <w:color w:val="auto"/>
        </w:rPr>
        <w:t>the RSUs fail to satisfy the requirements of the short-term deferral rule and are otherwise deferred compensation subject to Section 409A, and if you are a “Specified Employee” (within the meaning set forth Section 409A(a)(2)(B)(i) of the Code) as of the date of your separation from service (within the meaning of Treasury Regulation Section 1.409A-1(h)), then the issuance of any shares that would otherwise be made upon the date of the separation from service or within the first six (6) months thereafter will not be made on the originally scheduled date(s) and will instead be issued in a lump sum on the date that is six (6) months and one day after the date of the separation from service, but if and only if such delay in the issuance of the shares is necessary to avoid the imposition of additional taxation on you in respect of the shares under Section 409A of the Code. Each installment of shares that vests and is settled is intended to constitute a “separate payment” for purposes of Section 409A of the Code and Treasury Regulation Section 1.409A-2(b)</w:t>
      </w:r>
    </w:p>
    <w:p>
      <w:pPr>
        <w:spacing w:after="0" w:line="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w:t>
      </w:r>
    </w:p>
    <w:p>
      <w:pPr>
        <w:spacing w:after="0" w:line="212" w:lineRule="exact"/>
        <w:rPr>
          <w:sz w:val="20"/>
          <w:szCs w:val="20"/>
          <w:color w:val="auto"/>
        </w:rPr>
      </w:pPr>
    </w:p>
    <w:p>
      <w:pPr>
        <w:jc w:val="both"/>
        <w:ind w:left="200" w:right="219" w:firstLine="657"/>
        <w:spacing w:after="0" w:line="241" w:lineRule="auto"/>
        <w:tabs>
          <w:tab w:leader="none" w:pos="1584"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No Obligation to Minimize Taxes</w:t>
      </w:r>
      <w:r>
        <w:rPr>
          <w:rFonts w:ascii="Arial" w:cs="Arial" w:eastAsia="Arial" w:hAnsi="Arial"/>
          <w:sz w:val="18"/>
          <w:szCs w:val="18"/>
          <w:color w:val="auto"/>
        </w:rPr>
        <w:t>. The Company has no duty or obligation to minimize the tax consequences to you of this award of RSUs and shall not be liable to you for any adverse tax consequences to you arising in connection with this award. You are hereby advised to consult with your own personal tax, financial and/or legal advisors regarding the tax consequences of this award and by signing the Notice, you have agreed that you have done so or knowingly and voluntarily declined to do so.</w:t>
      </w:r>
    </w:p>
    <w:p>
      <w:pPr>
        <w:spacing w:after="0" w:line="202" w:lineRule="exact"/>
        <w:rPr>
          <w:rFonts w:ascii="Arial" w:cs="Arial" w:eastAsia="Arial" w:hAnsi="Arial"/>
          <w:sz w:val="18"/>
          <w:szCs w:val="18"/>
          <w:color w:val="auto"/>
        </w:rPr>
      </w:pPr>
    </w:p>
    <w:p>
      <w:pPr>
        <w:jc w:val="both"/>
        <w:ind w:left="200" w:right="219" w:firstLine="657"/>
        <w:spacing w:after="0" w:line="241" w:lineRule="auto"/>
        <w:tabs>
          <w:tab w:leader="none" w:pos="1638"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Conformity with Plan</w:t>
      </w:r>
      <w:r>
        <w:rPr>
          <w:rFonts w:ascii="Arial" w:cs="Arial" w:eastAsia="Arial" w:hAnsi="Arial"/>
          <w:sz w:val="18"/>
          <w:szCs w:val="18"/>
          <w:color w:val="auto"/>
        </w:rPr>
        <w:t>. This Agreement is intended to conform in all respects with, and is subject to all applicable provisions of, the Plan. Inconsistencies between this Agreement and the Plan shall be resolved in accordance with the terms of the Plan. In the event of any ambiguity in this Agreement or any matters as to which this Agreement is silent, the Plan shall govern. A copy of the Plan is available upon request to the Administrator.</w:t>
      </w:r>
    </w:p>
    <w:p>
      <w:pPr>
        <w:spacing w:after="0" w:line="202" w:lineRule="exact"/>
        <w:rPr>
          <w:rFonts w:ascii="Arial" w:cs="Arial" w:eastAsia="Arial" w:hAnsi="Arial"/>
          <w:sz w:val="18"/>
          <w:szCs w:val="18"/>
          <w:color w:val="auto"/>
        </w:rPr>
      </w:pPr>
    </w:p>
    <w:p>
      <w:pPr>
        <w:jc w:val="both"/>
        <w:ind w:left="200" w:right="219" w:firstLine="657"/>
        <w:spacing w:after="0" w:line="248" w:lineRule="auto"/>
        <w:tabs>
          <w:tab w:leader="none" w:pos="1638"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No Funding</w:t>
      </w:r>
      <w:r>
        <w:rPr>
          <w:rFonts w:ascii="Arial" w:cs="Arial" w:eastAsia="Arial" w:hAnsi="Arial"/>
          <w:sz w:val="18"/>
          <w:szCs w:val="18"/>
          <w:color w:val="auto"/>
        </w:rPr>
        <w:t>. This Agreement constitutes an unfunded and unsecured promise by the Company to issue shares of Company Stock in the future in accordance with its terms. You have the status of a general unsecured creditor of the Company as a result of receiving the grant of RSUs.</w:t>
      </w:r>
    </w:p>
    <w:p>
      <w:pPr>
        <w:spacing w:after="0" w:line="195" w:lineRule="exact"/>
        <w:rPr>
          <w:rFonts w:ascii="Arial" w:cs="Arial" w:eastAsia="Arial" w:hAnsi="Arial"/>
          <w:sz w:val="18"/>
          <w:szCs w:val="18"/>
          <w:color w:val="auto"/>
        </w:rPr>
      </w:pPr>
    </w:p>
    <w:p>
      <w:pPr>
        <w:jc w:val="both"/>
        <w:ind w:left="200" w:right="219" w:firstLine="657"/>
        <w:spacing w:after="0" w:line="241" w:lineRule="auto"/>
        <w:tabs>
          <w:tab w:leader="none" w:pos="1584"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Effect on Other Employee Benefit Plans</w:t>
      </w:r>
      <w:r>
        <w:rPr>
          <w:rFonts w:ascii="Arial" w:cs="Arial" w:eastAsia="Arial" w:hAnsi="Arial"/>
          <w:sz w:val="18"/>
          <w:szCs w:val="18"/>
          <w:color w:val="auto"/>
        </w:rPr>
        <w:t>. The value of the RSUs subject to this Agreement shall not be included as compensation, earnings, salaries, or other similar terms used when calculating your benefits under any employee benefit plan sponsored by the Company, except as such plan otherwise expressly provides. The Company expressly reserves its rights to amend, modify, or terminate any of the Company’s employee benefit plans.</w:t>
      </w:r>
    </w:p>
    <w:p>
      <w:pPr>
        <w:spacing w:after="0" w:line="202" w:lineRule="exact"/>
        <w:rPr>
          <w:rFonts w:ascii="Arial" w:cs="Arial" w:eastAsia="Arial" w:hAnsi="Arial"/>
          <w:sz w:val="18"/>
          <w:szCs w:val="18"/>
          <w:color w:val="auto"/>
        </w:rPr>
      </w:pPr>
    </w:p>
    <w:p>
      <w:pPr>
        <w:jc w:val="both"/>
        <w:ind w:left="200" w:right="219" w:firstLine="657"/>
        <w:spacing w:after="0" w:line="238" w:lineRule="auto"/>
        <w:tabs>
          <w:tab w:leader="none" w:pos="1638"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construction and effect of this Agreement, and of any determinations or decisions made by the Administrator relating to this Agreement, and the rights of any and all persons having or claiming to have any interest under this Agreement, shall be determined exclusively in accordance with the laws of the State of Delaware, without regard to its provisions concerning the applicability of laws of other jurisdictions. As a condition of this Agreement, you agree that you will not bring any action arising under, as a result of, pursuant to or relating to, this Agreement in any court other than a federal or state court in the districts which include Delaware, and you hereby agree and submit to the personal jurisdiction of any federal court located in the district which includes Delaware or any state court in the district which includes Delaware. You further agree that you will not deny or attempt to defeat such personal jurisdiction or object to venue by motion or other request for leave from any such court.</w:t>
      </w:r>
    </w:p>
    <w:p>
      <w:pPr>
        <w:spacing w:after="0" w:line="201" w:lineRule="exact"/>
        <w:rPr>
          <w:rFonts w:ascii="Arial" w:cs="Arial" w:eastAsia="Arial" w:hAnsi="Arial"/>
          <w:sz w:val="18"/>
          <w:szCs w:val="18"/>
          <w:color w:val="auto"/>
        </w:rPr>
      </w:pPr>
    </w:p>
    <w:p>
      <w:pPr>
        <w:jc w:val="both"/>
        <w:ind w:left="200" w:right="219" w:firstLine="657"/>
        <w:spacing w:after="0" w:line="238" w:lineRule="auto"/>
        <w:tabs>
          <w:tab w:leader="none" w:pos="1638"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Resolution of Disputes</w:t>
      </w:r>
      <w:r>
        <w:rPr>
          <w:rFonts w:ascii="Arial" w:cs="Arial" w:eastAsia="Arial" w:hAnsi="Arial"/>
          <w:sz w:val="18"/>
          <w:szCs w:val="18"/>
          <w:color w:val="auto"/>
        </w:rPr>
        <w:t>. Any dispute or disagreement which shall arise under, or as a result of, or pursuant to or relating to, this Agreement shall be determined by the Administrator in good faith in its absolute and uncontrolled discretion, and any such determination or any other determination by the Administrator under or pursuant to this Agreement and any interpretation by the Administrator of the terms of this Agreement, will be final, binding and conclusive on all persons affected thereby. You agree that before you may bring any legal action arising under, as a result of, pursuant to or relating to, this Agreement you will first exhaust your administrative remedies before the Administrator. You further agree that in the event that the Administrator does not resolve any dispute or disagreement arising under, as a result of, pursuant to or relating to, this Agreement to your satisfaction, no legal action may be commenced or maintained relating to this Agreement more than twenty-four (24) months after the Administrator’s decision.</w:t>
      </w:r>
    </w:p>
    <w:p>
      <w:pPr>
        <w:spacing w:after="0" w:line="201" w:lineRule="exact"/>
        <w:rPr>
          <w:rFonts w:ascii="Arial" w:cs="Arial" w:eastAsia="Arial" w:hAnsi="Arial"/>
          <w:sz w:val="18"/>
          <w:szCs w:val="18"/>
          <w:color w:val="auto"/>
        </w:rPr>
      </w:pPr>
    </w:p>
    <w:p>
      <w:pPr>
        <w:ind w:left="200" w:right="219" w:firstLine="657"/>
        <w:spacing w:after="0" w:line="261" w:lineRule="auto"/>
        <w:tabs>
          <w:tab w:leader="none" w:pos="1638"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Agreement are for reference purposes only and shall not affect the meaning or interpretation of this Agreement.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340360</wp:posOffset>
            </wp:positionV>
            <wp:extent cx="545211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20" w:name="page21"/>
    <w:bookmarkEnd w:id="20"/>
    <w:p>
      <w:pPr>
        <w:jc w:val="both"/>
        <w:ind w:left="200" w:right="219" w:firstLine="657"/>
        <w:spacing w:after="0" w:line="238" w:lineRule="auto"/>
        <w:tabs>
          <w:tab w:leader="none" w:pos="1638"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Electronic Delivery of Documents</w:t>
      </w:r>
      <w:r>
        <w:rPr>
          <w:rFonts w:ascii="Arial" w:cs="Arial" w:eastAsia="Arial" w:hAnsi="Arial"/>
          <w:sz w:val="18"/>
          <w:szCs w:val="18"/>
          <w:color w:val="auto"/>
        </w:rPr>
        <w:t>. By your signing the Notice, you (i) consent to the electronic delivery of this Agreement, all information with respect to the Plan and the RSUs, and any reports of the Company provided generally to the Company’s stockholders; (ii) acknowledge that you may receive from the Company a paper copy of any documents delivered electronically at no cost to you by contacting the Company by telephone or in writing; (iii) further acknowledge that you may revoke your consent to the electronic delivery of documents at any time by notifying the Company of such revoked consent by telephone, postal service or electronic mail; and (iv) further acknowledge that you understand that you are not required to consent to electronic delivery of documents.</w:t>
      </w:r>
    </w:p>
    <w:p>
      <w:pPr>
        <w:spacing w:after="0" w:line="206" w:lineRule="exact"/>
        <w:rPr>
          <w:rFonts w:ascii="Arial" w:cs="Arial" w:eastAsia="Arial" w:hAnsi="Arial"/>
          <w:sz w:val="18"/>
          <w:szCs w:val="18"/>
          <w:color w:val="auto"/>
        </w:rPr>
      </w:pPr>
    </w:p>
    <w:p>
      <w:pPr>
        <w:ind w:left="1640" w:hanging="783"/>
        <w:spacing w:after="0"/>
        <w:tabs>
          <w:tab w:leader="none" w:pos="164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No  Future  Entitlement</w:t>
      </w:r>
      <w:r>
        <w:rPr>
          <w:rFonts w:ascii="Arial" w:cs="Arial" w:eastAsia="Arial" w:hAnsi="Arial"/>
          <w:sz w:val="18"/>
          <w:szCs w:val="18"/>
          <w:color w:val="auto"/>
        </w:rPr>
        <w:t>.   By  your  signing  the  Notice,  you  acknowledge  and  agree</w:t>
      </w:r>
    </w:p>
    <w:p>
      <w:pPr>
        <w:spacing w:after="0" w:line="9" w:lineRule="exact"/>
        <w:rPr>
          <w:rFonts w:ascii="Arial" w:cs="Arial" w:eastAsia="Arial" w:hAnsi="Arial"/>
          <w:sz w:val="18"/>
          <w:szCs w:val="18"/>
          <w:color w:val="auto"/>
        </w:rPr>
      </w:pPr>
    </w:p>
    <w:p>
      <w:pPr>
        <w:jc w:val="both"/>
        <w:ind w:left="200" w:right="219"/>
        <w:spacing w:after="0" w:line="235" w:lineRule="auto"/>
        <w:rPr>
          <w:rFonts w:ascii="Arial" w:cs="Arial" w:eastAsia="Arial" w:hAnsi="Arial"/>
          <w:sz w:val="18"/>
          <w:szCs w:val="18"/>
          <w:color w:val="auto"/>
        </w:rPr>
      </w:pPr>
      <w:r>
        <w:rPr>
          <w:rFonts w:ascii="Arial" w:cs="Arial" w:eastAsia="Arial" w:hAnsi="Arial"/>
          <w:sz w:val="18"/>
          <w:szCs w:val="18"/>
          <w:color w:val="auto"/>
        </w:rPr>
        <w:t>that: (i) the grant of a restricted stock unit award is a one-time benefit which does not create any contractual or other right to receive future grants of restricted stock units, or compensation in lieu of restricted stock units, even if restricted stock units have been granted repeatedly in the past; (ii) all determinations with respect to any such future grants and the terms thereof will be at the sole discretion of the Committee; (iii) the value of the restricted stock units is an extraordinary item of compensation which is outside the scope of your employment contract, if any; (iv) the value of the restricted stock units is not part of normal or expected compensation or salary for any purpose, including, but not limited to, calculating any termination, severance, resignation, redundancy, end of service payments or similar payments, or bonuses, long-service awards, pension or retirement benefits; (v) the vesting of the restricted stock units ceases upon termination of Service with the Company or transfer of employment from the Company, or other cessation of eligibility for any reason, except as may otherwise be explicitly provided in this Agreement; (vi) the Company does not guarantee any future value of the restricted stock units; and (vii) no claim or entitlement to compensation or damages arises if the restricted stock units decrease or do not increase in value and you irrevocably release the Company from any such claim that does arise.</w:t>
      </w:r>
    </w:p>
    <w:p>
      <w:pPr>
        <w:spacing w:after="0" w:line="213" w:lineRule="exact"/>
        <w:rPr>
          <w:rFonts w:ascii="Arial" w:cs="Arial" w:eastAsia="Arial" w:hAnsi="Arial"/>
          <w:sz w:val="18"/>
          <w:szCs w:val="18"/>
          <w:color w:val="auto"/>
        </w:rPr>
      </w:pPr>
    </w:p>
    <w:p>
      <w:pPr>
        <w:jc w:val="both"/>
        <w:ind w:left="200" w:right="219" w:firstLine="657"/>
        <w:spacing w:after="0" w:line="236" w:lineRule="auto"/>
        <w:tabs>
          <w:tab w:leader="none" w:pos="1638"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Personal Data</w:t>
      </w:r>
      <w:r>
        <w:rPr>
          <w:rFonts w:ascii="Arial" w:cs="Arial" w:eastAsia="Arial" w:hAnsi="Arial"/>
          <w:sz w:val="18"/>
          <w:szCs w:val="18"/>
          <w:color w:val="auto"/>
        </w:rPr>
        <w:t>. For purposes of the implementation, administration and management of the restricted stock units or the effectuation of any acquisition, equity or debt financing, joint venture, merger, reorganization, consolidation, recapitalization, business combination, liquidation, dissolution, share exchange, sale of stock, sale of material assets or other similar corporate transaction involving the Company (a “</w:t>
      </w:r>
      <w:r>
        <w:rPr>
          <w:rFonts w:ascii="Arial" w:cs="Arial" w:eastAsia="Arial" w:hAnsi="Arial"/>
          <w:sz w:val="18"/>
          <w:szCs w:val="18"/>
          <w:b w:val="1"/>
          <w:bCs w:val="1"/>
          <w:i w:val="1"/>
          <w:iCs w:val="1"/>
          <w:color w:val="auto"/>
        </w:rPr>
        <w:t>Corporate Transaction</w:t>
      </w:r>
      <w:r>
        <w:rPr>
          <w:rFonts w:ascii="Arial" w:cs="Arial" w:eastAsia="Arial" w:hAnsi="Arial"/>
          <w:sz w:val="18"/>
          <w:szCs w:val="18"/>
          <w:color w:val="auto"/>
        </w:rPr>
        <w:t>”), you consent, by execution of the Notice, to the collection, receipt, use, retention and transfer, in electronic or other form, of your personal data by and among the Company and its third party vendors or any potential party to a potential Corporate Transaction. You understand that personal data (including but not limited to, name, home address, telephone number, employee number, employment status, social security number, tax identification number, date of birth, nationality, job and payroll location, data for tax withholding purposes and shares awarded, cancelled, vested and unvested) may be transferred to third parties assisting in the implementation, administration and management of the restricted stock units or the effectuation of a Corporate Transaction and you expressly authorize such transfer as well as the retention, use, and the subsequent transfer of the data by the recipient(s). You understand that these recipients may be located in your country or elsewhere, and that the recipient’s country may have different data privacy laws and protections than your country. You understand that data will be held only as long as is necessary to implement, administer and manage the restricted stock units or effect a Corporate Transaction. You understand that you may, at any time, request a list with the names and addresses of any potential recipients of the personal data, view data, request additional information about the storage and processing of data, require any necessary amendments to data or refuse or withdraw the consents herein, in any case without cost, by contacting in writing the Company’s Secretary. You understand, however, that refusing or withdrawing your consent may affect your ability to accept a restricted stock unit award.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Glossary begins on next page</w:t>
      </w:r>
      <w:r>
        <w:rPr>
          <w:rFonts w:ascii="Arial" w:cs="Arial" w:eastAsia="Arial" w:hAnsi="Arial"/>
          <w:sz w:val="18"/>
          <w:szCs w:val="18"/>
          <w:color w:val="auto"/>
        </w:rPr>
        <w:t>}</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340360</wp:posOffset>
            </wp:positionV>
            <wp:extent cx="545211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color w:val="auto"/>
        </w:rPr>
        <w:t>GLOSSARY</w:t>
      </w:r>
    </w:p>
    <w:p>
      <w:pPr>
        <w:spacing w:after="0" w:line="297" w:lineRule="exact"/>
        <w:rPr>
          <w:sz w:val="20"/>
          <w:szCs w:val="20"/>
          <w:color w:val="auto"/>
        </w:rPr>
      </w:pPr>
    </w:p>
    <w:p>
      <w:pPr>
        <w:ind w:left="2860" w:hanging="1355"/>
        <w:spacing w:after="0"/>
        <w:tabs>
          <w:tab w:leader="none" w:pos="28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Administrator</w:t>
      </w:r>
      <w:r>
        <w:rPr>
          <w:rFonts w:ascii="Arial" w:cs="Arial" w:eastAsia="Arial" w:hAnsi="Arial"/>
          <w:sz w:val="18"/>
          <w:szCs w:val="18"/>
          <w:color w:val="auto"/>
        </w:rPr>
        <w:t>” means the Committee as defined in the Plan.</w:t>
      </w:r>
    </w:p>
    <w:p>
      <w:pPr>
        <w:spacing w:after="0" w:line="225" w:lineRule="exact"/>
        <w:rPr>
          <w:rFonts w:ascii="Arial" w:cs="Arial" w:eastAsia="Arial" w:hAnsi="Arial"/>
          <w:sz w:val="18"/>
          <w:szCs w:val="18"/>
          <w:color w:val="auto"/>
        </w:rPr>
      </w:pPr>
    </w:p>
    <w:p>
      <w:pPr>
        <w:ind w:left="200" w:right="239" w:firstLine="1305"/>
        <w:spacing w:after="0" w:line="287" w:lineRule="auto"/>
        <w:tabs>
          <w:tab w:leader="none" w:pos="285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means this document, as amended from time to time, together with the Plan which is incorporated herein by reference.</w:t>
      </w:r>
    </w:p>
    <w:p>
      <w:pPr>
        <w:spacing w:after="0" w:line="152" w:lineRule="exact"/>
        <w:rPr>
          <w:rFonts w:ascii="Arial" w:cs="Arial" w:eastAsia="Arial" w:hAnsi="Arial"/>
          <w:sz w:val="18"/>
          <w:szCs w:val="18"/>
          <w:color w:val="auto"/>
        </w:rPr>
      </w:pPr>
    </w:p>
    <w:p>
      <w:pPr>
        <w:ind w:left="2900" w:hanging="1395"/>
        <w:spacing w:after="0"/>
        <w:tabs>
          <w:tab w:leader="none" w:pos="290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b w:val="1"/>
          <w:bCs w:val="1"/>
          <w:color w:val="auto"/>
        </w:rPr>
        <w:t xml:space="preserve"> </w:t>
      </w:r>
      <w:r>
        <w:rPr>
          <w:rFonts w:ascii="Arial" w:cs="Arial" w:eastAsia="Arial" w:hAnsi="Arial"/>
          <w:sz w:val="19"/>
          <w:szCs w:val="19"/>
          <w:color w:val="auto"/>
        </w:rPr>
        <w:t>has the meaning set forth in the Plan.</w:t>
      </w:r>
    </w:p>
    <w:p>
      <w:pPr>
        <w:spacing w:after="0" w:line="213" w:lineRule="exact"/>
        <w:rPr>
          <w:rFonts w:ascii="Arial" w:cs="Arial" w:eastAsia="Arial" w:hAnsi="Arial"/>
          <w:sz w:val="18"/>
          <w:szCs w:val="18"/>
          <w:color w:val="auto"/>
        </w:rPr>
      </w:pPr>
    </w:p>
    <w:p>
      <w:pPr>
        <w:ind w:left="2860" w:hanging="1355"/>
        <w:spacing w:after="0"/>
        <w:tabs>
          <w:tab w:leader="none" w:pos="286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Change of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shall have the meaning set forth in the Plan.</w:t>
      </w:r>
    </w:p>
    <w:p>
      <w:pPr>
        <w:spacing w:after="0" w:line="225" w:lineRule="exact"/>
        <w:rPr>
          <w:sz w:val="20"/>
          <w:szCs w:val="20"/>
          <w:color w:val="auto"/>
        </w:rPr>
      </w:pPr>
    </w:p>
    <w:p>
      <w:pPr>
        <w:jc w:val="both"/>
        <w:ind w:left="200" w:right="219" w:firstLine="1296"/>
        <w:spacing w:after="0" w:line="287"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 and the Treasury regulations and other guidance promulgated thereunder.</w:t>
      </w:r>
    </w:p>
    <w:p>
      <w:pPr>
        <w:spacing w:after="0" w:line="15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b w:val="1"/>
          <w:bCs w:val="1"/>
          <w:i w:val="1"/>
          <w:iCs w:val="1"/>
          <w:color w:val="auto"/>
        </w:rPr>
        <w:t>Company Stock</w:t>
      </w:r>
      <w:r>
        <w:rPr>
          <w:rFonts w:ascii="Arial" w:cs="Arial" w:eastAsia="Arial" w:hAnsi="Arial"/>
          <w:sz w:val="18"/>
          <w:szCs w:val="18"/>
          <w:color w:val="auto"/>
        </w:rPr>
        <w:t>” shall mean common stock of the Company.</w:t>
      </w:r>
    </w:p>
    <w:p>
      <w:pPr>
        <w:spacing w:after="0" w:line="225" w:lineRule="exact"/>
        <w:rPr>
          <w:sz w:val="20"/>
          <w:szCs w:val="20"/>
          <w:color w:val="auto"/>
        </w:rPr>
      </w:pPr>
    </w:p>
    <w:p>
      <w:pPr>
        <w:jc w:val="both"/>
        <w:ind w:left="200" w:right="219" w:firstLine="1296"/>
        <w:spacing w:after="0" w:line="268" w:lineRule="auto"/>
        <w:rPr>
          <w:sz w:val="20"/>
          <w:szCs w:val="20"/>
          <w:color w:val="auto"/>
        </w:rPr>
      </w:pPr>
      <w:r>
        <w:rPr>
          <w:rFonts w:ascii="Arial" w:cs="Arial" w:eastAsia="Arial" w:hAnsi="Arial"/>
          <w:sz w:val="18"/>
          <w:szCs w:val="18"/>
          <w:color w:val="auto"/>
        </w:rPr>
        <w:t xml:space="preserve">(g)“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Axsome Therapeutics, Inc., and shall include all its successors except where the context otherwise requires. For purposes of determining whether a Change of Control has occurred, Company shall mean only Axsome Therapeutics, Inc.</w:t>
      </w:r>
    </w:p>
    <w:p>
      <w:pPr>
        <w:spacing w:after="0" w:line="171" w:lineRule="exact"/>
        <w:rPr>
          <w:sz w:val="20"/>
          <w:szCs w:val="20"/>
          <w:color w:val="auto"/>
        </w:rPr>
      </w:pPr>
    </w:p>
    <w:p>
      <w:pPr>
        <w:jc w:val="both"/>
        <w:ind w:left="200" w:right="239" w:firstLine="1296"/>
        <w:spacing w:after="0" w:line="287" w:lineRule="auto"/>
        <w:rPr>
          <w:sz w:val="20"/>
          <w:szCs w:val="20"/>
          <w:color w:val="auto"/>
        </w:rPr>
      </w:pPr>
      <w:r>
        <w:rPr>
          <w:rFonts w:ascii="Arial" w:cs="Arial" w:eastAsia="Arial" w:hAnsi="Arial"/>
          <w:sz w:val="18"/>
          <w:szCs w:val="18"/>
          <w:color w:val="auto"/>
        </w:rPr>
        <w:t xml:space="preserve">(h)“ </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shall have the meaning in the Plan subject to the requirements of Treasury Regulation Section 1.409A-3(i)(4).</w:t>
      </w:r>
    </w:p>
    <w:p>
      <w:pPr>
        <w:spacing w:after="0" w:line="15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has the meaning set forth in the Plan.</w:t>
      </w:r>
    </w:p>
    <w:p>
      <w:pPr>
        <w:spacing w:after="0" w:line="225" w:lineRule="exact"/>
        <w:rPr>
          <w:sz w:val="20"/>
          <w:szCs w:val="20"/>
          <w:color w:val="auto"/>
        </w:rPr>
      </w:pPr>
    </w:p>
    <w:p>
      <w:pPr>
        <w:jc w:val="both"/>
        <w:ind w:left="200" w:right="219" w:firstLine="1296"/>
        <w:spacing w:after="0" w:line="287" w:lineRule="auto"/>
        <w:rPr>
          <w:sz w:val="20"/>
          <w:szCs w:val="20"/>
          <w:color w:val="auto"/>
        </w:rPr>
      </w:pPr>
      <w:r>
        <w:rPr>
          <w:rFonts w:ascii="Arial" w:cs="Arial" w:eastAsia="Arial" w:hAnsi="Arial"/>
          <w:sz w:val="18"/>
          <w:szCs w:val="18"/>
          <w:color w:val="auto"/>
        </w:rPr>
        <w:t xml:space="preserve">(j)“ </w:t>
      </w:r>
      <w:r>
        <w:rPr>
          <w:rFonts w:ascii="Arial" w:cs="Arial" w:eastAsia="Arial" w:hAnsi="Arial"/>
          <w:sz w:val="18"/>
          <w:szCs w:val="18"/>
          <w:b w:val="1"/>
          <w:bCs w:val="1"/>
          <w:i w:val="1"/>
          <w:iCs w:val="1"/>
          <w:color w:val="auto"/>
        </w:rPr>
        <w:t>Grant Date</w:t>
      </w:r>
      <w:r>
        <w:rPr>
          <w:rFonts w:ascii="Arial" w:cs="Arial" w:eastAsia="Arial" w:hAnsi="Arial"/>
          <w:sz w:val="18"/>
          <w:szCs w:val="18"/>
          <w:color w:val="auto"/>
        </w:rPr>
        <w:t>” means the effective date of a grant of RSUs made to you as set forth in the relevant Notice.</w:t>
      </w:r>
    </w:p>
    <w:p>
      <w:pPr>
        <w:spacing w:after="0" w:line="153" w:lineRule="exact"/>
        <w:rPr>
          <w:sz w:val="20"/>
          <w:szCs w:val="20"/>
          <w:color w:val="auto"/>
        </w:rPr>
      </w:pPr>
    </w:p>
    <w:p>
      <w:pPr>
        <w:jc w:val="both"/>
        <w:ind w:left="200" w:right="219" w:firstLine="1296"/>
        <w:spacing w:after="0" w:line="287" w:lineRule="auto"/>
        <w:rPr>
          <w:sz w:val="20"/>
          <w:szCs w:val="20"/>
          <w:color w:val="auto"/>
        </w:rPr>
      </w:pPr>
      <w:r>
        <w:rPr>
          <w:rFonts w:ascii="Arial" w:cs="Arial" w:eastAsia="Arial" w:hAnsi="Arial"/>
          <w:sz w:val="18"/>
          <w:szCs w:val="18"/>
          <w:color w:val="auto"/>
        </w:rPr>
        <w:t xml:space="preserve">(k)“ </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means the statement, letter or other written notification provided to you by the Company setting forth the terms of a grant of RSUs made to you.</w:t>
      </w:r>
    </w:p>
    <w:p>
      <w:pPr>
        <w:spacing w:after="0" w:line="153" w:lineRule="exact"/>
        <w:rPr>
          <w:sz w:val="20"/>
          <w:szCs w:val="20"/>
          <w:color w:val="auto"/>
        </w:rPr>
      </w:pPr>
    </w:p>
    <w:p>
      <w:pPr>
        <w:jc w:val="both"/>
        <w:ind w:left="200" w:right="219" w:firstLine="1296"/>
        <w:spacing w:after="0" w:line="287" w:lineRule="auto"/>
        <w:rPr>
          <w:sz w:val="20"/>
          <w:szCs w:val="20"/>
          <w:color w:val="auto"/>
        </w:rPr>
      </w:pPr>
      <w:r>
        <w:rPr>
          <w:rFonts w:ascii="Arial" w:cs="Arial" w:eastAsia="Arial" w:hAnsi="Arial"/>
          <w:sz w:val="18"/>
          <w:szCs w:val="18"/>
          <w:color w:val="auto"/>
        </w:rPr>
        <w:t xml:space="preserve">(l)“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the Axsome Therapeutics, Inc. 2015 Omnibus Incentive Compensation Plan, as in effect from time to time.</w:t>
      </w:r>
    </w:p>
    <w:p>
      <w:pPr>
        <w:spacing w:after="0" w:line="153" w:lineRule="exact"/>
        <w:rPr>
          <w:sz w:val="20"/>
          <w:szCs w:val="20"/>
          <w:color w:val="auto"/>
        </w:rPr>
      </w:pPr>
    </w:p>
    <w:p>
      <w:pPr>
        <w:jc w:val="both"/>
        <w:ind w:left="200" w:right="219" w:firstLine="1296"/>
        <w:spacing w:after="0" w:line="287" w:lineRule="auto"/>
        <w:rPr>
          <w:sz w:val="20"/>
          <w:szCs w:val="20"/>
          <w:color w:val="auto"/>
        </w:rPr>
      </w:pPr>
      <w:r>
        <w:rPr>
          <w:rFonts w:ascii="Arial" w:cs="Arial" w:eastAsia="Arial" w:hAnsi="Arial"/>
          <w:sz w:val="18"/>
          <w:szCs w:val="18"/>
          <w:color w:val="auto"/>
        </w:rPr>
        <w:t xml:space="preserve">(m)“ </w:t>
      </w:r>
      <w:r>
        <w:rPr>
          <w:rFonts w:ascii="Arial" w:cs="Arial" w:eastAsia="Arial" w:hAnsi="Arial"/>
          <w:sz w:val="18"/>
          <w:szCs w:val="18"/>
          <w:b w:val="1"/>
          <w:bCs w:val="1"/>
          <w:i w:val="1"/>
          <w:iCs w:val="1"/>
          <w:color w:val="auto"/>
        </w:rPr>
        <w:t>RSU</w:t>
      </w:r>
      <w:r>
        <w:rPr>
          <w:rFonts w:ascii="Arial" w:cs="Arial" w:eastAsia="Arial" w:hAnsi="Arial"/>
          <w:sz w:val="18"/>
          <w:szCs w:val="18"/>
          <w:color w:val="auto"/>
        </w:rPr>
        <w:t>” means the Company’s commitment to issue one share of Company Stock at a future date, subject to the terms of the Agreement and the Plan.</w:t>
      </w:r>
    </w:p>
    <w:p>
      <w:pPr>
        <w:spacing w:after="0" w:line="153" w:lineRule="exact"/>
        <w:rPr>
          <w:sz w:val="20"/>
          <w:szCs w:val="20"/>
          <w:color w:val="auto"/>
        </w:rPr>
      </w:pPr>
    </w:p>
    <w:p>
      <w:pPr>
        <w:jc w:val="both"/>
        <w:ind w:left="200" w:right="219" w:firstLine="1305"/>
        <w:spacing w:after="0" w:line="247" w:lineRule="auto"/>
        <w:tabs>
          <w:tab w:leader="none" w:pos="29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You</w:t>
      </w:r>
      <w:r>
        <w:rPr>
          <w:rFonts w:ascii="Arial" w:cs="Arial" w:eastAsia="Arial" w:hAnsi="Arial"/>
          <w:sz w:val="18"/>
          <w:szCs w:val="18"/>
          <w:color w:val="auto"/>
        </w:rPr>
        <w:t>” or “</w:t>
      </w:r>
      <w:r>
        <w:rPr>
          <w:rFonts w:ascii="Arial" w:cs="Arial" w:eastAsia="Arial" w:hAnsi="Arial"/>
          <w:sz w:val="18"/>
          <w:szCs w:val="18"/>
          <w:b w:val="1"/>
          <w:bCs w:val="1"/>
          <w:i w:val="1"/>
          <w:iCs w:val="1"/>
          <w:color w:val="auto"/>
        </w:rPr>
        <w:t>Your</w:t>
      </w:r>
      <w:r>
        <w:rPr>
          <w:rFonts w:ascii="Arial" w:cs="Arial" w:eastAsia="Arial" w:hAnsi="Arial"/>
          <w:sz w:val="18"/>
          <w:szCs w:val="18"/>
          <w:color w:val="auto"/>
        </w:rPr>
        <w:t>” means the recipient of the RSUs as reflected on the applicable Notice. Whenever the word “you” or “your” is used in any provision of this Agreement under circumstances where the provision should logically be construed, as determined by the Administrator, to apply to the estate, personal representative, or beneficiary to whom the RSUs may be transferred by will or by the laws of descent and distribution, the words “you” and “your” shall be deemed to include such person.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End of Agreement</w:t>
      </w:r>
      <w:r>
        <w:rPr>
          <w:rFonts w:ascii="Arial" w:cs="Arial" w:eastAsia="Arial" w:hAnsi="Arial"/>
          <w:sz w:val="18"/>
          <w:szCs w:val="18"/>
          <w:color w:val="auto"/>
        </w:rPr>
        <w:t>}</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340360</wp:posOffset>
            </wp:positionV>
            <wp:extent cx="545211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sectPr>
      <w:pgSz w:w="11900" w:h="16838" w:orient="portrait"/>
      <w:cols w:equalWidth="0" w:num="1">
        <w:col w:w="9019"/>
      </w:cols>
      <w:pgMar w:left="144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1"/>
      <w:numFmt w:val="decimal"/>
      <w:start w:val="200"/>
    </w:lvl>
  </w:abstractNum>
  <w:abstractNum w:abstractNumId="1">
    <w:nsid w:val="7FDCC233"/>
    <w:multiLevelType w:val="hybridMultilevel"/>
    <w:lvl w:ilvl="0">
      <w:lvlJc w:val="left"/>
      <w:lvlText w:val="%1"/>
      <w:numFmt w:val="decimal"/>
      <w:start w:val="200"/>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lowerLetter"/>
      <w:start w:val="1"/>
    </w:lvl>
  </w:abstractNum>
  <w:abstractNum w:abstractNumId="5">
    <w:nsid w:val="4E6AFB66"/>
    <w:multiLevelType w:val="hybridMultilevel"/>
    <w:lvl w:ilvl="0">
      <w:lvlJc w:val="left"/>
      <w:lvlText w:val="%1"/>
      <w:numFmt w:val="lowerRoman"/>
      <w:start w:val="1"/>
    </w:lvl>
    <w:lvl w:ilvl="1">
      <w:lvlJc w:val="left"/>
      <w:lvlText w:val="%2."/>
      <w:numFmt w:val="decimal"/>
      <w:start w:val="6"/>
    </w:lvl>
  </w:abstractNum>
  <w:abstractNum w:abstractNumId="6">
    <w:nsid w:val="25E45D32"/>
    <w:multiLevelType w:val="hybridMultilevel"/>
    <w:lvl w:ilvl="0">
      <w:lvlJc w:val="left"/>
      <w:lvlText w:val="(%1)"/>
      <w:numFmt w:val="lowerRoman"/>
      <w:start w:val="3"/>
    </w:lvl>
    <w:lvl w:ilvl="1">
      <w:lvlJc w:val="left"/>
      <w:lvlText w:val="%2"/>
      <w:numFmt w:val="decimal"/>
      <w:start w:val="1"/>
    </w:lvl>
  </w:abstractNum>
  <w:abstractNum w:abstractNumId="7">
    <w:nsid w:val="519B500D"/>
    <w:multiLevelType w:val="hybridMultilevel"/>
    <w:lvl w:ilvl="0">
      <w:lvlJc w:val="left"/>
      <w:lvlText w:val="%1."/>
      <w:numFmt w:val="decimal"/>
      <w:start w:val="7"/>
    </w:lvl>
  </w:abstractNum>
  <w:abstractNum w:abstractNumId="8">
    <w:nsid w:val="431BD7B7"/>
    <w:multiLevelType w:val="hybridMultilevel"/>
    <w:lvl w:ilvl="0">
      <w:lvlJc w:val="left"/>
      <w:lvlText w:val="(%1)"/>
      <w:numFmt w:val="lowerLetter"/>
      <w:start w:val="1"/>
    </w:lvl>
  </w:abstractNum>
  <w:abstractNum w:abstractNumId="9">
    <w:nsid w:val="3F2DBA31"/>
    <w:multiLevelType w:val="hybridMultilevel"/>
    <w:lvl w:ilvl="0">
      <w:lvlJc w:val="left"/>
      <w:lvlText w:val="%1."/>
      <w:numFmt w:val="decimal"/>
      <w:start w:val="8"/>
    </w:lvl>
  </w:abstractNum>
  <w:abstractNum w:abstractNumId="10">
    <w:nsid w:val="7C83E458"/>
    <w:multiLevelType w:val="hybridMultilevel"/>
    <w:lvl w:ilvl="0">
      <w:lvlJc w:val="left"/>
      <w:lvlText w:val="%1."/>
      <w:numFmt w:val="decimal"/>
      <w:start w:val="12"/>
    </w:lvl>
  </w:abstractNum>
  <w:abstractNum w:abstractNumId="11">
    <w:nsid w:val="257130A3"/>
    <w:multiLevelType w:val="hybridMultilevel"/>
    <w:lvl w:ilvl="0">
      <w:lvlJc w:val="left"/>
      <w:lvlText w:val="%1."/>
      <w:numFmt w:val="decimal"/>
      <w:start w:val="16"/>
    </w:lvl>
  </w:abstractNum>
  <w:abstractNum w:abstractNumId="12">
    <w:nsid w:val="62BBD95A"/>
    <w:multiLevelType w:val="hybridMultilevel"/>
    <w:lvl w:ilvl="0">
      <w:lvlJc w:val="left"/>
      <w:lvlText w:val="%1."/>
      <w:numFmt w:val="decimal"/>
      <w:start w:val="24"/>
    </w:lvl>
  </w:abstractNum>
  <w:abstractNum w:abstractNumId="13">
    <w:nsid w:val="436C6125"/>
    <w:multiLevelType w:val="hybridMultilevel"/>
    <w:lvl w:ilvl="0">
      <w:lvlJc w:val="left"/>
      <w:lvlText w:val="(%1)"/>
      <w:numFmt w:val="lowerLetter"/>
      <w:start w:val="1"/>
    </w:lvl>
  </w:abstractNum>
  <w:abstractNum w:abstractNumId="14">
    <w:nsid w:val="628C895D"/>
    <w:multiLevelType w:val="hybridMultilevel"/>
    <w:lvl w:ilvl="0">
      <w:lvlJc w:val="left"/>
      <w:lvlText w:val="(%1)"/>
      <w:numFmt w:val="lowerLetter"/>
      <w:start w:val="13"/>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decimal"/>
      <w:start w:val="1"/>
    </w:lvl>
    <w:lvl w:ilvl="1">
      <w:lvlJc w:val="left"/>
      <w:lvlText w:val="(%2)"/>
      <w:numFmt w:val="lowerLetter"/>
      <w:start w:val="1"/>
    </w:lvl>
  </w:abstractNum>
  <w:abstractNum w:abstractNumId="17">
    <w:nsid w:val="2443A858"/>
    <w:multiLevelType w:val="hybridMultilevel"/>
    <w:lvl w:ilvl="0">
      <w:lvlJc w:val="left"/>
      <w:lvlText w:val="(%1)"/>
      <w:numFmt w:val="decimal"/>
      <w:start w:val="2"/>
    </w:lvl>
    <w:lvl w:ilvl="1">
      <w:lvlJc w:val="left"/>
      <w:lvlText w:val="%2"/>
      <w:numFmt w:val="lowerLetter"/>
      <w:start w:val="1"/>
    </w:lvl>
  </w:abstractNum>
  <w:abstractNum w:abstractNumId="18">
    <w:nsid w:val="2D1D5AE9"/>
    <w:multiLevelType w:val="hybridMultilevel"/>
    <w:lvl w:ilvl="0">
      <w:lvlJc w:val="left"/>
      <w:lvlText w:val="%1."/>
      <w:numFmt w:val="decimal"/>
      <w:start w:val="6"/>
    </w:lvl>
  </w:abstractNum>
  <w:abstractNum w:abstractNumId="19">
    <w:nsid w:val="6763845E"/>
    <w:multiLevelType w:val="hybridMultilevel"/>
    <w:lvl w:ilvl="0">
      <w:lvlJc w:val="left"/>
      <w:lvlText w:val="(%1)"/>
      <w:numFmt w:val="lowerRoman"/>
      <w:start w:val="1"/>
    </w:lvl>
    <w:lvl w:ilvl="1">
      <w:lvlJc w:val="left"/>
      <w:lvlText w:val="%2."/>
      <w:numFmt w:val="decimal"/>
      <w:start w:val="7"/>
    </w:lvl>
  </w:abstractNum>
  <w:abstractNum w:abstractNumId="20">
    <w:nsid w:val="75A2A8D4"/>
    <w:multiLevelType w:val="hybridMultilevel"/>
    <w:lvl w:ilvl="0">
      <w:lvlJc w:val="left"/>
      <w:lvlText w:val="(%1)"/>
      <w:numFmt w:val="lowerLetter"/>
      <w:start w:val="1"/>
    </w:lvl>
  </w:abstractNum>
  <w:abstractNum w:abstractNumId="21">
    <w:nsid w:val="8EDBDAB"/>
    <w:multiLevelType w:val="hybridMultilevel"/>
    <w:lvl w:ilvl="0">
      <w:lvlJc w:val="left"/>
      <w:lvlText w:val="%1."/>
      <w:numFmt w:val="decimal"/>
      <w:start w:val="8"/>
    </w:lvl>
  </w:abstractNum>
  <w:abstractNum w:abstractNumId="22">
    <w:nsid w:val="79838CB2"/>
    <w:multiLevelType w:val="hybridMultilevel"/>
    <w:lvl w:ilvl="0">
      <w:lvlJc w:val="left"/>
      <w:lvlText w:val="%1."/>
      <w:numFmt w:val="decimal"/>
      <w:start w:val="11"/>
    </w:lvl>
  </w:abstractNum>
  <w:abstractNum w:abstractNumId="23">
    <w:nsid w:val="4353D0CD"/>
    <w:multiLevelType w:val="hybridMultilevel"/>
    <w:lvl w:ilvl="0">
      <w:lvlJc w:val="left"/>
      <w:lvlText w:val="%1."/>
      <w:numFmt w:val="decimal"/>
      <w:start w:val="16"/>
    </w:lvl>
  </w:abstractNum>
  <w:abstractNum w:abstractNumId="24">
    <w:nsid w:val="B03E0C6"/>
    <w:multiLevelType w:val="hybridMultilevel"/>
    <w:lvl w:ilvl="0">
      <w:lvlJc w:val="left"/>
      <w:lvlText w:val="%1."/>
      <w:numFmt w:val="decimal"/>
      <w:start w:val="23"/>
    </w:lvl>
  </w:abstractNum>
  <w:abstractNum w:abstractNumId="25">
    <w:nsid w:val="189A769B"/>
    <w:multiLevelType w:val="hybridMultilevel"/>
    <w:lvl w:ilvl="0">
      <w:lvlJc w:val="left"/>
      <w:lvlText w:val="(%1)"/>
      <w:numFmt w:val="lowerLetter"/>
      <w:start w:val="1"/>
    </w:lvl>
  </w:abstractNum>
  <w:abstractNum w:abstractNumId="26">
    <w:nsid w:val="54E49EB4"/>
    <w:multiLevelType w:val="hybridMultilevel"/>
    <w:lvl w:ilvl="0">
      <w:lvlJc w:val="left"/>
      <w:lvlText w:val="(%1)"/>
      <w:numFmt w:val="lowerLetter"/>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7"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26" Type="http://schemas.openxmlformats.org/officeDocument/2006/relationships/hyperlink" Target="http://www.sec.gov/Archives/edgar/data/1579428/000104746915008199/a2226320zex-10_6.htm" TargetMode="External"/><Relationship Id="rId28" Type="http://schemas.openxmlformats.org/officeDocument/2006/relationships/hyperlink" Target="http://www.sec.gov/Archives/edgar/data/1579428/000110465915085196/a15-24973_1ex99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2020-05-11T16:15:25Z</dcterms:created>
  <dcterms:modified xsi:type="dcterms:W3CDTF">2020-05-11T16:15:25Z</dcterms:modified>
</cp:coreProperties>
</file>