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157480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200660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jc w:val="center"/>
        <w:ind w:right="-79"/>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144145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jc w:val="center"/>
        <w:ind w:right="-79"/>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June 5, 2020</w:t>
      </w: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Axsome Therapeutics, Inc.</w:t>
      </w: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124460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1"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354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Delaware</w:t>
            </w:r>
          </w:p>
        </w:tc>
        <w:tc>
          <w:tcPr>
            <w:tcW w:w="210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001-37635</w:t>
            </w:r>
          </w:p>
        </w:tc>
        <w:tc>
          <w:tcPr>
            <w:tcW w:w="272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5"/>
        </w:trPr>
        <w:tc>
          <w:tcPr>
            <w:tcW w:w="3540" w:type="dxa"/>
            <w:vAlign w:val="bottom"/>
          </w:tcPr>
          <w:p>
            <w:pPr>
              <w:jc w:val="center"/>
              <w:ind w:right="1550"/>
              <w:spacing w:after="0" w:line="176" w:lineRule="exact"/>
              <w:rPr>
                <w:sz w:val="20"/>
                <w:szCs w:val="20"/>
                <w:color w:val="auto"/>
              </w:rPr>
            </w:pPr>
            <w:r>
              <w:rPr>
                <w:rFonts w:ascii="Arial" w:cs="Arial" w:eastAsia="Arial" w:hAnsi="Arial"/>
                <w:sz w:val="18"/>
                <w:szCs w:val="18"/>
                <w:color w:val="auto"/>
                <w:w w:val="92"/>
              </w:rPr>
              <w:t>(State or other jurisdiction</w:t>
            </w:r>
          </w:p>
        </w:tc>
        <w:tc>
          <w:tcPr>
            <w:tcW w:w="2100" w:type="dxa"/>
            <w:vAlign w:val="bottom"/>
          </w:tcPr>
          <w:p>
            <w:pPr>
              <w:jc w:val="center"/>
              <w:ind w:right="430"/>
              <w:spacing w:after="0" w:line="176" w:lineRule="exact"/>
              <w:rPr>
                <w:sz w:val="20"/>
                <w:szCs w:val="20"/>
                <w:color w:val="auto"/>
              </w:rPr>
            </w:pPr>
            <w:r>
              <w:rPr>
                <w:rFonts w:ascii="Arial" w:cs="Arial" w:eastAsia="Arial" w:hAnsi="Arial"/>
                <w:sz w:val="18"/>
                <w:szCs w:val="18"/>
                <w:color w:val="auto"/>
                <w:w w:val="93"/>
              </w:rPr>
              <w:t>(Commission</w:t>
            </w:r>
          </w:p>
        </w:tc>
        <w:tc>
          <w:tcPr>
            <w:tcW w:w="2720" w:type="dxa"/>
            <w:vAlign w:val="bottom"/>
          </w:tcPr>
          <w:p>
            <w:pPr>
              <w:jc w:val="center"/>
              <w:ind w:left="131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40" w:type="dxa"/>
            <w:vAlign w:val="bottom"/>
          </w:tcPr>
          <w:p>
            <w:pPr>
              <w:jc w:val="center"/>
              <w:ind w:right="1550"/>
              <w:spacing w:after="0"/>
              <w:rPr>
                <w:sz w:val="20"/>
                <w:szCs w:val="20"/>
                <w:color w:val="auto"/>
              </w:rPr>
            </w:pPr>
            <w:r>
              <w:rPr>
                <w:rFonts w:ascii="Arial" w:cs="Arial" w:eastAsia="Arial" w:hAnsi="Arial"/>
                <w:sz w:val="18"/>
                <w:szCs w:val="18"/>
                <w:color w:val="auto"/>
                <w:w w:val="93"/>
              </w:rPr>
              <w:t>of incorporation)</w:t>
            </w:r>
          </w:p>
        </w:tc>
        <w:tc>
          <w:tcPr>
            <w:tcW w:w="2100" w:type="dxa"/>
            <w:vAlign w:val="bottom"/>
          </w:tcPr>
          <w:p>
            <w:pPr>
              <w:jc w:val="center"/>
              <w:ind w:right="430"/>
              <w:spacing w:after="0"/>
              <w:rPr>
                <w:sz w:val="20"/>
                <w:szCs w:val="20"/>
                <w:color w:val="auto"/>
              </w:rPr>
            </w:pPr>
            <w:r>
              <w:rPr>
                <w:rFonts w:ascii="Arial" w:cs="Arial" w:eastAsia="Arial" w:hAnsi="Arial"/>
                <w:sz w:val="18"/>
                <w:szCs w:val="18"/>
                <w:color w:val="auto"/>
                <w:w w:val="94"/>
              </w:rPr>
              <w:t>File Number)</w:t>
            </w:r>
          </w:p>
        </w:tc>
        <w:tc>
          <w:tcPr>
            <w:tcW w:w="2720" w:type="dxa"/>
            <w:vAlign w:val="bottom"/>
          </w:tcPr>
          <w:p>
            <w:pPr>
              <w:jc w:val="center"/>
              <w:ind w:left="12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00" w:type="dxa"/>
            <w:vAlign w:val="bottom"/>
          </w:tcPr>
          <w:p>
            <w:pPr>
              <w:spacing w:after="0"/>
              <w:rPr>
                <w:sz w:val="21"/>
                <w:szCs w:val="21"/>
                <w:color w:val="auto"/>
              </w:rPr>
            </w:pPr>
          </w:p>
        </w:tc>
        <w:tc>
          <w:tcPr>
            <w:tcW w:w="2720" w:type="dxa"/>
            <w:vAlign w:val="bottom"/>
            <w:vMerge w:val="restart"/>
          </w:tcPr>
          <w:p>
            <w:pPr>
              <w:jc w:val="right"/>
              <w:ind w:right="119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New York, New York</w:t>
            </w:r>
          </w:p>
        </w:tc>
        <w:tc>
          <w:tcPr>
            <w:tcW w:w="210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tcPr>
          <w:p>
            <w:pPr>
              <w:spacing w:after="0"/>
              <w:rPr>
                <w:sz w:val="20"/>
                <w:szCs w:val="20"/>
                <w:color w:val="auto"/>
              </w:rPr>
            </w:pPr>
          </w:p>
        </w:tc>
        <w:tc>
          <w:tcPr>
            <w:tcW w:w="272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580" w:type="dxa"/>
        <w:tblCellMar>
          <w:top w:w="0" w:type="dxa"/>
          <w:left w:w="0" w:type="dxa"/>
          <w:bottom w:w="0" w:type="dxa"/>
          <w:right w:w="0" w:type="dxa"/>
        </w:tblCellMar>
      </w:tblPr>
      <w:tr>
        <w:trPr>
          <w:trHeight w:val="171"/>
        </w:trPr>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107315</wp:posOffset>
            </wp:positionV>
            <wp:extent cx="157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50"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20" w:hanging="811"/>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right="4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right="6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82550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99695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476885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374" w:right="1059" w:bottom="1440" w:gutter="0" w:footer="0" w:header="0"/>
        </w:sectPr>
      </w:pPr>
    </w:p>
    <w:bookmarkStart w:id="1" w:name="page2"/>
    <w:bookmarkEnd w:id="1"/>
    <w:p>
      <w:pPr>
        <w:spacing w:after="0"/>
        <w:tabs>
          <w:tab w:leader="none" w:pos="14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Certain Officers; Election of Directors; Appointment of Certain Officers;</w:t>
      </w:r>
    </w:p>
    <w:p>
      <w:pPr>
        <w:spacing w:after="0"/>
        <w:rPr>
          <w:sz w:val="20"/>
          <w:szCs w:val="20"/>
          <w:color w:val="auto"/>
        </w:rPr>
      </w:pPr>
      <w:r>
        <w:rPr>
          <w:rFonts w:ascii="Arial" w:cs="Arial" w:eastAsia="Arial" w:hAnsi="Arial"/>
          <w:sz w:val="18"/>
          <w:szCs w:val="18"/>
          <w:b w:val="1"/>
          <w:bCs w:val="1"/>
          <w:color w:val="auto"/>
        </w:rPr>
        <w:t>Compensatory Arrangements of Certain Officers.</w:t>
      </w:r>
    </w:p>
    <w:p>
      <w:pPr>
        <w:spacing w:after="0" w:line="169" w:lineRule="exact"/>
        <w:rPr>
          <w:sz w:val="20"/>
          <w:szCs w:val="20"/>
          <w:color w:val="auto"/>
        </w:rPr>
      </w:pPr>
    </w:p>
    <w:p>
      <w:pPr>
        <w:ind w:right="320" w:firstLine="648"/>
        <w:spacing w:after="0" w:line="219" w:lineRule="auto"/>
        <w:rPr>
          <w:sz w:val="20"/>
          <w:szCs w:val="20"/>
          <w:color w:val="auto"/>
        </w:rPr>
      </w:pPr>
      <w:r>
        <w:rPr>
          <w:rFonts w:ascii="Arial" w:cs="Arial" w:eastAsia="Arial" w:hAnsi="Arial"/>
          <w:sz w:val="18"/>
          <w:szCs w:val="18"/>
          <w:color w:val="auto"/>
        </w:rPr>
        <w:t>On June 5, 2020, following the Annual Meeting (as defined below), the Board of Directors (the “Board”) of Axsome Therapeutics, Inc. (the “Company”) appointed Mark Coleman, M.D. as the chair of the Compensation Committee of the Board (the “Committee”). Dr. Coleman replaces Myrtle Potter as the chair of the Committee, in light of Ms. Potter’s decision not to stand for re-election at the Annual Meeting.</w:t>
      </w:r>
    </w:p>
    <w:p>
      <w:pPr>
        <w:spacing w:after="0" w:line="15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8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At the Company’s 2020 annual meeting of stockholders held on June 5, 2020 (the “Annual Meeting”), the following proposals were submitted to the stockholders of the Company:</w:t>
      </w:r>
    </w:p>
    <w:p>
      <w:pPr>
        <w:spacing w:after="0" w:line="121" w:lineRule="exact"/>
        <w:rPr>
          <w:sz w:val="20"/>
          <w:szCs w:val="20"/>
          <w:color w:val="auto"/>
        </w:rPr>
      </w:pPr>
    </w:p>
    <w:p>
      <w:pPr>
        <w:jc w:val="both"/>
        <w:ind w:left="1300" w:hanging="1295"/>
        <w:spacing w:after="0" w:line="235" w:lineRule="auto"/>
        <w:tabs>
          <w:tab w:leader="none" w:pos="128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The election of one director to serve as a Class II director until the Company’s 2023 annual meeting of stockholders and until his successor is duly elected and qualified.</w:t>
      </w:r>
    </w:p>
    <w:p>
      <w:pPr>
        <w:spacing w:after="0" w:line="121" w:lineRule="exact"/>
        <w:rPr>
          <w:sz w:val="20"/>
          <w:szCs w:val="20"/>
          <w:color w:val="auto"/>
        </w:rPr>
      </w:pPr>
    </w:p>
    <w:p>
      <w:pPr>
        <w:jc w:val="both"/>
        <w:ind w:left="1300" w:hanging="1295"/>
        <w:spacing w:after="0" w:line="235" w:lineRule="auto"/>
        <w:tabs>
          <w:tab w:leader="none" w:pos="128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The ratification of the appointment of Ernst &amp; Young LLP as the Company’s independent registered public accounting firm for the fiscal year ending December 31, 2020.</w:t>
      </w:r>
    </w:p>
    <w:p>
      <w:pPr>
        <w:spacing w:after="0" w:line="12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7"/>
          <w:szCs w:val="17"/>
          <w:color w:val="auto"/>
        </w:rPr>
        <w:t>For more information about the foregoing proposals, see the Company’s definitive proxy statement on Schedule 14A filed with the United States Securities and Exchange Commission on April 21, 2020 (the “Proxy Statement”). Of the 37,075,422 shares of the Company’s common stock entitled to vote at the Annual Meeting, 32,542,649 shares, or approximately 87.8%, were represented at the meeting in person or by proxy, constituting a quorum. The number of votes cast for, against or withheld, as well as abstentions and broker non-votes, if applicable, in respect of each such proposal is set forth below:</w:t>
      </w:r>
    </w:p>
    <w:p>
      <w:pPr>
        <w:spacing w:after="0" w:line="1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6"/>
          <w:szCs w:val="16"/>
          <w:color w:val="auto"/>
        </w:rPr>
        <w:t>Election of Class II Director.</w:t>
      </w:r>
    </w:p>
    <w:p>
      <w:pPr>
        <w:spacing w:after="0" w:line="144" w:lineRule="exact"/>
        <w:rPr>
          <w:sz w:val="20"/>
          <w:szCs w:val="20"/>
          <w:color w:val="auto"/>
        </w:rPr>
      </w:pPr>
    </w:p>
    <w:p>
      <w:pPr>
        <w:ind w:right="480" w:firstLine="648"/>
        <w:spacing w:after="0" w:line="289" w:lineRule="auto"/>
        <w:rPr>
          <w:sz w:val="20"/>
          <w:szCs w:val="20"/>
          <w:color w:val="auto"/>
        </w:rPr>
      </w:pPr>
      <w:r>
        <w:rPr>
          <w:rFonts w:ascii="Arial" w:cs="Arial" w:eastAsia="Arial" w:hAnsi="Arial"/>
          <w:sz w:val="16"/>
          <w:szCs w:val="16"/>
          <w:color w:val="auto"/>
        </w:rPr>
        <w:t>The Company’s stockholders elected the following director to serve as a Class II director until the 2023 annual meeting of stockholders and until his successor is duly elected and qualified. The votes regarding the election of the director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Director</w:t>
            </w:r>
          </w:p>
        </w:tc>
        <w:tc>
          <w:tcPr>
            <w:tcW w:w="2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Votes For</w:t>
            </w: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Votes Withheld</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Broker Non-Votes</w:t>
            </w:r>
          </w:p>
        </w:tc>
      </w:tr>
      <w:tr>
        <w:trPr>
          <w:trHeight w:val="169"/>
        </w:trPr>
        <w:tc>
          <w:tcPr>
            <w:tcW w:w="316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89"/>
              </w:rPr>
              <w:t>Mark Saad</w:t>
            </w:r>
          </w:p>
        </w:tc>
        <w:tc>
          <w:tcPr>
            <w:tcW w:w="26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ind w:right="510"/>
              <w:spacing w:after="0" w:line="169" w:lineRule="exact"/>
              <w:rPr>
                <w:sz w:val="20"/>
                <w:szCs w:val="20"/>
                <w:color w:val="auto"/>
              </w:rPr>
            </w:pPr>
            <w:r>
              <w:rPr>
                <w:rFonts w:ascii="Arial" w:cs="Arial" w:eastAsia="Arial" w:hAnsi="Arial"/>
                <w:sz w:val="18"/>
                <w:szCs w:val="18"/>
                <w:color w:val="auto"/>
              </w:rPr>
              <w:t>21,668,515</w:t>
            </w:r>
          </w:p>
        </w:tc>
        <w:tc>
          <w:tcPr>
            <w:tcW w:w="24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530"/>
              <w:spacing w:after="0" w:line="169" w:lineRule="exact"/>
              <w:rPr>
                <w:sz w:val="20"/>
                <w:szCs w:val="20"/>
                <w:color w:val="auto"/>
              </w:rPr>
            </w:pPr>
            <w:r>
              <w:rPr>
                <w:rFonts w:ascii="Arial" w:cs="Arial" w:eastAsia="Arial" w:hAnsi="Arial"/>
                <w:sz w:val="18"/>
                <w:szCs w:val="18"/>
                <w:color w:val="auto"/>
              </w:rPr>
              <w:t>4,623,888</w:t>
            </w:r>
          </w:p>
        </w:tc>
        <w:tc>
          <w:tcPr>
            <w:tcW w:w="24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ind w:right="550"/>
              <w:spacing w:after="0" w:line="169" w:lineRule="exact"/>
              <w:rPr>
                <w:sz w:val="20"/>
                <w:szCs w:val="20"/>
                <w:color w:val="auto"/>
              </w:rPr>
            </w:pPr>
            <w:r>
              <w:rPr>
                <w:rFonts w:ascii="Arial" w:cs="Arial" w:eastAsia="Arial" w:hAnsi="Arial"/>
                <w:sz w:val="18"/>
                <w:szCs w:val="18"/>
                <w:color w:val="auto"/>
              </w:rPr>
              <w:t>6,250,246</w:t>
            </w:r>
          </w:p>
        </w:tc>
        <w:tc>
          <w:tcPr>
            <w:tcW w:w="100" w:type="dxa"/>
            <w:vAlign w:val="bottom"/>
            <w:tcBorders>
              <w:top w:val="single" w:sz="8" w:color="CCEEFF"/>
            </w:tcBorders>
            <w:shd w:val="clear" w:color="auto" w:fill="CCEEFF"/>
          </w:tcPr>
          <w:p>
            <w:pPr>
              <w:spacing w:after="0"/>
              <w:rPr>
                <w:sz w:val="14"/>
                <w:szCs w:val="14"/>
                <w:color w:val="auto"/>
              </w:rPr>
            </w:pPr>
          </w:p>
        </w:tc>
      </w:tr>
    </w:tbl>
    <w:p>
      <w:pPr>
        <w:spacing w:after="0" w:line="14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6"/>
          <w:szCs w:val="16"/>
          <w:color w:val="auto"/>
        </w:rPr>
        <w:t>Ratification of Appointment of Ernst &amp; Young LLP.</w:t>
      </w:r>
    </w:p>
    <w:p>
      <w:pPr>
        <w:spacing w:after="0" w:line="144" w:lineRule="exact"/>
        <w:rPr>
          <w:sz w:val="20"/>
          <w:szCs w:val="20"/>
          <w:color w:val="auto"/>
        </w:rPr>
      </w:pPr>
    </w:p>
    <w:p>
      <w:pPr>
        <w:ind w:right="200" w:firstLine="648"/>
        <w:spacing w:after="0" w:line="258" w:lineRule="auto"/>
        <w:rPr>
          <w:sz w:val="20"/>
          <w:szCs w:val="20"/>
          <w:color w:val="auto"/>
        </w:rPr>
      </w:pPr>
      <w:r>
        <w:rPr>
          <w:rFonts w:ascii="Arial" w:cs="Arial" w:eastAsia="Arial" w:hAnsi="Arial"/>
          <w:sz w:val="17"/>
          <w:szCs w:val="17"/>
          <w:color w:val="auto"/>
        </w:rPr>
        <w:t>The Company’s stockholders ratified the appointment of Ernst &amp; Young LLP as the Company’s independent registered public accounting firm for the fiscal year ending December 31, 2020. The votes regarding this proposal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Votes For</w:t>
            </w:r>
          </w:p>
        </w:tc>
        <w:tc>
          <w:tcPr>
            <w:tcW w:w="2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Votes Against</w:t>
            </w: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Votes Abstaining</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Broker Non-Votes</w:t>
            </w:r>
          </w:p>
        </w:tc>
      </w:tr>
      <w:tr>
        <w:trPr>
          <w:trHeight w:val="169"/>
        </w:trPr>
        <w:tc>
          <w:tcPr>
            <w:tcW w:w="3160" w:type="dxa"/>
            <w:vAlign w:val="bottom"/>
            <w:tcBorders>
              <w:top w:val="single" w:sz="8" w:color="auto"/>
            </w:tcBorders>
            <w:shd w:val="clear" w:color="auto" w:fill="CCEEFF"/>
          </w:tcPr>
          <w:p>
            <w:pPr>
              <w:jc w:val="right"/>
              <w:ind w:right="1090"/>
              <w:spacing w:after="0" w:line="169" w:lineRule="exact"/>
              <w:rPr>
                <w:sz w:val="20"/>
                <w:szCs w:val="20"/>
                <w:color w:val="auto"/>
              </w:rPr>
            </w:pPr>
            <w:r>
              <w:rPr>
                <w:rFonts w:ascii="Arial" w:cs="Arial" w:eastAsia="Arial" w:hAnsi="Arial"/>
                <w:sz w:val="18"/>
                <w:szCs w:val="18"/>
                <w:color w:val="auto"/>
              </w:rPr>
              <w:t>32,438,119</w:t>
            </w:r>
          </w:p>
        </w:tc>
        <w:tc>
          <w:tcPr>
            <w:tcW w:w="26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ind w:right="650"/>
              <w:spacing w:after="0" w:line="169" w:lineRule="exact"/>
              <w:rPr>
                <w:sz w:val="20"/>
                <w:szCs w:val="20"/>
                <w:color w:val="auto"/>
              </w:rPr>
            </w:pPr>
            <w:r>
              <w:rPr>
                <w:rFonts w:ascii="Arial" w:cs="Arial" w:eastAsia="Arial" w:hAnsi="Arial"/>
                <w:sz w:val="18"/>
                <w:szCs w:val="18"/>
                <w:color w:val="auto"/>
              </w:rPr>
              <w:t>72,533</w:t>
            </w:r>
          </w:p>
        </w:tc>
        <w:tc>
          <w:tcPr>
            <w:tcW w:w="24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630"/>
              <w:spacing w:after="0" w:line="169" w:lineRule="exact"/>
              <w:rPr>
                <w:sz w:val="20"/>
                <w:szCs w:val="20"/>
                <w:color w:val="auto"/>
              </w:rPr>
            </w:pPr>
            <w:r>
              <w:rPr>
                <w:rFonts w:ascii="Arial" w:cs="Arial" w:eastAsia="Arial" w:hAnsi="Arial"/>
                <w:sz w:val="18"/>
                <w:szCs w:val="18"/>
                <w:color w:val="auto"/>
              </w:rPr>
              <w:t>31,997</w:t>
            </w:r>
          </w:p>
        </w:tc>
        <w:tc>
          <w:tcPr>
            <w:tcW w:w="24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ind w:right="870"/>
              <w:spacing w:after="0" w:line="169"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4"/>
                <w:szCs w:val="14"/>
                <w:color w:val="auto"/>
              </w:rPr>
            </w:pPr>
          </w:p>
        </w:tc>
      </w:tr>
      <w:tr>
        <w:trPr>
          <w:trHeight w:val="1128"/>
        </w:trPr>
        <w:tc>
          <w:tcPr>
            <w:tcW w:w="3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96" w:right="9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6740" w:type="dxa"/>
            <w:vAlign w:val="bottom"/>
            <w:gridSpan w:val="2"/>
          </w:tcPr>
          <w:p>
            <w:pPr>
              <w:ind w:left="180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2"/>
        </w:trPr>
        <w:tc>
          <w:tcPr>
            <w:tcW w:w="3180" w:type="dxa"/>
            <w:vAlign w:val="bottom"/>
          </w:tcPr>
          <w:p>
            <w:pPr>
              <w:spacing w:after="0"/>
              <w:rPr>
                <w:sz w:val="20"/>
                <w:szCs w:val="20"/>
                <w:color w:val="auto"/>
              </w:rPr>
            </w:pPr>
            <w:r>
              <w:rPr>
                <w:rFonts w:ascii="Arial" w:cs="Arial" w:eastAsia="Arial" w:hAnsi="Arial"/>
                <w:sz w:val="18"/>
                <w:szCs w:val="18"/>
                <w:color w:val="auto"/>
              </w:rPr>
              <w:t>Dated: June 5, 2020</w:t>
            </w:r>
          </w:p>
        </w:tc>
        <w:tc>
          <w:tcPr>
            <w:tcW w:w="2180" w:type="dxa"/>
            <w:vAlign w:val="bottom"/>
          </w:tcPr>
          <w:p>
            <w:pPr>
              <w:ind w:left="1800"/>
              <w:spacing w:after="0"/>
              <w:rPr>
                <w:sz w:val="20"/>
                <w:szCs w:val="20"/>
                <w:color w:val="auto"/>
              </w:rPr>
            </w:pPr>
            <w:r>
              <w:rPr>
                <w:rFonts w:ascii="Arial" w:cs="Arial" w:eastAsia="Arial" w:hAnsi="Arial"/>
                <w:sz w:val="18"/>
                <w:szCs w:val="18"/>
                <w:color w:val="auto"/>
              </w:rPr>
              <w:t>By:</w:t>
            </w:r>
          </w:p>
        </w:tc>
        <w:tc>
          <w:tcPr>
            <w:tcW w:w="4560" w:type="dxa"/>
            <w:vAlign w:val="bottom"/>
          </w:tcPr>
          <w:p>
            <w:pPr>
              <w:ind w:left="6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180" w:type="dxa"/>
            <w:vAlign w:val="bottom"/>
            <w:vMerge w:val="restart"/>
          </w:tcPr>
          <w:p>
            <w:pPr>
              <w:ind w:left="1800"/>
              <w:spacing w:after="0" w:line="189" w:lineRule="exact"/>
              <w:rPr>
                <w:sz w:val="20"/>
                <w:szCs w:val="20"/>
                <w:color w:val="auto"/>
              </w:rPr>
            </w:pPr>
            <w:r>
              <w:rPr>
                <w:rFonts w:ascii="Arial" w:cs="Arial" w:eastAsia="Arial" w:hAnsi="Arial"/>
                <w:sz w:val="17"/>
                <w:szCs w:val="17"/>
                <w:color w:val="auto"/>
                <w:w w:val="71"/>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4560" w:type="dxa"/>
            <w:vAlign w:val="bottom"/>
          </w:tcPr>
          <w:p>
            <w:pPr>
              <w:ind w:left="22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p>
        </w:tc>
        <w:tc>
          <w:tcPr>
            <w:tcW w:w="2180" w:type="dxa"/>
            <w:vAlign w:val="bottom"/>
          </w:tcPr>
          <w:p>
            <w:pPr>
              <w:ind w:left="1800"/>
              <w:spacing w:after="0"/>
              <w:rPr>
                <w:sz w:val="20"/>
                <w:szCs w:val="20"/>
                <w:color w:val="auto"/>
              </w:rPr>
            </w:pPr>
            <w:r>
              <w:rPr>
                <w:rFonts w:ascii="Arial" w:cs="Arial" w:eastAsia="Arial" w:hAnsi="Arial"/>
                <w:sz w:val="18"/>
                <w:szCs w:val="18"/>
                <w:color w:val="auto"/>
                <w:w w:val="92"/>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8"/>
        </w:trPr>
        <w:tc>
          <w:tcPr>
            <w:tcW w:w="3180" w:type="dxa"/>
            <w:vAlign w:val="bottom"/>
          </w:tcPr>
          <w:p>
            <w:pPr>
              <w:spacing w:after="0"/>
              <w:rPr>
                <w:sz w:val="24"/>
                <w:szCs w:val="24"/>
                <w:color w:val="auto"/>
              </w:rPr>
            </w:pPr>
          </w:p>
        </w:tc>
        <w:tc>
          <w:tcPr>
            <w:tcW w:w="2180" w:type="dxa"/>
            <w:vAlign w:val="bottom"/>
          </w:tcPr>
          <w:p>
            <w:pPr>
              <w:ind w:left="1740"/>
              <w:spacing w:after="0"/>
              <w:rPr>
                <w:sz w:val="20"/>
                <w:szCs w:val="20"/>
                <w:color w:val="auto"/>
              </w:rPr>
            </w:pPr>
            <w:r>
              <w:rPr>
                <w:rFonts w:ascii="Arial" w:cs="Arial" w:eastAsia="Arial" w:hAnsi="Arial"/>
                <w:sz w:val="14"/>
                <w:szCs w:val="14"/>
                <w:color w:val="auto"/>
              </w:rPr>
              <w:t>3</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2020-06-08T05:06:31Z</dcterms:created>
  <dcterms:modified xsi:type="dcterms:W3CDTF">2020-06-08T05:06:31Z</dcterms:modified>
</cp:coreProperties>
</file>